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mbeddings/Microsoft_Visio___1.vsdx" ContentType="application/vnd.ms-visio.drawing"/>
  <Override PartName="/word/embeddings/Microsoft_Visio___2.vsdx" ContentType="application/vnd.ms-visio.drawing"/>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480"/>
        <w:rPr>
          <w:color w:val="000000" w:themeColor="text1"/>
          <w:highlight w:val="none"/>
          <w14:textFill>
            <w14:solidFill>
              <w14:schemeClr w14:val="tx1"/>
            </w14:solidFill>
          </w14:textFill>
        </w:rPr>
      </w:pPr>
    </w:p>
    <w:p>
      <w:pPr>
        <w:ind w:firstLine="400"/>
        <w:rPr>
          <w:rFonts w:cs="Times New Roman"/>
          <w:color w:val="000000" w:themeColor="text1"/>
          <w:sz w:val="20"/>
          <w:szCs w:val="20"/>
          <w:highlight w:val="none"/>
          <w14:textFill>
            <w14:solidFill>
              <w14:schemeClr w14:val="tx1"/>
            </w14:solidFill>
          </w14:textFill>
        </w:rPr>
      </w:pPr>
    </w:p>
    <w:p>
      <w:pPr>
        <w:ind w:firstLine="400"/>
        <w:rPr>
          <w:rFonts w:cs="Times New Roman"/>
          <w:color w:val="000000" w:themeColor="text1"/>
          <w:sz w:val="20"/>
          <w:szCs w:val="20"/>
          <w:highlight w:val="none"/>
          <w14:textFill>
            <w14:solidFill>
              <w14:schemeClr w14:val="tx1"/>
            </w14:solidFill>
          </w14:textFill>
        </w:rPr>
      </w:pPr>
    </w:p>
    <w:p>
      <w:pPr>
        <w:ind w:firstLine="480"/>
        <w:rPr>
          <w:rFonts w:eastAsia="Times New Roman" w:cs="Times New Roman"/>
          <w:color w:val="000000" w:themeColor="text1"/>
          <w:szCs w:val="24"/>
          <w:highlight w:val="none"/>
          <w14:textFill>
            <w14:solidFill>
              <w14:schemeClr w14:val="tx1"/>
            </w14:solidFill>
          </w14:textFill>
        </w:rPr>
      </w:pPr>
    </w:p>
    <w:p>
      <w:pPr>
        <w:ind w:firstLine="0" w:firstLineChars="0"/>
        <w:jc w:val="center"/>
        <w:rPr>
          <w:rFonts w:eastAsia="黑体" w:cs="Times New Roman"/>
          <w:color w:val="000000" w:themeColor="text1"/>
          <w:spacing w:val="-37"/>
          <w:w w:val="95"/>
          <w:sz w:val="52"/>
          <w:szCs w:val="52"/>
          <w:highlight w:val="none"/>
          <w14:textFill>
            <w14:solidFill>
              <w14:schemeClr w14:val="tx1"/>
            </w14:solidFill>
          </w14:textFill>
        </w:rPr>
      </w:pPr>
      <w:r>
        <w:rPr>
          <w:rFonts w:hint="eastAsia" w:eastAsia="黑体" w:cs="Times New Roman"/>
          <w:color w:val="000000" w:themeColor="text1"/>
          <w:spacing w:val="-37"/>
          <w:w w:val="95"/>
          <w:sz w:val="52"/>
          <w:szCs w:val="52"/>
          <w:highlight w:val="none"/>
          <w14:textFill>
            <w14:solidFill>
              <w14:schemeClr w14:val="tx1"/>
            </w14:solidFill>
          </w14:textFill>
        </w:rPr>
        <w:t>雷页</w:t>
      </w:r>
      <w:r>
        <w:rPr>
          <w:rFonts w:eastAsia="黑体" w:cs="Times New Roman"/>
          <w:color w:val="000000" w:themeColor="text1"/>
          <w:spacing w:val="-37"/>
          <w:w w:val="95"/>
          <w:sz w:val="52"/>
          <w:szCs w:val="52"/>
          <w:highlight w:val="none"/>
          <w14:textFill>
            <w14:solidFill>
              <w14:schemeClr w14:val="tx1"/>
            </w14:solidFill>
          </w14:textFill>
        </w:rPr>
        <w:t>1</w:t>
      </w:r>
      <w:r>
        <w:rPr>
          <w:rFonts w:hint="eastAsia" w:eastAsia="黑体" w:cs="Times New Roman"/>
          <w:color w:val="000000" w:themeColor="text1"/>
          <w:spacing w:val="-37"/>
          <w:w w:val="95"/>
          <w:sz w:val="52"/>
          <w:szCs w:val="52"/>
          <w:highlight w:val="none"/>
          <w14:textFill>
            <w14:solidFill>
              <w14:schemeClr w14:val="tx1"/>
            </w14:solidFill>
          </w14:textFill>
        </w:rPr>
        <w:t>井试采地面工程</w:t>
      </w:r>
    </w:p>
    <w:p>
      <w:pPr>
        <w:ind w:firstLine="0" w:firstLineChars="0"/>
        <w:jc w:val="center"/>
        <w:rPr>
          <w:rFonts w:eastAsia="黑体" w:cs="Times New Roman"/>
          <w:color w:val="000000" w:themeColor="text1"/>
          <w:sz w:val="52"/>
          <w:szCs w:val="52"/>
          <w:highlight w:val="none"/>
          <w14:textFill>
            <w14:solidFill>
              <w14:schemeClr w14:val="tx1"/>
            </w14:solidFill>
          </w14:textFill>
        </w:rPr>
      </w:pPr>
      <w:r>
        <w:rPr>
          <w:rFonts w:hint="eastAsia" w:eastAsia="黑体" w:cs="Times New Roman"/>
          <w:color w:val="000000" w:themeColor="text1"/>
          <w:sz w:val="52"/>
          <w:szCs w:val="52"/>
          <w:highlight w:val="none"/>
          <w14:textFill>
            <w14:solidFill>
              <w14:schemeClr w14:val="tx1"/>
            </w14:solidFill>
          </w14:textFill>
        </w:rPr>
        <w:t>环境影响报告书</w:t>
      </w:r>
    </w:p>
    <w:p>
      <w:pPr>
        <w:ind w:firstLine="0" w:firstLineChars="0"/>
        <w:jc w:val="center"/>
        <w:rPr>
          <w:rFonts w:eastAsia="楷体" w:cs="Times New Roman"/>
          <w:color w:val="000000" w:themeColor="text1"/>
          <w:sz w:val="44"/>
          <w:szCs w:val="44"/>
          <w:highlight w:val="none"/>
          <w14:textFill>
            <w14:solidFill>
              <w14:schemeClr w14:val="tx1"/>
            </w14:solidFill>
          </w14:textFill>
        </w:rPr>
      </w:pPr>
      <w:r>
        <w:rPr>
          <w:rFonts w:hint="eastAsia" w:eastAsia="楷体" w:cs="Times New Roman"/>
          <w:color w:val="000000" w:themeColor="text1"/>
          <w:sz w:val="44"/>
          <w:szCs w:val="44"/>
          <w:highlight w:val="none"/>
          <w14:textFill>
            <w14:solidFill>
              <w14:schemeClr w14:val="tx1"/>
            </w14:solidFill>
          </w14:textFill>
        </w:rPr>
        <w:t>（</w:t>
      </w:r>
      <w:r>
        <w:rPr>
          <w:rFonts w:hint="eastAsia" w:eastAsia="楷体" w:cs="Times New Roman"/>
          <w:color w:val="000000" w:themeColor="text1"/>
          <w:sz w:val="44"/>
          <w:szCs w:val="44"/>
          <w:highlight w:val="none"/>
          <w:lang w:val="en-US" w:eastAsia="zh-CN"/>
          <w14:textFill>
            <w14:solidFill>
              <w14:schemeClr w14:val="tx1"/>
            </w14:solidFill>
          </w14:textFill>
        </w:rPr>
        <w:t>公示</w:t>
      </w:r>
      <w:r>
        <w:rPr>
          <w:rFonts w:hint="eastAsia" w:eastAsia="楷体" w:cs="Times New Roman"/>
          <w:color w:val="000000" w:themeColor="text1"/>
          <w:sz w:val="44"/>
          <w:szCs w:val="44"/>
          <w:highlight w:val="none"/>
          <w14:textFill>
            <w14:solidFill>
              <w14:schemeClr w14:val="tx1"/>
            </w14:solidFill>
          </w14:textFill>
        </w:rPr>
        <w:t>本）</w:t>
      </w:r>
    </w:p>
    <w:p>
      <w:pPr>
        <w:ind w:firstLine="400"/>
        <w:rPr>
          <w:rFonts w:eastAsia="隶书" w:cs="Times New Roman"/>
          <w:color w:val="000000" w:themeColor="text1"/>
          <w:sz w:val="20"/>
          <w:szCs w:val="20"/>
          <w:highlight w:val="none"/>
          <w14:textFill>
            <w14:solidFill>
              <w14:schemeClr w14:val="tx1"/>
            </w14:solidFill>
          </w14:textFill>
        </w:rPr>
      </w:pPr>
    </w:p>
    <w:p>
      <w:pPr>
        <w:ind w:firstLine="400"/>
        <w:rPr>
          <w:rFonts w:eastAsia="隶书" w:cs="Times New Roman"/>
          <w:color w:val="000000" w:themeColor="text1"/>
          <w:sz w:val="20"/>
          <w:szCs w:val="20"/>
          <w:highlight w:val="none"/>
          <w14:textFill>
            <w14:solidFill>
              <w14:schemeClr w14:val="tx1"/>
            </w14:solidFill>
          </w14:textFill>
        </w:rPr>
      </w:pPr>
    </w:p>
    <w:p>
      <w:pPr>
        <w:ind w:firstLine="400"/>
        <w:rPr>
          <w:rFonts w:eastAsia="隶书" w:cs="Times New Roman"/>
          <w:color w:val="000000" w:themeColor="text1"/>
          <w:sz w:val="20"/>
          <w:szCs w:val="20"/>
          <w:highlight w:val="none"/>
          <w14:textFill>
            <w14:solidFill>
              <w14:schemeClr w14:val="tx1"/>
            </w14:solidFill>
          </w14:textFill>
        </w:rPr>
      </w:pPr>
    </w:p>
    <w:p>
      <w:pPr>
        <w:ind w:firstLine="400"/>
        <w:rPr>
          <w:rFonts w:eastAsia="隶书" w:cs="Times New Roman"/>
          <w:color w:val="000000" w:themeColor="text1"/>
          <w:sz w:val="20"/>
          <w:szCs w:val="20"/>
          <w:highlight w:val="none"/>
          <w14:textFill>
            <w14:solidFill>
              <w14:schemeClr w14:val="tx1"/>
            </w14:solidFill>
          </w14:textFill>
        </w:rPr>
      </w:pPr>
    </w:p>
    <w:p>
      <w:pPr>
        <w:ind w:firstLine="400"/>
        <w:rPr>
          <w:rFonts w:eastAsia="隶书" w:cs="Times New Roman"/>
          <w:color w:val="000000" w:themeColor="text1"/>
          <w:sz w:val="20"/>
          <w:szCs w:val="20"/>
          <w:highlight w:val="none"/>
          <w14:textFill>
            <w14:solidFill>
              <w14:schemeClr w14:val="tx1"/>
            </w14:solidFill>
          </w14:textFill>
        </w:rPr>
      </w:pPr>
    </w:p>
    <w:p>
      <w:pPr>
        <w:ind w:firstLine="400"/>
        <w:rPr>
          <w:rFonts w:eastAsia="隶书" w:cs="Times New Roman"/>
          <w:color w:val="000000" w:themeColor="text1"/>
          <w:sz w:val="20"/>
          <w:szCs w:val="20"/>
          <w:highlight w:val="none"/>
          <w14:textFill>
            <w14:solidFill>
              <w14:schemeClr w14:val="tx1"/>
            </w14:solidFill>
          </w14:textFill>
        </w:rPr>
      </w:pPr>
    </w:p>
    <w:p>
      <w:pPr>
        <w:ind w:firstLine="400"/>
        <w:rPr>
          <w:rFonts w:eastAsia="隶书" w:cs="Times New Roman"/>
          <w:color w:val="000000" w:themeColor="text1"/>
          <w:sz w:val="20"/>
          <w:szCs w:val="20"/>
          <w:highlight w:val="none"/>
          <w14:textFill>
            <w14:solidFill>
              <w14:schemeClr w14:val="tx1"/>
            </w14:solidFill>
          </w14:textFill>
        </w:rPr>
      </w:pPr>
    </w:p>
    <w:p>
      <w:pPr>
        <w:ind w:firstLine="400"/>
        <w:rPr>
          <w:rFonts w:eastAsia="隶书" w:cs="Times New Roman"/>
          <w:color w:val="000000" w:themeColor="text1"/>
          <w:sz w:val="20"/>
          <w:szCs w:val="20"/>
          <w:highlight w:val="none"/>
          <w14:textFill>
            <w14:solidFill>
              <w14:schemeClr w14:val="tx1"/>
            </w14:solidFill>
          </w14:textFill>
        </w:rPr>
      </w:pPr>
    </w:p>
    <w:p>
      <w:pPr>
        <w:ind w:firstLine="400"/>
        <w:rPr>
          <w:rFonts w:eastAsia="隶书" w:cs="Times New Roman"/>
          <w:color w:val="000000" w:themeColor="text1"/>
          <w:sz w:val="20"/>
          <w:szCs w:val="20"/>
          <w:highlight w:val="none"/>
          <w14:textFill>
            <w14:solidFill>
              <w14:schemeClr w14:val="tx1"/>
            </w14:solidFill>
          </w14:textFill>
        </w:rPr>
      </w:pPr>
    </w:p>
    <w:p>
      <w:pPr>
        <w:ind w:firstLine="400"/>
        <w:rPr>
          <w:rFonts w:eastAsia="隶书" w:cs="Times New Roman"/>
          <w:color w:val="000000" w:themeColor="text1"/>
          <w:sz w:val="20"/>
          <w:szCs w:val="20"/>
          <w:highlight w:val="none"/>
          <w14:textFill>
            <w14:solidFill>
              <w14:schemeClr w14:val="tx1"/>
            </w14:solidFill>
          </w14:textFill>
        </w:rPr>
      </w:pPr>
    </w:p>
    <w:p>
      <w:pPr>
        <w:ind w:firstLine="400"/>
        <w:rPr>
          <w:rFonts w:eastAsia="隶书" w:cs="Times New Roman"/>
          <w:color w:val="000000" w:themeColor="text1"/>
          <w:sz w:val="20"/>
          <w:szCs w:val="20"/>
          <w:highlight w:val="none"/>
          <w14:textFill>
            <w14:solidFill>
              <w14:schemeClr w14:val="tx1"/>
            </w14:solidFill>
          </w14:textFill>
        </w:rPr>
      </w:pPr>
    </w:p>
    <w:p>
      <w:pPr>
        <w:ind w:firstLine="400"/>
        <w:rPr>
          <w:rFonts w:eastAsia="隶书" w:cs="Times New Roman"/>
          <w:color w:val="000000" w:themeColor="text1"/>
          <w:sz w:val="20"/>
          <w:szCs w:val="20"/>
          <w:highlight w:val="none"/>
          <w14:textFill>
            <w14:solidFill>
              <w14:schemeClr w14:val="tx1"/>
            </w14:solidFill>
          </w14:textFill>
        </w:rPr>
      </w:pPr>
    </w:p>
    <w:p>
      <w:pPr>
        <w:ind w:firstLine="400"/>
        <w:rPr>
          <w:rFonts w:eastAsia="隶书" w:cs="Times New Roman"/>
          <w:color w:val="000000" w:themeColor="text1"/>
          <w:sz w:val="20"/>
          <w:szCs w:val="20"/>
          <w:highlight w:val="none"/>
          <w14:textFill>
            <w14:solidFill>
              <w14:schemeClr w14:val="tx1"/>
            </w14:solidFill>
          </w14:textFill>
        </w:rPr>
      </w:pPr>
    </w:p>
    <w:p>
      <w:pPr>
        <w:ind w:firstLine="400"/>
        <w:rPr>
          <w:rFonts w:eastAsia="隶书" w:cs="Times New Roman"/>
          <w:color w:val="000000" w:themeColor="text1"/>
          <w:sz w:val="20"/>
          <w:szCs w:val="20"/>
          <w:highlight w:val="none"/>
          <w14:textFill>
            <w14:solidFill>
              <w14:schemeClr w14:val="tx1"/>
            </w14:solidFill>
          </w14:textFill>
        </w:rPr>
      </w:pPr>
    </w:p>
    <w:p>
      <w:pPr>
        <w:ind w:firstLine="400"/>
        <w:rPr>
          <w:rFonts w:eastAsia="隶书" w:cs="Times New Roman"/>
          <w:color w:val="000000" w:themeColor="text1"/>
          <w:sz w:val="20"/>
          <w:szCs w:val="20"/>
          <w:highlight w:val="none"/>
          <w14:textFill>
            <w14:solidFill>
              <w14:schemeClr w14:val="tx1"/>
            </w14:solidFill>
          </w14:textFill>
        </w:rPr>
      </w:pPr>
    </w:p>
    <w:p>
      <w:pPr>
        <w:ind w:firstLine="321"/>
        <w:rPr>
          <w:rFonts w:eastAsia="隶书" w:cs="Times New Roman"/>
          <w:b/>
          <w:bCs/>
          <w:color w:val="000000" w:themeColor="text1"/>
          <w:sz w:val="16"/>
          <w:szCs w:val="16"/>
          <w:highlight w:val="none"/>
          <w14:textFill>
            <w14:solidFill>
              <w14:schemeClr w14:val="tx1"/>
            </w14:solidFill>
          </w14:textFill>
        </w:rPr>
      </w:pPr>
    </w:p>
    <w:p>
      <w:pPr>
        <w:ind w:firstLine="321"/>
        <w:rPr>
          <w:rFonts w:eastAsia="隶书" w:cs="Times New Roman"/>
          <w:b/>
          <w:bCs/>
          <w:color w:val="000000" w:themeColor="text1"/>
          <w:sz w:val="16"/>
          <w:szCs w:val="16"/>
          <w:highlight w:val="none"/>
          <w14:textFill>
            <w14:solidFill>
              <w14:schemeClr w14:val="tx1"/>
            </w14:solidFill>
          </w14:textFill>
        </w:rPr>
      </w:pPr>
    </w:p>
    <w:p>
      <w:pPr>
        <w:ind w:firstLine="321"/>
        <w:rPr>
          <w:rFonts w:eastAsia="隶书" w:cs="Times New Roman"/>
          <w:b/>
          <w:bCs/>
          <w:color w:val="000000" w:themeColor="text1"/>
          <w:sz w:val="16"/>
          <w:szCs w:val="16"/>
          <w:highlight w:val="none"/>
          <w14:textFill>
            <w14:solidFill>
              <w14:schemeClr w14:val="tx1"/>
            </w14:solidFill>
          </w14:textFill>
        </w:rPr>
      </w:pPr>
    </w:p>
    <w:p>
      <w:pPr>
        <w:ind w:firstLine="321"/>
        <w:rPr>
          <w:rFonts w:eastAsia="隶书" w:cs="Times New Roman"/>
          <w:b/>
          <w:bCs/>
          <w:color w:val="000000" w:themeColor="text1"/>
          <w:sz w:val="16"/>
          <w:szCs w:val="16"/>
          <w:highlight w:val="none"/>
          <w14:textFill>
            <w14:solidFill>
              <w14:schemeClr w14:val="tx1"/>
            </w14:solidFill>
          </w14:textFill>
        </w:rPr>
      </w:pPr>
    </w:p>
    <w:p>
      <w:pPr>
        <w:ind w:firstLine="321"/>
        <w:rPr>
          <w:rFonts w:eastAsia="隶书" w:cs="Times New Roman"/>
          <w:b/>
          <w:bCs/>
          <w:color w:val="000000" w:themeColor="text1"/>
          <w:sz w:val="16"/>
          <w:szCs w:val="16"/>
          <w:highlight w:val="none"/>
          <w14:textFill>
            <w14:solidFill>
              <w14:schemeClr w14:val="tx1"/>
            </w14:solidFill>
          </w14:textFill>
        </w:rPr>
      </w:pPr>
    </w:p>
    <w:p>
      <w:pPr>
        <w:ind w:firstLine="321"/>
        <w:rPr>
          <w:rFonts w:eastAsia="隶书" w:cs="Times New Roman"/>
          <w:b/>
          <w:bCs/>
          <w:color w:val="000000" w:themeColor="text1"/>
          <w:sz w:val="16"/>
          <w:szCs w:val="16"/>
          <w:highlight w:val="none"/>
          <w14:textFill>
            <w14:solidFill>
              <w14:schemeClr w14:val="tx1"/>
            </w14:solidFill>
          </w14:textFill>
        </w:rPr>
      </w:pPr>
    </w:p>
    <w:p>
      <w:pPr>
        <w:ind w:firstLine="321"/>
        <w:rPr>
          <w:rFonts w:eastAsia="隶书" w:cs="Times New Roman"/>
          <w:b/>
          <w:bCs/>
          <w:color w:val="000000" w:themeColor="text1"/>
          <w:sz w:val="16"/>
          <w:szCs w:val="16"/>
          <w:highlight w:val="none"/>
          <w14:textFill>
            <w14:solidFill>
              <w14:schemeClr w14:val="tx1"/>
            </w14:solidFill>
          </w14:textFill>
        </w:rPr>
      </w:pPr>
    </w:p>
    <w:p>
      <w:pPr>
        <w:tabs>
          <w:tab w:val="left" w:pos="567"/>
        </w:tabs>
        <w:ind w:firstLine="0" w:firstLineChars="0"/>
        <w:rPr>
          <w:rFonts w:eastAsia="黑体" w:cs="Times New Roman"/>
          <w:bCs/>
          <w:color w:val="000000" w:themeColor="text1"/>
          <w:sz w:val="32"/>
          <w:szCs w:val="32"/>
          <w:highlight w:val="none"/>
          <w14:textFill>
            <w14:solidFill>
              <w14:schemeClr w14:val="tx1"/>
            </w14:solidFill>
          </w14:textFill>
        </w:rPr>
      </w:pPr>
      <w:r>
        <w:rPr>
          <w:rFonts w:hint="eastAsia" w:eastAsia="黑体" w:cs="Times New Roman"/>
          <w:bCs/>
          <w:color w:val="000000" w:themeColor="text1"/>
          <w:sz w:val="32"/>
          <w:szCs w:val="32"/>
          <w:highlight w:val="none"/>
          <w14:textFill>
            <w14:solidFill>
              <w14:schemeClr w14:val="tx1"/>
            </w14:solidFill>
          </w14:textFill>
        </w:rPr>
        <w:t>建设单位：中国石油化工股份有限公司中原油田普光分公司</w:t>
      </w:r>
    </w:p>
    <w:p>
      <w:pPr>
        <w:ind w:firstLine="0" w:firstLineChars="0"/>
        <w:rPr>
          <w:rFonts w:eastAsia="黑体" w:cs="Times New Roman"/>
          <w:bCs/>
          <w:color w:val="000000" w:themeColor="text1"/>
          <w:sz w:val="32"/>
          <w:szCs w:val="32"/>
          <w:highlight w:val="none"/>
          <w14:textFill>
            <w14:solidFill>
              <w14:schemeClr w14:val="tx1"/>
            </w14:solidFill>
          </w14:textFill>
        </w:rPr>
      </w:pPr>
      <w:r>
        <w:rPr>
          <w:rFonts w:hint="eastAsia" w:eastAsia="黑体" w:cs="Times New Roman"/>
          <w:bCs/>
          <w:color w:val="000000" w:themeColor="text1"/>
          <w:sz w:val="32"/>
          <w:szCs w:val="32"/>
          <w:highlight w:val="none"/>
          <w14:textFill>
            <w14:solidFill>
              <w14:schemeClr w14:val="tx1"/>
            </w14:solidFill>
          </w14:textFill>
        </w:rPr>
        <w:t>环评单位：成都维清环保科技有限公司</w:t>
      </w:r>
    </w:p>
    <w:p>
      <w:pPr>
        <w:ind w:firstLine="0" w:firstLineChars="0"/>
        <w:jc w:val="center"/>
        <w:rPr>
          <w:rFonts w:eastAsia="黑体" w:cs="Times New Roman"/>
          <w:bCs/>
          <w:color w:val="000000" w:themeColor="text1"/>
          <w:sz w:val="32"/>
          <w:szCs w:val="32"/>
          <w:highlight w:val="none"/>
          <w14:textFill>
            <w14:solidFill>
              <w14:schemeClr w14:val="tx1"/>
            </w14:solidFill>
          </w14:textFill>
        </w:rPr>
      </w:pPr>
      <w:r>
        <w:rPr>
          <w:rFonts w:hint="eastAsia" w:eastAsia="黑体" w:cs="Times New Roman"/>
          <w:bCs/>
          <w:color w:val="000000" w:themeColor="text1"/>
          <w:sz w:val="32"/>
          <w:szCs w:val="32"/>
          <w:highlight w:val="none"/>
          <w14:textFill>
            <w14:solidFill>
              <w14:schemeClr w14:val="tx1"/>
            </w14:solidFill>
          </w14:textFill>
        </w:rPr>
        <w:t>二〇二四年五月</w:t>
      </w:r>
    </w:p>
    <w:p>
      <w:pPr>
        <w:ind w:firstLine="0" w:firstLineChars="0"/>
        <w:jc w:val="center"/>
        <w:rPr>
          <w:rFonts w:eastAsia="黑体" w:cs="Times New Roman"/>
          <w:bCs/>
          <w:color w:val="000000" w:themeColor="text1"/>
          <w:sz w:val="32"/>
          <w:szCs w:val="32"/>
          <w:highlight w:val="none"/>
          <w14:textFill>
            <w14:solidFill>
              <w14:schemeClr w14:val="tx1"/>
            </w14:solidFill>
          </w14:textFill>
        </w:rPr>
      </w:pPr>
    </w:p>
    <w:p>
      <w:pPr>
        <w:ind w:firstLine="480"/>
        <w:rPr>
          <w:rFonts w:cs="Times New Roman"/>
          <w:color w:val="000000" w:themeColor="text1"/>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480"/>
        <w:rPr>
          <w:rFonts w:cs="Times New Roman"/>
          <w:color w:val="000000" w:themeColor="text1"/>
          <w:highlight w:val="none"/>
          <w14:textFill>
            <w14:solidFill>
              <w14:schemeClr w14:val="tx1"/>
            </w14:solidFill>
          </w14:textFill>
        </w:rPr>
        <w:sectPr>
          <w:headerReference r:id="rId7" w:type="first"/>
          <w:footerReference r:id="rId10" w:type="first"/>
          <w:headerReference r:id="rId5" w:type="default"/>
          <w:footerReference r:id="rId8" w:type="default"/>
          <w:headerReference r:id="rId6" w:type="even"/>
          <w:footerReference r:id="rId9" w:type="even"/>
          <w:type w:val="nextColumn"/>
          <w:pgSz w:w="11910" w:h="16840"/>
          <w:pgMar w:top="1440" w:right="1644" w:bottom="1440" w:left="1644" w:header="1020" w:footer="964" w:gutter="0"/>
          <w:pgNumType w:fmt="upperRoman"/>
          <w:cols w:space="720" w:num="1"/>
          <w:docGrid w:linePitch="326" w:charSpace="0"/>
        </w:sectPr>
      </w:pPr>
    </w:p>
    <w:p>
      <w:pPr>
        <w:tabs>
          <w:tab w:val="left" w:pos="583"/>
        </w:tabs>
        <w:spacing w:before="240" w:beforeLines="100"/>
        <w:ind w:firstLine="0" w:firstLineChars="0"/>
        <w:jc w:val="center"/>
        <w:rPr>
          <w:rFonts w:cs="Times New Roman"/>
          <w:b/>
          <w:bCs/>
          <w:color w:val="000000" w:themeColor="text1"/>
          <w:sz w:val="32"/>
          <w:szCs w:val="32"/>
          <w:highlight w:val="none"/>
          <w14:textFill>
            <w14:solidFill>
              <w14:schemeClr w14:val="tx1"/>
            </w14:solidFill>
          </w14:textFill>
        </w:rPr>
      </w:pPr>
      <w:r>
        <w:rPr>
          <w:rFonts w:hint="eastAsia" w:cs="Times New Roman"/>
          <w:b/>
          <w:bCs/>
          <w:color w:val="000000" w:themeColor="text1"/>
          <w:w w:val="95"/>
          <w:sz w:val="32"/>
          <w:szCs w:val="32"/>
          <w:highlight w:val="none"/>
          <w14:textFill>
            <w14:solidFill>
              <w14:schemeClr w14:val="tx1"/>
            </w14:solidFill>
          </w14:textFill>
        </w:rPr>
        <w:t>目</w:t>
      </w:r>
      <w:r>
        <w:rPr>
          <w:rFonts w:hint="eastAsia" w:cs="Times New Roman"/>
          <w:b/>
          <w:bCs/>
          <w:color w:val="000000" w:themeColor="text1"/>
          <w:sz w:val="32"/>
          <w:szCs w:val="32"/>
          <w:highlight w:val="none"/>
          <w14:textFill>
            <w14:solidFill>
              <w14:schemeClr w14:val="tx1"/>
            </w14:solidFill>
          </w14:textFill>
        </w:rPr>
        <w:t>录</w:t>
      </w:r>
    </w:p>
    <w:p>
      <w:pPr>
        <w:pStyle w:val="28"/>
        <w:tabs>
          <w:tab w:val="right" w:leader="dot" w:pos="8310"/>
        </w:tabs>
      </w:pPr>
      <w:r>
        <w:rPr>
          <w:rFonts w:cstheme="minorBidi"/>
          <w:color w:val="000000" w:themeColor="text1"/>
          <w:kern w:val="2"/>
          <w:highlight w:val="none"/>
          <w:lang w:eastAsia="en-US"/>
          <w14:textFill>
            <w14:solidFill>
              <w14:schemeClr w14:val="tx1"/>
            </w14:solidFill>
          </w14:textFill>
        </w:rPr>
        <w:fldChar w:fldCharType="begin"/>
      </w:r>
      <w:r>
        <w:rPr>
          <w:color w:val="000000" w:themeColor="text1"/>
          <w:highlight w:val="none"/>
          <w14:textFill>
            <w14:solidFill>
              <w14:schemeClr w14:val="tx1"/>
            </w14:solidFill>
          </w14:textFill>
        </w:rPr>
        <w:instrText xml:space="preserve"> TOC \o "1-2" \h \z \u </w:instrText>
      </w:r>
      <w:r>
        <w:rPr>
          <w:rFonts w:cstheme="minorBidi"/>
          <w:color w:val="000000" w:themeColor="text1"/>
          <w:kern w:val="2"/>
          <w:highlight w:val="none"/>
          <w:lang w:eastAsia="en-US"/>
          <w14:textFill>
            <w14:solidFill>
              <w14:schemeClr w14:val="tx1"/>
            </w14:solidFill>
          </w14:textFill>
        </w:rPr>
        <w:fldChar w:fldCharType="separate"/>
      </w:r>
      <w:r>
        <w:rPr>
          <w:rFonts w:cstheme="minorBidi"/>
          <w:color w:val="000000" w:themeColor="text1"/>
          <w:kern w:val="2"/>
          <w:highlight w:val="none"/>
          <w:lang w:eastAsia="en-US"/>
          <w14:textFill>
            <w14:solidFill>
              <w14:schemeClr w14:val="tx1"/>
            </w14:solidFill>
          </w14:textFill>
        </w:rPr>
        <w:fldChar w:fldCharType="begin"/>
      </w:r>
      <w:r>
        <w:rPr>
          <w:rFonts w:cstheme="minorBidi"/>
          <w:kern w:val="2"/>
          <w:highlight w:val="none"/>
          <w:lang w:eastAsia="en-US"/>
        </w:rPr>
        <w:instrText xml:space="preserve"> HYPERLINK \l _Toc24351 </w:instrText>
      </w:r>
      <w:r>
        <w:rPr>
          <w:rFonts w:cstheme="minorBidi"/>
          <w:kern w:val="2"/>
          <w:highlight w:val="none"/>
          <w:lang w:eastAsia="en-US"/>
        </w:rPr>
        <w:fldChar w:fldCharType="separate"/>
      </w:r>
      <w:r>
        <w:rPr>
          <w:rFonts w:hint="eastAsia"/>
          <w:bCs w:val="0"/>
        </w:rPr>
        <w:t xml:space="preserve">1、 </w:t>
      </w:r>
      <w:r>
        <w:rPr>
          <w:rFonts w:hint="eastAsia"/>
          <w:highlight w:val="none"/>
          <w:lang w:eastAsia="zh-CN"/>
        </w:rPr>
        <w:t>概述</w:t>
      </w:r>
      <w:r>
        <w:tab/>
      </w:r>
      <w:r>
        <w:fldChar w:fldCharType="begin"/>
      </w:r>
      <w:r>
        <w:instrText xml:space="preserve"> PAGEREF _Toc24351 \h </w:instrText>
      </w:r>
      <w:r>
        <w:fldChar w:fldCharType="separate"/>
      </w:r>
      <w:r>
        <w:t>1</w:t>
      </w:r>
      <w:r>
        <w:fldChar w:fldCharType="end"/>
      </w:r>
      <w:r>
        <w:rPr>
          <w:rFonts w:cstheme="minorBidi"/>
          <w:color w:val="000000" w:themeColor="text1"/>
          <w:kern w:val="2"/>
          <w:highlight w:val="none"/>
          <w:lang w:eastAsia="en-US"/>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_Toc14204 </w:instrText>
      </w:r>
      <w:r>
        <w:rPr>
          <w:rFonts w:cs="Times New Roman"/>
          <w:kern w:val="0"/>
          <w:szCs w:val="24"/>
          <w:highlight w:val="none"/>
        </w:rPr>
        <w:fldChar w:fldCharType="separate"/>
      </w:r>
      <w:r>
        <w:rPr>
          <w:rFonts w:hint="eastAsia"/>
        </w:rPr>
        <w:t xml:space="preserve">1.1 </w:t>
      </w:r>
      <w:r>
        <w:rPr>
          <w:rFonts w:hint="eastAsia"/>
          <w:highlight w:val="none"/>
          <w:lang w:eastAsia="zh-CN"/>
        </w:rPr>
        <w:t>项目背景</w:t>
      </w:r>
      <w:r>
        <w:tab/>
      </w:r>
      <w:r>
        <w:fldChar w:fldCharType="begin"/>
      </w:r>
      <w:r>
        <w:instrText xml:space="preserve"> PAGEREF _Toc14204 \h </w:instrText>
      </w:r>
      <w:r>
        <w:fldChar w:fldCharType="separate"/>
      </w:r>
      <w:r>
        <w:t>1</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_Toc10950 </w:instrText>
      </w:r>
      <w:r>
        <w:rPr>
          <w:rFonts w:cs="Times New Roman"/>
          <w:kern w:val="0"/>
          <w:szCs w:val="24"/>
          <w:highlight w:val="none"/>
        </w:rPr>
        <w:fldChar w:fldCharType="separate"/>
      </w:r>
      <w:r>
        <w:rPr>
          <w:rFonts w:hint="eastAsia"/>
        </w:rPr>
        <w:t xml:space="preserve">1.2 </w:t>
      </w:r>
      <w:r>
        <w:rPr>
          <w:highlight w:val="none"/>
        </w:rPr>
        <w:t>建设项目特点</w:t>
      </w:r>
      <w:r>
        <w:tab/>
      </w:r>
      <w:r>
        <w:fldChar w:fldCharType="begin"/>
      </w:r>
      <w:r>
        <w:instrText xml:space="preserve"> PAGEREF _Toc10950 \h </w:instrText>
      </w:r>
      <w:r>
        <w:fldChar w:fldCharType="separate"/>
      </w:r>
      <w:r>
        <w:t>5</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_Toc759 </w:instrText>
      </w:r>
      <w:r>
        <w:rPr>
          <w:rFonts w:cs="Times New Roman"/>
          <w:kern w:val="0"/>
          <w:szCs w:val="24"/>
          <w:highlight w:val="none"/>
        </w:rPr>
        <w:fldChar w:fldCharType="separate"/>
      </w:r>
      <w:r>
        <w:rPr>
          <w:rFonts w:hint="eastAsia"/>
          <w:szCs w:val="24"/>
          <w:lang w:eastAsia="zh-CN"/>
        </w:rPr>
        <w:t xml:space="preserve">1.3 </w:t>
      </w:r>
      <w:r>
        <w:rPr>
          <w:highlight w:val="none"/>
          <w:lang w:eastAsia="zh-CN"/>
        </w:rPr>
        <w:t>环境影响评价的工作过程</w:t>
      </w:r>
      <w:r>
        <w:tab/>
      </w:r>
      <w:r>
        <w:fldChar w:fldCharType="begin"/>
      </w:r>
      <w:r>
        <w:instrText xml:space="preserve"> PAGEREF _Toc759 \h </w:instrText>
      </w:r>
      <w:r>
        <w:fldChar w:fldCharType="separate"/>
      </w:r>
      <w:r>
        <w:t>6</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_Toc11940 </w:instrText>
      </w:r>
      <w:r>
        <w:rPr>
          <w:rFonts w:cs="Times New Roman"/>
          <w:kern w:val="0"/>
          <w:szCs w:val="24"/>
          <w:highlight w:val="none"/>
        </w:rPr>
        <w:fldChar w:fldCharType="separate"/>
      </w:r>
      <w:r>
        <w:rPr>
          <w:rFonts w:hint="eastAsia"/>
          <w:lang w:eastAsia="zh-CN"/>
        </w:rPr>
        <w:t xml:space="preserve">1.4 </w:t>
      </w:r>
      <w:r>
        <w:rPr>
          <w:highlight w:val="none"/>
          <w:lang w:eastAsia="zh-CN"/>
        </w:rPr>
        <w:t>分析判定相关情况</w:t>
      </w:r>
      <w:r>
        <w:tab/>
      </w:r>
      <w:r>
        <w:fldChar w:fldCharType="begin"/>
      </w:r>
      <w:r>
        <w:instrText xml:space="preserve"> PAGEREF _Toc11940 \h </w:instrText>
      </w:r>
      <w:r>
        <w:fldChar w:fldCharType="separate"/>
      </w:r>
      <w:r>
        <w:t>7</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_Toc28558 </w:instrText>
      </w:r>
      <w:r>
        <w:rPr>
          <w:rFonts w:cs="Times New Roman"/>
          <w:kern w:val="0"/>
          <w:szCs w:val="24"/>
          <w:highlight w:val="none"/>
        </w:rPr>
        <w:fldChar w:fldCharType="separate"/>
      </w:r>
      <w:r>
        <w:rPr>
          <w:rFonts w:hint="eastAsia"/>
          <w:lang w:eastAsia="zh-CN"/>
        </w:rPr>
        <w:t xml:space="preserve">1.5 </w:t>
      </w:r>
      <w:r>
        <w:rPr>
          <w:highlight w:val="none"/>
          <w:lang w:eastAsia="zh-CN"/>
        </w:rPr>
        <w:t>关注的主要环境问题</w:t>
      </w:r>
      <w:r>
        <w:tab/>
      </w:r>
      <w:r>
        <w:fldChar w:fldCharType="begin"/>
      </w:r>
      <w:r>
        <w:instrText xml:space="preserve"> PAGEREF _Toc28558 \h </w:instrText>
      </w:r>
      <w:r>
        <w:fldChar w:fldCharType="separate"/>
      </w:r>
      <w:r>
        <w:t>7</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_Toc32500 </w:instrText>
      </w:r>
      <w:r>
        <w:rPr>
          <w:rFonts w:cs="Times New Roman"/>
          <w:kern w:val="0"/>
          <w:szCs w:val="24"/>
          <w:highlight w:val="none"/>
        </w:rPr>
        <w:fldChar w:fldCharType="separate"/>
      </w:r>
      <w:r>
        <w:rPr>
          <w:rFonts w:hint="eastAsia"/>
          <w:lang w:eastAsia="zh-CN"/>
        </w:rPr>
        <w:t xml:space="preserve">1.6 </w:t>
      </w:r>
      <w:r>
        <w:rPr>
          <w:highlight w:val="none"/>
          <w:lang w:eastAsia="zh-CN"/>
        </w:rPr>
        <w:t>环境影响评价的主要结论</w:t>
      </w:r>
      <w:r>
        <w:tab/>
      </w:r>
      <w:r>
        <w:fldChar w:fldCharType="begin"/>
      </w:r>
      <w:r>
        <w:instrText xml:space="preserve"> PAGEREF _Toc32500 \h </w:instrText>
      </w:r>
      <w:r>
        <w:fldChar w:fldCharType="separate"/>
      </w:r>
      <w:r>
        <w:t>8</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28"/>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_Toc16517 </w:instrText>
      </w:r>
      <w:r>
        <w:rPr>
          <w:rFonts w:cs="Times New Roman"/>
          <w:kern w:val="0"/>
          <w:szCs w:val="24"/>
          <w:highlight w:val="none"/>
        </w:rPr>
        <w:fldChar w:fldCharType="separate"/>
      </w:r>
      <w:r>
        <w:rPr>
          <w:rFonts w:hint="eastAsia"/>
          <w:bCs w:val="0"/>
        </w:rPr>
        <w:t xml:space="preserve">2、 </w:t>
      </w:r>
      <w:r>
        <w:rPr>
          <w:highlight w:val="none"/>
        </w:rPr>
        <w:t>总则</w:t>
      </w:r>
      <w:r>
        <w:tab/>
      </w:r>
      <w:r>
        <w:fldChar w:fldCharType="begin"/>
      </w:r>
      <w:r>
        <w:instrText xml:space="preserve"> PAGEREF _Toc16517 \h </w:instrText>
      </w:r>
      <w:r>
        <w:fldChar w:fldCharType="separate"/>
      </w:r>
      <w:r>
        <w:t>9</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_Toc14836 </w:instrText>
      </w:r>
      <w:r>
        <w:rPr>
          <w:rFonts w:cs="Times New Roman"/>
          <w:kern w:val="0"/>
          <w:szCs w:val="24"/>
          <w:highlight w:val="none"/>
        </w:rPr>
        <w:fldChar w:fldCharType="separate"/>
      </w:r>
      <w:r>
        <w:rPr>
          <w:rFonts w:hint="eastAsia"/>
          <w:lang w:eastAsia="zh-CN"/>
        </w:rPr>
        <w:t xml:space="preserve">2.1 </w:t>
      </w:r>
      <w:r>
        <w:rPr>
          <w:highlight w:val="none"/>
          <w:lang w:eastAsia="zh-CN"/>
        </w:rPr>
        <w:t>评价目的</w:t>
      </w:r>
      <w:r>
        <w:tab/>
      </w:r>
      <w:r>
        <w:fldChar w:fldCharType="begin"/>
      </w:r>
      <w:r>
        <w:instrText xml:space="preserve"> PAGEREF _Toc14836 \h </w:instrText>
      </w:r>
      <w:r>
        <w:fldChar w:fldCharType="separate"/>
      </w:r>
      <w:r>
        <w:t>9</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_Toc10992 </w:instrText>
      </w:r>
      <w:r>
        <w:rPr>
          <w:rFonts w:cs="Times New Roman"/>
          <w:kern w:val="0"/>
          <w:szCs w:val="24"/>
          <w:highlight w:val="none"/>
        </w:rPr>
        <w:fldChar w:fldCharType="separate"/>
      </w:r>
      <w:r>
        <w:rPr>
          <w:rFonts w:hint="eastAsia"/>
          <w:lang w:eastAsia="zh-CN"/>
        </w:rPr>
        <w:t xml:space="preserve">2.2 </w:t>
      </w:r>
      <w:r>
        <w:rPr>
          <w:highlight w:val="none"/>
          <w:lang w:eastAsia="zh-CN"/>
        </w:rPr>
        <w:t>评价原则</w:t>
      </w:r>
      <w:r>
        <w:tab/>
      </w:r>
      <w:r>
        <w:fldChar w:fldCharType="begin"/>
      </w:r>
      <w:r>
        <w:instrText xml:space="preserve"> PAGEREF _Toc10992 \h </w:instrText>
      </w:r>
      <w:r>
        <w:fldChar w:fldCharType="separate"/>
      </w:r>
      <w:r>
        <w:t>9</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_Toc14610 </w:instrText>
      </w:r>
      <w:r>
        <w:rPr>
          <w:rFonts w:cs="Times New Roman"/>
          <w:kern w:val="0"/>
          <w:szCs w:val="24"/>
          <w:highlight w:val="none"/>
        </w:rPr>
        <w:fldChar w:fldCharType="separate"/>
      </w:r>
      <w:r>
        <w:rPr>
          <w:rFonts w:hint="eastAsia"/>
          <w:lang w:eastAsia="zh-CN"/>
        </w:rPr>
        <w:t xml:space="preserve">2.3 </w:t>
      </w:r>
      <w:r>
        <w:rPr>
          <w:highlight w:val="none"/>
          <w:lang w:eastAsia="zh-CN"/>
        </w:rPr>
        <w:t>编制依据</w:t>
      </w:r>
      <w:r>
        <w:tab/>
      </w:r>
      <w:r>
        <w:fldChar w:fldCharType="begin"/>
      </w:r>
      <w:r>
        <w:instrText xml:space="preserve"> PAGEREF _Toc14610 \h </w:instrText>
      </w:r>
      <w:r>
        <w:fldChar w:fldCharType="separate"/>
      </w:r>
      <w:r>
        <w:t>9</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_Toc16545 </w:instrText>
      </w:r>
      <w:r>
        <w:rPr>
          <w:rFonts w:cs="Times New Roman"/>
          <w:kern w:val="0"/>
          <w:szCs w:val="24"/>
          <w:highlight w:val="none"/>
        </w:rPr>
        <w:fldChar w:fldCharType="separate"/>
      </w:r>
      <w:r>
        <w:rPr>
          <w:rFonts w:hint="eastAsia"/>
          <w:lang w:eastAsia="zh-CN"/>
        </w:rPr>
        <w:t xml:space="preserve">2.4 </w:t>
      </w:r>
      <w:r>
        <w:rPr>
          <w:highlight w:val="none"/>
          <w:lang w:eastAsia="zh-CN"/>
        </w:rPr>
        <w:t>环境影响识别与评价因子筛选</w:t>
      </w:r>
      <w:r>
        <w:tab/>
      </w:r>
      <w:r>
        <w:fldChar w:fldCharType="begin"/>
      </w:r>
      <w:r>
        <w:instrText xml:space="preserve"> PAGEREF _Toc16545 \h </w:instrText>
      </w:r>
      <w:r>
        <w:fldChar w:fldCharType="separate"/>
      </w:r>
      <w:r>
        <w:t>16</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_Toc21634 </w:instrText>
      </w:r>
      <w:r>
        <w:rPr>
          <w:rFonts w:cs="Times New Roman"/>
          <w:kern w:val="0"/>
          <w:szCs w:val="24"/>
          <w:highlight w:val="none"/>
        </w:rPr>
        <w:fldChar w:fldCharType="separate"/>
      </w:r>
      <w:r>
        <w:rPr>
          <w:rFonts w:hint="eastAsia"/>
          <w:lang w:eastAsia="zh-CN"/>
        </w:rPr>
        <w:t xml:space="preserve">2.5 </w:t>
      </w:r>
      <w:r>
        <w:rPr>
          <w:highlight w:val="none"/>
          <w:lang w:eastAsia="zh-CN"/>
        </w:rPr>
        <w:t>环境功能区划与评价标准</w:t>
      </w:r>
      <w:r>
        <w:tab/>
      </w:r>
      <w:r>
        <w:fldChar w:fldCharType="begin"/>
      </w:r>
      <w:r>
        <w:instrText xml:space="preserve"> PAGEREF _Toc21634 \h </w:instrText>
      </w:r>
      <w:r>
        <w:fldChar w:fldCharType="separate"/>
      </w:r>
      <w:r>
        <w:t>20</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_Toc6112 </w:instrText>
      </w:r>
      <w:r>
        <w:rPr>
          <w:rFonts w:cs="Times New Roman"/>
          <w:kern w:val="0"/>
          <w:szCs w:val="24"/>
          <w:highlight w:val="none"/>
        </w:rPr>
        <w:fldChar w:fldCharType="separate"/>
      </w:r>
      <w:r>
        <w:rPr>
          <w:rFonts w:hint="eastAsia"/>
          <w:lang w:eastAsia="zh-CN"/>
        </w:rPr>
        <w:t xml:space="preserve">2.6 </w:t>
      </w:r>
      <w:r>
        <w:rPr>
          <w:highlight w:val="none"/>
          <w:lang w:eastAsia="zh-CN"/>
        </w:rPr>
        <w:t>评价工作等级和评价范围</w:t>
      </w:r>
      <w:r>
        <w:tab/>
      </w:r>
      <w:r>
        <w:fldChar w:fldCharType="begin"/>
      </w:r>
      <w:r>
        <w:instrText xml:space="preserve"> PAGEREF _Toc6112 \h </w:instrText>
      </w:r>
      <w:r>
        <w:fldChar w:fldCharType="separate"/>
      </w:r>
      <w:r>
        <w:t>24</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_Toc5302 </w:instrText>
      </w:r>
      <w:r>
        <w:rPr>
          <w:rFonts w:cs="Times New Roman"/>
          <w:kern w:val="0"/>
          <w:szCs w:val="24"/>
          <w:highlight w:val="none"/>
        </w:rPr>
        <w:fldChar w:fldCharType="separate"/>
      </w:r>
      <w:r>
        <w:rPr>
          <w:rFonts w:hint="eastAsia"/>
          <w:lang w:eastAsia="zh-CN"/>
        </w:rPr>
        <w:t xml:space="preserve">2.7 </w:t>
      </w:r>
      <w:r>
        <w:rPr>
          <w:highlight w:val="none"/>
          <w:lang w:eastAsia="zh-CN"/>
        </w:rPr>
        <w:t>相关政策、规范符合性分析</w:t>
      </w:r>
      <w:r>
        <w:tab/>
      </w:r>
      <w:r>
        <w:fldChar w:fldCharType="begin"/>
      </w:r>
      <w:r>
        <w:instrText xml:space="preserve"> PAGEREF _Toc5302 \h </w:instrText>
      </w:r>
      <w:r>
        <w:fldChar w:fldCharType="separate"/>
      </w:r>
      <w:r>
        <w:t>36</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_Toc15764 </w:instrText>
      </w:r>
      <w:r>
        <w:rPr>
          <w:rFonts w:cs="Times New Roman"/>
          <w:kern w:val="0"/>
          <w:szCs w:val="24"/>
          <w:highlight w:val="none"/>
        </w:rPr>
        <w:fldChar w:fldCharType="separate"/>
      </w:r>
      <w:r>
        <w:rPr>
          <w:rFonts w:hint="eastAsia"/>
          <w:szCs w:val="26"/>
          <w:lang w:eastAsia="zh-CN"/>
        </w:rPr>
        <w:t xml:space="preserve">2.8 </w:t>
      </w:r>
      <w:r>
        <w:rPr>
          <w:highlight w:val="none"/>
          <w:lang w:eastAsia="zh-CN"/>
        </w:rPr>
        <w:t>评价内容及时段</w:t>
      </w:r>
      <w:r>
        <w:tab/>
      </w:r>
      <w:r>
        <w:fldChar w:fldCharType="begin"/>
      </w:r>
      <w:r>
        <w:instrText xml:space="preserve"> PAGEREF _Toc15764 \h </w:instrText>
      </w:r>
      <w:r>
        <w:fldChar w:fldCharType="separate"/>
      </w:r>
      <w:r>
        <w:t>86</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_Toc18501 </w:instrText>
      </w:r>
      <w:r>
        <w:rPr>
          <w:rFonts w:cs="Times New Roman"/>
          <w:kern w:val="0"/>
          <w:szCs w:val="24"/>
          <w:highlight w:val="none"/>
        </w:rPr>
        <w:fldChar w:fldCharType="separate"/>
      </w:r>
      <w:r>
        <w:rPr>
          <w:rFonts w:hint="eastAsia"/>
          <w:lang w:eastAsia="zh-CN"/>
        </w:rPr>
        <w:t xml:space="preserve">2.9 </w:t>
      </w:r>
      <w:r>
        <w:rPr>
          <w:highlight w:val="none"/>
          <w:lang w:eastAsia="zh-CN"/>
        </w:rPr>
        <w:t>环境保护目标</w:t>
      </w:r>
      <w:r>
        <w:tab/>
      </w:r>
      <w:r>
        <w:fldChar w:fldCharType="begin"/>
      </w:r>
      <w:r>
        <w:instrText xml:space="preserve"> PAGEREF _Toc18501 \h </w:instrText>
      </w:r>
      <w:r>
        <w:fldChar w:fldCharType="separate"/>
      </w:r>
      <w:r>
        <w:t>88</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_Toc11781 </w:instrText>
      </w:r>
      <w:r>
        <w:rPr>
          <w:rFonts w:cs="Times New Roman"/>
          <w:kern w:val="0"/>
          <w:szCs w:val="24"/>
          <w:highlight w:val="none"/>
        </w:rPr>
        <w:fldChar w:fldCharType="separate"/>
      </w:r>
      <w:r>
        <w:rPr>
          <w:rFonts w:hint="eastAsia"/>
          <w:lang w:eastAsia="zh-CN"/>
        </w:rPr>
        <w:t xml:space="preserve">2.10 </w:t>
      </w:r>
      <w:r>
        <w:rPr>
          <w:highlight w:val="none"/>
          <w:lang w:eastAsia="zh-CN"/>
        </w:rPr>
        <w:t>工程方案的合理性分析</w:t>
      </w:r>
      <w:r>
        <w:tab/>
      </w:r>
      <w:r>
        <w:fldChar w:fldCharType="begin"/>
      </w:r>
      <w:r>
        <w:instrText xml:space="preserve"> PAGEREF _Toc11781 \h </w:instrText>
      </w:r>
      <w:r>
        <w:fldChar w:fldCharType="separate"/>
      </w:r>
      <w:r>
        <w:t>101</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28"/>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_Toc27196 </w:instrText>
      </w:r>
      <w:r>
        <w:rPr>
          <w:rFonts w:cs="Times New Roman"/>
          <w:kern w:val="0"/>
          <w:szCs w:val="24"/>
          <w:highlight w:val="none"/>
        </w:rPr>
        <w:fldChar w:fldCharType="separate"/>
      </w:r>
      <w:r>
        <w:rPr>
          <w:rFonts w:hint="eastAsia"/>
          <w:bCs w:val="0"/>
          <w:lang w:eastAsia="zh-CN"/>
        </w:rPr>
        <w:t xml:space="preserve">3、 </w:t>
      </w:r>
      <w:r>
        <w:rPr>
          <w:rFonts w:hint="eastAsia"/>
          <w:highlight w:val="none"/>
          <w:lang w:val="en-US" w:eastAsia="zh-CN"/>
        </w:rPr>
        <w:t>工程分析</w:t>
      </w:r>
      <w:r>
        <w:tab/>
      </w:r>
      <w:r>
        <w:fldChar w:fldCharType="begin"/>
      </w:r>
      <w:r>
        <w:instrText xml:space="preserve"> PAGEREF _Toc27196 \h </w:instrText>
      </w:r>
      <w:r>
        <w:fldChar w:fldCharType="separate"/>
      </w:r>
      <w:r>
        <w:t>108</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_Toc12386 </w:instrText>
      </w:r>
      <w:r>
        <w:rPr>
          <w:rFonts w:cs="Times New Roman"/>
          <w:kern w:val="0"/>
          <w:szCs w:val="24"/>
          <w:highlight w:val="none"/>
        </w:rPr>
        <w:fldChar w:fldCharType="separate"/>
      </w:r>
      <w:r>
        <w:rPr>
          <w:rFonts w:hint="eastAsia"/>
          <w:szCs w:val="24"/>
          <w:lang w:eastAsia="zh-CN"/>
        </w:rPr>
        <w:t xml:space="preserve">3.1 </w:t>
      </w:r>
      <w:r>
        <w:rPr>
          <w:rFonts w:hint="eastAsia"/>
          <w:szCs w:val="24"/>
          <w:highlight w:val="none"/>
          <w:lang w:eastAsia="zh-CN"/>
        </w:rPr>
        <w:t>已建工程和相关</w:t>
      </w:r>
      <w:r>
        <w:rPr>
          <w:szCs w:val="24"/>
          <w:highlight w:val="none"/>
          <w:lang w:eastAsia="zh-CN"/>
        </w:rPr>
        <w:t>工程建设情况</w:t>
      </w:r>
      <w:r>
        <w:tab/>
      </w:r>
      <w:r>
        <w:fldChar w:fldCharType="begin"/>
      </w:r>
      <w:r>
        <w:instrText xml:space="preserve"> PAGEREF _Toc12386 \h </w:instrText>
      </w:r>
      <w:r>
        <w:fldChar w:fldCharType="separate"/>
      </w:r>
      <w:r>
        <w:t>108</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_Toc25600 </w:instrText>
      </w:r>
      <w:r>
        <w:rPr>
          <w:rFonts w:cs="Times New Roman"/>
          <w:kern w:val="0"/>
          <w:szCs w:val="24"/>
          <w:highlight w:val="none"/>
        </w:rPr>
        <w:fldChar w:fldCharType="separate"/>
      </w:r>
      <w:r>
        <w:rPr>
          <w:rFonts w:hint="eastAsia"/>
          <w:lang w:eastAsia="zh-CN"/>
        </w:rPr>
        <w:t xml:space="preserve">3.2 </w:t>
      </w:r>
      <w:r>
        <w:rPr>
          <w:highlight w:val="none"/>
          <w:lang w:eastAsia="zh-CN"/>
        </w:rPr>
        <w:t>项目概况</w:t>
      </w:r>
      <w:r>
        <w:tab/>
      </w:r>
      <w:r>
        <w:fldChar w:fldCharType="begin"/>
      </w:r>
      <w:r>
        <w:instrText xml:space="preserve"> PAGEREF _Toc25600 \h </w:instrText>
      </w:r>
      <w:r>
        <w:fldChar w:fldCharType="separate"/>
      </w:r>
      <w:r>
        <w:t>114</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_Toc5030 </w:instrText>
      </w:r>
      <w:r>
        <w:rPr>
          <w:rFonts w:cs="Times New Roman"/>
          <w:kern w:val="0"/>
          <w:szCs w:val="24"/>
          <w:highlight w:val="none"/>
        </w:rPr>
        <w:fldChar w:fldCharType="separate"/>
      </w:r>
      <w:r>
        <w:rPr>
          <w:rFonts w:hint="eastAsia"/>
          <w:lang w:eastAsia="zh-CN"/>
        </w:rPr>
        <w:t xml:space="preserve">3.3 </w:t>
      </w:r>
      <w:r>
        <w:rPr>
          <w:highlight w:val="none"/>
          <w:lang w:eastAsia="zh-CN"/>
        </w:rPr>
        <w:t>建设项目工程分析</w:t>
      </w:r>
      <w:r>
        <w:tab/>
      </w:r>
      <w:r>
        <w:fldChar w:fldCharType="begin"/>
      </w:r>
      <w:r>
        <w:instrText xml:space="preserve"> PAGEREF _Toc5030 \h </w:instrText>
      </w:r>
      <w:r>
        <w:fldChar w:fldCharType="separate"/>
      </w:r>
      <w:r>
        <w:t>130</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_Toc20257 </w:instrText>
      </w:r>
      <w:r>
        <w:rPr>
          <w:rFonts w:cs="Times New Roman"/>
          <w:kern w:val="0"/>
          <w:szCs w:val="24"/>
          <w:highlight w:val="none"/>
        </w:rPr>
        <w:fldChar w:fldCharType="separate"/>
      </w:r>
      <w:r>
        <w:rPr>
          <w:rFonts w:hint="eastAsia"/>
          <w:lang w:eastAsia="zh-CN"/>
        </w:rPr>
        <w:t xml:space="preserve">3.4 </w:t>
      </w:r>
      <w:r>
        <w:rPr>
          <w:highlight w:val="none"/>
          <w:lang w:eastAsia="zh-CN"/>
        </w:rPr>
        <w:t>污染源源强核算</w:t>
      </w:r>
      <w:r>
        <w:tab/>
      </w:r>
      <w:r>
        <w:fldChar w:fldCharType="begin"/>
      </w:r>
      <w:r>
        <w:instrText xml:space="preserve"> PAGEREF _Toc20257 \h </w:instrText>
      </w:r>
      <w:r>
        <w:fldChar w:fldCharType="separate"/>
      </w:r>
      <w:r>
        <w:t>146</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28"/>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_Toc16071 </w:instrText>
      </w:r>
      <w:r>
        <w:rPr>
          <w:rFonts w:cs="Times New Roman"/>
          <w:kern w:val="0"/>
          <w:szCs w:val="24"/>
          <w:highlight w:val="none"/>
        </w:rPr>
        <w:fldChar w:fldCharType="separate"/>
      </w:r>
      <w:r>
        <w:rPr>
          <w:rFonts w:hint="eastAsia"/>
          <w:bCs w:val="0"/>
          <w:lang w:eastAsia="zh-CN"/>
        </w:rPr>
        <w:t xml:space="preserve">4、 </w:t>
      </w:r>
      <w:r>
        <w:rPr>
          <w:highlight w:val="none"/>
          <w:lang w:eastAsia="zh-CN"/>
        </w:rPr>
        <w:t>环境现状调查与评价</w:t>
      </w:r>
      <w:r>
        <w:tab/>
      </w:r>
      <w:r>
        <w:fldChar w:fldCharType="begin"/>
      </w:r>
      <w:r>
        <w:instrText xml:space="preserve"> PAGEREF _Toc16071 \h </w:instrText>
      </w:r>
      <w:r>
        <w:fldChar w:fldCharType="separate"/>
      </w:r>
      <w:r>
        <w:t>164</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_Toc25370 </w:instrText>
      </w:r>
      <w:r>
        <w:rPr>
          <w:rFonts w:cs="Times New Roman"/>
          <w:kern w:val="0"/>
          <w:szCs w:val="24"/>
          <w:highlight w:val="none"/>
        </w:rPr>
        <w:fldChar w:fldCharType="separate"/>
      </w:r>
      <w:r>
        <w:rPr>
          <w:rFonts w:hint="eastAsia"/>
          <w:lang w:eastAsia="zh-CN"/>
        </w:rPr>
        <w:t xml:space="preserve">4.1 </w:t>
      </w:r>
      <w:r>
        <w:rPr>
          <w:highlight w:val="none"/>
          <w:lang w:eastAsia="zh-CN"/>
        </w:rPr>
        <w:t>自然环境现状</w:t>
      </w:r>
      <w:r>
        <w:tab/>
      </w:r>
      <w:r>
        <w:fldChar w:fldCharType="begin"/>
      </w:r>
      <w:r>
        <w:instrText xml:space="preserve"> PAGEREF _Toc25370 \h </w:instrText>
      </w:r>
      <w:r>
        <w:fldChar w:fldCharType="separate"/>
      </w:r>
      <w:r>
        <w:t>164</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_Toc5549 </w:instrText>
      </w:r>
      <w:r>
        <w:rPr>
          <w:rFonts w:cs="Times New Roman"/>
          <w:kern w:val="0"/>
          <w:szCs w:val="24"/>
          <w:highlight w:val="none"/>
        </w:rPr>
        <w:fldChar w:fldCharType="separate"/>
      </w:r>
      <w:r>
        <w:rPr>
          <w:rFonts w:hint="eastAsia"/>
          <w:lang w:eastAsia="zh-CN"/>
        </w:rPr>
        <w:t xml:space="preserve">4.2 </w:t>
      </w:r>
      <w:r>
        <w:rPr>
          <w:highlight w:val="none"/>
          <w:lang w:eastAsia="zh-CN"/>
        </w:rPr>
        <w:t>环境质量现状评价</w:t>
      </w:r>
      <w:r>
        <w:tab/>
      </w:r>
      <w:r>
        <w:fldChar w:fldCharType="begin"/>
      </w:r>
      <w:r>
        <w:instrText xml:space="preserve"> PAGEREF _Toc5549 \h </w:instrText>
      </w:r>
      <w:r>
        <w:fldChar w:fldCharType="separate"/>
      </w:r>
      <w:r>
        <w:t>168</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_Toc4227 </w:instrText>
      </w:r>
      <w:r>
        <w:rPr>
          <w:rFonts w:cs="Times New Roman"/>
          <w:kern w:val="0"/>
          <w:szCs w:val="24"/>
          <w:highlight w:val="none"/>
        </w:rPr>
        <w:fldChar w:fldCharType="separate"/>
      </w:r>
      <w:r>
        <w:rPr>
          <w:rFonts w:hint="eastAsia"/>
          <w:lang w:eastAsia="zh-CN"/>
        </w:rPr>
        <w:t xml:space="preserve">4.3 </w:t>
      </w:r>
      <w:r>
        <w:rPr>
          <w:highlight w:val="none"/>
          <w:lang w:eastAsia="zh-CN"/>
        </w:rPr>
        <w:t>生态环境调查与评价</w:t>
      </w:r>
      <w:r>
        <w:tab/>
      </w:r>
      <w:r>
        <w:fldChar w:fldCharType="begin"/>
      </w:r>
      <w:r>
        <w:instrText xml:space="preserve"> PAGEREF _Toc4227 \h </w:instrText>
      </w:r>
      <w:r>
        <w:fldChar w:fldCharType="separate"/>
      </w:r>
      <w:r>
        <w:t>183</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28"/>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_Toc21695 </w:instrText>
      </w:r>
      <w:r>
        <w:rPr>
          <w:rFonts w:cs="Times New Roman"/>
          <w:kern w:val="0"/>
          <w:szCs w:val="24"/>
          <w:highlight w:val="none"/>
        </w:rPr>
        <w:fldChar w:fldCharType="separate"/>
      </w:r>
      <w:r>
        <w:rPr>
          <w:rFonts w:hint="eastAsia"/>
          <w:bCs w:val="0"/>
          <w:lang w:eastAsia="zh-CN"/>
        </w:rPr>
        <w:t xml:space="preserve">5、 </w:t>
      </w:r>
      <w:r>
        <w:rPr>
          <w:highlight w:val="none"/>
          <w:lang w:eastAsia="zh-CN"/>
        </w:rPr>
        <w:t>环境影响预测与评价</w:t>
      </w:r>
      <w:r>
        <w:tab/>
      </w:r>
      <w:r>
        <w:fldChar w:fldCharType="begin"/>
      </w:r>
      <w:r>
        <w:instrText xml:space="preserve"> PAGEREF _Toc21695 \h </w:instrText>
      </w:r>
      <w:r>
        <w:fldChar w:fldCharType="separate"/>
      </w:r>
      <w:r>
        <w:t>230</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_Toc25727 </w:instrText>
      </w:r>
      <w:r>
        <w:rPr>
          <w:rFonts w:cs="Times New Roman"/>
          <w:kern w:val="0"/>
          <w:szCs w:val="24"/>
          <w:highlight w:val="none"/>
        </w:rPr>
        <w:fldChar w:fldCharType="separate"/>
      </w:r>
      <w:r>
        <w:rPr>
          <w:rFonts w:hint="eastAsia"/>
          <w:lang w:eastAsia="zh-CN"/>
        </w:rPr>
        <w:t xml:space="preserve">5.1 </w:t>
      </w:r>
      <w:r>
        <w:rPr>
          <w:highlight w:val="none"/>
          <w:lang w:eastAsia="zh-CN"/>
        </w:rPr>
        <w:t>施工期环境影响分析</w:t>
      </w:r>
      <w:r>
        <w:tab/>
      </w:r>
      <w:r>
        <w:fldChar w:fldCharType="begin"/>
      </w:r>
      <w:r>
        <w:instrText xml:space="preserve"> PAGEREF _Toc25727 \h </w:instrText>
      </w:r>
      <w:r>
        <w:fldChar w:fldCharType="separate"/>
      </w:r>
      <w:r>
        <w:t>230</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_Toc28629 </w:instrText>
      </w:r>
      <w:r>
        <w:rPr>
          <w:rFonts w:cs="Times New Roman"/>
          <w:kern w:val="0"/>
          <w:szCs w:val="24"/>
          <w:highlight w:val="none"/>
        </w:rPr>
        <w:fldChar w:fldCharType="separate"/>
      </w:r>
      <w:r>
        <w:rPr>
          <w:rFonts w:hint="eastAsia"/>
          <w:lang w:eastAsia="zh-CN"/>
        </w:rPr>
        <w:t xml:space="preserve">5.2 </w:t>
      </w:r>
      <w:r>
        <w:rPr>
          <w:highlight w:val="none"/>
          <w:lang w:eastAsia="zh-CN"/>
        </w:rPr>
        <w:t>试采期环境影响分析</w:t>
      </w:r>
      <w:r>
        <w:tab/>
      </w:r>
      <w:r>
        <w:fldChar w:fldCharType="begin"/>
      </w:r>
      <w:r>
        <w:instrText xml:space="preserve"> PAGEREF _Toc28629 \h </w:instrText>
      </w:r>
      <w:r>
        <w:fldChar w:fldCharType="separate"/>
      </w:r>
      <w:r>
        <w:t>249</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28"/>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_Toc24869 </w:instrText>
      </w:r>
      <w:r>
        <w:rPr>
          <w:rFonts w:cs="Times New Roman"/>
          <w:kern w:val="0"/>
          <w:szCs w:val="24"/>
          <w:highlight w:val="none"/>
        </w:rPr>
        <w:fldChar w:fldCharType="separate"/>
      </w:r>
      <w:r>
        <w:rPr>
          <w:rFonts w:hint="eastAsia"/>
          <w:bCs w:val="0"/>
          <w:lang w:eastAsia="zh-CN"/>
        </w:rPr>
        <w:t xml:space="preserve">6、 </w:t>
      </w:r>
      <w:r>
        <w:rPr>
          <w:highlight w:val="none"/>
          <w:lang w:eastAsia="zh-CN"/>
        </w:rPr>
        <w:t>环境风险分析</w:t>
      </w:r>
      <w:r>
        <w:tab/>
      </w:r>
      <w:r>
        <w:fldChar w:fldCharType="begin"/>
      </w:r>
      <w:r>
        <w:instrText xml:space="preserve"> PAGEREF _Toc24869 \h </w:instrText>
      </w:r>
      <w:r>
        <w:fldChar w:fldCharType="separate"/>
      </w:r>
      <w:r>
        <w:t>273</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_Toc4015 </w:instrText>
      </w:r>
      <w:r>
        <w:rPr>
          <w:rFonts w:cs="Times New Roman"/>
          <w:kern w:val="0"/>
          <w:szCs w:val="24"/>
          <w:highlight w:val="none"/>
        </w:rPr>
        <w:fldChar w:fldCharType="separate"/>
      </w:r>
      <w:r>
        <w:rPr>
          <w:rFonts w:hint="eastAsia"/>
          <w:lang w:eastAsia="zh-CN"/>
        </w:rPr>
        <w:t xml:space="preserve">6.1 </w:t>
      </w:r>
      <w:r>
        <w:rPr>
          <w:highlight w:val="none"/>
          <w:lang w:eastAsia="zh-CN"/>
        </w:rPr>
        <w:t>评价依据</w:t>
      </w:r>
      <w:r>
        <w:tab/>
      </w:r>
      <w:r>
        <w:fldChar w:fldCharType="begin"/>
      </w:r>
      <w:r>
        <w:instrText xml:space="preserve"> PAGEREF _Toc4015 \h </w:instrText>
      </w:r>
      <w:r>
        <w:fldChar w:fldCharType="separate"/>
      </w:r>
      <w:r>
        <w:t>273</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_Toc14687 </w:instrText>
      </w:r>
      <w:r>
        <w:rPr>
          <w:rFonts w:cs="Times New Roman"/>
          <w:kern w:val="0"/>
          <w:szCs w:val="24"/>
          <w:highlight w:val="none"/>
        </w:rPr>
        <w:fldChar w:fldCharType="separate"/>
      </w:r>
      <w:r>
        <w:rPr>
          <w:rFonts w:hint="eastAsia"/>
        </w:rPr>
        <w:t xml:space="preserve">6.2 </w:t>
      </w:r>
      <w:r>
        <w:rPr>
          <w:highlight w:val="none"/>
        </w:rPr>
        <w:t>风险调查</w:t>
      </w:r>
      <w:r>
        <w:tab/>
      </w:r>
      <w:r>
        <w:fldChar w:fldCharType="begin"/>
      </w:r>
      <w:r>
        <w:instrText xml:space="preserve"> PAGEREF _Toc14687 \h </w:instrText>
      </w:r>
      <w:r>
        <w:fldChar w:fldCharType="separate"/>
      </w:r>
      <w:r>
        <w:t>273</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_Toc31637 </w:instrText>
      </w:r>
      <w:r>
        <w:rPr>
          <w:rFonts w:cs="Times New Roman"/>
          <w:kern w:val="0"/>
          <w:szCs w:val="24"/>
          <w:highlight w:val="none"/>
        </w:rPr>
        <w:fldChar w:fldCharType="separate"/>
      </w:r>
      <w:r>
        <w:rPr>
          <w:rFonts w:hint="eastAsia"/>
        </w:rPr>
        <w:t xml:space="preserve">6.3 </w:t>
      </w:r>
      <w:r>
        <w:rPr>
          <w:rFonts w:hint="eastAsia"/>
          <w:highlight w:val="none"/>
        </w:rPr>
        <w:t>评价等级</w:t>
      </w:r>
      <w:r>
        <w:tab/>
      </w:r>
      <w:r>
        <w:fldChar w:fldCharType="begin"/>
      </w:r>
      <w:r>
        <w:instrText xml:space="preserve"> PAGEREF _Toc31637 \h </w:instrText>
      </w:r>
      <w:r>
        <w:fldChar w:fldCharType="separate"/>
      </w:r>
      <w:r>
        <w:t>276</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_Toc6546 </w:instrText>
      </w:r>
      <w:r>
        <w:rPr>
          <w:rFonts w:cs="Times New Roman"/>
          <w:kern w:val="0"/>
          <w:szCs w:val="24"/>
          <w:highlight w:val="none"/>
        </w:rPr>
        <w:fldChar w:fldCharType="separate"/>
      </w:r>
      <w:r>
        <w:rPr>
          <w:rFonts w:hint="eastAsia"/>
          <w:lang w:eastAsia="zh-CN"/>
        </w:rPr>
        <w:t xml:space="preserve">6.4 </w:t>
      </w:r>
      <w:r>
        <w:rPr>
          <w:highlight w:val="none"/>
          <w:lang w:eastAsia="zh-CN"/>
        </w:rPr>
        <w:t>环境风险识别</w:t>
      </w:r>
      <w:r>
        <w:tab/>
      </w:r>
      <w:r>
        <w:fldChar w:fldCharType="begin"/>
      </w:r>
      <w:r>
        <w:instrText xml:space="preserve"> PAGEREF _Toc6546 \h </w:instrText>
      </w:r>
      <w:r>
        <w:fldChar w:fldCharType="separate"/>
      </w:r>
      <w:r>
        <w:t>278</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_Toc27248 </w:instrText>
      </w:r>
      <w:r>
        <w:rPr>
          <w:rFonts w:cs="Times New Roman"/>
          <w:kern w:val="0"/>
          <w:szCs w:val="24"/>
          <w:highlight w:val="none"/>
        </w:rPr>
        <w:fldChar w:fldCharType="separate"/>
      </w:r>
      <w:r>
        <w:rPr>
          <w:rFonts w:hint="eastAsia"/>
          <w:lang w:eastAsia="zh-CN"/>
        </w:rPr>
        <w:t xml:space="preserve">6.5 </w:t>
      </w:r>
      <w:r>
        <w:rPr>
          <w:highlight w:val="none"/>
          <w:lang w:eastAsia="zh-CN"/>
        </w:rPr>
        <w:t>环境风险分析</w:t>
      </w:r>
      <w:r>
        <w:tab/>
      </w:r>
      <w:r>
        <w:fldChar w:fldCharType="begin"/>
      </w:r>
      <w:r>
        <w:instrText xml:space="preserve"> PAGEREF _Toc27248 \h </w:instrText>
      </w:r>
      <w:r>
        <w:fldChar w:fldCharType="separate"/>
      </w:r>
      <w:r>
        <w:t>279</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_Toc11591 </w:instrText>
      </w:r>
      <w:r>
        <w:rPr>
          <w:rFonts w:cs="Times New Roman"/>
          <w:kern w:val="0"/>
          <w:szCs w:val="24"/>
          <w:highlight w:val="none"/>
        </w:rPr>
        <w:fldChar w:fldCharType="separate"/>
      </w:r>
      <w:r>
        <w:rPr>
          <w:rFonts w:hint="eastAsia"/>
          <w:lang w:eastAsia="zh-CN"/>
        </w:rPr>
        <w:t xml:space="preserve">6.6 </w:t>
      </w:r>
      <w:r>
        <w:rPr>
          <w:highlight w:val="none"/>
          <w:lang w:eastAsia="zh-CN"/>
        </w:rPr>
        <w:t>环境风险防范措施</w:t>
      </w:r>
      <w:r>
        <w:tab/>
      </w:r>
      <w:r>
        <w:fldChar w:fldCharType="begin"/>
      </w:r>
      <w:r>
        <w:instrText xml:space="preserve"> PAGEREF _Toc11591 \h </w:instrText>
      </w:r>
      <w:r>
        <w:fldChar w:fldCharType="separate"/>
      </w:r>
      <w:r>
        <w:t>282</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_Toc25244 </w:instrText>
      </w:r>
      <w:r>
        <w:rPr>
          <w:rFonts w:cs="Times New Roman"/>
          <w:kern w:val="0"/>
          <w:szCs w:val="24"/>
          <w:highlight w:val="none"/>
        </w:rPr>
        <w:fldChar w:fldCharType="separate"/>
      </w:r>
      <w:r>
        <w:rPr>
          <w:rFonts w:hint="eastAsia"/>
          <w:lang w:eastAsia="zh-CN"/>
        </w:rPr>
        <w:t xml:space="preserve">6.7 </w:t>
      </w:r>
      <w:r>
        <w:rPr>
          <w:highlight w:val="none"/>
          <w:lang w:eastAsia="zh-CN"/>
        </w:rPr>
        <w:t>应急措施</w:t>
      </w:r>
      <w:r>
        <w:tab/>
      </w:r>
      <w:r>
        <w:fldChar w:fldCharType="begin"/>
      </w:r>
      <w:r>
        <w:instrText xml:space="preserve"> PAGEREF _Toc25244 \h </w:instrText>
      </w:r>
      <w:r>
        <w:fldChar w:fldCharType="separate"/>
      </w:r>
      <w:r>
        <w:t>287</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_Toc11901 </w:instrText>
      </w:r>
      <w:r>
        <w:rPr>
          <w:rFonts w:cs="Times New Roman"/>
          <w:kern w:val="0"/>
          <w:szCs w:val="24"/>
          <w:highlight w:val="none"/>
        </w:rPr>
        <w:fldChar w:fldCharType="separate"/>
      </w:r>
      <w:r>
        <w:rPr>
          <w:rFonts w:hint="eastAsia"/>
          <w:lang w:eastAsia="zh-CN"/>
        </w:rPr>
        <w:t xml:space="preserve">6.8 </w:t>
      </w:r>
      <w:r>
        <w:rPr>
          <w:highlight w:val="none"/>
          <w:lang w:eastAsia="zh-CN"/>
        </w:rPr>
        <w:t>分析结论</w:t>
      </w:r>
      <w:r>
        <w:tab/>
      </w:r>
      <w:r>
        <w:fldChar w:fldCharType="begin"/>
      </w:r>
      <w:r>
        <w:instrText xml:space="preserve"> PAGEREF _Toc11901 \h </w:instrText>
      </w:r>
      <w:r>
        <w:fldChar w:fldCharType="separate"/>
      </w:r>
      <w:r>
        <w:t>294</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28"/>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_Toc5867 </w:instrText>
      </w:r>
      <w:r>
        <w:rPr>
          <w:rFonts w:cs="Times New Roman"/>
          <w:kern w:val="0"/>
          <w:szCs w:val="24"/>
          <w:highlight w:val="none"/>
        </w:rPr>
        <w:fldChar w:fldCharType="separate"/>
      </w:r>
      <w:r>
        <w:rPr>
          <w:rFonts w:hint="eastAsia"/>
          <w:bCs w:val="0"/>
          <w:lang w:eastAsia="zh-CN"/>
        </w:rPr>
        <w:t xml:space="preserve">7、 </w:t>
      </w:r>
      <w:r>
        <w:rPr>
          <w:highlight w:val="none"/>
          <w:lang w:eastAsia="zh-CN"/>
        </w:rPr>
        <w:t>环境保护措施及其可行性论证</w:t>
      </w:r>
      <w:r>
        <w:tab/>
      </w:r>
      <w:r>
        <w:fldChar w:fldCharType="begin"/>
      </w:r>
      <w:r>
        <w:instrText xml:space="preserve"> PAGEREF _Toc5867 \h </w:instrText>
      </w:r>
      <w:r>
        <w:fldChar w:fldCharType="separate"/>
      </w:r>
      <w:r>
        <w:t>296</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_Toc2658 </w:instrText>
      </w:r>
      <w:r>
        <w:rPr>
          <w:rFonts w:cs="Times New Roman"/>
          <w:kern w:val="0"/>
          <w:szCs w:val="24"/>
          <w:highlight w:val="none"/>
        </w:rPr>
        <w:fldChar w:fldCharType="separate"/>
      </w:r>
      <w:r>
        <w:rPr>
          <w:rFonts w:hint="eastAsia"/>
          <w:lang w:eastAsia="zh-CN"/>
        </w:rPr>
        <w:t xml:space="preserve">7.1 </w:t>
      </w:r>
      <w:r>
        <w:rPr>
          <w:highlight w:val="none"/>
          <w:lang w:eastAsia="zh-CN"/>
        </w:rPr>
        <w:t>施工期环境保护措施及可行性分析</w:t>
      </w:r>
      <w:r>
        <w:tab/>
      </w:r>
      <w:r>
        <w:fldChar w:fldCharType="begin"/>
      </w:r>
      <w:r>
        <w:instrText xml:space="preserve"> PAGEREF _Toc2658 \h </w:instrText>
      </w:r>
      <w:r>
        <w:fldChar w:fldCharType="separate"/>
      </w:r>
      <w:r>
        <w:t>296</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_Toc14057 </w:instrText>
      </w:r>
      <w:r>
        <w:rPr>
          <w:rFonts w:cs="Times New Roman"/>
          <w:kern w:val="0"/>
          <w:szCs w:val="24"/>
          <w:highlight w:val="none"/>
        </w:rPr>
        <w:fldChar w:fldCharType="separate"/>
      </w:r>
      <w:r>
        <w:rPr>
          <w:rFonts w:hint="eastAsia"/>
          <w:lang w:eastAsia="zh-CN"/>
        </w:rPr>
        <w:t xml:space="preserve">7.2 </w:t>
      </w:r>
      <w:r>
        <w:rPr>
          <w:highlight w:val="none"/>
          <w:lang w:eastAsia="zh-CN"/>
        </w:rPr>
        <w:t>试采期环境保护措施及可行性分析</w:t>
      </w:r>
      <w:r>
        <w:tab/>
      </w:r>
      <w:r>
        <w:fldChar w:fldCharType="begin"/>
      </w:r>
      <w:r>
        <w:instrText xml:space="preserve"> PAGEREF _Toc14057 \h </w:instrText>
      </w:r>
      <w:r>
        <w:fldChar w:fldCharType="separate"/>
      </w:r>
      <w:r>
        <w:t>313</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_Toc13569 </w:instrText>
      </w:r>
      <w:r>
        <w:rPr>
          <w:rFonts w:cs="Times New Roman"/>
          <w:kern w:val="0"/>
          <w:szCs w:val="24"/>
          <w:highlight w:val="none"/>
        </w:rPr>
        <w:fldChar w:fldCharType="separate"/>
      </w:r>
      <w:r>
        <w:rPr>
          <w:rFonts w:hint="eastAsia"/>
          <w:lang w:eastAsia="zh-CN"/>
        </w:rPr>
        <w:t xml:space="preserve">7.3 </w:t>
      </w:r>
      <w:r>
        <w:rPr>
          <w:rFonts w:hint="eastAsia"/>
          <w:highlight w:val="none"/>
          <w:lang w:eastAsia="zh-CN"/>
        </w:rPr>
        <w:t>项目完工及试采结束</w:t>
      </w:r>
      <w:r>
        <w:rPr>
          <w:highlight w:val="none"/>
          <w:lang w:eastAsia="zh-CN"/>
        </w:rPr>
        <w:t>后环境保护措施及可行性分析</w:t>
      </w:r>
      <w:r>
        <w:tab/>
      </w:r>
      <w:r>
        <w:fldChar w:fldCharType="begin"/>
      </w:r>
      <w:r>
        <w:instrText xml:space="preserve"> PAGEREF _Toc13569 \h </w:instrText>
      </w:r>
      <w:r>
        <w:fldChar w:fldCharType="separate"/>
      </w:r>
      <w:r>
        <w:t>316</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28"/>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_Toc27457 </w:instrText>
      </w:r>
      <w:r>
        <w:rPr>
          <w:rFonts w:cs="Times New Roman"/>
          <w:kern w:val="0"/>
          <w:szCs w:val="24"/>
          <w:highlight w:val="none"/>
        </w:rPr>
        <w:fldChar w:fldCharType="separate"/>
      </w:r>
      <w:r>
        <w:rPr>
          <w:rFonts w:hint="eastAsia"/>
          <w:bCs w:val="0"/>
          <w:lang w:eastAsia="zh-CN"/>
        </w:rPr>
        <w:t xml:space="preserve">8、 </w:t>
      </w:r>
      <w:r>
        <w:rPr>
          <w:highlight w:val="none"/>
          <w:lang w:eastAsia="zh-CN"/>
        </w:rPr>
        <w:t>环境影响经济损益分析</w:t>
      </w:r>
      <w:r>
        <w:tab/>
      </w:r>
      <w:r>
        <w:fldChar w:fldCharType="begin"/>
      </w:r>
      <w:r>
        <w:instrText xml:space="preserve"> PAGEREF _Toc27457 \h </w:instrText>
      </w:r>
      <w:r>
        <w:fldChar w:fldCharType="separate"/>
      </w:r>
      <w:r>
        <w:t>317</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_Toc32213 </w:instrText>
      </w:r>
      <w:r>
        <w:rPr>
          <w:rFonts w:cs="Times New Roman"/>
          <w:kern w:val="0"/>
          <w:szCs w:val="24"/>
          <w:highlight w:val="none"/>
        </w:rPr>
        <w:fldChar w:fldCharType="separate"/>
      </w:r>
      <w:r>
        <w:rPr>
          <w:rFonts w:hint="eastAsia"/>
          <w:lang w:eastAsia="zh-CN"/>
        </w:rPr>
        <w:t xml:space="preserve">8.1 </w:t>
      </w:r>
      <w:r>
        <w:rPr>
          <w:highlight w:val="none"/>
          <w:lang w:eastAsia="zh-CN"/>
        </w:rPr>
        <w:t>环保投资估算</w:t>
      </w:r>
      <w:r>
        <w:tab/>
      </w:r>
      <w:r>
        <w:fldChar w:fldCharType="begin"/>
      </w:r>
      <w:r>
        <w:instrText xml:space="preserve"> PAGEREF _Toc32213 \h </w:instrText>
      </w:r>
      <w:r>
        <w:fldChar w:fldCharType="separate"/>
      </w:r>
      <w:r>
        <w:t>317</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_Toc24032 </w:instrText>
      </w:r>
      <w:r>
        <w:rPr>
          <w:rFonts w:cs="Times New Roman"/>
          <w:kern w:val="0"/>
          <w:szCs w:val="24"/>
          <w:highlight w:val="none"/>
        </w:rPr>
        <w:fldChar w:fldCharType="separate"/>
      </w:r>
      <w:r>
        <w:rPr>
          <w:rFonts w:hint="eastAsia"/>
          <w:lang w:eastAsia="zh-CN"/>
        </w:rPr>
        <w:t xml:space="preserve">8.2 </w:t>
      </w:r>
      <w:r>
        <w:rPr>
          <w:highlight w:val="none"/>
          <w:lang w:eastAsia="zh-CN"/>
        </w:rPr>
        <w:t>“三效益”分析</w:t>
      </w:r>
      <w:r>
        <w:tab/>
      </w:r>
      <w:r>
        <w:fldChar w:fldCharType="begin"/>
      </w:r>
      <w:r>
        <w:instrText xml:space="preserve"> PAGEREF _Toc24032 \h </w:instrText>
      </w:r>
      <w:r>
        <w:fldChar w:fldCharType="separate"/>
      </w:r>
      <w:r>
        <w:t>318</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_Toc1047 </w:instrText>
      </w:r>
      <w:r>
        <w:rPr>
          <w:rFonts w:cs="Times New Roman"/>
          <w:kern w:val="0"/>
          <w:szCs w:val="24"/>
          <w:highlight w:val="none"/>
        </w:rPr>
        <w:fldChar w:fldCharType="separate"/>
      </w:r>
      <w:r>
        <w:rPr>
          <w:rFonts w:hint="eastAsia"/>
          <w:lang w:eastAsia="zh-CN"/>
        </w:rPr>
        <w:t xml:space="preserve">8.3 </w:t>
      </w:r>
      <w:r>
        <w:rPr>
          <w:highlight w:val="none"/>
          <w:lang w:eastAsia="zh-CN"/>
        </w:rPr>
        <w:t>环境经济损益分析结论</w:t>
      </w:r>
      <w:r>
        <w:tab/>
      </w:r>
      <w:r>
        <w:fldChar w:fldCharType="begin"/>
      </w:r>
      <w:r>
        <w:instrText xml:space="preserve"> PAGEREF _Toc1047 \h </w:instrText>
      </w:r>
      <w:r>
        <w:fldChar w:fldCharType="separate"/>
      </w:r>
      <w:r>
        <w:t>319</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28"/>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_Toc4374 </w:instrText>
      </w:r>
      <w:r>
        <w:rPr>
          <w:rFonts w:cs="Times New Roman"/>
          <w:kern w:val="0"/>
          <w:szCs w:val="24"/>
          <w:highlight w:val="none"/>
        </w:rPr>
        <w:fldChar w:fldCharType="separate"/>
      </w:r>
      <w:r>
        <w:rPr>
          <w:rFonts w:hint="eastAsia"/>
          <w:bCs w:val="0"/>
          <w:lang w:eastAsia="zh-CN"/>
        </w:rPr>
        <w:t xml:space="preserve">9、 </w:t>
      </w:r>
      <w:r>
        <w:rPr>
          <w:highlight w:val="none"/>
          <w:lang w:eastAsia="zh-CN"/>
        </w:rPr>
        <w:t>清洁生产与总量控制</w:t>
      </w:r>
      <w:r>
        <w:tab/>
      </w:r>
      <w:r>
        <w:fldChar w:fldCharType="begin"/>
      </w:r>
      <w:r>
        <w:instrText xml:space="preserve"> PAGEREF _Toc4374 \h </w:instrText>
      </w:r>
      <w:r>
        <w:fldChar w:fldCharType="separate"/>
      </w:r>
      <w:r>
        <w:t>320</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_Toc7625 </w:instrText>
      </w:r>
      <w:r>
        <w:rPr>
          <w:rFonts w:cs="Times New Roman"/>
          <w:kern w:val="0"/>
          <w:szCs w:val="24"/>
          <w:highlight w:val="none"/>
        </w:rPr>
        <w:fldChar w:fldCharType="separate"/>
      </w:r>
      <w:r>
        <w:rPr>
          <w:rFonts w:hint="eastAsia"/>
          <w:lang w:eastAsia="zh-CN"/>
        </w:rPr>
        <w:t xml:space="preserve">9.1 </w:t>
      </w:r>
      <w:r>
        <w:rPr>
          <w:highlight w:val="none"/>
          <w:lang w:eastAsia="zh-CN"/>
        </w:rPr>
        <w:t>清洁生产分析</w:t>
      </w:r>
      <w:r>
        <w:tab/>
      </w:r>
      <w:r>
        <w:fldChar w:fldCharType="begin"/>
      </w:r>
      <w:r>
        <w:instrText xml:space="preserve"> PAGEREF _Toc7625 \h </w:instrText>
      </w:r>
      <w:r>
        <w:fldChar w:fldCharType="separate"/>
      </w:r>
      <w:r>
        <w:t>320</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_Toc3226 </w:instrText>
      </w:r>
      <w:r>
        <w:rPr>
          <w:rFonts w:cs="Times New Roman"/>
          <w:kern w:val="0"/>
          <w:szCs w:val="24"/>
          <w:highlight w:val="none"/>
        </w:rPr>
        <w:fldChar w:fldCharType="separate"/>
      </w:r>
      <w:r>
        <w:rPr>
          <w:rFonts w:hint="eastAsia"/>
          <w:lang w:eastAsia="zh-CN"/>
        </w:rPr>
        <w:t xml:space="preserve">9.2 </w:t>
      </w:r>
      <w:r>
        <w:rPr>
          <w:highlight w:val="none"/>
          <w:lang w:eastAsia="zh-CN"/>
        </w:rPr>
        <w:t>总量控制</w:t>
      </w:r>
      <w:r>
        <w:tab/>
      </w:r>
      <w:r>
        <w:fldChar w:fldCharType="begin"/>
      </w:r>
      <w:r>
        <w:instrText xml:space="preserve"> PAGEREF _Toc3226 \h </w:instrText>
      </w:r>
      <w:r>
        <w:fldChar w:fldCharType="separate"/>
      </w:r>
      <w:r>
        <w:t>321</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28"/>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_Toc17247 </w:instrText>
      </w:r>
      <w:r>
        <w:rPr>
          <w:rFonts w:cs="Times New Roman"/>
          <w:kern w:val="0"/>
          <w:szCs w:val="24"/>
          <w:highlight w:val="none"/>
        </w:rPr>
        <w:fldChar w:fldCharType="separate"/>
      </w:r>
      <w:r>
        <w:rPr>
          <w:rFonts w:hint="eastAsia"/>
          <w:bCs w:val="0"/>
          <w:lang w:eastAsia="zh-CN"/>
        </w:rPr>
        <w:t xml:space="preserve">10、 </w:t>
      </w:r>
      <w:r>
        <w:rPr>
          <w:highlight w:val="none"/>
          <w:lang w:eastAsia="zh-CN"/>
        </w:rPr>
        <w:t>环境管理与环境监测</w:t>
      </w:r>
      <w:r>
        <w:tab/>
      </w:r>
      <w:r>
        <w:fldChar w:fldCharType="begin"/>
      </w:r>
      <w:r>
        <w:instrText xml:space="preserve"> PAGEREF _Toc17247 \h </w:instrText>
      </w:r>
      <w:r>
        <w:fldChar w:fldCharType="separate"/>
      </w:r>
      <w:r>
        <w:t>322</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_Toc3988 </w:instrText>
      </w:r>
      <w:r>
        <w:rPr>
          <w:rFonts w:cs="Times New Roman"/>
          <w:kern w:val="0"/>
          <w:szCs w:val="24"/>
          <w:highlight w:val="none"/>
        </w:rPr>
        <w:fldChar w:fldCharType="separate"/>
      </w:r>
      <w:r>
        <w:rPr>
          <w:rFonts w:hint="eastAsia"/>
          <w:lang w:eastAsia="zh-CN"/>
        </w:rPr>
        <w:t xml:space="preserve">10.1 </w:t>
      </w:r>
      <w:r>
        <w:rPr>
          <w:highlight w:val="none"/>
          <w:lang w:eastAsia="zh-CN"/>
        </w:rPr>
        <w:t>环境管理</w:t>
      </w:r>
      <w:r>
        <w:tab/>
      </w:r>
      <w:r>
        <w:fldChar w:fldCharType="begin"/>
      </w:r>
      <w:r>
        <w:instrText xml:space="preserve"> PAGEREF _Toc3988 \h </w:instrText>
      </w:r>
      <w:r>
        <w:fldChar w:fldCharType="separate"/>
      </w:r>
      <w:r>
        <w:t>322</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_Toc10966 </w:instrText>
      </w:r>
      <w:r>
        <w:rPr>
          <w:rFonts w:cs="Times New Roman"/>
          <w:kern w:val="0"/>
          <w:szCs w:val="24"/>
          <w:highlight w:val="none"/>
        </w:rPr>
        <w:fldChar w:fldCharType="separate"/>
      </w:r>
      <w:r>
        <w:rPr>
          <w:rFonts w:hint="eastAsia"/>
          <w:lang w:eastAsia="zh-CN"/>
        </w:rPr>
        <w:t xml:space="preserve">10.2 </w:t>
      </w:r>
      <w:r>
        <w:rPr>
          <w:highlight w:val="none"/>
          <w:lang w:eastAsia="zh-CN"/>
        </w:rPr>
        <w:t>污染物排放清单</w:t>
      </w:r>
      <w:r>
        <w:tab/>
      </w:r>
      <w:r>
        <w:fldChar w:fldCharType="begin"/>
      </w:r>
      <w:r>
        <w:instrText xml:space="preserve"> PAGEREF _Toc10966 \h </w:instrText>
      </w:r>
      <w:r>
        <w:fldChar w:fldCharType="separate"/>
      </w:r>
      <w:r>
        <w:t>323</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_Toc12025 </w:instrText>
      </w:r>
      <w:r>
        <w:rPr>
          <w:rFonts w:cs="Times New Roman"/>
          <w:kern w:val="0"/>
          <w:szCs w:val="24"/>
          <w:highlight w:val="none"/>
        </w:rPr>
        <w:fldChar w:fldCharType="separate"/>
      </w:r>
      <w:r>
        <w:rPr>
          <w:rFonts w:hint="eastAsia"/>
          <w:lang w:eastAsia="zh-CN"/>
        </w:rPr>
        <w:t xml:space="preserve">10.3 </w:t>
      </w:r>
      <w:r>
        <w:rPr>
          <w:highlight w:val="none"/>
          <w:lang w:eastAsia="zh-CN"/>
        </w:rPr>
        <w:t>环境监测</w:t>
      </w:r>
      <w:r>
        <w:tab/>
      </w:r>
      <w:r>
        <w:fldChar w:fldCharType="begin"/>
      </w:r>
      <w:r>
        <w:instrText xml:space="preserve"> PAGEREF _Toc12025 \h </w:instrText>
      </w:r>
      <w:r>
        <w:fldChar w:fldCharType="separate"/>
      </w:r>
      <w:r>
        <w:t>327</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_Toc20600 </w:instrText>
      </w:r>
      <w:r>
        <w:rPr>
          <w:rFonts w:cs="Times New Roman"/>
          <w:kern w:val="0"/>
          <w:szCs w:val="24"/>
          <w:highlight w:val="none"/>
        </w:rPr>
        <w:fldChar w:fldCharType="separate"/>
      </w:r>
      <w:r>
        <w:rPr>
          <w:rFonts w:hint="eastAsia"/>
          <w:lang w:eastAsia="zh-CN"/>
        </w:rPr>
        <w:t xml:space="preserve">10.4 </w:t>
      </w:r>
      <w:r>
        <w:rPr>
          <w:highlight w:val="none"/>
          <w:lang w:eastAsia="zh-CN"/>
        </w:rPr>
        <w:t>排污许可申请</w:t>
      </w:r>
      <w:r>
        <w:tab/>
      </w:r>
      <w:r>
        <w:fldChar w:fldCharType="begin"/>
      </w:r>
      <w:r>
        <w:instrText xml:space="preserve"> PAGEREF _Toc20600 \h </w:instrText>
      </w:r>
      <w:r>
        <w:fldChar w:fldCharType="separate"/>
      </w:r>
      <w:r>
        <w:t>331</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_Toc29529 </w:instrText>
      </w:r>
      <w:r>
        <w:rPr>
          <w:rFonts w:cs="Times New Roman"/>
          <w:kern w:val="0"/>
          <w:szCs w:val="24"/>
          <w:highlight w:val="none"/>
        </w:rPr>
        <w:fldChar w:fldCharType="separate"/>
      </w:r>
      <w:r>
        <w:rPr>
          <w:rFonts w:hint="eastAsia"/>
          <w:lang w:eastAsia="zh-CN"/>
        </w:rPr>
        <w:t xml:space="preserve">10.5 </w:t>
      </w:r>
      <w:r>
        <w:rPr>
          <w:highlight w:val="none"/>
          <w:lang w:eastAsia="zh-CN"/>
        </w:rPr>
        <w:t>竣工</w:t>
      </w:r>
      <w:r>
        <w:rPr>
          <w:rFonts w:hint="eastAsia"/>
          <w:highlight w:val="none"/>
          <w:lang w:eastAsia="zh-CN"/>
        </w:rPr>
        <w:t>环境保护</w:t>
      </w:r>
      <w:r>
        <w:rPr>
          <w:highlight w:val="none"/>
          <w:lang w:eastAsia="zh-CN"/>
        </w:rPr>
        <w:t>验收</w:t>
      </w:r>
      <w:r>
        <w:tab/>
      </w:r>
      <w:r>
        <w:fldChar w:fldCharType="begin"/>
      </w:r>
      <w:r>
        <w:instrText xml:space="preserve"> PAGEREF _Toc29529 \h </w:instrText>
      </w:r>
      <w:r>
        <w:fldChar w:fldCharType="separate"/>
      </w:r>
      <w:r>
        <w:t>331</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28"/>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_Toc23956 </w:instrText>
      </w:r>
      <w:r>
        <w:rPr>
          <w:rFonts w:cs="Times New Roman"/>
          <w:kern w:val="0"/>
          <w:szCs w:val="24"/>
          <w:highlight w:val="none"/>
        </w:rPr>
        <w:fldChar w:fldCharType="separate"/>
      </w:r>
      <w:r>
        <w:rPr>
          <w:rFonts w:hint="eastAsia"/>
          <w:bCs w:val="0"/>
        </w:rPr>
        <w:t xml:space="preserve">11、 </w:t>
      </w:r>
      <w:r>
        <w:rPr>
          <w:highlight w:val="none"/>
        </w:rPr>
        <w:t>结论与建议</w:t>
      </w:r>
      <w:r>
        <w:tab/>
      </w:r>
      <w:r>
        <w:fldChar w:fldCharType="begin"/>
      </w:r>
      <w:r>
        <w:instrText xml:space="preserve"> PAGEREF _Toc23956 \h </w:instrText>
      </w:r>
      <w:r>
        <w:fldChar w:fldCharType="separate"/>
      </w:r>
      <w:r>
        <w:t>333</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_Toc3205 </w:instrText>
      </w:r>
      <w:r>
        <w:rPr>
          <w:rFonts w:cs="Times New Roman"/>
          <w:kern w:val="0"/>
          <w:szCs w:val="24"/>
          <w:highlight w:val="none"/>
        </w:rPr>
        <w:fldChar w:fldCharType="separate"/>
      </w:r>
      <w:r>
        <w:rPr>
          <w:rFonts w:hint="eastAsia"/>
          <w:lang w:eastAsia="zh-CN"/>
        </w:rPr>
        <w:t xml:space="preserve">11.1 </w:t>
      </w:r>
      <w:r>
        <w:rPr>
          <w:highlight w:val="none"/>
          <w:lang w:eastAsia="zh-CN"/>
        </w:rPr>
        <w:t>项目概况</w:t>
      </w:r>
      <w:r>
        <w:tab/>
      </w:r>
      <w:r>
        <w:fldChar w:fldCharType="begin"/>
      </w:r>
      <w:r>
        <w:instrText xml:space="preserve"> PAGEREF _Toc3205 \h </w:instrText>
      </w:r>
      <w:r>
        <w:fldChar w:fldCharType="separate"/>
      </w:r>
      <w:r>
        <w:t>333</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_Toc29144 </w:instrText>
      </w:r>
      <w:r>
        <w:rPr>
          <w:rFonts w:cs="Times New Roman"/>
          <w:kern w:val="0"/>
          <w:szCs w:val="24"/>
          <w:highlight w:val="none"/>
        </w:rPr>
        <w:fldChar w:fldCharType="separate"/>
      </w:r>
      <w:r>
        <w:rPr>
          <w:rFonts w:hint="eastAsia"/>
          <w:lang w:eastAsia="zh-CN"/>
        </w:rPr>
        <w:t xml:space="preserve">11.2 </w:t>
      </w:r>
      <w:r>
        <w:rPr>
          <w:highlight w:val="none"/>
          <w:lang w:eastAsia="zh-CN"/>
        </w:rPr>
        <w:t>环境质量现状</w:t>
      </w:r>
      <w:r>
        <w:tab/>
      </w:r>
      <w:r>
        <w:fldChar w:fldCharType="begin"/>
      </w:r>
      <w:r>
        <w:instrText xml:space="preserve"> PAGEREF _Toc29144 \h </w:instrText>
      </w:r>
      <w:r>
        <w:fldChar w:fldCharType="separate"/>
      </w:r>
      <w:r>
        <w:t>333</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_Toc13594 </w:instrText>
      </w:r>
      <w:r>
        <w:rPr>
          <w:rFonts w:cs="Times New Roman"/>
          <w:kern w:val="0"/>
          <w:szCs w:val="24"/>
          <w:highlight w:val="none"/>
        </w:rPr>
        <w:fldChar w:fldCharType="separate"/>
      </w:r>
      <w:r>
        <w:rPr>
          <w:rFonts w:hint="eastAsia"/>
          <w:lang w:eastAsia="zh-CN"/>
        </w:rPr>
        <w:t xml:space="preserve">11.3 </w:t>
      </w:r>
      <w:r>
        <w:rPr>
          <w:highlight w:val="none"/>
          <w:lang w:eastAsia="zh-CN"/>
        </w:rPr>
        <w:t>项目产业政策符合性分析与选址合理性分析</w:t>
      </w:r>
      <w:r>
        <w:tab/>
      </w:r>
      <w:r>
        <w:fldChar w:fldCharType="begin"/>
      </w:r>
      <w:r>
        <w:instrText xml:space="preserve"> PAGEREF _Toc13594 \h </w:instrText>
      </w:r>
      <w:r>
        <w:fldChar w:fldCharType="separate"/>
      </w:r>
      <w:r>
        <w:t>335</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_Toc29840 </w:instrText>
      </w:r>
      <w:r>
        <w:rPr>
          <w:rFonts w:cs="Times New Roman"/>
          <w:kern w:val="0"/>
          <w:szCs w:val="24"/>
          <w:highlight w:val="none"/>
        </w:rPr>
        <w:fldChar w:fldCharType="separate"/>
      </w:r>
      <w:r>
        <w:rPr>
          <w:rFonts w:hint="eastAsia"/>
          <w:lang w:eastAsia="zh-CN"/>
        </w:rPr>
        <w:t xml:space="preserve">11.4 </w:t>
      </w:r>
      <w:r>
        <w:rPr>
          <w:highlight w:val="none"/>
          <w:lang w:eastAsia="zh-CN"/>
        </w:rPr>
        <w:t>环境影响评价结论</w:t>
      </w:r>
      <w:r>
        <w:tab/>
      </w:r>
      <w:r>
        <w:fldChar w:fldCharType="begin"/>
      </w:r>
      <w:r>
        <w:instrText xml:space="preserve"> PAGEREF _Toc29840 \h </w:instrText>
      </w:r>
      <w:r>
        <w:fldChar w:fldCharType="separate"/>
      </w:r>
      <w:r>
        <w:t>335</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_Toc12715 </w:instrText>
      </w:r>
      <w:r>
        <w:rPr>
          <w:rFonts w:cs="Times New Roman"/>
          <w:kern w:val="0"/>
          <w:szCs w:val="24"/>
          <w:highlight w:val="none"/>
        </w:rPr>
        <w:fldChar w:fldCharType="separate"/>
      </w:r>
      <w:r>
        <w:rPr>
          <w:rFonts w:hint="eastAsia"/>
          <w:lang w:eastAsia="zh-CN"/>
        </w:rPr>
        <w:t xml:space="preserve">11.5 </w:t>
      </w:r>
      <w:r>
        <w:rPr>
          <w:highlight w:val="none"/>
          <w:lang w:eastAsia="zh-CN"/>
        </w:rPr>
        <w:t>环境风险分析</w:t>
      </w:r>
      <w:r>
        <w:tab/>
      </w:r>
      <w:r>
        <w:fldChar w:fldCharType="begin"/>
      </w:r>
      <w:r>
        <w:instrText xml:space="preserve"> PAGEREF _Toc12715 \h </w:instrText>
      </w:r>
      <w:r>
        <w:fldChar w:fldCharType="separate"/>
      </w:r>
      <w:r>
        <w:t>336</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_Toc598 </w:instrText>
      </w:r>
      <w:r>
        <w:rPr>
          <w:rFonts w:cs="Times New Roman"/>
          <w:kern w:val="0"/>
          <w:szCs w:val="24"/>
          <w:highlight w:val="none"/>
        </w:rPr>
        <w:fldChar w:fldCharType="separate"/>
      </w:r>
      <w:r>
        <w:rPr>
          <w:rFonts w:hint="eastAsia"/>
          <w:lang w:eastAsia="zh-CN"/>
        </w:rPr>
        <w:t xml:space="preserve">11.6 </w:t>
      </w:r>
      <w:r>
        <w:rPr>
          <w:highlight w:val="none"/>
          <w:lang w:eastAsia="zh-CN"/>
        </w:rPr>
        <w:t>清洁生产和总量控制</w:t>
      </w:r>
      <w:r>
        <w:tab/>
      </w:r>
      <w:r>
        <w:fldChar w:fldCharType="begin"/>
      </w:r>
      <w:r>
        <w:instrText xml:space="preserve"> PAGEREF _Toc598 \h </w:instrText>
      </w:r>
      <w:r>
        <w:fldChar w:fldCharType="separate"/>
      </w:r>
      <w:r>
        <w:t>337</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_Toc18704 </w:instrText>
      </w:r>
      <w:r>
        <w:rPr>
          <w:rFonts w:cs="Times New Roman"/>
          <w:kern w:val="0"/>
          <w:szCs w:val="24"/>
          <w:highlight w:val="none"/>
        </w:rPr>
        <w:fldChar w:fldCharType="separate"/>
      </w:r>
      <w:r>
        <w:rPr>
          <w:rFonts w:hint="eastAsia"/>
          <w:lang w:eastAsia="zh-CN"/>
        </w:rPr>
        <w:t xml:space="preserve">11.7 </w:t>
      </w:r>
      <w:r>
        <w:rPr>
          <w:highlight w:val="none"/>
          <w:lang w:eastAsia="zh-CN"/>
        </w:rPr>
        <w:t>环境经济损益分析</w:t>
      </w:r>
      <w:r>
        <w:tab/>
      </w:r>
      <w:r>
        <w:fldChar w:fldCharType="begin"/>
      </w:r>
      <w:r>
        <w:instrText xml:space="preserve"> PAGEREF _Toc18704 \h </w:instrText>
      </w:r>
      <w:r>
        <w:fldChar w:fldCharType="separate"/>
      </w:r>
      <w:r>
        <w:t>337</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_Toc6307 </w:instrText>
      </w:r>
      <w:r>
        <w:rPr>
          <w:rFonts w:cs="Times New Roman"/>
          <w:kern w:val="0"/>
          <w:szCs w:val="24"/>
          <w:highlight w:val="none"/>
        </w:rPr>
        <w:fldChar w:fldCharType="separate"/>
      </w:r>
      <w:r>
        <w:rPr>
          <w:rFonts w:hint="eastAsia"/>
          <w:lang w:eastAsia="zh-CN"/>
        </w:rPr>
        <w:t xml:space="preserve">11.8 </w:t>
      </w:r>
      <w:r>
        <w:rPr>
          <w:highlight w:val="none"/>
          <w:lang w:eastAsia="zh-CN"/>
        </w:rPr>
        <w:t>公众参与调查结论</w:t>
      </w:r>
      <w:r>
        <w:tab/>
      </w:r>
      <w:r>
        <w:fldChar w:fldCharType="begin"/>
      </w:r>
      <w:r>
        <w:instrText xml:space="preserve"> PAGEREF _Toc6307 \h </w:instrText>
      </w:r>
      <w:r>
        <w:fldChar w:fldCharType="separate"/>
      </w:r>
      <w:r>
        <w:t>337</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_Toc5337 </w:instrText>
      </w:r>
      <w:r>
        <w:rPr>
          <w:rFonts w:cs="Times New Roman"/>
          <w:kern w:val="0"/>
          <w:szCs w:val="24"/>
          <w:highlight w:val="none"/>
        </w:rPr>
        <w:fldChar w:fldCharType="separate"/>
      </w:r>
      <w:r>
        <w:rPr>
          <w:rFonts w:hint="eastAsia"/>
          <w:lang w:eastAsia="zh-CN"/>
        </w:rPr>
        <w:t xml:space="preserve">11.9 </w:t>
      </w:r>
      <w:r>
        <w:rPr>
          <w:highlight w:val="none"/>
          <w:lang w:eastAsia="zh-CN"/>
        </w:rPr>
        <w:t>评价总结论</w:t>
      </w:r>
      <w:r>
        <w:tab/>
      </w:r>
      <w:r>
        <w:fldChar w:fldCharType="begin"/>
      </w:r>
      <w:r>
        <w:instrText xml:space="preserve"> PAGEREF _Toc5337 \h </w:instrText>
      </w:r>
      <w:r>
        <w:fldChar w:fldCharType="separate"/>
      </w:r>
      <w:r>
        <w:t>337</w:t>
      </w:r>
      <w:r>
        <w:fldChar w:fldCharType="end"/>
      </w:r>
      <w:r>
        <w:rPr>
          <w:rFonts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pPr>
      <w:r>
        <w:rPr>
          <w:rFonts w:cs="Times New Roman"/>
          <w:color w:val="000000" w:themeColor="text1"/>
          <w:kern w:val="0"/>
          <w:szCs w:val="24"/>
          <w:highlight w:val="none"/>
          <w14:textFill>
            <w14:solidFill>
              <w14:schemeClr w14:val="tx1"/>
            </w14:solidFill>
          </w14:textFill>
        </w:rPr>
        <w:fldChar w:fldCharType="begin"/>
      </w:r>
      <w:r>
        <w:rPr>
          <w:rFonts w:cs="Times New Roman"/>
          <w:kern w:val="0"/>
          <w:szCs w:val="24"/>
          <w:highlight w:val="none"/>
        </w:rPr>
        <w:instrText xml:space="preserve"> HYPERLINK \l _Toc7380 </w:instrText>
      </w:r>
      <w:r>
        <w:rPr>
          <w:rFonts w:cs="Times New Roman"/>
          <w:kern w:val="0"/>
          <w:szCs w:val="24"/>
          <w:highlight w:val="none"/>
        </w:rPr>
        <w:fldChar w:fldCharType="separate"/>
      </w:r>
      <w:r>
        <w:rPr>
          <w:rFonts w:hint="eastAsia"/>
          <w:lang w:eastAsia="zh-CN"/>
        </w:rPr>
        <w:t xml:space="preserve">11.10 </w:t>
      </w:r>
      <w:r>
        <w:rPr>
          <w:highlight w:val="none"/>
          <w:lang w:eastAsia="zh-CN"/>
        </w:rPr>
        <w:t>建议</w:t>
      </w:r>
      <w:r>
        <w:tab/>
      </w:r>
      <w:r>
        <w:fldChar w:fldCharType="begin"/>
      </w:r>
      <w:r>
        <w:instrText xml:space="preserve"> PAGEREF _Toc7380 \h </w:instrText>
      </w:r>
      <w:r>
        <w:fldChar w:fldCharType="separate"/>
      </w:r>
      <w:r>
        <w:t>338</w:t>
      </w:r>
      <w:r>
        <w:fldChar w:fldCharType="end"/>
      </w:r>
      <w:r>
        <w:rPr>
          <w:rFonts w:cs="Times New Roman"/>
          <w:color w:val="000000" w:themeColor="text1"/>
          <w:kern w:val="0"/>
          <w:szCs w:val="24"/>
          <w:highlight w:val="none"/>
          <w14:textFill>
            <w14:solidFill>
              <w14:schemeClr w14:val="tx1"/>
            </w14:solidFill>
          </w14:textFill>
        </w:rPr>
        <w:fldChar w:fldCharType="end"/>
      </w:r>
    </w:p>
    <w:p>
      <w:pPr>
        <w:tabs>
          <w:tab w:val="left" w:pos="583"/>
        </w:tabs>
        <w:ind w:firstLine="480"/>
        <w:jc w:val="center"/>
        <w:rPr>
          <w:rFonts w:eastAsia="黑体"/>
          <w:color w:val="000000" w:themeColor="text1"/>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fldChar w:fldCharType="end"/>
      </w:r>
      <w:bookmarkStart w:id="0" w:name="_Hlk51679438"/>
      <w:r>
        <w:rPr>
          <w:rFonts w:hint="eastAsia" w:eastAsia="黑体"/>
          <w:color w:val="000000" w:themeColor="text1"/>
          <w:sz w:val="28"/>
          <w:szCs w:val="24"/>
          <w:highlight w:val="none"/>
          <w14:textFill>
            <w14:solidFill>
              <w14:schemeClr w14:val="tx1"/>
            </w14:solidFill>
          </w14:textFill>
        </w:rPr>
        <w:t>附表</w:t>
      </w:r>
    </w:p>
    <w:p>
      <w:pPr>
        <w:spacing w:line="312" w:lineRule="auto"/>
        <w:ind w:firstLine="480"/>
        <w:rPr>
          <w:color w:val="000000" w:themeColor="text1"/>
          <w:highlight w:val="none"/>
          <w14:textFill>
            <w14:solidFill>
              <w14:schemeClr w14:val="tx1"/>
            </w14:solidFill>
          </w14:textFill>
        </w:rPr>
      </w:pPr>
      <w:bookmarkStart w:id="1" w:name="_Toc41290498"/>
      <w:r>
        <w:rPr>
          <w:rFonts w:hint="eastAsia"/>
          <w:color w:val="000000" w:themeColor="text1"/>
          <w:highlight w:val="none"/>
          <w14:textFill>
            <w14:solidFill>
              <w14:schemeClr w14:val="tx1"/>
            </w14:solidFill>
          </w14:textFill>
        </w:rPr>
        <w:t>附表</w:t>
      </w:r>
      <w:r>
        <w:rPr>
          <w:color w:val="000000" w:themeColor="text1"/>
          <w:highlight w:val="none"/>
          <w14:textFill>
            <w14:solidFill>
              <w14:schemeClr w14:val="tx1"/>
            </w14:solidFill>
          </w14:textFill>
        </w:rPr>
        <w:t xml:space="preserve">1 </w:t>
      </w:r>
      <w:r>
        <w:rPr>
          <w:rFonts w:hint="eastAsia"/>
          <w:color w:val="000000" w:themeColor="text1"/>
          <w:highlight w:val="none"/>
          <w14:textFill>
            <w14:solidFill>
              <w14:schemeClr w14:val="tx1"/>
            </w14:solidFill>
          </w14:textFill>
        </w:rPr>
        <w:t>大气环境影响评价自查表</w:t>
      </w:r>
    </w:p>
    <w:p>
      <w:pPr>
        <w:spacing w:line="312" w:lineRule="auto"/>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附表</w:t>
      </w:r>
      <w:r>
        <w:rPr>
          <w:color w:val="000000" w:themeColor="text1"/>
          <w:highlight w:val="none"/>
          <w14:textFill>
            <w14:solidFill>
              <w14:schemeClr w14:val="tx1"/>
            </w14:solidFill>
          </w14:textFill>
        </w:rPr>
        <w:t xml:space="preserve">2 </w:t>
      </w:r>
      <w:r>
        <w:rPr>
          <w:rFonts w:hint="eastAsia"/>
          <w:color w:val="000000" w:themeColor="text1"/>
          <w:highlight w:val="none"/>
          <w14:textFill>
            <w14:solidFill>
              <w14:schemeClr w14:val="tx1"/>
            </w14:solidFill>
          </w14:textFill>
        </w:rPr>
        <w:t>地表水环境影响评价自查表</w:t>
      </w:r>
    </w:p>
    <w:p>
      <w:pPr>
        <w:spacing w:line="312" w:lineRule="auto"/>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附表</w:t>
      </w:r>
      <w:r>
        <w:rPr>
          <w:color w:val="000000" w:themeColor="text1"/>
          <w:highlight w:val="none"/>
          <w14:textFill>
            <w14:solidFill>
              <w14:schemeClr w14:val="tx1"/>
            </w14:solidFill>
          </w14:textFill>
        </w:rPr>
        <w:t xml:space="preserve">3 </w:t>
      </w:r>
      <w:r>
        <w:rPr>
          <w:rFonts w:hint="eastAsia"/>
          <w:color w:val="000000" w:themeColor="text1"/>
          <w:highlight w:val="none"/>
          <w14:textFill>
            <w14:solidFill>
              <w14:schemeClr w14:val="tx1"/>
            </w14:solidFill>
          </w14:textFill>
        </w:rPr>
        <w:t>土壤环境影响评价自查表</w:t>
      </w:r>
    </w:p>
    <w:p>
      <w:pPr>
        <w:spacing w:line="312" w:lineRule="auto"/>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附表</w:t>
      </w:r>
      <w:r>
        <w:rPr>
          <w:color w:val="000000" w:themeColor="text1"/>
          <w:highlight w:val="none"/>
          <w14:textFill>
            <w14:solidFill>
              <w14:schemeClr w14:val="tx1"/>
            </w14:solidFill>
          </w14:textFill>
        </w:rPr>
        <w:t xml:space="preserve">4 </w:t>
      </w:r>
      <w:r>
        <w:rPr>
          <w:rFonts w:hint="eastAsia"/>
          <w:color w:val="000000" w:themeColor="text1"/>
          <w:highlight w:val="none"/>
          <w14:textFill>
            <w14:solidFill>
              <w14:schemeClr w14:val="tx1"/>
            </w14:solidFill>
          </w14:textFill>
        </w:rPr>
        <w:t>环境风险评价自查表</w:t>
      </w:r>
    </w:p>
    <w:p>
      <w:pPr>
        <w:spacing w:line="312" w:lineRule="auto"/>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附表</w:t>
      </w:r>
      <w:r>
        <w:rPr>
          <w:color w:val="000000" w:themeColor="text1"/>
          <w:highlight w:val="none"/>
          <w14:textFill>
            <w14:solidFill>
              <w14:schemeClr w14:val="tx1"/>
            </w14:solidFill>
          </w14:textFill>
        </w:rPr>
        <w:t>5</w:t>
      </w:r>
      <w:r>
        <w:rPr>
          <w:rFonts w:hint="eastAsia"/>
          <w:color w:val="000000" w:themeColor="text1"/>
          <w:highlight w:val="none"/>
          <w14:textFill>
            <w14:solidFill>
              <w14:schemeClr w14:val="tx1"/>
            </w14:solidFill>
          </w14:textFill>
        </w:rPr>
        <w:t>声环境影响评价自查表</w:t>
      </w:r>
    </w:p>
    <w:p>
      <w:pPr>
        <w:spacing w:line="312" w:lineRule="auto"/>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附表</w:t>
      </w:r>
      <w:r>
        <w:rPr>
          <w:color w:val="000000" w:themeColor="text1"/>
          <w:highlight w:val="none"/>
          <w14:textFill>
            <w14:solidFill>
              <w14:schemeClr w14:val="tx1"/>
            </w14:solidFill>
          </w14:textFill>
        </w:rPr>
        <w:t xml:space="preserve">6 </w:t>
      </w:r>
      <w:r>
        <w:rPr>
          <w:rFonts w:hint="eastAsia"/>
          <w:color w:val="000000" w:themeColor="text1"/>
          <w:highlight w:val="none"/>
          <w14:textFill>
            <w14:solidFill>
              <w14:schemeClr w14:val="tx1"/>
            </w14:solidFill>
          </w14:textFill>
        </w:rPr>
        <w:t>生态影响评价自查表</w:t>
      </w:r>
    </w:p>
    <w:p>
      <w:pPr>
        <w:spacing w:line="312" w:lineRule="auto"/>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附表</w:t>
      </w:r>
      <w:r>
        <w:rPr>
          <w:color w:val="000000" w:themeColor="text1"/>
          <w:highlight w:val="none"/>
          <w14:textFill>
            <w14:solidFill>
              <w14:schemeClr w14:val="tx1"/>
            </w14:solidFill>
          </w14:textFill>
        </w:rPr>
        <w:t xml:space="preserve">7 </w:t>
      </w:r>
      <w:r>
        <w:rPr>
          <w:rFonts w:hint="eastAsia"/>
          <w:color w:val="000000" w:themeColor="text1"/>
          <w:highlight w:val="none"/>
          <w14:textFill>
            <w14:solidFill>
              <w14:schemeClr w14:val="tx1"/>
            </w14:solidFill>
          </w14:textFill>
        </w:rPr>
        <w:t>项目评价范围植物名</w:t>
      </w:r>
    </w:p>
    <w:p>
      <w:pPr>
        <w:spacing w:line="312" w:lineRule="auto"/>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附表</w:t>
      </w:r>
      <w:r>
        <w:rPr>
          <w:color w:val="000000" w:themeColor="text1"/>
          <w:highlight w:val="none"/>
          <w14:textFill>
            <w14:solidFill>
              <w14:schemeClr w14:val="tx1"/>
            </w14:solidFill>
          </w14:textFill>
        </w:rPr>
        <w:t xml:space="preserve">8 </w:t>
      </w:r>
      <w:r>
        <w:rPr>
          <w:rFonts w:hint="eastAsia"/>
          <w:color w:val="000000" w:themeColor="text1"/>
          <w:highlight w:val="none"/>
          <w14:textFill>
            <w14:solidFill>
              <w14:schemeClr w14:val="tx1"/>
            </w14:solidFill>
          </w14:textFill>
        </w:rPr>
        <w:t>项目评价范围陆生野生动物名录</w:t>
      </w:r>
    </w:p>
    <w:p>
      <w:pPr>
        <w:spacing w:line="312" w:lineRule="auto"/>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附表</w:t>
      </w:r>
      <w:r>
        <w:rPr>
          <w:color w:val="000000" w:themeColor="text1"/>
          <w:highlight w:val="none"/>
          <w14:textFill>
            <w14:solidFill>
              <w14:schemeClr w14:val="tx1"/>
            </w14:solidFill>
          </w14:textFill>
        </w:rPr>
        <w:t xml:space="preserve">9 </w:t>
      </w:r>
      <w:r>
        <w:rPr>
          <w:rFonts w:hint="eastAsia"/>
          <w:color w:val="000000" w:themeColor="text1"/>
          <w:highlight w:val="none"/>
          <w14:textFill>
            <w14:solidFill>
              <w14:schemeClr w14:val="tx1"/>
            </w14:solidFill>
          </w14:textFill>
        </w:rPr>
        <w:t>审批基础信息表</w:t>
      </w:r>
    </w:p>
    <w:p>
      <w:pPr>
        <w:spacing w:line="312" w:lineRule="auto"/>
        <w:ind w:firstLine="560"/>
        <w:jc w:val="center"/>
        <w:rPr>
          <w:rFonts w:eastAsia="黑体"/>
          <w:color w:val="000000" w:themeColor="text1"/>
          <w:highlight w:val="none"/>
          <w14:textFill>
            <w14:solidFill>
              <w14:schemeClr w14:val="tx1"/>
            </w14:solidFill>
          </w14:textFill>
        </w:rPr>
      </w:pPr>
      <w:r>
        <w:rPr>
          <w:rFonts w:hint="eastAsia" w:eastAsia="黑体"/>
          <w:color w:val="000000" w:themeColor="text1"/>
          <w:sz w:val="28"/>
          <w:szCs w:val="24"/>
          <w:highlight w:val="none"/>
          <w14:textFill>
            <w14:solidFill>
              <w14:schemeClr w14:val="tx1"/>
            </w14:solidFill>
          </w14:textFill>
        </w:rPr>
        <w:t>附图</w:t>
      </w:r>
    </w:p>
    <w:p>
      <w:pPr>
        <w:spacing w:line="312" w:lineRule="auto"/>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附图</w:t>
      </w:r>
      <w:r>
        <w:rPr>
          <w:color w:val="000000" w:themeColor="text1"/>
          <w:highlight w:val="none"/>
          <w14:textFill>
            <w14:solidFill>
              <w14:schemeClr w14:val="tx1"/>
            </w14:solidFill>
          </w14:textFill>
        </w:rPr>
        <w:t xml:space="preserve">1 </w:t>
      </w:r>
      <w:r>
        <w:rPr>
          <w:rFonts w:hint="eastAsia"/>
          <w:color w:val="000000" w:themeColor="text1"/>
          <w:highlight w:val="none"/>
          <w14:textFill>
            <w14:solidFill>
              <w14:schemeClr w14:val="tx1"/>
            </w14:solidFill>
          </w14:textFill>
        </w:rPr>
        <w:t>项目地理位置图；</w:t>
      </w:r>
    </w:p>
    <w:p>
      <w:pPr>
        <w:spacing w:line="312" w:lineRule="auto"/>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附图</w:t>
      </w:r>
      <w:r>
        <w:rPr>
          <w:color w:val="000000" w:themeColor="text1"/>
          <w:highlight w:val="none"/>
          <w14:textFill>
            <w14:solidFill>
              <w14:schemeClr w14:val="tx1"/>
            </w14:solidFill>
          </w14:textFill>
        </w:rPr>
        <w:t xml:space="preserve">2-1 </w:t>
      </w:r>
      <w:r>
        <w:rPr>
          <w:rFonts w:hint="eastAsia"/>
          <w:color w:val="000000" w:themeColor="text1"/>
          <w:highlight w:val="none"/>
          <w14:textFill>
            <w14:solidFill>
              <w14:schemeClr w14:val="tx1"/>
            </w14:solidFill>
          </w14:textFill>
        </w:rPr>
        <w:t>项目试采站外</w:t>
      </w:r>
      <w:r>
        <w:rPr>
          <w:color w:val="000000" w:themeColor="text1"/>
          <w:highlight w:val="none"/>
          <w14:textFill>
            <w14:solidFill>
              <w14:schemeClr w14:val="tx1"/>
            </w14:solidFill>
          </w14:textFill>
        </w:rPr>
        <w:t>500m</w:t>
      </w:r>
      <w:r>
        <w:rPr>
          <w:rFonts w:hint="eastAsia"/>
          <w:color w:val="000000" w:themeColor="text1"/>
          <w:highlight w:val="none"/>
          <w14:textFill>
            <w14:solidFill>
              <w14:schemeClr w14:val="tx1"/>
            </w14:solidFill>
          </w14:textFill>
        </w:rPr>
        <w:t>范围内敏感点分布图；</w:t>
      </w:r>
    </w:p>
    <w:p>
      <w:pPr>
        <w:spacing w:line="312" w:lineRule="auto"/>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附图</w:t>
      </w:r>
      <w:r>
        <w:rPr>
          <w:color w:val="000000" w:themeColor="text1"/>
          <w:highlight w:val="none"/>
          <w14:textFill>
            <w14:solidFill>
              <w14:schemeClr w14:val="tx1"/>
            </w14:solidFill>
          </w14:textFill>
        </w:rPr>
        <w:t xml:space="preserve">2-2 </w:t>
      </w:r>
      <w:r>
        <w:rPr>
          <w:rFonts w:hint="eastAsia"/>
          <w:color w:val="000000" w:themeColor="text1"/>
          <w:highlight w:val="none"/>
          <w14:textFill>
            <w14:solidFill>
              <w14:schemeClr w14:val="tx1"/>
            </w14:solidFill>
          </w14:textFill>
        </w:rPr>
        <w:t>项目试采站大气评价范围及保护目标分布图（</w:t>
      </w:r>
      <w:r>
        <w:rPr>
          <w:color w:val="000000" w:themeColor="text1"/>
          <w:highlight w:val="none"/>
          <w14:textFill>
            <w14:solidFill>
              <w14:schemeClr w14:val="tx1"/>
            </w14:solidFill>
          </w14:textFill>
        </w:rPr>
        <w:t>5km</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5km</w:t>
      </w:r>
      <w:r>
        <w:rPr>
          <w:rFonts w:hint="eastAsia"/>
          <w:color w:val="000000" w:themeColor="text1"/>
          <w:highlight w:val="none"/>
          <w14:textFill>
            <w14:solidFill>
              <w14:schemeClr w14:val="tx1"/>
            </w14:solidFill>
          </w14:textFill>
        </w:rPr>
        <w:t>范围）；</w:t>
      </w:r>
    </w:p>
    <w:p>
      <w:pPr>
        <w:spacing w:line="312" w:lineRule="auto"/>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附图</w:t>
      </w:r>
      <w:r>
        <w:rPr>
          <w:color w:val="000000" w:themeColor="text1"/>
          <w:highlight w:val="none"/>
          <w14:textFill>
            <w14:solidFill>
              <w14:schemeClr w14:val="tx1"/>
            </w14:solidFill>
          </w14:textFill>
        </w:rPr>
        <w:t xml:space="preserve">3 </w:t>
      </w:r>
      <w:r>
        <w:rPr>
          <w:rFonts w:hint="eastAsia"/>
          <w:color w:val="000000" w:themeColor="text1"/>
          <w:highlight w:val="none"/>
          <w14:textFill>
            <w14:solidFill>
              <w14:schemeClr w14:val="tx1"/>
            </w14:solidFill>
          </w14:textFill>
        </w:rPr>
        <w:t>项目外输管线周边</w:t>
      </w:r>
      <w:r>
        <w:rPr>
          <w:color w:val="000000" w:themeColor="text1"/>
          <w:highlight w:val="none"/>
          <w14:textFill>
            <w14:solidFill>
              <w14:schemeClr w14:val="tx1"/>
            </w14:solidFill>
          </w14:textFill>
        </w:rPr>
        <w:t>200m</w:t>
      </w:r>
      <w:r>
        <w:rPr>
          <w:rFonts w:hint="eastAsia"/>
          <w:color w:val="000000" w:themeColor="text1"/>
          <w:highlight w:val="none"/>
          <w14:textFill>
            <w14:solidFill>
              <w14:schemeClr w14:val="tx1"/>
            </w14:solidFill>
          </w14:textFill>
        </w:rPr>
        <w:t>范围内敏感点分布图；</w:t>
      </w:r>
    </w:p>
    <w:p>
      <w:pPr>
        <w:spacing w:line="312" w:lineRule="auto"/>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附图</w:t>
      </w:r>
      <w:r>
        <w:rPr>
          <w:color w:val="000000" w:themeColor="text1"/>
          <w:highlight w:val="none"/>
          <w14:textFill>
            <w14:solidFill>
              <w14:schemeClr w14:val="tx1"/>
            </w14:solidFill>
          </w14:textFill>
        </w:rPr>
        <w:t xml:space="preserve">4-1~4-3 </w:t>
      </w:r>
      <w:r>
        <w:rPr>
          <w:rFonts w:hint="eastAsia"/>
          <w:color w:val="000000" w:themeColor="text1"/>
          <w:highlight w:val="none"/>
          <w14:textFill>
            <w14:solidFill>
              <w14:schemeClr w14:val="tx1"/>
            </w14:solidFill>
          </w14:textFill>
        </w:rPr>
        <w:t>项目监测布点图；</w:t>
      </w:r>
    </w:p>
    <w:p>
      <w:pPr>
        <w:spacing w:line="312" w:lineRule="auto"/>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附图</w:t>
      </w:r>
      <w:r>
        <w:rPr>
          <w:color w:val="000000" w:themeColor="text1"/>
          <w:highlight w:val="none"/>
          <w14:textFill>
            <w14:solidFill>
              <w14:schemeClr w14:val="tx1"/>
            </w14:solidFill>
          </w14:textFill>
        </w:rPr>
        <w:t xml:space="preserve">5 </w:t>
      </w:r>
      <w:r>
        <w:rPr>
          <w:rFonts w:hint="eastAsia"/>
          <w:color w:val="000000" w:themeColor="text1"/>
          <w:highlight w:val="none"/>
          <w14:textFill>
            <w14:solidFill>
              <w14:schemeClr w14:val="tx1"/>
            </w14:solidFill>
          </w14:textFill>
        </w:rPr>
        <w:t>雷页</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井试采站平面布置及分区防渗图；</w:t>
      </w:r>
    </w:p>
    <w:p>
      <w:pPr>
        <w:spacing w:line="312" w:lineRule="auto"/>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附图</w:t>
      </w:r>
      <w:r>
        <w:rPr>
          <w:color w:val="000000" w:themeColor="text1"/>
          <w:highlight w:val="none"/>
          <w14:textFill>
            <w14:solidFill>
              <w14:schemeClr w14:val="tx1"/>
            </w14:solidFill>
          </w14:textFill>
        </w:rPr>
        <w:t xml:space="preserve">6 </w:t>
      </w:r>
      <w:r>
        <w:rPr>
          <w:rFonts w:hint="eastAsia"/>
          <w:color w:val="000000" w:themeColor="text1"/>
          <w:highlight w:val="none"/>
          <w14:textFill>
            <w14:solidFill>
              <w14:schemeClr w14:val="tx1"/>
            </w14:solidFill>
          </w14:textFill>
        </w:rPr>
        <w:t>项目区水文地质图；</w:t>
      </w:r>
    </w:p>
    <w:p>
      <w:pPr>
        <w:spacing w:line="312" w:lineRule="auto"/>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附图</w:t>
      </w:r>
      <w:r>
        <w:rPr>
          <w:color w:val="000000" w:themeColor="text1"/>
          <w:highlight w:val="none"/>
          <w14:textFill>
            <w14:solidFill>
              <w14:schemeClr w14:val="tx1"/>
            </w14:solidFill>
          </w14:textFill>
        </w:rPr>
        <w:t xml:space="preserve">7 </w:t>
      </w:r>
      <w:r>
        <w:rPr>
          <w:rFonts w:hint="eastAsia"/>
          <w:color w:val="000000" w:themeColor="text1"/>
          <w:highlight w:val="none"/>
          <w14:textFill>
            <w14:solidFill>
              <w14:schemeClr w14:val="tx1"/>
            </w14:solidFill>
          </w14:textFill>
        </w:rPr>
        <w:t>项目与城镇开发边界位置关系图；</w:t>
      </w:r>
    </w:p>
    <w:p>
      <w:pPr>
        <w:spacing w:line="312" w:lineRule="auto"/>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附图</w:t>
      </w:r>
      <w:r>
        <w:rPr>
          <w:color w:val="000000" w:themeColor="text1"/>
          <w:highlight w:val="none"/>
          <w14:textFill>
            <w14:solidFill>
              <w14:schemeClr w14:val="tx1"/>
            </w14:solidFill>
          </w14:textFill>
        </w:rPr>
        <w:t xml:space="preserve">8 </w:t>
      </w:r>
      <w:r>
        <w:rPr>
          <w:rFonts w:hint="eastAsia"/>
          <w:color w:val="000000" w:themeColor="text1"/>
          <w:highlight w:val="none"/>
          <w14:textFill>
            <w14:solidFill>
              <w14:schemeClr w14:val="tx1"/>
            </w14:solidFill>
          </w14:textFill>
        </w:rPr>
        <w:t>项目与生态保护红线位置关系图；</w:t>
      </w:r>
    </w:p>
    <w:p>
      <w:pPr>
        <w:spacing w:line="312" w:lineRule="auto"/>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附图</w:t>
      </w:r>
      <w:r>
        <w:rPr>
          <w:color w:val="000000" w:themeColor="text1"/>
          <w:highlight w:val="none"/>
          <w14:textFill>
            <w14:solidFill>
              <w14:schemeClr w14:val="tx1"/>
            </w14:solidFill>
          </w14:textFill>
        </w:rPr>
        <w:t xml:space="preserve">9 </w:t>
      </w:r>
      <w:r>
        <w:rPr>
          <w:rFonts w:hint="eastAsia"/>
          <w:color w:val="000000" w:themeColor="text1"/>
          <w:highlight w:val="none"/>
          <w14:textFill>
            <w14:solidFill>
              <w14:schemeClr w14:val="tx1"/>
            </w14:solidFill>
          </w14:textFill>
        </w:rPr>
        <w:t>项目与基本农田位置关系图；</w:t>
      </w:r>
    </w:p>
    <w:p>
      <w:pPr>
        <w:spacing w:line="312" w:lineRule="auto"/>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附图</w:t>
      </w:r>
      <w:r>
        <w:rPr>
          <w:color w:val="000000" w:themeColor="text1"/>
          <w:highlight w:val="none"/>
          <w14:textFill>
            <w14:solidFill>
              <w14:schemeClr w14:val="tx1"/>
            </w14:solidFill>
          </w14:textFill>
        </w:rPr>
        <w:t xml:space="preserve">10 -1~10-8 </w:t>
      </w:r>
      <w:r>
        <w:rPr>
          <w:rFonts w:hint="eastAsia"/>
          <w:color w:val="000000" w:themeColor="text1"/>
          <w:highlight w:val="none"/>
          <w14:textFill>
            <w14:solidFill>
              <w14:schemeClr w14:val="tx1"/>
            </w14:solidFill>
          </w14:textFill>
        </w:rPr>
        <w:t>项目生态图件；</w:t>
      </w:r>
    </w:p>
    <w:p>
      <w:pPr>
        <w:spacing w:line="312" w:lineRule="auto"/>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附图</w:t>
      </w:r>
      <w:r>
        <w:rPr>
          <w:color w:val="000000" w:themeColor="text1"/>
          <w:highlight w:val="none"/>
          <w14:textFill>
            <w14:solidFill>
              <w14:schemeClr w14:val="tx1"/>
            </w14:solidFill>
          </w14:textFill>
        </w:rPr>
        <w:t xml:space="preserve">11-1 </w:t>
      </w:r>
      <w:r>
        <w:rPr>
          <w:rFonts w:hint="eastAsia"/>
          <w:color w:val="000000" w:themeColor="text1"/>
          <w:highlight w:val="none"/>
          <w14:textFill>
            <w14:solidFill>
              <w14:schemeClr w14:val="tx1"/>
            </w14:solidFill>
          </w14:textFill>
        </w:rPr>
        <w:t>项目与宣汉县水土保持重点防治区位置关系图；</w:t>
      </w:r>
    </w:p>
    <w:p>
      <w:pPr>
        <w:spacing w:line="312" w:lineRule="auto"/>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附图</w:t>
      </w:r>
      <w:r>
        <w:rPr>
          <w:color w:val="000000" w:themeColor="text1"/>
          <w:highlight w:val="none"/>
          <w14:textFill>
            <w14:solidFill>
              <w14:schemeClr w14:val="tx1"/>
            </w14:solidFill>
          </w14:textFill>
        </w:rPr>
        <w:t xml:space="preserve">11-2 </w:t>
      </w:r>
      <w:r>
        <w:rPr>
          <w:rFonts w:hint="eastAsia"/>
          <w:color w:val="000000" w:themeColor="text1"/>
          <w:highlight w:val="none"/>
          <w14:textFill>
            <w14:solidFill>
              <w14:schemeClr w14:val="tx1"/>
            </w14:solidFill>
          </w14:textFill>
        </w:rPr>
        <w:t>项目与通川区水土保持重点防治区位置关系图；</w:t>
      </w:r>
    </w:p>
    <w:p>
      <w:pPr>
        <w:spacing w:line="312" w:lineRule="auto"/>
        <w:ind w:firstLine="480"/>
        <w:rPr>
          <w:rFonts w:eastAsia="黑体"/>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附图</w:t>
      </w:r>
      <w:r>
        <w:rPr>
          <w:color w:val="000000" w:themeColor="text1"/>
          <w:highlight w:val="none"/>
          <w14:textFill>
            <w14:solidFill>
              <w14:schemeClr w14:val="tx1"/>
            </w14:solidFill>
          </w14:textFill>
        </w:rPr>
        <w:t xml:space="preserve">12 </w:t>
      </w:r>
      <w:r>
        <w:rPr>
          <w:rFonts w:hint="eastAsia"/>
          <w:color w:val="000000" w:themeColor="text1"/>
          <w:highlight w:val="none"/>
          <w14:textFill>
            <w14:solidFill>
              <w14:schemeClr w14:val="tx1"/>
            </w14:solidFill>
          </w14:textFill>
        </w:rPr>
        <w:t>项目区域水系图。</w:t>
      </w:r>
    </w:p>
    <w:p>
      <w:pPr>
        <w:spacing w:line="312" w:lineRule="auto"/>
        <w:ind w:firstLine="480"/>
        <w:rPr>
          <w:rFonts w:eastAsia="黑体"/>
          <w:color w:val="000000" w:themeColor="text1"/>
          <w:highlight w:val="none"/>
          <w14:textFill>
            <w14:solidFill>
              <w14:schemeClr w14:val="tx1"/>
            </w14:solidFill>
          </w14:textFill>
        </w:rPr>
      </w:pPr>
    </w:p>
    <w:p>
      <w:pPr>
        <w:spacing w:line="312" w:lineRule="auto"/>
        <w:ind w:firstLine="560"/>
        <w:jc w:val="center"/>
        <w:rPr>
          <w:rFonts w:eastAsia="黑体"/>
          <w:color w:val="000000" w:themeColor="text1"/>
          <w:highlight w:val="none"/>
          <w14:textFill>
            <w14:solidFill>
              <w14:schemeClr w14:val="tx1"/>
            </w14:solidFill>
          </w14:textFill>
        </w:rPr>
      </w:pPr>
      <w:r>
        <w:rPr>
          <w:rFonts w:hint="eastAsia" w:eastAsia="黑体"/>
          <w:color w:val="000000" w:themeColor="text1"/>
          <w:sz w:val="28"/>
          <w:szCs w:val="24"/>
          <w:highlight w:val="none"/>
          <w14:textFill>
            <w14:solidFill>
              <w14:schemeClr w14:val="tx1"/>
            </w14:solidFill>
          </w14:textFill>
        </w:rPr>
        <w:t>附件</w:t>
      </w:r>
    </w:p>
    <w:p>
      <w:pPr>
        <w:spacing w:line="312" w:lineRule="auto"/>
        <w:ind w:left="1133" w:leftChars="177" w:hanging="708" w:hangingChars="295"/>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附件</w:t>
      </w:r>
      <w:r>
        <w:rPr>
          <w:color w:val="000000" w:themeColor="text1"/>
          <w:highlight w:val="none"/>
          <w14:textFill>
            <w14:solidFill>
              <w14:schemeClr w14:val="tx1"/>
            </w14:solidFill>
          </w14:textFill>
        </w:rPr>
        <w:t xml:space="preserve">1 </w:t>
      </w:r>
      <w:r>
        <w:rPr>
          <w:rFonts w:hint="eastAsia"/>
          <w:color w:val="000000" w:themeColor="text1"/>
          <w:highlight w:val="none"/>
          <w14:textFill>
            <w14:solidFill>
              <w14:schemeClr w14:val="tx1"/>
            </w14:solidFill>
          </w14:textFill>
        </w:rPr>
        <w:t>项目委托书；</w:t>
      </w:r>
    </w:p>
    <w:p>
      <w:pPr>
        <w:spacing w:line="312" w:lineRule="auto"/>
        <w:ind w:left="1133" w:leftChars="177" w:hanging="708" w:hangingChars="295"/>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附件</w:t>
      </w:r>
      <w:r>
        <w:rPr>
          <w:color w:val="000000" w:themeColor="text1"/>
          <w:highlight w:val="none"/>
          <w14:textFill>
            <w14:solidFill>
              <w14:schemeClr w14:val="tx1"/>
            </w14:solidFill>
          </w14:textFill>
        </w:rPr>
        <w:t xml:space="preserve">2 </w:t>
      </w:r>
      <w:r>
        <w:rPr>
          <w:rFonts w:hint="eastAsia"/>
          <w:color w:val="000000" w:themeColor="text1"/>
          <w:highlight w:val="none"/>
          <w14:textFill>
            <w14:solidFill>
              <w14:schemeClr w14:val="tx1"/>
            </w14:solidFill>
          </w14:textFill>
        </w:rPr>
        <w:t>项目可研批复；</w:t>
      </w:r>
    </w:p>
    <w:bookmarkEnd w:id="0"/>
    <w:bookmarkEnd w:id="1"/>
    <w:p>
      <w:pPr>
        <w:pStyle w:val="19"/>
        <w:adjustRightInd w:val="0"/>
        <w:snapToGrid w:val="0"/>
        <w:spacing w:before="0" w:line="360" w:lineRule="auto"/>
        <w:ind w:left="1133" w:leftChars="177" w:hanging="708" w:hangingChars="295"/>
        <w:rPr>
          <w:rFonts w:ascii="Times New Roman" w:hAnsi="Times New Roman"/>
          <w:color w:val="000000" w:themeColor="text1"/>
          <w:highlight w:val="none"/>
          <w:lang w:eastAsia="zh-CN"/>
          <w14:textFill>
            <w14:solidFill>
              <w14:schemeClr w14:val="tx1"/>
            </w14:solidFill>
          </w14:textFill>
        </w:rPr>
      </w:pPr>
      <w:r>
        <w:rPr>
          <w:rFonts w:hint="eastAsia" w:ascii="Times New Roman" w:hAnsi="Times New Roman"/>
          <w:color w:val="000000" w:themeColor="text1"/>
          <w:highlight w:val="none"/>
          <w:lang w:eastAsia="zh-CN"/>
          <w14:textFill>
            <w14:solidFill>
              <w14:schemeClr w14:val="tx1"/>
            </w14:solidFill>
          </w14:textFill>
        </w:rPr>
        <w:t>附件</w:t>
      </w:r>
      <w:r>
        <w:rPr>
          <w:rFonts w:ascii="Times New Roman" w:hAnsi="Times New Roman"/>
          <w:color w:val="000000" w:themeColor="text1"/>
          <w:highlight w:val="none"/>
          <w:lang w:eastAsia="zh-CN"/>
          <w14:textFill>
            <w14:solidFill>
              <w14:schemeClr w14:val="tx1"/>
            </w14:solidFill>
          </w14:textFill>
        </w:rPr>
        <w:t xml:space="preserve">3-1 </w:t>
      </w:r>
      <w:r>
        <w:rPr>
          <w:rFonts w:hint="eastAsia" w:ascii="Times New Roman" w:hAnsi="Times New Roman"/>
          <w:color w:val="000000" w:themeColor="text1"/>
          <w:highlight w:val="none"/>
          <w:lang w:eastAsia="zh-CN"/>
          <w14:textFill>
            <w14:solidFill>
              <w14:schemeClr w14:val="tx1"/>
            </w14:solidFill>
          </w14:textFill>
        </w:rPr>
        <w:t>雷页</w:t>
      </w:r>
      <w:r>
        <w:rPr>
          <w:rFonts w:ascii="Times New Roman" w:hAnsi="Times New Roman"/>
          <w:color w:val="000000" w:themeColor="text1"/>
          <w:highlight w:val="none"/>
          <w:lang w:eastAsia="zh-CN"/>
          <w14:textFill>
            <w14:solidFill>
              <w14:schemeClr w14:val="tx1"/>
            </w14:solidFill>
          </w14:textFill>
        </w:rPr>
        <w:t>1</w:t>
      </w:r>
      <w:r>
        <w:rPr>
          <w:rFonts w:hint="eastAsia" w:ascii="Times New Roman" w:hAnsi="Times New Roman"/>
          <w:color w:val="000000" w:themeColor="text1"/>
          <w:highlight w:val="none"/>
          <w:lang w:eastAsia="zh-CN"/>
          <w14:textFill>
            <w14:solidFill>
              <w14:schemeClr w14:val="tx1"/>
            </w14:solidFill>
          </w14:textFill>
        </w:rPr>
        <w:t>井钻探工程环评批复；</w:t>
      </w:r>
    </w:p>
    <w:p>
      <w:pPr>
        <w:pStyle w:val="19"/>
        <w:adjustRightInd w:val="0"/>
        <w:snapToGrid w:val="0"/>
        <w:spacing w:before="0" w:line="360" w:lineRule="auto"/>
        <w:ind w:left="1133" w:leftChars="177" w:hanging="708" w:hangingChars="295"/>
        <w:rPr>
          <w:rFonts w:ascii="Times New Roman" w:hAnsi="Times New Roman"/>
          <w:color w:val="000000" w:themeColor="text1"/>
          <w:highlight w:val="none"/>
          <w:lang w:eastAsia="zh-CN"/>
          <w14:textFill>
            <w14:solidFill>
              <w14:schemeClr w14:val="tx1"/>
            </w14:solidFill>
          </w14:textFill>
        </w:rPr>
      </w:pPr>
      <w:r>
        <w:rPr>
          <w:rFonts w:hint="eastAsia" w:ascii="Times New Roman" w:hAnsi="Times New Roman"/>
          <w:color w:val="000000" w:themeColor="text1"/>
          <w:highlight w:val="none"/>
          <w:lang w:eastAsia="zh-CN"/>
          <w14:textFill>
            <w14:solidFill>
              <w14:schemeClr w14:val="tx1"/>
            </w14:solidFill>
          </w14:textFill>
        </w:rPr>
        <w:t>附件</w:t>
      </w:r>
      <w:r>
        <w:rPr>
          <w:rFonts w:ascii="Times New Roman" w:hAnsi="Times New Roman"/>
          <w:color w:val="000000" w:themeColor="text1"/>
          <w:highlight w:val="none"/>
          <w:lang w:eastAsia="zh-CN"/>
          <w14:textFill>
            <w14:solidFill>
              <w14:schemeClr w14:val="tx1"/>
            </w14:solidFill>
          </w14:textFill>
        </w:rPr>
        <w:t>3-2</w:t>
      </w:r>
      <w:r>
        <w:rPr>
          <w:rFonts w:hint="eastAsia" w:ascii="Times New Roman" w:hAnsi="Times New Roman"/>
          <w:color w:val="000000" w:themeColor="text1"/>
          <w:highlight w:val="none"/>
          <w:lang w:eastAsia="zh-CN"/>
          <w14:textFill>
            <w14:solidFill>
              <w14:schemeClr w14:val="tx1"/>
            </w14:solidFill>
          </w14:textFill>
        </w:rPr>
        <w:t>雷页</w:t>
      </w:r>
      <w:r>
        <w:rPr>
          <w:rFonts w:ascii="Times New Roman" w:hAnsi="Times New Roman"/>
          <w:color w:val="000000" w:themeColor="text1"/>
          <w:highlight w:val="none"/>
          <w:lang w:eastAsia="zh-CN"/>
          <w14:textFill>
            <w14:solidFill>
              <w14:schemeClr w14:val="tx1"/>
            </w14:solidFill>
          </w14:textFill>
        </w:rPr>
        <w:t>1</w:t>
      </w:r>
      <w:r>
        <w:rPr>
          <w:rFonts w:hint="eastAsia" w:ascii="Times New Roman" w:hAnsi="Times New Roman"/>
          <w:color w:val="000000" w:themeColor="text1"/>
          <w:highlight w:val="none"/>
          <w:lang w:eastAsia="zh-CN"/>
          <w14:textFill>
            <w14:solidFill>
              <w14:schemeClr w14:val="tx1"/>
            </w14:solidFill>
          </w14:textFill>
        </w:rPr>
        <w:t>井钻探工程验收意见；</w:t>
      </w:r>
    </w:p>
    <w:p>
      <w:pPr>
        <w:pStyle w:val="19"/>
        <w:adjustRightInd w:val="0"/>
        <w:snapToGrid w:val="0"/>
        <w:spacing w:before="0" w:line="360" w:lineRule="auto"/>
        <w:ind w:left="1133" w:leftChars="177" w:hanging="708" w:hangingChars="295"/>
        <w:rPr>
          <w:rFonts w:ascii="Times New Roman" w:hAnsi="Times New Roman"/>
          <w:color w:val="000000" w:themeColor="text1"/>
          <w:highlight w:val="none"/>
          <w:lang w:eastAsia="zh-CN"/>
          <w14:textFill>
            <w14:solidFill>
              <w14:schemeClr w14:val="tx1"/>
            </w14:solidFill>
          </w14:textFill>
        </w:rPr>
      </w:pPr>
      <w:r>
        <w:rPr>
          <w:rFonts w:hint="eastAsia" w:ascii="Times New Roman" w:hAnsi="Times New Roman"/>
          <w:color w:val="000000" w:themeColor="text1"/>
          <w:highlight w:val="none"/>
          <w:lang w:eastAsia="zh-CN"/>
          <w14:textFill>
            <w14:solidFill>
              <w14:schemeClr w14:val="tx1"/>
            </w14:solidFill>
          </w14:textFill>
        </w:rPr>
        <w:t>附件</w:t>
      </w:r>
      <w:r>
        <w:rPr>
          <w:rFonts w:ascii="Times New Roman" w:hAnsi="Times New Roman"/>
          <w:color w:val="000000" w:themeColor="text1"/>
          <w:highlight w:val="none"/>
          <w:lang w:eastAsia="zh-CN"/>
          <w14:textFill>
            <w14:solidFill>
              <w14:schemeClr w14:val="tx1"/>
            </w14:solidFill>
          </w14:textFill>
        </w:rPr>
        <w:t xml:space="preserve">3-3 </w:t>
      </w:r>
      <w:r>
        <w:rPr>
          <w:rFonts w:hint="eastAsia" w:ascii="Times New Roman" w:hAnsi="Times New Roman"/>
          <w:color w:val="000000" w:themeColor="text1"/>
          <w:highlight w:val="none"/>
          <w:lang w:eastAsia="zh-CN"/>
          <w14:textFill>
            <w14:solidFill>
              <w14:schemeClr w14:val="tx1"/>
            </w14:solidFill>
          </w14:textFill>
        </w:rPr>
        <w:t>雷页</w:t>
      </w:r>
      <w:r>
        <w:rPr>
          <w:rFonts w:ascii="Times New Roman" w:hAnsi="Times New Roman"/>
          <w:color w:val="000000" w:themeColor="text1"/>
          <w:highlight w:val="none"/>
          <w:lang w:eastAsia="zh-CN"/>
          <w14:textFill>
            <w14:solidFill>
              <w14:schemeClr w14:val="tx1"/>
            </w14:solidFill>
          </w14:textFill>
        </w:rPr>
        <w:t>1</w:t>
      </w:r>
      <w:r>
        <w:rPr>
          <w:rFonts w:hint="eastAsia" w:ascii="Times New Roman" w:hAnsi="Times New Roman"/>
          <w:color w:val="000000" w:themeColor="text1"/>
          <w:highlight w:val="none"/>
          <w:lang w:eastAsia="zh-CN"/>
          <w14:textFill>
            <w14:solidFill>
              <w14:schemeClr w14:val="tx1"/>
            </w14:solidFill>
          </w14:textFill>
        </w:rPr>
        <w:t>井天然气回收工程环评批复；</w:t>
      </w:r>
    </w:p>
    <w:p>
      <w:pPr>
        <w:pStyle w:val="19"/>
        <w:adjustRightInd w:val="0"/>
        <w:snapToGrid w:val="0"/>
        <w:spacing w:before="0" w:line="360" w:lineRule="auto"/>
        <w:ind w:left="1133" w:leftChars="177" w:hanging="708" w:hangingChars="295"/>
        <w:rPr>
          <w:rFonts w:ascii="Times New Roman" w:hAnsi="Times New Roman"/>
          <w:color w:val="000000" w:themeColor="text1"/>
          <w:highlight w:val="none"/>
          <w:lang w:eastAsia="zh-CN"/>
          <w14:textFill>
            <w14:solidFill>
              <w14:schemeClr w14:val="tx1"/>
            </w14:solidFill>
          </w14:textFill>
        </w:rPr>
      </w:pPr>
      <w:r>
        <w:rPr>
          <w:rFonts w:hint="eastAsia" w:ascii="Times New Roman" w:hAnsi="Times New Roman"/>
          <w:color w:val="000000" w:themeColor="text1"/>
          <w:highlight w:val="none"/>
          <w:lang w:eastAsia="zh-CN"/>
          <w14:textFill>
            <w14:solidFill>
              <w14:schemeClr w14:val="tx1"/>
            </w14:solidFill>
          </w14:textFill>
        </w:rPr>
        <w:t>附件</w:t>
      </w:r>
      <w:r>
        <w:rPr>
          <w:rFonts w:ascii="Times New Roman" w:hAnsi="Times New Roman"/>
          <w:color w:val="000000" w:themeColor="text1"/>
          <w:highlight w:val="none"/>
          <w:lang w:eastAsia="zh-CN"/>
          <w14:textFill>
            <w14:solidFill>
              <w14:schemeClr w14:val="tx1"/>
            </w14:solidFill>
          </w14:textFill>
        </w:rPr>
        <w:t xml:space="preserve">4 </w:t>
      </w:r>
      <w:r>
        <w:rPr>
          <w:rFonts w:hint="eastAsia" w:ascii="Times New Roman" w:hAnsi="Times New Roman"/>
          <w:color w:val="000000" w:themeColor="text1"/>
          <w:highlight w:val="none"/>
          <w:lang w:eastAsia="zh-CN"/>
          <w14:textFill>
            <w14:solidFill>
              <w14:schemeClr w14:val="tx1"/>
            </w14:solidFill>
          </w14:textFill>
        </w:rPr>
        <w:t>天然气气质组分报告；</w:t>
      </w:r>
    </w:p>
    <w:p>
      <w:pPr>
        <w:pStyle w:val="19"/>
        <w:adjustRightInd w:val="0"/>
        <w:snapToGrid w:val="0"/>
        <w:spacing w:before="0" w:line="360" w:lineRule="auto"/>
        <w:ind w:left="1133" w:leftChars="177" w:hanging="708" w:hangingChars="295"/>
        <w:rPr>
          <w:rFonts w:ascii="Times New Roman" w:hAnsi="Times New Roman"/>
          <w:color w:val="000000" w:themeColor="text1"/>
          <w:highlight w:val="none"/>
          <w:lang w:eastAsia="zh-CN"/>
          <w14:textFill>
            <w14:solidFill>
              <w14:schemeClr w14:val="tx1"/>
            </w14:solidFill>
          </w14:textFill>
        </w:rPr>
      </w:pPr>
      <w:r>
        <w:rPr>
          <w:rFonts w:hint="eastAsia" w:ascii="Times New Roman" w:hAnsi="Times New Roman"/>
          <w:color w:val="000000" w:themeColor="text1"/>
          <w:highlight w:val="none"/>
          <w:lang w:eastAsia="zh-CN"/>
          <w14:textFill>
            <w14:solidFill>
              <w14:schemeClr w14:val="tx1"/>
            </w14:solidFill>
          </w14:textFill>
        </w:rPr>
        <w:t>附件</w:t>
      </w:r>
      <w:r>
        <w:rPr>
          <w:rFonts w:ascii="Times New Roman" w:hAnsi="Times New Roman"/>
          <w:color w:val="000000" w:themeColor="text1"/>
          <w:highlight w:val="none"/>
          <w:lang w:eastAsia="zh-CN"/>
          <w14:textFill>
            <w14:solidFill>
              <w14:schemeClr w14:val="tx1"/>
            </w14:solidFill>
          </w14:textFill>
        </w:rPr>
        <w:t xml:space="preserve">5-1 </w:t>
      </w:r>
      <w:r>
        <w:rPr>
          <w:rFonts w:hint="eastAsia" w:ascii="Times New Roman" w:hAnsi="Times New Roman"/>
          <w:color w:val="000000" w:themeColor="text1"/>
          <w:highlight w:val="none"/>
          <w:lang w:eastAsia="zh-CN"/>
          <w14:textFill>
            <w14:solidFill>
              <w14:schemeClr w14:val="tx1"/>
            </w14:solidFill>
          </w14:textFill>
        </w:rPr>
        <w:t>雷页</w:t>
      </w:r>
      <w:r>
        <w:rPr>
          <w:rFonts w:ascii="Times New Roman" w:hAnsi="Times New Roman"/>
          <w:color w:val="000000" w:themeColor="text1"/>
          <w:highlight w:val="none"/>
          <w:lang w:eastAsia="zh-CN"/>
          <w14:textFill>
            <w14:solidFill>
              <w14:schemeClr w14:val="tx1"/>
            </w14:solidFill>
          </w14:textFill>
        </w:rPr>
        <w:t>1</w:t>
      </w:r>
      <w:r>
        <w:rPr>
          <w:rFonts w:hint="eastAsia" w:ascii="Times New Roman" w:hAnsi="Times New Roman"/>
          <w:color w:val="000000" w:themeColor="text1"/>
          <w:highlight w:val="none"/>
          <w:lang w:eastAsia="zh-CN"/>
          <w14:textFill>
            <w14:solidFill>
              <w14:schemeClr w14:val="tx1"/>
            </w14:solidFill>
          </w14:textFill>
        </w:rPr>
        <w:t>井试采地面工程环境影响评价监测报告；</w:t>
      </w:r>
    </w:p>
    <w:p>
      <w:pPr>
        <w:pStyle w:val="19"/>
        <w:adjustRightInd w:val="0"/>
        <w:snapToGrid w:val="0"/>
        <w:spacing w:before="0" w:line="360" w:lineRule="auto"/>
        <w:ind w:left="1133" w:leftChars="177" w:hanging="708" w:hangingChars="295"/>
        <w:rPr>
          <w:rFonts w:ascii="Times New Roman" w:hAnsi="Times New Roman"/>
          <w:color w:val="000000" w:themeColor="text1"/>
          <w:highlight w:val="none"/>
          <w:lang w:eastAsia="zh-CN"/>
          <w14:textFill>
            <w14:solidFill>
              <w14:schemeClr w14:val="tx1"/>
            </w14:solidFill>
          </w14:textFill>
        </w:rPr>
      </w:pPr>
      <w:r>
        <w:rPr>
          <w:rFonts w:hint="eastAsia" w:ascii="Times New Roman" w:hAnsi="Times New Roman"/>
          <w:color w:val="000000" w:themeColor="text1"/>
          <w:highlight w:val="none"/>
          <w:lang w:eastAsia="zh-CN"/>
          <w14:textFill>
            <w14:solidFill>
              <w14:schemeClr w14:val="tx1"/>
            </w14:solidFill>
          </w14:textFill>
        </w:rPr>
        <w:t>附件</w:t>
      </w:r>
      <w:r>
        <w:rPr>
          <w:rFonts w:ascii="Times New Roman" w:hAnsi="Times New Roman"/>
          <w:color w:val="000000" w:themeColor="text1"/>
          <w:highlight w:val="none"/>
          <w:lang w:eastAsia="zh-CN"/>
          <w14:textFill>
            <w14:solidFill>
              <w14:schemeClr w14:val="tx1"/>
            </w14:solidFill>
          </w14:textFill>
        </w:rPr>
        <w:t xml:space="preserve">5-2 </w:t>
      </w:r>
      <w:r>
        <w:rPr>
          <w:rFonts w:hint="eastAsia" w:ascii="Times New Roman" w:hAnsi="Times New Roman"/>
          <w:color w:val="000000" w:themeColor="text1"/>
          <w:highlight w:val="none"/>
          <w:lang w:eastAsia="zh-CN"/>
          <w14:textFill>
            <w14:solidFill>
              <w14:schemeClr w14:val="tx1"/>
            </w14:solidFill>
          </w14:textFill>
        </w:rPr>
        <w:t>引用雷页</w:t>
      </w:r>
      <w:r>
        <w:rPr>
          <w:rFonts w:ascii="Times New Roman" w:hAnsi="Times New Roman"/>
          <w:color w:val="000000" w:themeColor="text1"/>
          <w:highlight w:val="none"/>
          <w:lang w:eastAsia="zh-CN"/>
          <w14:textFill>
            <w14:solidFill>
              <w14:schemeClr w14:val="tx1"/>
            </w14:solidFill>
          </w14:textFill>
        </w:rPr>
        <w:t>1</w:t>
      </w:r>
      <w:r>
        <w:rPr>
          <w:rFonts w:hint="eastAsia" w:ascii="Times New Roman" w:hAnsi="Times New Roman"/>
          <w:color w:val="000000" w:themeColor="text1"/>
          <w:highlight w:val="none"/>
          <w:lang w:eastAsia="zh-CN"/>
          <w14:textFill>
            <w14:solidFill>
              <w14:schemeClr w14:val="tx1"/>
            </w14:solidFill>
          </w14:textFill>
        </w:rPr>
        <w:t>井天然气回收工程环境影响评价监测报告；</w:t>
      </w:r>
    </w:p>
    <w:p>
      <w:pPr>
        <w:ind w:left="1133" w:leftChars="177" w:hanging="708" w:hangingChars="295"/>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附件</w:t>
      </w:r>
      <w:r>
        <w:rPr>
          <w:color w:val="000000" w:themeColor="text1"/>
          <w:highlight w:val="none"/>
          <w14:textFill>
            <w14:solidFill>
              <w14:schemeClr w14:val="tx1"/>
            </w14:solidFill>
          </w14:textFill>
        </w:rPr>
        <w:t xml:space="preserve">6 </w:t>
      </w:r>
      <w:r>
        <w:rPr>
          <w:rFonts w:hint="eastAsia"/>
          <w:color w:val="000000" w:themeColor="text1"/>
          <w:highlight w:val="none"/>
          <w14:textFill>
            <w14:solidFill>
              <w14:schemeClr w14:val="tx1"/>
            </w14:solidFill>
          </w14:textFill>
        </w:rPr>
        <w:t>水土流失区划文件；</w:t>
      </w:r>
    </w:p>
    <w:p>
      <w:pPr>
        <w:pStyle w:val="19"/>
        <w:adjustRightInd w:val="0"/>
        <w:snapToGrid w:val="0"/>
        <w:spacing w:before="0" w:line="360" w:lineRule="auto"/>
        <w:ind w:left="1133" w:leftChars="177" w:hanging="708" w:hangingChars="295"/>
        <w:rPr>
          <w:rFonts w:ascii="Times New Roman" w:hAnsi="Times New Roman"/>
          <w:color w:val="000000" w:themeColor="text1"/>
          <w:highlight w:val="none"/>
          <w:lang w:eastAsia="zh-CN"/>
          <w14:textFill>
            <w14:solidFill>
              <w14:schemeClr w14:val="tx1"/>
            </w14:solidFill>
          </w14:textFill>
        </w:rPr>
      </w:pPr>
      <w:r>
        <w:rPr>
          <w:rFonts w:hint="eastAsia" w:ascii="Times New Roman" w:hAnsi="Times New Roman"/>
          <w:color w:val="000000" w:themeColor="text1"/>
          <w:highlight w:val="none"/>
          <w:lang w:eastAsia="zh-CN"/>
          <w14:textFill>
            <w14:solidFill>
              <w14:schemeClr w14:val="tx1"/>
            </w14:solidFill>
          </w14:textFill>
        </w:rPr>
        <w:t>附件</w:t>
      </w:r>
      <w:r>
        <w:rPr>
          <w:rFonts w:ascii="Times New Roman" w:hAnsi="Times New Roman"/>
          <w:color w:val="000000" w:themeColor="text1"/>
          <w:highlight w:val="none"/>
          <w:lang w:eastAsia="zh-CN"/>
          <w14:textFill>
            <w14:solidFill>
              <w14:schemeClr w14:val="tx1"/>
            </w14:solidFill>
          </w14:textFill>
        </w:rPr>
        <w:t>7-1 1</w:t>
      </w:r>
      <w:r>
        <w:rPr>
          <w:rFonts w:hint="eastAsia" w:ascii="Times New Roman" w:hAnsi="Times New Roman"/>
          <w:color w:val="000000" w:themeColor="text1"/>
          <w:highlight w:val="none"/>
          <w:lang w:eastAsia="zh-CN"/>
          <w14:textFill>
            <w14:solidFill>
              <w14:schemeClr w14:val="tx1"/>
            </w14:solidFill>
          </w14:textFill>
        </w:rPr>
        <w:t>号气田水处理站（赵家坝污水处理站）改造工程环评批复；</w:t>
      </w:r>
    </w:p>
    <w:p>
      <w:pPr>
        <w:ind w:left="1133" w:leftChars="177" w:hanging="708" w:hangingChars="295"/>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附件</w:t>
      </w:r>
      <w:r>
        <w:rPr>
          <w:color w:val="000000" w:themeColor="text1"/>
          <w:highlight w:val="none"/>
          <w14:textFill>
            <w14:solidFill>
              <w14:schemeClr w14:val="tx1"/>
            </w14:solidFill>
          </w14:textFill>
        </w:rPr>
        <w:t>7-2 1</w:t>
      </w:r>
      <w:r>
        <w:rPr>
          <w:rFonts w:hint="eastAsia"/>
          <w:color w:val="000000" w:themeColor="text1"/>
          <w:highlight w:val="none"/>
          <w14:textFill>
            <w14:solidFill>
              <w14:schemeClr w14:val="tx1"/>
            </w14:solidFill>
          </w14:textFill>
        </w:rPr>
        <w:t>号气田水处理站（赵家坝污水处理站）改造工程验收意见；</w:t>
      </w:r>
    </w:p>
    <w:p>
      <w:pPr>
        <w:ind w:left="1133" w:leftChars="177" w:hanging="708" w:hangingChars="295"/>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附件</w:t>
      </w:r>
      <w:r>
        <w:rPr>
          <w:color w:val="000000" w:themeColor="text1"/>
          <w:highlight w:val="none"/>
          <w14:textFill>
            <w14:solidFill>
              <w14:schemeClr w14:val="tx1"/>
            </w14:solidFill>
          </w14:textFill>
        </w:rPr>
        <w:t xml:space="preserve">8-1 </w:t>
      </w:r>
      <w:r>
        <w:rPr>
          <w:rFonts w:hint="eastAsia"/>
          <w:color w:val="000000" w:themeColor="text1"/>
          <w:highlight w:val="none"/>
          <w14:textFill>
            <w14:solidFill>
              <w14:schemeClr w14:val="tx1"/>
            </w14:solidFill>
          </w14:textFill>
        </w:rPr>
        <w:t>普光</w:t>
      </w:r>
      <w:r>
        <w:rPr>
          <w:color w:val="000000" w:themeColor="text1"/>
          <w:highlight w:val="none"/>
          <w14:textFill>
            <w14:solidFill>
              <w14:schemeClr w14:val="tx1"/>
            </w14:solidFill>
          </w14:textFill>
        </w:rPr>
        <w:t>3</w:t>
      </w:r>
      <w:r>
        <w:rPr>
          <w:rFonts w:hint="eastAsia"/>
          <w:color w:val="000000" w:themeColor="text1"/>
          <w:highlight w:val="none"/>
          <w14:textFill>
            <w14:solidFill>
              <w14:schemeClr w14:val="tx1"/>
            </w14:solidFill>
          </w14:textFill>
        </w:rPr>
        <w:t>井回注工程环评批复；</w:t>
      </w:r>
    </w:p>
    <w:p>
      <w:pPr>
        <w:ind w:left="1133" w:leftChars="177" w:hanging="708" w:hangingChars="295"/>
        <w:rPr>
          <w:rFonts w:cs="Times New Roman"/>
          <w:color w:val="000000" w:themeColor="text1"/>
          <w:highlight w:val="none"/>
          <w14:textFill>
            <w14:solidFill>
              <w14:schemeClr w14:val="tx1"/>
            </w14:solidFill>
          </w14:textFill>
        </w:rPr>
        <w:sectPr>
          <w:headerReference r:id="rId11" w:type="default"/>
          <w:footerReference r:id="rId12" w:type="default"/>
          <w:footerReference r:id="rId13" w:type="even"/>
          <w:type w:val="nextColumn"/>
          <w:pgSz w:w="11910" w:h="16840"/>
          <w:pgMar w:top="1440" w:right="1800" w:bottom="1440" w:left="1800" w:header="964" w:footer="964" w:gutter="0"/>
          <w:pgNumType w:fmt="upperRoman" w:start="1"/>
          <w:cols w:space="720" w:num="1"/>
          <w:docGrid w:linePitch="326" w:charSpace="0"/>
        </w:sectPr>
      </w:pPr>
      <w:r>
        <w:rPr>
          <w:rFonts w:hint="eastAsia"/>
          <w:color w:val="000000" w:themeColor="text1"/>
          <w:highlight w:val="none"/>
          <w14:textFill>
            <w14:solidFill>
              <w14:schemeClr w14:val="tx1"/>
            </w14:solidFill>
          </w14:textFill>
        </w:rPr>
        <w:t>附件</w:t>
      </w:r>
      <w:r>
        <w:rPr>
          <w:color w:val="000000" w:themeColor="text1"/>
          <w:highlight w:val="none"/>
          <w14:textFill>
            <w14:solidFill>
              <w14:schemeClr w14:val="tx1"/>
            </w14:solidFill>
          </w14:textFill>
        </w:rPr>
        <w:t xml:space="preserve">8-2 </w:t>
      </w:r>
      <w:r>
        <w:rPr>
          <w:rFonts w:hint="eastAsia"/>
          <w:color w:val="000000" w:themeColor="text1"/>
          <w:highlight w:val="none"/>
          <w14:textFill>
            <w14:solidFill>
              <w14:schemeClr w14:val="tx1"/>
            </w14:solidFill>
          </w14:textFill>
        </w:rPr>
        <w:t>普光</w:t>
      </w:r>
      <w:r>
        <w:rPr>
          <w:color w:val="000000" w:themeColor="text1"/>
          <w:highlight w:val="none"/>
          <w14:textFill>
            <w14:solidFill>
              <w14:schemeClr w14:val="tx1"/>
            </w14:solidFill>
          </w14:textFill>
        </w:rPr>
        <w:t>3</w:t>
      </w:r>
      <w:r>
        <w:rPr>
          <w:rFonts w:hint="eastAsia"/>
          <w:color w:val="000000" w:themeColor="text1"/>
          <w:highlight w:val="none"/>
          <w14:textFill>
            <w14:solidFill>
              <w14:schemeClr w14:val="tx1"/>
            </w14:solidFill>
          </w14:textFill>
        </w:rPr>
        <w:t>井回注工程环保验收批复。</w:t>
      </w:r>
    </w:p>
    <w:p>
      <w:pPr>
        <w:ind w:firstLine="40"/>
        <w:rPr>
          <w:rFonts w:cs="Times New Roman"/>
          <w:color w:val="000000" w:themeColor="text1"/>
          <w:sz w:val="2"/>
          <w:szCs w:val="2"/>
          <w:highlight w:val="none"/>
          <w14:textFill>
            <w14:solidFill>
              <w14:schemeClr w14:val="tx1"/>
            </w14:solidFill>
          </w14:textFill>
        </w:rPr>
      </w:pPr>
    </w:p>
    <w:p>
      <w:pPr>
        <w:ind w:firstLine="40"/>
        <w:rPr>
          <w:rFonts w:cs="Times New Roman"/>
          <w:color w:val="000000" w:themeColor="text1"/>
          <w:sz w:val="2"/>
          <w:szCs w:val="2"/>
          <w:highlight w:val="none"/>
          <w14:textFill>
            <w14:solidFill>
              <w14:schemeClr w14:val="tx1"/>
            </w14:solidFill>
          </w14:textFill>
        </w:rPr>
      </w:pPr>
    </w:p>
    <w:p>
      <w:pPr>
        <w:pStyle w:val="3"/>
        <w:rPr>
          <w:b/>
          <w:color w:val="000000" w:themeColor="text1"/>
          <w:highlight w:val="none"/>
          <w14:textFill>
            <w14:solidFill>
              <w14:schemeClr w14:val="tx1"/>
            </w14:solidFill>
          </w14:textFill>
        </w:rPr>
      </w:pPr>
      <w:bookmarkStart w:id="2" w:name="_Toc24351"/>
      <w:r>
        <w:rPr>
          <w:rFonts w:hint="eastAsia"/>
          <w:color w:val="000000" w:themeColor="text1"/>
          <w:highlight w:val="none"/>
          <w:lang w:eastAsia="zh-CN"/>
          <w14:textFill>
            <w14:solidFill>
              <w14:schemeClr w14:val="tx1"/>
            </w14:solidFill>
          </w14:textFill>
        </w:rPr>
        <w:t>概述</w:t>
      </w:r>
      <w:bookmarkEnd w:id="2"/>
    </w:p>
    <w:p>
      <w:pPr>
        <w:pStyle w:val="4"/>
        <w:spacing w:before="120"/>
        <w:rPr>
          <w:color w:val="000000" w:themeColor="text1"/>
          <w:highlight w:val="none"/>
          <w14:textFill>
            <w14:solidFill>
              <w14:schemeClr w14:val="tx1"/>
            </w14:solidFill>
          </w14:textFill>
        </w:rPr>
      </w:pPr>
      <w:bookmarkStart w:id="3" w:name="_Toc14204"/>
      <w:r>
        <w:rPr>
          <w:rFonts w:hint="eastAsia"/>
          <w:color w:val="000000" w:themeColor="text1"/>
          <w:highlight w:val="none"/>
          <w:lang w:eastAsia="zh-CN"/>
          <w14:textFill>
            <w14:solidFill>
              <w14:schemeClr w14:val="tx1"/>
            </w14:solidFill>
          </w14:textFill>
        </w:rPr>
        <w:t>项目背景</w:t>
      </w:r>
      <w:bookmarkEnd w:id="3"/>
    </w:p>
    <w:p>
      <w:pPr>
        <w:spacing w:line="440" w:lineRule="exact"/>
        <w:ind w:firstLine="480"/>
        <w:rPr>
          <w:rFonts w:cs="Times New Roman"/>
          <w:color w:val="000000" w:themeColor="text1"/>
          <w:szCs w:val="24"/>
          <w:highlight w:val="none"/>
          <w14:textFill>
            <w14:solidFill>
              <w14:schemeClr w14:val="tx1"/>
            </w14:solidFill>
          </w14:textFill>
        </w:rPr>
      </w:pPr>
      <w:bookmarkStart w:id="4" w:name="_Hlk80477079"/>
      <w:bookmarkStart w:id="5" w:name="_Hlk89782517"/>
      <w:r>
        <w:rPr>
          <w:rFonts w:hint="eastAsia" w:cs="Times New Roman"/>
          <w:color w:val="000000" w:themeColor="text1"/>
          <w:szCs w:val="24"/>
          <w:highlight w:val="none"/>
          <w14:textFill>
            <w14:solidFill>
              <w14:schemeClr w14:val="tx1"/>
            </w14:solidFill>
          </w14:textFill>
        </w:rPr>
        <w:t>普光气田区域上位于四川盆地川</w:t>
      </w:r>
      <w:r>
        <w:rPr>
          <w:rFonts w:hint="eastAsia" w:cs="Times New Roman"/>
          <w:color w:val="000000" w:themeColor="text1"/>
          <w:szCs w:val="24"/>
          <w:highlight w:val="none"/>
          <w:lang w:eastAsia="zh-CN"/>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带东北段，介于</w:t>
      </w:r>
      <w:r>
        <w:rPr>
          <w:rFonts w:hint="eastAsia" w:cs="Times New Roman"/>
          <w:color w:val="000000" w:themeColor="text1"/>
          <w:szCs w:val="24"/>
          <w:highlight w:val="none"/>
          <w:lang w:eastAsia="zh-CN"/>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推覆带前缘褶断带与川中平</w:t>
      </w:r>
      <w:r>
        <w:rPr>
          <w:rFonts w:hint="eastAsia" w:cs="Times New Roman"/>
          <w:color w:val="000000" w:themeColor="text1"/>
          <w:szCs w:val="24"/>
          <w:highlight w:val="none"/>
          <w:lang w:eastAsia="zh-CN"/>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带之间。构造上总体呈</w:t>
      </w:r>
      <w:r>
        <w:rPr>
          <w:rFonts w:cs="Times New Roman"/>
          <w:color w:val="000000" w:themeColor="text1"/>
          <w:szCs w:val="24"/>
          <w:highlight w:val="none"/>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隆洼相间</w:t>
      </w:r>
      <w:r>
        <w:rPr>
          <w:rFonts w:cs="Times New Roman"/>
          <w:color w:val="000000" w:themeColor="text1"/>
          <w:szCs w:val="24"/>
          <w:highlight w:val="none"/>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格局，划分为</w:t>
      </w:r>
      <w:r>
        <w:rPr>
          <w:rFonts w:cs="Times New Roman"/>
          <w:color w:val="000000" w:themeColor="text1"/>
          <w:szCs w:val="24"/>
          <w:highlight w:val="none"/>
          <w14:textFill>
            <w14:solidFill>
              <w14:schemeClr w14:val="tx1"/>
            </w14:solidFill>
          </w14:textFill>
        </w:rPr>
        <w:t>NE</w:t>
      </w:r>
      <w:r>
        <w:rPr>
          <w:rFonts w:hint="eastAsia" w:cs="Times New Roman"/>
          <w:color w:val="000000" w:themeColor="text1"/>
          <w:szCs w:val="24"/>
          <w:highlight w:val="none"/>
          <w14:textFill>
            <w14:solidFill>
              <w14:schemeClr w14:val="tx1"/>
            </w14:solidFill>
          </w14:textFill>
        </w:rPr>
        <w:t>向</w:t>
      </w:r>
      <w:r>
        <w:rPr>
          <w:rFonts w:hint="eastAsia" w:cs="Times New Roman"/>
          <w:color w:val="000000" w:themeColor="text1"/>
          <w:szCs w:val="24"/>
          <w:highlight w:val="none"/>
          <w:lang w:eastAsia="zh-CN"/>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w:t>
      </w:r>
      <w:r>
        <w:rPr>
          <w:rFonts w:hint="eastAsia" w:cs="Times New Roman"/>
          <w:color w:val="000000" w:themeColor="text1"/>
          <w:szCs w:val="24"/>
          <w:highlight w:val="none"/>
          <w:lang w:eastAsia="zh-CN"/>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、铁山坡及</w:t>
      </w:r>
      <w:r>
        <w:rPr>
          <w:rFonts w:cs="Times New Roman"/>
          <w:color w:val="000000" w:themeColor="text1"/>
          <w:szCs w:val="24"/>
          <w:highlight w:val="none"/>
          <w14:textFill>
            <w14:solidFill>
              <w14:schemeClr w14:val="tx1"/>
            </w14:solidFill>
          </w14:textFill>
        </w:rPr>
        <w:t>NW</w:t>
      </w:r>
      <w:r>
        <w:rPr>
          <w:rFonts w:hint="eastAsia" w:cs="Times New Roman"/>
          <w:color w:val="000000" w:themeColor="text1"/>
          <w:szCs w:val="24"/>
          <w:highlight w:val="none"/>
          <w14:textFill>
            <w14:solidFill>
              <w14:schemeClr w14:val="tx1"/>
            </w14:solidFill>
          </w14:textFill>
        </w:rPr>
        <w:t>向</w:t>
      </w:r>
      <w:r>
        <w:rPr>
          <w:rFonts w:hint="eastAsia" w:cs="Times New Roman"/>
          <w:color w:val="000000" w:themeColor="text1"/>
          <w:szCs w:val="24"/>
          <w:highlight w:val="none"/>
          <w:lang w:eastAsia="zh-CN"/>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w:t>
      </w:r>
      <w:r>
        <w:rPr>
          <w:rFonts w:hint="eastAsia" w:cs="Times New Roman"/>
          <w:color w:val="000000" w:themeColor="text1"/>
          <w:szCs w:val="24"/>
          <w:highlight w:val="none"/>
          <w:lang w:eastAsia="zh-CN"/>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w:t>
      </w:r>
      <w:r>
        <w:rPr>
          <w:rFonts w:hint="eastAsia" w:cs="Times New Roman"/>
          <w:color w:val="000000" w:themeColor="text1"/>
          <w:szCs w:val="24"/>
          <w:highlight w:val="none"/>
          <w:lang w:eastAsia="zh-CN"/>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w:t>
      </w:r>
      <w:r>
        <w:rPr>
          <w:rFonts w:hint="eastAsia" w:cs="Times New Roman"/>
          <w:color w:val="000000" w:themeColor="text1"/>
          <w:szCs w:val="24"/>
          <w:highlight w:val="none"/>
          <w:lang w:eastAsia="zh-CN"/>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等七个正向构造单元和</w:t>
      </w:r>
      <w:r>
        <w:rPr>
          <w:rFonts w:hint="eastAsia" w:cs="Times New Roman"/>
          <w:color w:val="000000" w:themeColor="text1"/>
          <w:szCs w:val="24"/>
          <w:highlight w:val="none"/>
          <w:lang w:eastAsia="zh-CN"/>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w:t>
      </w:r>
      <w:r>
        <w:rPr>
          <w:rFonts w:hint="eastAsia" w:cs="Times New Roman"/>
          <w:color w:val="000000" w:themeColor="text1"/>
          <w:szCs w:val="24"/>
          <w:highlight w:val="none"/>
          <w:lang w:eastAsia="zh-CN"/>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w:t>
      </w:r>
      <w:r>
        <w:rPr>
          <w:rFonts w:hint="eastAsia" w:cs="Times New Roman"/>
          <w:color w:val="000000" w:themeColor="text1"/>
          <w:szCs w:val="24"/>
          <w:highlight w:val="none"/>
          <w:lang w:eastAsia="zh-CN"/>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三个负向构造单元。</w:t>
      </w:r>
    </w:p>
    <w:p>
      <w:pPr>
        <w:pStyle w:val="188"/>
        <w:keepLines w:val="0"/>
        <w:pageBreakBefore w:val="0"/>
        <w:widowControl w:val="0"/>
        <w:kinsoku/>
        <w:wordWrap/>
        <w:overflowPunct/>
        <w:topLinePunct w:val="0"/>
        <w:autoSpaceDE/>
        <w:autoSpaceDN/>
        <w:bidi w:val="0"/>
        <w:adjustRightInd w:val="0"/>
        <w:snapToGrid w:val="0"/>
        <w:textAlignment w:val="auto"/>
        <w:outlineLvl w:val="9"/>
        <w:rPr>
          <w:color w:val="000000" w:themeColor="text1"/>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w:t>
      </w: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普光气田地理位置图</w:t>
      </w:r>
    </w:p>
    <w:p>
      <w:pPr>
        <w:keepLines w:val="0"/>
        <w:pageBreakBefore w:val="0"/>
        <w:widowControl w:val="0"/>
        <w:kinsoku/>
        <w:wordWrap/>
        <w:overflowPunct/>
        <w:topLinePunct w:val="0"/>
        <w:autoSpaceDE/>
        <w:autoSpaceDN/>
        <w:bidi w:val="0"/>
        <w:adjustRightInd w:val="0"/>
        <w:snapToGrid w:val="0"/>
        <w:ind w:firstLine="480"/>
        <w:textAlignment w:val="auto"/>
        <w:outlineLvl w:val="9"/>
        <w:rPr>
          <w:color w:val="000000" w:themeColor="text1"/>
          <w:szCs w:val="36"/>
          <w:highlight w:val="none"/>
          <w14:textFill>
            <w14:solidFill>
              <w14:schemeClr w14:val="tx1"/>
            </w14:solidFill>
          </w14:textFill>
        </w:rPr>
      </w:pPr>
      <w:r>
        <w:rPr>
          <w:rFonts w:hint="eastAsia"/>
          <w:color w:val="000000" w:themeColor="text1"/>
          <w:highlight w:val="none"/>
          <w14:textFill>
            <w14:solidFill>
              <w14:schemeClr w14:val="tx1"/>
            </w14:solidFill>
          </w14:textFill>
        </w:rPr>
        <w:t>其中</w:t>
      </w:r>
      <w:r>
        <w:rPr>
          <w:rFonts w:hint="eastAsia"/>
          <w:color w:val="000000" w:themeColor="text1"/>
          <w:szCs w:val="36"/>
          <w:highlight w:val="none"/>
          <w:lang w:eastAsia="zh-CN"/>
          <w14:textFill>
            <w14:solidFill>
              <w14:schemeClr w14:val="tx1"/>
            </w14:solidFill>
          </w14:textFill>
        </w:rPr>
        <w:t>**</w:t>
      </w:r>
      <w:r>
        <w:rPr>
          <w:rFonts w:hint="eastAsia"/>
          <w:color w:val="000000" w:themeColor="text1"/>
          <w:szCs w:val="36"/>
          <w:highlight w:val="none"/>
          <w14:textFill>
            <w14:solidFill>
              <w14:schemeClr w14:val="tx1"/>
            </w14:solidFill>
          </w14:textFill>
        </w:rPr>
        <w:t>构造是位于东北向构造带上南部的一个背斜构造，</w:t>
      </w:r>
      <w:r>
        <w:rPr>
          <w:rFonts w:hint="eastAsia"/>
          <w:color w:val="000000" w:themeColor="text1"/>
          <w:szCs w:val="36"/>
          <w:highlight w:val="none"/>
          <w:lang w:eastAsia="zh-CN"/>
          <w14:textFill>
            <w14:solidFill>
              <w14:schemeClr w14:val="tx1"/>
            </w14:solidFill>
          </w14:textFill>
        </w:rPr>
        <w:t>**</w:t>
      </w:r>
      <w:r>
        <w:rPr>
          <w:rFonts w:hint="eastAsia"/>
          <w:color w:val="000000" w:themeColor="text1"/>
          <w:szCs w:val="36"/>
          <w:highlight w:val="none"/>
          <w14:textFill>
            <w14:solidFill>
              <w14:schemeClr w14:val="tx1"/>
            </w14:solidFill>
          </w14:textFill>
        </w:rPr>
        <w:t>背斜构造东西二侧分别受</w:t>
      </w:r>
      <w:r>
        <w:rPr>
          <w:rFonts w:hint="eastAsia"/>
          <w:color w:val="000000" w:themeColor="text1"/>
          <w:szCs w:val="36"/>
          <w:highlight w:val="none"/>
          <w:lang w:eastAsia="zh-CN"/>
          <w14:textFill>
            <w14:solidFill>
              <w14:schemeClr w14:val="tx1"/>
            </w14:solidFill>
          </w14:textFill>
        </w:rPr>
        <w:t>**</w:t>
      </w:r>
      <w:r>
        <w:rPr>
          <w:rFonts w:hint="eastAsia"/>
          <w:color w:val="000000" w:themeColor="text1"/>
          <w:szCs w:val="36"/>
          <w:highlight w:val="none"/>
          <w14:textFill>
            <w14:solidFill>
              <w14:schemeClr w14:val="tx1"/>
            </w14:solidFill>
          </w14:textFill>
        </w:rPr>
        <w:t>东、</w:t>
      </w:r>
      <w:r>
        <w:rPr>
          <w:rFonts w:hint="eastAsia"/>
          <w:color w:val="000000" w:themeColor="text1"/>
          <w:szCs w:val="36"/>
          <w:highlight w:val="none"/>
          <w:lang w:eastAsia="zh-CN"/>
          <w14:textFill>
            <w14:solidFill>
              <w14:schemeClr w14:val="tx1"/>
            </w14:solidFill>
          </w14:textFill>
        </w:rPr>
        <w:t>**</w:t>
      </w:r>
      <w:r>
        <w:rPr>
          <w:rFonts w:hint="eastAsia"/>
          <w:color w:val="000000" w:themeColor="text1"/>
          <w:szCs w:val="36"/>
          <w:highlight w:val="none"/>
          <w14:textFill>
            <w14:solidFill>
              <w14:schemeClr w14:val="tx1"/>
            </w14:solidFill>
          </w14:textFill>
        </w:rPr>
        <w:t>西断裂控制，构造走向呈北东向，构造高点在工区最南端。</w:t>
      </w:r>
    </w:p>
    <w:p>
      <w:pPr>
        <w:ind w:firstLine="480"/>
        <w:rPr>
          <w:color w:val="000000" w:themeColor="text1"/>
          <w:szCs w:val="36"/>
          <w:highlight w:val="none"/>
          <w14:textFill>
            <w14:solidFill>
              <w14:schemeClr w14:val="tx1"/>
            </w14:solidFill>
          </w14:textFill>
        </w:rPr>
      </w:pPr>
      <w:r>
        <w:rPr>
          <w:rFonts w:hint="eastAsia"/>
          <w:color w:val="000000" w:themeColor="text1"/>
          <w:szCs w:val="36"/>
          <w:highlight w:val="none"/>
          <w14:textFill>
            <w14:solidFill>
              <w14:schemeClr w14:val="tx1"/>
            </w14:solidFill>
          </w14:textFill>
        </w:rPr>
        <w:t>普光</w:t>
      </w:r>
      <w:r>
        <w:rPr>
          <w:rFonts w:hint="eastAsia"/>
          <w:color w:val="000000" w:themeColor="text1"/>
          <w:szCs w:val="36"/>
          <w:highlight w:val="none"/>
          <w:lang w:eastAsia="zh-CN"/>
          <w14:textFill>
            <w14:solidFill>
              <w14:schemeClr w14:val="tx1"/>
            </w14:solidFill>
          </w14:textFill>
        </w:rPr>
        <w:t>**</w:t>
      </w:r>
      <w:r>
        <w:rPr>
          <w:rFonts w:hint="eastAsia"/>
          <w:color w:val="000000" w:themeColor="text1"/>
          <w:szCs w:val="36"/>
          <w:highlight w:val="none"/>
          <w14:textFill>
            <w14:solidFill>
              <w14:schemeClr w14:val="tx1"/>
            </w14:solidFill>
          </w14:textFill>
        </w:rPr>
        <w:t>构造</w:t>
      </w:r>
      <w:r>
        <w:rPr>
          <w:rFonts w:hint="eastAsia"/>
          <w:color w:val="000000" w:themeColor="text1"/>
          <w:szCs w:val="36"/>
          <w:highlight w:val="none"/>
          <w:lang w:eastAsia="zh-CN"/>
          <w14:textFill>
            <w14:solidFill>
              <w14:schemeClr w14:val="tx1"/>
            </w14:solidFill>
          </w14:textFill>
        </w:rPr>
        <w:t>******</w:t>
      </w:r>
      <w:r>
        <w:rPr>
          <w:rFonts w:hint="eastAsia"/>
          <w:color w:val="000000" w:themeColor="text1"/>
          <w:szCs w:val="36"/>
          <w:highlight w:val="none"/>
          <w14:textFill>
            <w14:solidFill>
              <w14:schemeClr w14:val="tx1"/>
            </w14:solidFill>
          </w14:textFill>
        </w:rPr>
        <w:t>页岩气所在气田区域位于勘查登记名称为大隆组。</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为加快普光气田内</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构造北段的页岩气勘探开发进程，中国石油化工股份有限公司普光分公司在四川省达州市宣汉县</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部署了雷页</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井钻探工程（</w:t>
      </w:r>
      <w:r>
        <w:rPr>
          <w:color w:val="000000" w:themeColor="text1"/>
          <w:highlight w:val="none"/>
          <w14:textFill>
            <w14:solidFill>
              <w14:schemeClr w14:val="tx1"/>
            </w14:solidFill>
          </w14:textFill>
        </w:rPr>
        <w:t>2021</w:t>
      </w:r>
      <w:r>
        <w:rPr>
          <w:rFonts w:hint="eastAsia"/>
          <w:color w:val="000000" w:themeColor="text1"/>
          <w:highlight w:val="none"/>
          <w14:textFill>
            <w14:solidFill>
              <w14:schemeClr w14:val="tx1"/>
            </w14:solidFill>
          </w14:textFill>
        </w:rPr>
        <w:t>年已取得环评批复，并于</w:t>
      </w:r>
      <w:r>
        <w:rPr>
          <w:color w:val="000000" w:themeColor="text1"/>
          <w:highlight w:val="none"/>
          <w14:textFill>
            <w14:solidFill>
              <w14:schemeClr w14:val="tx1"/>
            </w14:solidFill>
          </w14:textFill>
        </w:rPr>
        <w:t>2023</w:t>
      </w:r>
      <w:r>
        <w:rPr>
          <w:rFonts w:hint="eastAsia"/>
          <w:color w:val="000000" w:themeColor="text1"/>
          <w:highlight w:val="none"/>
          <w14:textFill>
            <w14:solidFill>
              <w14:schemeClr w14:val="tx1"/>
            </w14:solidFill>
          </w14:textFill>
        </w:rPr>
        <w:t>年完成竣工环保验收），</w:t>
      </w:r>
      <w:r>
        <w:rPr>
          <w:rFonts w:hint="eastAsia"/>
          <w:color w:val="000000" w:themeColor="text1"/>
          <w:highlight w:val="none"/>
          <w:lang w:val="en-US" w:eastAsia="zh-CN"/>
          <w14:textFill>
            <w14:solidFill>
              <w14:schemeClr w14:val="tx1"/>
            </w14:solidFill>
          </w14:textFill>
        </w:rPr>
        <w:t>该井</w:t>
      </w:r>
      <w:r>
        <w:rPr>
          <w:rFonts w:hint="eastAsia"/>
          <w:color w:val="000000" w:themeColor="text1"/>
          <w:szCs w:val="36"/>
          <w:highlight w:val="none"/>
          <w14:textFill>
            <w14:solidFill>
              <w14:schemeClr w14:val="tx1"/>
            </w14:solidFill>
          </w14:textFill>
        </w:rPr>
        <w:t>在</w:t>
      </w:r>
      <w:r>
        <w:rPr>
          <w:rFonts w:hint="eastAsia"/>
          <w:color w:val="000000" w:themeColor="text1"/>
          <w:szCs w:val="36"/>
          <w:highlight w:val="none"/>
          <w:lang w:eastAsia="zh-CN"/>
          <w14:textFill>
            <w14:solidFill>
              <w14:schemeClr w14:val="tx1"/>
            </w14:solidFill>
          </w14:textFill>
        </w:rPr>
        <w:t>**</w:t>
      </w:r>
      <w:r>
        <w:rPr>
          <w:rFonts w:hint="eastAsia"/>
          <w:color w:val="000000" w:themeColor="text1"/>
          <w:szCs w:val="36"/>
          <w:highlight w:val="none"/>
          <w14:textFill>
            <w14:solidFill>
              <w14:schemeClr w14:val="tx1"/>
            </w14:solidFill>
          </w14:textFill>
        </w:rPr>
        <w:t>构造部署的雷页</w:t>
      </w:r>
      <w:r>
        <w:rPr>
          <w:color w:val="000000" w:themeColor="text1"/>
          <w:szCs w:val="36"/>
          <w:highlight w:val="none"/>
          <w14:textFill>
            <w14:solidFill>
              <w14:schemeClr w14:val="tx1"/>
            </w14:solidFill>
          </w14:textFill>
        </w:rPr>
        <w:t>1</w:t>
      </w:r>
      <w:r>
        <w:rPr>
          <w:rFonts w:hint="eastAsia"/>
          <w:color w:val="000000" w:themeColor="text1"/>
          <w:szCs w:val="36"/>
          <w:highlight w:val="none"/>
          <w14:textFill>
            <w14:solidFill>
              <w14:schemeClr w14:val="tx1"/>
            </w14:solidFill>
          </w14:textFill>
        </w:rPr>
        <w:t>井取得良好的钻探效果，证实了</w:t>
      </w:r>
      <w:r>
        <w:rPr>
          <w:rFonts w:hint="eastAsia"/>
          <w:color w:val="000000" w:themeColor="text1"/>
          <w:szCs w:val="36"/>
          <w:highlight w:val="none"/>
          <w:lang w:eastAsia="zh-CN"/>
          <w14:textFill>
            <w14:solidFill>
              <w14:schemeClr w14:val="tx1"/>
            </w14:solidFill>
          </w14:textFill>
        </w:rPr>
        <w:t>**</w:t>
      </w:r>
      <w:r>
        <w:rPr>
          <w:rFonts w:hint="eastAsia"/>
          <w:color w:val="000000" w:themeColor="text1"/>
          <w:szCs w:val="36"/>
          <w:highlight w:val="none"/>
          <w14:textFill>
            <w14:solidFill>
              <w14:schemeClr w14:val="tx1"/>
            </w14:solidFill>
          </w14:textFill>
        </w:rPr>
        <w:t>构造页岩气勘探潜力。</w:t>
      </w:r>
      <w:r>
        <w:rPr>
          <w:rFonts w:hint="eastAsia"/>
          <w:color w:val="000000" w:themeColor="text1"/>
          <w:highlight w:val="none"/>
          <w14:textFill>
            <w14:solidFill>
              <w14:schemeClr w14:val="tx1"/>
            </w14:solidFill>
          </w14:textFill>
        </w:rPr>
        <w:t>为了增加生产效益，</w:t>
      </w:r>
      <w:r>
        <w:rPr>
          <w:color w:val="000000" w:themeColor="text1"/>
          <w:highlight w:val="none"/>
          <w14:textFill>
            <w14:solidFill>
              <w14:schemeClr w14:val="tx1"/>
            </w14:solidFill>
          </w14:textFill>
        </w:rPr>
        <w:t>2023</w:t>
      </w:r>
      <w:r>
        <w:rPr>
          <w:rFonts w:hint="eastAsia"/>
          <w:color w:val="000000" w:themeColor="text1"/>
          <w:highlight w:val="none"/>
          <w14:textFill>
            <w14:solidFill>
              <w14:schemeClr w14:val="tx1"/>
            </w14:solidFill>
          </w14:textFill>
        </w:rPr>
        <w:t>年</w:t>
      </w:r>
      <w:r>
        <w:rPr>
          <w:color w:val="000000" w:themeColor="text1"/>
          <w:highlight w:val="none"/>
          <w14:textFill>
            <w14:solidFill>
              <w14:schemeClr w14:val="tx1"/>
            </w14:solidFill>
          </w14:textFill>
        </w:rPr>
        <w:t>11</w:t>
      </w:r>
      <w:r>
        <w:rPr>
          <w:rFonts w:hint="eastAsia"/>
          <w:color w:val="000000" w:themeColor="text1"/>
          <w:highlight w:val="none"/>
          <w14:textFill>
            <w14:solidFill>
              <w14:schemeClr w14:val="tx1"/>
            </w14:solidFill>
          </w14:textFill>
        </w:rPr>
        <w:t>月，中国石油化工股份有限公司中原油田普光分公司委托新星恒业清洁能源有限公司开展雷页</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井的天然气开采回收工程，该工程将对雷页</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井所产天然气进行回收生产，雷页</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井所产天然气通过节流、净化分离后，采用充装设备进行充装，最后由</w:t>
      </w:r>
      <w:r>
        <w:rPr>
          <w:color w:val="000000" w:themeColor="text1"/>
          <w:highlight w:val="none"/>
          <w14:textFill>
            <w14:solidFill>
              <w14:schemeClr w14:val="tx1"/>
            </w14:solidFill>
          </w14:textFill>
        </w:rPr>
        <w:t>CNG</w:t>
      </w:r>
      <w:r>
        <w:rPr>
          <w:rFonts w:hint="eastAsia"/>
          <w:color w:val="000000" w:themeColor="text1"/>
          <w:highlight w:val="none"/>
          <w14:textFill>
            <w14:solidFill>
              <w14:schemeClr w14:val="tx1"/>
            </w14:solidFill>
          </w14:textFill>
        </w:rPr>
        <w:t>槽车井场灌装拉运模式运输，目前该项目已建成投产。</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根据雷页</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井</w:t>
      </w:r>
      <w:r>
        <w:rPr>
          <w:color w:val="000000" w:themeColor="text1"/>
          <w:highlight w:val="none"/>
          <w14:textFill>
            <w14:solidFill>
              <w14:schemeClr w14:val="tx1"/>
            </w14:solidFill>
          </w14:textFill>
        </w:rPr>
        <w:t>CNG</w:t>
      </w:r>
      <w:r>
        <w:rPr>
          <w:rFonts w:hint="eastAsia"/>
          <w:color w:val="000000" w:themeColor="text1"/>
          <w:highlight w:val="none"/>
          <w14:textFill>
            <w14:solidFill>
              <w14:schemeClr w14:val="tx1"/>
            </w14:solidFill>
          </w14:textFill>
        </w:rPr>
        <w:t>拉运生产期间的运行数据，该井在</w:t>
      </w:r>
      <w:r>
        <w:rPr>
          <w:color w:val="000000" w:themeColor="text1"/>
          <w:highlight w:val="none"/>
          <w14:textFill>
            <w14:solidFill>
              <w14:schemeClr w14:val="tx1"/>
            </w14:solidFill>
          </w14:textFill>
        </w:rPr>
        <w:t>CNG</w:t>
      </w:r>
      <w:r>
        <w:rPr>
          <w:rFonts w:hint="eastAsia"/>
          <w:color w:val="000000" w:themeColor="text1"/>
          <w:highlight w:val="none"/>
          <w14:textFill>
            <w14:solidFill>
              <w14:schemeClr w14:val="tx1"/>
            </w14:solidFill>
          </w14:textFill>
        </w:rPr>
        <w:t>拉运生产期间产量在</w:t>
      </w:r>
      <w:r>
        <w:rPr>
          <w:color w:val="000000" w:themeColor="text1"/>
          <w:highlight w:val="none"/>
          <w14:textFill>
            <w14:solidFill>
              <w14:schemeClr w14:val="tx1"/>
            </w14:solidFill>
          </w14:textFill>
        </w:rPr>
        <w:t>2-5</w:t>
      </w:r>
      <w:r>
        <w:rPr>
          <w:rFonts w:hint="eastAsia"/>
          <w:color w:val="000000" w:themeColor="text1"/>
          <w:highlight w:val="none"/>
          <w14:textFill>
            <w14:solidFill>
              <w14:schemeClr w14:val="tx1"/>
            </w14:solidFill>
          </w14:textFill>
        </w:rPr>
        <w:t>万方</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天，产量达不到临界携液流量。试采未能实现连续生产，对比试气阶段动态上表现生产状况变差。生产时压力波动大，油压降速相差较大，表现为段塞流特征，分析井筒存在积液（图</w:t>
      </w:r>
      <w:r>
        <w:rPr>
          <w:color w:val="000000" w:themeColor="text1"/>
          <w:highlight w:val="none"/>
          <w14:textFill>
            <w14:solidFill>
              <w14:schemeClr w14:val="tx1"/>
            </w14:solidFill>
          </w14:textFill>
        </w:rPr>
        <w:t>1-2</w:t>
      </w: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t>1-3</w:t>
      </w:r>
      <w:r>
        <w:rPr>
          <w:rFonts w:hint="eastAsia"/>
          <w:color w:val="000000" w:themeColor="text1"/>
          <w:highlight w:val="none"/>
          <w14:textFill>
            <w14:solidFill>
              <w14:schemeClr w14:val="tx1"/>
            </w14:solidFill>
          </w14:textFill>
        </w:rPr>
        <w:t>）。</w:t>
      </w:r>
    </w:p>
    <w:p>
      <w:pPr>
        <w:spacing w:after="120" w:afterLines="50"/>
        <w:ind w:firstLine="480"/>
        <w:jc w:val="center"/>
        <w:rPr>
          <w:rFonts w:hint="eastAsia"/>
          <w:color w:val="000000" w:themeColor="text1"/>
          <w:szCs w:val="36"/>
          <w:highlight w:val="none"/>
          <w14:textFill>
            <w14:solidFill>
              <w14:schemeClr w14:val="tx1"/>
            </w14:solidFill>
          </w14:textFill>
        </w:rPr>
      </w:pPr>
      <w:r>
        <w:rPr>
          <w:rFonts w:hint="eastAsia"/>
          <w:color w:val="000000" w:themeColor="text1"/>
          <w:szCs w:val="36"/>
          <w:highlight w:val="none"/>
          <w14:textFill>
            <w14:solidFill>
              <w14:schemeClr w14:val="tx1"/>
            </w14:solidFill>
          </w14:textFill>
        </w:rPr>
        <w:t>**</w:t>
      </w:r>
    </w:p>
    <w:p>
      <w:pPr>
        <w:spacing w:after="120" w:afterLines="50"/>
        <w:ind w:firstLine="480"/>
        <w:jc w:val="center"/>
        <w:rPr>
          <w:rFonts w:eastAsia="黑体" w:cs="Times New Roman"/>
          <w:color w:val="000000" w:themeColor="text1"/>
          <w:szCs w:val="28"/>
          <w:highlight w:val="none"/>
          <w14:textFill>
            <w14:solidFill>
              <w14:schemeClr w14:val="tx1"/>
            </w14:solidFill>
          </w14:textFill>
        </w:rPr>
      </w:pPr>
      <w:r>
        <w:rPr>
          <w:rFonts w:hint="eastAsia" w:eastAsia="黑体" w:cs="Times New Roman"/>
          <w:color w:val="000000" w:themeColor="text1"/>
          <w:szCs w:val="28"/>
          <w:highlight w:val="none"/>
          <w14:textFill>
            <w14:solidFill>
              <w14:schemeClr w14:val="tx1"/>
            </w14:solidFill>
          </w14:textFill>
        </w:rPr>
        <w:t>图</w:t>
      </w:r>
      <w:r>
        <w:rPr>
          <w:rFonts w:eastAsia="黑体" w:cs="Times New Roman"/>
          <w:color w:val="000000" w:themeColor="text1"/>
          <w:szCs w:val="28"/>
          <w:highlight w:val="none"/>
          <w14:textFill>
            <w14:solidFill>
              <w14:schemeClr w14:val="tx1"/>
            </w14:solidFill>
          </w14:textFill>
        </w:rPr>
        <w:t xml:space="preserve">1-2    </w:t>
      </w:r>
      <w:r>
        <w:rPr>
          <w:rFonts w:hint="eastAsia" w:eastAsia="黑体" w:cs="Times New Roman"/>
          <w:color w:val="000000" w:themeColor="text1"/>
          <w:szCs w:val="28"/>
          <w:highlight w:val="none"/>
          <w14:textFill>
            <w14:solidFill>
              <w14:schemeClr w14:val="tx1"/>
            </w14:solidFill>
          </w14:textFill>
        </w:rPr>
        <w:t>雷页</w:t>
      </w:r>
      <w:r>
        <w:rPr>
          <w:rFonts w:eastAsia="黑体" w:cs="Times New Roman"/>
          <w:color w:val="000000" w:themeColor="text1"/>
          <w:szCs w:val="28"/>
          <w:highlight w:val="none"/>
          <w14:textFill>
            <w14:solidFill>
              <w14:schemeClr w14:val="tx1"/>
            </w14:solidFill>
          </w14:textFill>
        </w:rPr>
        <w:t>1</w:t>
      </w:r>
      <w:r>
        <w:rPr>
          <w:rFonts w:hint="eastAsia" w:eastAsia="黑体" w:cs="Times New Roman"/>
          <w:color w:val="000000" w:themeColor="text1"/>
          <w:szCs w:val="28"/>
          <w:highlight w:val="none"/>
          <w14:textFill>
            <w14:solidFill>
              <w14:schemeClr w14:val="tx1"/>
            </w14:solidFill>
          </w14:textFill>
        </w:rPr>
        <w:t>井压力与产量关系曲线</w:t>
      </w:r>
    </w:p>
    <w:p>
      <w:pPr>
        <w:ind w:firstLine="480"/>
        <w:jc w:val="center"/>
        <w:rPr>
          <w:rFonts w:eastAsia="黑体"/>
          <w:color w:val="000000" w:themeColor="text1"/>
          <w:szCs w:val="21"/>
          <w:highlight w:val="none"/>
          <w14:textFill>
            <w14:solidFill>
              <w14:schemeClr w14:val="tx1"/>
            </w14:solidFill>
          </w14:textFill>
        </w:rPr>
      </w:pPr>
      <w:r>
        <w:rPr>
          <w:rFonts w:hint="eastAsia" w:eastAsia="黑体"/>
          <w:color w:val="000000" w:themeColor="text1"/>
          <w:szCs w:val="21"/>
          <w:highlight w:val="none"/>
          <w14:textFill>
            <w14:solidFill>
              <w14:schemeClr w14:val="tx1"/>
            </w14:solidFill>
          </w14:textFill>
        </w:rPr>
        <w:t>**</w:t>
      </w:r>
    </w:p>
    <w:p>
      <w:pPr>
        <w:spacing w:after="120" w:afterLines="50"/>
        <w:ind w:firstLine="480"/>
        <w:jc w:val="center"/>
        <w:rPr>
          <w:rFonts w:eastAsia="黑体"/>
          <w:color w:val="000000" w:themeColor="text1"/>
          <w:szCs w:val="21"/>
          <w:highlight w:val="none"/>
          <w14:textFill>
            <w14:solidFill>
              <w14:schemeClr w14:val="tx1"/>
            </w14:solidFill>
          </w14:textFill>
        </w:rPr>
      </w:pPr>
      <w:r>
        <w:rPr>
          <w:rFonts w:hint="eastAsia" w:eastAsia="黑体"/>
          <w:color w:val="000000" w:themeColor="text1"/>
          <w:szCs w:val="21"/>
          <w:highlight w:val="none"/>
          <w14:textFill>
            <w14:solidFill>
              <w14:schemeClr w14:val="tx1"/>
            </w14:solidFill>
          </w14:textFill>
        </w:rPr>
        <w:t>图</w:t>
      </w:r>
      <w:r>
        <w:rPr>
          <w:rFonts w:eastAsia="黑体"/>
          <w:color w:val="000000" w:themeColor="text1"/>
          <w:szCs w:val="21"/>
          <w:highlight w:val="none"/>
          <w14:textFill>
            <w14:solidFill>
              <w14:schemeClr w14:val="tx1"/>
            </w14:solidFill>
          </w14:textFill>
        </w:rPr>
        <w:t xml:space="preserve">1-3   </w:t>
      </w:r>
      <w:r>
        <w:rPr>
          <w:rFonts w:hint="eastAsia" w:eastAsia="黑体"/>
          <w:color w:val="000000" w:themeColor="text1"/>
          <w:szCs w:val="21"/>
          <w:highlight w:val="none"/>
          <w14:textFill>
            <w14:solidFill>
              <w14:schemeClr w14:val="tx1"/>
            </w14:solidFill>
          </w14:textFill>
        </w:rPr>
        <w:t>雷页</w:t>
      </w:r>
      <w:r>
        <w:rPr>
          <w:rFonts w:eastAsia="黑体"/>
          <w:color w:val="000000" w:themeColor="text1"/>
          <w:szCs w:val="21"/>
          <w:highlight w:val="none"/>
          <w14:textFill>
            <w14:solidFill>
              <w14:schemeClr w14:val="tx1"/>
            </w14:solidFill>
          </w14:textFill>
        </w:rPr>
        <w:t>1</w:t>
      </w:r>
      <w:r>
        <w:rPr>
          <w:rFonts w:hint="eastAsia" w:eastAsia="黑体"/>
          <w:color w:val="000000" w:themeColor="text1"/>
          <w:szCs w:val="21"/>
          <w:highlight w:val="none"/>
          <w14:textFill>
            <w14:solidFill>
              <w14:schemeClr w14:val="tx1"/>
            </w14:solidFill>
          </w14:textFill>
        </w:rPr>
        <w:t>井不同井口压力下临界携液流量图版</w:t>
      </w:r>
    </w:p>
    <w:p>
      <w:pPr>
        <w:widowControl/>
        <w:ind w:firstLine="0" w:firstLineChars="0"/>
        <w:jc w:val="left"/>
        <w:rPr>
          <w:color w:val="000000" w:themeColor="text1"/>
          <w:szCs w:val="36"/>
          <w:highlight w:val="none"/>
          <w14:textFill>
            <w14:solidFill>
              <w14:schemeClr w14:val="tx1"/>
            </w14:solidFill>
          </w14:textFill>
        </w:rPr>
      </w:pPr>
      <w:r>
        <w:rPr>
          <w:rFonts w:hint="eastAsia"/>
          <w:color w:val="000000" w:themeColor="text1"/>
          <w:szCs w:val="36"/>
          <w:highlight w:val="none"/>
          <w14:textFill>
            <w14:solidFill>
              <w14:schemeClr w14:val="tx1"/>
            </w14:solidFill>
          </w14:textFill>
        </w:rPr>
        <w:t>**。</w:t>
      </w:r>
    </w:p>
    <w:p>
      <w:pPr>
        <w:widowControl/>
        <w:ind w:firstLine="480"/>
        <w:jc w:val="left"/>
        <w:rPr>
          <w:smallCaps/>
          <w:color w:val="000000" w:themeColor="text1"/>
          <w:highlight w:val="none"/>
          <w14:textFill>
            <w14:solidFill>
              <w14:schemeClr w14:val="tx1"/>
            </w14:solidFill>
          </w14:textFill>
        </w:rPr>
      </w:pPr>
      <w:r>
        <w:rPr>
          <w:rFonts w:hint="eastAsia"/>
          <w:color w:val="000000" w:themeColor="text1"/>
          <w:szCs w:val="36"/>
          <w:highlight w:val="none"/>
          <w14:textFill>
            <w14:solidFill>
              <w14:schemeClr w14:val="tx1"/>
            </w14:solidFill>
          </w14:textFill>
        </w:rPr>
        <w:t>为此，中国石油化工股份有限公司中原油田普光分公司拟定于</w:t>
      </w:r>
      <w:r>
        <w:rPr>
          <w:color w:val="000000" w:themeColor="text1"/>
          <w:szCs w:val="36"/>
          <w:highlight w:val="none"/>
          <w14:textFill>
            <w14:solidFill>
              <w14:schemeClr w14:val="tx1"/>
            </w14:solidFill>
          </w14:textFill>
        </w:rPr>
        <w:t xml:space="preserve">2024 </w:t>
      </w:r>
      <w:r>
        <w:rPr>
          <w:rFonts w:hint="eastAsia"/>
          <w:color w:val="000000" w:themeColor="text1"/>
          <w:szCs w:val="36"/>
          <w:highlight w:val="none"/>
          <w14:textFill>
            <w14:solidFill>
              <w14:schemeClr w14:val="tx1"/>
            </w14:solidFill>
          </w14:textFill>
        </w:rPr>
        <w:t>年加大</w:t>
      </w:r>
      <w:r>
        <w:rPr>
          <w:rFonts w:hint="eastAsia"/>
          <w:color w:val="000000" w:themeColor="text1"/>
          <w:szCs w:val="36"/>
          <w:highlight w:val="none"/>
          <w:lang w:eastAsia="zh-CN"/>
          <w14:textFill>
            <w14:solidFill>
              <w14:schemeClr w14:val="tx1"/>
            </w14:solidFill>
          </w14:textFill>
        </w:rPr>
        <w:t>**</w:t>
      </w:r>
      <w:r>
        <w:rPr>
          <w:rFonts w:hint="eastAsia"/>
          <w:color w:val="000000" w:themeColor="text1"/>
          <w:szCs w:val="36"/>
          <w:highlight w:val="none"/>
          <w14:textFill>
            <w14:solidFill>
              <w14:schemeClr w14:val="tx1"/>
            </w14:solidFill>
          </w14:textFill>
        </w:rPr>
        <w:t xml:space="preserve">产能的开发建设，为后续普光气田产能接替起支撑作用。 </w:t>
      </w:r>
    </w:p>
    <w:p>
      <w:pPr>
        <w:ind w:firstLine="480"/>
        <w:rPr>
          <w:smallCaps/>
          <w:color w:val="000000" w:themeColor="text1"/>
          <w:highlight w:val="none"/>
          <w14:textFill>
            <w14:solidFill>
              <w14:schemeClr w14:val="tx1"/>
            </w14:solidFill>
          </w14:textFill>
        </w:rPr>
      </w:pPr>
      <w:r>
        <w:rPr>
          <w:rFonts w:hint="eastAsia"/>
          <w:smallCaps/>
          <w:color w:val="000000" w:themeColor="text1"/>
          <w:highlight w:val="none"/>
          <w14:textFill>
            <w14:solidFill>
              <w14:schemeClr w14:val="tx1"/>
            </w14:solidFill>
          </w14:textFill>
        </w:rPr>
        <w:t>由于</w:t>
      </w:r>
      <w:r>
        <w:rPr>
          <w:smallCaps/>
          <w:color w:val="000000" w:themeColor="text1"/>
          <w:highlight w:val="none"/>
          <w14:textFill>
            <w14:solidFill>
              <w14:schemeClr w14:val="tx1"/>
            </w14:solidFill>
          </w14:textFill>
        </w:rPr>
        <w:t xml:space="preserve"> CNG </w:t>
      </w:r>
      <w:r>
        <w:rPr>
          <w:rFonts w:hint="eastAsia"/>
          <w:smallCaps/>
          <w:color w:val="000000" w:themeColor="text1"/>
          <w:highlight w:val="none"/>
          <w14:textFill>
            <w14:solidFill>
              <w14:schemeClr w14:val="tx1"/>
            </w14:solidFill>
          </w14:textFill>
        </w:rPr>
        <w:t>试采方式受用户用气量限制，很难做到连续生产，造成气井时开时停，使取得的气井生产数据不连续、不准确。同时该井位于普光主体、大</w:t>
      </w:r>
      <w:r>
        <w:rPr>
          <w:smallCaps/>
          <w:color w:val="000000" w:themeColor="text1"/>
          <w:highlight w:val="none"/>
          <w14:textFill>
            <w14:solidFill>
              <w14:schemeClr w14:val="tx1"/>
            </w14:solidFill>
          </w14:textFill>
        </w:rPr>
        <w:t xml:space="preserve"> </w:t>
      </w:r>
      <w:r>
        <w:rPr>
          <w:rFonts w:hint="eastAsia"/>
          <w:smallCaps/>
          <w:color w:val="000000" w:themeColor="text1"/>
          <w:highlight w:val="none"/>
          <w14:textFill>
            <w14:solidFill>
              <w14:schemeClr w14:val="tx1"/>
            </w14:solidFill>
          </w14:textFill>
        </w:rPr>
        <w:t>湾区块已建管网的南侧，附近无可依托的集输管网。为此，亟需建设一套地面试采系统，保证试采资料准确录取，为下一</w:t>
      </w:r>
      <w:r>
        <w:rPr>
          <w:smallCaps/>
          <w:color w:val="000000" w:themeColor="text1"/>
          <w:highlight w:val="none"/>
          <w14:textFill>
            <w14:solidFill>
              <w14:schemeClr w14:val="tx1"/>
            </w14:solidFill>
          </w14:textFill>
        </w:rPr>
        <w:t xml:space="preserve"> </w:t>
      </w:r>
      <w:r>
        <w:rPr>
          <w:rFonts w:hint="eastAsia"/>
          <w:smallCaps/>
          <w:color w:val="000000" w:themeColor="text1"/>
          <w:highlight w:val="none"/>
          <w14:textFill>
            <w14:solidFill>
              <w14:schemeClr w14:val="tx1"/>
            </w14:solidFill>
          </w14:textFill>
        </w:rPr>
        <w:t>步整体开发、效益建产奠定基础。</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因此，中国石油化工股份有限公司普光分公司拟在达州市宣汉县</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石虎村</w:t>
      </w:r>
      <w:r>
        <w:rPr>
          <w:color w:val="000000" w:themeColor="text1"/>
          <w:highlight w:val="none"/>
          <w14:textFill>
            <w14:solidFill>
              <w14:schemeClr w14:val="tx1"/>
            </w14:solidFill>
          </w14:textFill>
        </w:rPr>
        <w:t>8</w:t>
      </w:r>
      <w:r>
        <w:rPr>
          <w:rFonts w:hint="eastAsia"/>
          <w:color w:val="000000" w:themeColor="text1"/>
          <w:highlight w:val="none"/>
          <w14:textFill>
            <w14:solidFill>
              <w14:schemeClr w14:val="tx1"/>
            </w14:solidFill>
          </w14:textFill>
        </w:rPr>
        <w:t>组原雷页</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井井场西侧部署了雷页</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井试采地面工程（以下简称本项目），并通过《中原油田分公司关于普光分公司雷页</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井试采地面工程项目可行性研究报告的批复》（中原油分投资〔</w:t>
      </w:r>
      <w:r>
        <w:rPr>
          <w:color w:val="000000" w:themeColor="text1"/>
          <w:highlight w:val="none"/>
          <w14:textFill>
            <w14:solidFill>
              <w14:schemeClr w14:val="tx1"/>
            </w14:solidFill>
          </w14:textFill>
        </w:rPr>
        <w:t>2024</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10</w:t>
      </w:r>
      <w:r>
        <w:rPr>
          <w:rFonts w:hint="eastAsia"/>
          <w:color w:val="000000" w:themeColor="text1"/>
          <w:highlight w:val="none"/>
          <w14:textFill>
            <w14:solidFill>
              <w14:schemeClr w14:val="tx1"/>
            </w14:solidFill>
          </w14:textFill>
        </w:rPr>
        <w:t>号）进行了立项。</w:t>
      </w:r>
    </w:p>
    <w:p>
      <w:pPr>
        <w:ind w:firstLine="482"/>
        <w:rPr>
          <w:rFonts w:cs="Times New Roman"/>
          <w:color w:val="000000" w:themeColor="text1"/>
          <w:szCs w:val="24"/>
          <w:highlight w:val="none"/>
          <w14:textFill>
            <w14:solidFill>
              <w14:schemeClr w14:val="tx1"/>
            </w14:solidFill>
          </w14:textFill>
        </w:rPr>
      </w:pPr>
      <w:r>
        <w:rPr>
          <w:rFonts w:hint="eastAsia" w:cs="Times New Roman"/>
          <w:b/>
          <w:bCs/>
          <w:color w:val="000000" w:themeColor="text1"/>
          <w:szCs w:val="24"/>
          <w:highlight w:val="none"/>
          <w14:textFill>
            <w14:solidFill>
              <w14:schemeClr w14:val="tx1"/>
            </w14:solidFill>
          </w14:textFill>
        </w:rPr>
        <w:t>本项目建成后原雷页</w:t>
      </w:r>
      <w:r>
        <w:rPr>
          <w:rFonts w:cs="Times New Roman"/>
          <w:b/>
          <w:bCs/>
          <w:color w:val="000000" w:themeColor="text1"/>
          <w:szCs w:val="24"/>
          <w:highlight w:val="none"/>
          <w14:textFill>
            <w14:solidFill>
              <w14:schemeClr w14:val="tx1"/>
            </w14:solidFill>
          </w14:textFill>
        </w:rPr>
        <w:t>1</w:t>
      </w:r>
      <w:r>
        <w:rPr>
          <w:rFonts w:hint="eastAsia" w:cs="Times New Roman"/>
          <w:b/>
          <w:bCs/>
          <w:color w:val="000000" w:themeColor="text1"/>
          <w:szCs w:val="24"/>
          <w:highlight w:val="none"/>
          <w14:textFill>
            <w14:solidFill>
              <w14:schemeClr w14:val="tx1"/>
            </w14:solidFill>
          </w14:textFill>
        </w:rPr>
        <w:t>井的天然气开采回收工程将停产。由于该层位还处于勘探阶段，其气质层位的产能储量仍未探明，暂不具备区块开发条件，因此本项目试采期为</w:t>
      </w:r>
      <w:r>
        <w:rPr>
          <w:rFonts w:cs="Times New Roman"/>
          <w:b/>
          <w:bCs/>
          <w:color w:val="000000" w:themeColor="text1"/>
          <w:szCs w:val="24"/>
          <w:highlight w:val="none"/>
          <w14:textFill>
            <w14:solidFill>
              <w14:schemeClr w14:val="tx1"/>
            </w14:solidFill>
          </w14:textFill>
        </w:rPr>
        <w:t>2</w:t>
      </w:r>
      <w:r>
        <w:rPr>
          <w:rFonts w:hint="eastAsia" w:cs="Times New Roman"/>
          <w:b/>
          <w:bCs/>
          <w:color w:val="000000" w:themeColor="text1"/>
          <w:szCs w:val="24"/>
          <w:highlight w:val="none"/>
          <w14:textFill>
            <w14:solidFill>
              <w14:schemeClr w14:val="tx1"/>
            </w14:solidFill>
          </w14:textFill>
        </w:rPr>
        <w:t>年，试采期结束后，若现有试采站和外输管线能够满足后期区块开发需要，则现有设施设备继续服务于后期普光主体区块开发，并按照区块开发相关要求另行办理区块环评手续。</w:t>
      </w:r>
    </w:p>
    <w:bookmarkEnd w:id="4"/>
    <w:p>
      <w:pPr>
        <w:ind w:firstLine="480"/>
        <w:rPr>
          <w:rFonts w:cs="Times New Roman"/>
          <w:color w:val="000000" w:themeColor="text1"/>
          <w:szCs w:val="24"/>
          <w:highlight w:val="none"/>
          <w14:textFill>
            <w14:solidFill>
              <w14:schemeClr w14:val="tx1"/>
            </w14:solidFill>
          </w14:textFill>
        </w:rPr>
      </w:pPr>
      <w:bookmarkStart w:id="6" w:name="OLE_LINK248"/>
      <w:r>
        <w:rPr>
          <w:rFonts w:hint="eastAsia" w:cs="Times New Roman"/>
          <w:color w:val="000000" w:themeColor="text1"/>
          <w:szCs w:val="24"/>
          <w:highlight w:val="none"/>
          <w14:textFill>
            <w14:solidFill>
              <w14:schemeClr w14:val="tx1"/>
            </w14:solidFill>
          </w14:textFill>
        </w:rPr>
        <w:t>本项目雷页</w:t>
      </w:r>
      <w:r>
        <w:rPr>
          <w:rFonts w:cs="Times New Roman"/>
          <w:color w:val="000000" w:themeColor="text1"/>
          <w:szCs w:val="24"/>
          <w:highlight w:val="none"/>
          <w14:textFill>
            <w14:solidFill>
              <w14:schemeClr w14:val="tx1"/>
            </w14:solidFill>
          </w14:textFill>
        </w:rPr>
        <w:t>1</w:t>
      </w:r>
      <w:r>
        <w:rPr>
          <w:rFonts w:hint="eastAsia" w:cs="Times New Roman"/>
          <w:color w:val="000000" w:themeColor="text1"/>
          <w:szCs w:val="24"/>
          <w:highlight w:val="none"/>
          <w14:textFill>
            <w14:solidFill>
              <w14:schemeClr w14:val="tx1"/>
            </w14:solidFill>
          </w14:textFill>
        </w:rPr>
        <w:t>井试采地面工程项目为新建，具体建设内容为：</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）试采工程</w:t>
      </w:r>
    </w:p>
    <w:p>
      <w:pPr>
        <w:ind w:firstLine="480"/>
        <w:rPr>
          <w:color w:val="000000" w:themeColor="text1"/>
          <w:highlight w:val="none"/>
          <w14:textFill>
            <w14:solidFill>
              <w14:schemeClr w14:val="tx1"/>
            </w14:solidFill>
          </w14:textFill>
        </w:rPr>
      </w:pPr>
      <w:bookmarkStart w:id="7" w:name="OLE_LINK90"/>
      <w:bookmarkStart w:id="8" w:name="OLE_LINK91"/>
      <w:bookmarkStart w:id="9" w:name="OLE_LINK37"/>
      <w:r>
        <w:rPr>
          <w:rFonts w:hint="eastAsia"/>
          <w:color w:val="000000" w:themeColor="text1"/>
          <w:highlight w:val="none"/>
          <w14:textFill>
            <w14:solidFill>
              <w14:schemeClr w14:val="tx1"/>
            </w14:solidFill>
          </w14:textFill>
        </w:rPr>
        <w:t>新建雷页</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井试采站</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座，处理规模</w:t>
      </w:r>
      <w:r>
        <w:rPr>
          <w:color w:val="000000" w:themeColor="text1"/>
          <w:highlight w:val="none"/>
          <w14:textFill>
            <w14:solidFill>
              <w14:schemeClr w14:val="tx1"/>
            </w14:solidFill>
          </w14:textFill>
        </w:rPr>
        <w:t>20</w:t>
      </w:r>
      <w:r>
        <w:rPr>
          <w:rFonts w:hint="eastAsia"/>
          <w:color w:val="000000" w:themeColor="text1"/>
          <w:highlight w:val="none"/>
          <w14:textFill>
            <w14:solidFill>
              <w14:schemeClr w14:val="tx1"/>
            </w14:solidFill>
          </w14:textFill>
        </w:rPr>
        <w:t>万方</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天</w:t>
      </w:r>
      <w:r>
        <w:rPr>
          <w:rFonts w:hint="eastAsia" w:ascii="宋体" w:hAnsi="宋体"/>
          <w:color w:val="000000" w:themeColor="text1"/>
          <w:szCs w:val="24"/>
          <w:highlight w:val="none"/>
          <w14:textFill>
            <w14:solidFill>
              <w14:schemeClr w14:val="tx1"/>
            </w14:solidFill>
          </w14:textFill>
        </w:rPr>
        <w:t>，设置工艺装置区、污水罐区、辅助生产区和放空区。</w:t>
      </w:r>
      <w:r>
        <w:rPr>
          <w:rFonts w:hint="eastAsia"/>
          <w:color w:val="000000" w:themeColor="text1"/>
          <w:highlight w:val="none"/>
          <w14:textFill>
            <w14:solidFill>
              <w14:schemeClr w14:val="tx1"/>
            </w14:solidFill>
          </w14:textFill>
        </w:rPr>
        <w:t>工艺装置区布置水套加热炉</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座，分离器</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座，分子筛脱水装置</w:t>
      </w:r>
      <w:r>
        <w:rPr>
          <w:color w:val="000000" w:themeColor="text1"/>
          <w:highlight w:val="none"/>
          <w14:textFill>
            <w14:solidFill>
              <w14:schemeClr w14:val="tx1"/>
            </w14:solidFill>
          </w14:textFill>
        </w:rPr>
        <w:t>2</w:t>
      </w:r>
      <w:r>
        <w:rPr>
          <w:rFonts w:hint="eastAsia"/>
          <w:color w:val="000000" w:themeColor="text1"/>
          <w:highlight w:val="none"/>
          <w14:textFill>
            <w14:solidFill>
              <w14:schemeClr w14:val="tx1"/>
            </w14:solidFill>
          </w14:textFill>
        </w:rPr>
        <w:t>座等；辅助生产区设置值班室、卫生间、配电间等辅助生产设施；放空区设置</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座放空立管；站场及放空区围墙均采用</w:t>
      </w:r>
      <w:r>
        <w:rPr>
          <w:color w:val="000000" w:themeColor="text1"/>
          <w:highlight w:val="none"/>
          <w14:textFill>
            <w14:solidFill>
              <w14:schemeClr w14:val="tx1"/>
            </w14:solidFill>
          </w14:textFill>
        </w:rPr>
        <w:t>2.5m</w:t>
      </w:r>
      <w:r>
        <w:rPr>
          <w:rFonts w:hint="eastAsia"/>
          <w:color w:val="000000" w:themeColor="text1"/>
          <w:highlight w:val="none"/>
          <w14:textFill>
            <w14:solidFill>
              <w14:schemeClr w14:val="tx1"/>
            </w14:solidFill>
          </w14:textFill>
        </w:rPr>
        <w:t>高铁丝网围墙。主入口位于站场西侧，设置</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樘</w:t>
      </w:r>
      <w:r>
        <w:rPr>
          <w:color w:val="000000" w:themeColor="text1"/>
          <w:highlight w:val="none"/>
          <w14:textFill>
            <w14:solidFill>
              <w14:schemeClr w14:val="tx1"/>
            </w14:solidFill>
          </w14:textFill>
        </w:rPr>
        <w:t>4m</w:t>
      </w:r>
      <w:r>
        <w:rPr>
          <w:rFonts w:hint="eastAsia"/>
          <w:color w:val="000000" w:themeColor="text1"/>
          <w:highlight w:val="none"/>
          <w14:textFill>
            <w14:solidFill>
              <w14:schemeClr w14:val="tx1"/>
            </w14:solidFill>
          </w14:textFill>
        </w:rPr>
        <w:t>宽钢制大门，连接大门处设置</w:t>
      </w:r>
      <w:r>
        <w:rPr>
          <w:color w:val="000000" w:themeColor="text1"/>
          <w:highlight w:val="none"/>
          <w14:textFill>
            <w14:solidFill>
              <w14:schemeClr w14:val="tx1"/>
            </w14:solidFill>
          </w14:textFill>
        </w:rPr>
        <w:t>4m</w:t>
      </w:r>
      <w:r>
        <w:rPr>
          <w:rFonts w:hint="eastAsia"/>
          <w:color w:val="000000" w:themeColor="text1"/>
          <w:highlight w:val="none"/>
          <w14:textFill>
            <w14:solidFill>
              <w14:schemeClr w14:val="tx1"/>
            </w14:solidFill>
          </w14:textFill>
        </w:rPr>
        <w:t>宽道路。</w:t>
      </w:r>
    </w:p>
    <w:bookmarkEnd w:id="7"/>
    <w:bookmarkEnd w:id="8"/>
    <w:bookmarkEnd w:id="9"/>
    <w:p>
      <w:pPr>
        <w:ind w:firstLine="480"/>
        <w:rPr>
          <w:rFonts w:cs="Times New Roman"/>
          <w:color w:val="000000" w:themeColor="text1"/>
          <w:szCs w:val="24"/>
          <w:highlight w:val="none"/>
          <w14:textFill>
            <w14:solidFill>
              <w14:schemeClr w14:val="tx1"/>
            </w14:solidFill>
          </w14:textFill>
        </w:rPr>
      </w:pPr>
      <w:bookmarkStart w:id="10" w:name="_Hlk151024029"/>
      <w:bookmarkStart w:id="11" w:name="_Hlk150179431"/>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2</w:t>
      </w:r>
      <w:r>
        <w:rPr>
          <w:rFonts w:hint="eastAsia"/>
          <w:color w:val="000000" w:themeColor="text1"/>
          <w:highlight w:val="none"/>
          <w14:textFill>
            <w14:solidFill>
              <w14:schemeClr w14:val="tx1"/>
            </w14:solidFill>
          </w14:textFill>
        </w:rPr>
        <w:t>）</w:t>
      </w:r>
      <w:r>
        <w:rPr>
          <w:rFonts w:hint="eastAsia" w:cs="Times New Roman"/>
          <w:color w:val="000000" w:themeColor="text1"/>
          <w:highlight w:val="none"/>
          <w14:textFill>
            <w14:solidFill>
              <w14:schemeClr w14:val="tx1"/>
            </w14:solidFill>
          </w14:textFill>
        </w:rPr>
        <w:t>集输管线工程</w:t>
      </w:r>
    </w:p>
    <w:p>
      <w:pPr>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新建雷页</w:t>
      </w:r>
      <w:r>
        <w:rPr>
          <w:rFonts w:cs="Times New Roman"/>
          <w:color w:val="000000" w:themeColor="text1"/>
          <w:szCs w:val="24"/>
          <w:highlight w:val="none"/>
          <w14:textFill>
            <w14:solidFill>
              <w14:schemeClr w14:val="tx1"/>
            </w14:solidFill>
          </w14:textFill>
        </w:rPr>
        <w:t>1</w:t>
      </w:r>
      <w:r>
        <w:rPr>
          <w:rFonts w:hint="eastAsia" w:cs="Times New Roman"/>
          <w:color w:val="000000" w:themeColor="text1"/>
          <w:szCs w:val="24"/>
          <w:highlight w:val="none"/>
          <w14:textFill>
            <w14:solidFill>
              <w14:schemeClr w14:val="tx1"/>
            </w14:solidFill>
          </w14:textFill>
        </w:rPr>
        <w:t>井至毛达线魏兴站外输管线</w:t>
      </w:r>
      <w:r>
        <w:rPr>
          <w:rFonts w:cs="Times New Roman"/>
          <w:color w:val="000000" w:themeColor="text1"/>
          <w:szCs w:val="24"/>
          <w:highlight w:val="none"/>
          <w14:textFill>
            <w14:solidFill>
              <w14:schemeClr w14:val="tx1"/>
            </w14:solidFill>
          </w14:textFill>
        </w:rPr>
        <w:t>11.8</w:t>
      </w:r>
      <w:r>
        <w:rPr>
          <w:rFonts w:hint="eastAsia" w:cs="Times New Roman"/>
          <w:color w:val="000000" w:themeColor="text1"/>
          <w:szCs w:val="24"/>
          <w:highlight w:val="none"/>
          <w14:textFill>
            <w14:solidFill>
              <w14:schemeClr w14:val="tx1"/>
            </w14:solidFill>
          </w14:textFill>
        </w:rPr>
        <w:t>公里，采用</w:t>
      </w:r>
      <w:r>
        <w:rPr>
          <w:rFonts w:cs="Times New Roman"/>
          <w:color w:val="000000" w:themeColor="text1"/>
          <w:szCs w:val="24"/>
          <w:highlight w:val="none"/>
          <w14:textFill>
            <w14:solidFill>
              <w14:schemeClr w14:val="tx1"/>
            </w14:solidFill>
          </w14:textFill>
        </w:rPr>
        <w:t>L245N</w:t>
      </w:r>
      <w:r>
        <w:rPr>
          <w:rFonts w:hint="eastAsia" w:cs="Times New Roman"/>
          <w:color w:val="000000" w:themeColor="text1"/>
          <w:szCs w:val="24"/>
          <w:highlight w:val="none"/>
          <w14:textFill>
            <w14:solidFill>
              <w14:schemeClr w14:val="tx1"/>
            </w14:solidFill>
          </w14:textFill>
        </w:rPr>
        <w:t>无缝钢管（</w:t>
      </w:r>
      <w:r>
        <w:rPr>
          <w:rFonts w:cs="Times New Roman"/>
          <w:color w:val="000000" w:themeColor="text1"/>
          <w:szCs w:val="24"/>
          <w:highlight w:val="none"/>
          <w14:textFill>
            <w14:solidFill>
              <w14:schemeClr w14:val="tx1"/>
            </w14:solidFill>
          </w14:textFill>
        </w:rPr>
        <w:t>DN200</w:t>
      </w:r>
      <w:r>
        <w:rPr>
          <w:rFonts w:hint="eastAsia" w:cs="Times New Roman"/>
          <w:color w:val="000000" w:themeColor="text1"/>
          <w:szCs w:val="24"/>
          <w:highlight w:val="none"/>
          <w14:textFill>
            <w14:solidFill>
              <w14:schemeClr w14:val="tx1"/>
            </w14:solidFill>
          </w14:textFill>
        </w:rPr>
        <w:t>），设计压力</w:t>
      </w:r>
      <w:r>
        <w:rPr>
          <w:rFonts w:cs="Times New Roman"/>
          <w:color w:val="000000" w:themeColor="text1"/>
          <w:szCs w:val="24"/>
          <w:highlight w:val="none"/>
          <w14:textFill>
            <w14:solidFill>
              <w14:schemeClr w14:val="tx1"/>
            </w14:solidFill>
          </w14:textFill>
        </w:rPr>
        <w:t>6.3</w:t>
      </w:r>
      <w:r>
        <w:rPr>
          <w:rFonts w:hint="eastAsia" w:cs="Times New Roman"/>
          <w:color w:val="000000" w:themeColor="text1"/>
          <w:szCs w:val="24"/>
          <w:highlight w:val="none"/>
          <w14:textFill>
            <w14:solidFill>
              <w14:schemeClr w14:val="tx1"/>
            </w14:solidFill>
          </w14:textFill>
        </w:rPr>
        <w:t>兆帕，管输能力</w:t>
      </w:r>
      <w:r>
        <w:rPr>
          <w:rFonts w:cs="Times New Roman"/>
          <w:color w:val="000000" w:themeColor="text1"/>
          <w:szCs w:val="24"/>
          <w:highlight w:val="none"/>
          <w14:textFill>
            <w14:solidFill>
              <w14:schemeClr w14:val="tx1"/>
            </w14:solidFill>
          </w14:textFill>
        </w:rPr>
        <w:t>60</w:t>
      </w:r>
      <w:r>
        <w:rPr>
          <w:rFonts w:hint="eastAsia" w:cs="Times New Roman"/>
          <w:color w:val="000000" w:themeColor="text1"/>
          <w:szCs w:val="24"/>
          <w:highlight w:val="none"/>
          <w14:textFill>
            <w14:solidFill>
              <w14:schemeClr w14:val="tx1"/>
            </w14:solidFill>
          </w14:textFill>
        </w:rPr>
        <w:t>万方</w:t>
      </w:r>
      <w:r>
        <w:rPr>
          <w:rFonts w:cs="Times New Roman"/>
          <w:color w:val="000000" w:themeColor="text1"/>
          <w:szCs w:val="24"/>
          <w:highlight w:val="none"/>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天。</w:t>
      </w:r>
    </w:p>
    <w:bookmarkEnd w:id="10"/>
    <w:bookmarkEnd w:id="11"/>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项目投产后，试采</w:t>
      </w:r>
      <w:r>
        <w:rPr>
          <w:rFonts w:hint="eastAsia"/>
          <w:color w:val="000000" w:themeColor="text1"/>
          <w:highlight w:val="none"/>
          <w14:textFill>
            <w14:solidFill>
              <w14:schemeClr w14:val="tx1"/>
            </w14:solidFill>
          </w14:textFill>
        </w:rPr>
        <w:t>处理规模为</w:t>
      </w:r>
      <w:r>
        <w:rPr>
          <w:color w:val="000000" w:themeColor="text1"/>
          <w:highlight w:val="none"/>
          <w14:textFill>
            <w14:solidFill>
              <w14:schemeClr w14:val="tx1"/>
            </w14:solidFill>
          </w14:textFill>
        </w:rPr>
        <w:t>20</w:t>
      </w:r>
      <w:r>
        <w:rPr>
          <w:rFonts w:hint="eastAsia"/>
          <w:color w:val="000000" w:themeColor="text1"/>
          <w:highlight w:val="none"/>
          <w14:textFill>
            <w14:solidFill>
              <w14:schemeClr w14:val="tx1"/>
            </w14:solidFill>
          </w14:textFill>
        </w:rPr>
        <w:t>万方</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天</w:t>
      </w:r>
      <w:r>
        <w:rPr>
          <w:rFonts w:hint="eastAsia" w:cs="Times New Roman"/>
          <w:color w:val="000000" w:themeColor="text1"/>
          <w:highlight w:val="none"/>
          <w14:textFill>
            <w14:solidFill>
              <w14:schemeClr w14:val="tx1"/>
            </w14:solidFill>
          </w14:textFill>
        </w:rPr>
        <w:t>，试采期为</w:t>
      </w:r>
      <w:r>
        <w:rPr>
          <w:rFonts w:cs="Times New Roman"/>
          <w:color w:val="000000" w:themeColor="text1"/>
          <w:highlight w:val="none"/>
          <w14:textFill>
            <w14:solidFill>
              <w14:schemeClr w14:val="tx1"/>
            </w14:solidFill>
          </w14:textFill>
        </w:rPr>
        <w:t>2</w:t>
      </w:r>
      <w:r>
        <w:rPr>
          <w:rFonts w:hint="eastAsia" w:cs="Times New Roman"/>
          <w:color w:val="000000" w:themeColor="text1"/>
          <w:highlight w:val="none"/>
          <w14:textFill>
            <w14:solidFill>
              <w14:schemeClr w14:val="tx1"/>
            </w14:solidFill>
          </w14:textFill>
        </w:rPr>
        <w:t>年。</w:t>
      </w:r>
    </w:p>
    <w:bookmarkEnd w:id="6"/>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本项目总投资</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14:textFill>
            <w14:solidFill>
              <w14:schemeClr w14:val="tx1"/>
            </w14:solidFill>
          </w14:textFill>
        </w:rPr>
        <w:t>万元，其中：工程费</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14:textFill>
            <w14:solidFill>
              <w14:schemeClr w14:val="tx1"/>
            </w14:solidFill>
          </w14:textFill>
        </w:rPr>
        <w:t>万元、其他费</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14:textFill>
            <w14:solidFill>
              <w14:schemeClr w14:val="tx1"/>
            </w14:solidFill>
          </w14:textFill>
        </w:rPr>
        <w:t>万元、预备费</w:t>
      </w:r>
      <w:r>
        <w:rPr>
          <w:rFonts w:cs="Times New Roman"/>
          <w:color w:val="000000" w:themeColor="text1"/>
          <w:highlight w:val="none"/>
          <w14:textFill>
            <w14:solidFill>
              <w14:schemeClr w14:val="tx1"/>
            </w14:solidFill>
          </w14:textFill>
        </w:rPr>
        <w:t>77</w:t>
      </w:r>
      <w:r>
        <w:rPr>
          <w:rFonts w:hint="eastAsia" w:cs="Times New Roman"/>
          <w:color w:val="000000" w:themeColor="text1"/>
          <w:highlight w:val="none"/>
          <w14:textFill>
            <w14:solidFill>
              <w14:schemeClr w14:val="tx1"/>
            </w14:solidFill>
          </w14:textFill>
        </w:rPr>
        <w:t>万元。</w:t>
      </w:r>
    </w:p>
    <w:p>
      <w:pPr>
        <w:ind w:firstLine="480"/>
        <w:rPr>
          <w:rFonts w:cs="Times New Roman"/>
          <w:color w:val="000000" w:themeColor="text1"/>
          <w:kern w:val="0"/>
          <w:highlight w:val="none"/>
          <w14:textFill>
            <w14:solidFill>
              <w14:schemeClr w14:val="tx1"/>
            </w14:solidFill>
          </w14:textFill>
        </w:rPr>
      </w:pPr>
      <w:r>
        <w:rPr>
          <w:rFonts w:hint="eastAsia" w:cs="Times New Roman"/>
          <w:color w:val="000000" w:themeColor="text1"/>
          <w:kern w:val="0"/>
          <w:highlight w:val="none"/>
          <w14:textFill>
            <w14:solidFill>
              <w14:schemeClr w14:val="tx1"/>
            </w14:solidFill>
          </w14:textFill>
        </w:rPr>
        <w:t>本项目试采站位于达州市宣汉县</w:t>
      </w:r>
      <w:r>
        <w:rPr>
          <w:rFonts w:hint="eastAsia" w:cs="Times New Roman"/>
          <w:color w:val="000000" w:themeColor="text1"/>
          <w:kern w:val="0"/>
          <w:highlight w:val="none"/>
          <w:lang w:eastAsia="zh-CN"/>
          <w14:textFill>
            <w14:solidFill>
              <w14:schemeClr w14:val="tx1"/>
            </w14:solidFill>
          </w14:textFill>
        </w:rPr>
        <w:t>**</w:t>
      </w:r>
      <w:r>
        <w:rPr>
          <w:rFonts w:hint="eastAsia" w:cs="Times New Roman"/>
          <w:color w:val="000000" w:themeColor="text1"/>
          <w:kern w:val="0"/>
          <w:highlight w:val="none"/>
          <w14:textFill>
            <w14:solidFill>
              <w14:schemeClr w14:val="tx1"/>
            </w14:solidFill>
          </w14:textFill>
        </w:rPr>
        <w:t>，外输管线涉及达州市宣汉县</w:t>
      </w:r>
      <w:r>
        <w:rPr>
          <w:rFonts w:hint="eastAsia" w:cs="Times New Roman"/>
          <w:color w:val="000000" w:themeColor="text1"/>
          <w:kern w:val="0"/>
          <w:highlight w:val="none"/>
          <w:lang w:eastAsia="zh-CN"/>
          <w14:textFill>
            <w14:solidFill>
              <w14:schemeClr w14:val="tx1"/>
            </w14:solidFill>
          </w14:textFill>
        </w:rPr>
        <w:t>**</w:t>
      </w:r>
      <w:r>
        <w:rPr>
          <w:rFonts w:hint="eastAsia" w:cs="Times New Roman"/>
          <w:color w:val="000000" w:themeColor="text1"/>
          <w:kern w:val="0"/>
          <w:highlight w:val="none"/>
          <w14:textFill>
            <w14:solidFill>
              <w14:schemeClr w14:val="tx1"/>
            </w14:solidFill>
          </w14:textFill>
        </w:rPr>
        <w:t>、红岭镇（原红岭乡）和达州市通川区魏兴镇，根据水利部办公厅关于印发《全国水土保持规划国家级水土流失重点预防区和重点治理区复核划分成果》（办水保〔</w:t>
      </w:r>
      <w:r>
        <w:rPr>
          <w:rFonts w:cs="Times New Roman"/>
          <w:color w:val="000000" w:themeColor="text1"/>
          <w:kern w:val="0"/>
          <w:highlight w:val="none"/>
          <w14:textFill>
            <w14:solidFill>
              <w14:schemeClr w14:val="tx1"/>
            </w14:solidFill>
          </w14:textFill>
        </w:rPr>
        <w:t>2013</w:t>
      </w:r>
      <w:r>
        <w:rPr>
          <w:rFonts w:hint="eastAsia" w:cs="Times New Roman"/>
          <w:color w:val="000000" w:themeColor="text1"/>
          <w:kern w:val="0"/>
          <w:highlight w:val="none"/>
          <w14:textFill>
            <w14:solidFill>
              <w14:schemeClr w14:val="tx1"/>
            </w14:solidFill>
          </w14:textFill>
        </w:rPr>
        <w:t>〕</w:t>
      </w:r>
      <w:r>
        <w:rPr>
          <w:rFonts w:cs="Times New Roman"/>
          <w:color w:val="000000" w:themeColor="text1"/>
          <w:kern w:val="0"/>
          <w:highlight w:val="none"/>
          <w14:textFill>
            <w14:solidFill>
              <w14:schemeClr w14:val="tx1"/>
            </w14:solidFill>
          </w14:textFill>
        </w:rPr>
        <w:t>188</w:t>
      </w:r>
      <w:r>
        <w:rPr>
          <w:rFonts w:hint="eastAsia" w:cs="Times New Roman"/>
          <w:color w:val="000000" w:themeColor="text1"/>
          <w:kern w:val="0"/>
          <w:highlight w:val="none"/>
          <w14:textFill>
            <w14:solidFill>
              <w14:schemeClr w14:val="tx1"/>
            </w14:solidFill>
          </w14:textFill>
        </w:rPr>
        <w:t>号）的通知，本项目属于四川省国家级水土流失重点治理区名单中所列区县，详见下表。</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四川省国家级水土流失重点治理区名单</w:t>
      </w:r>
    </w:p>
    <w:tbl>
      <w:tblPr>
        <w:tblStyle w:val="4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53"/>
        <w:gridCol w:w="67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00"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重点治理区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嘉陵江及沱江中下游国家级水土流失重点治理区</w:t>
            </w:r>
          </w:p>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GII2</w:t>
            </w:r>
          </w:p>
        </w:tc>
        <w:tc>
          <w:tcPr>
            <w:tcW w:w="6747"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巴中市：巴州区、恩阳区、平昌县；成都市：金堂县、简阳市；达州市：达川区、大竹县、开江县、渠县、</w:t>
            </w:r>
            <w:r>
              <w:rPr>
                <w:b/>
                <w:bCs/>
                <w:color w:val="000000" w:themeColor="text1"/>
                <w:highlight w:val="none"/>
                <w14:textFill>
                  <w14:solidFill>
                    <w14:schemeClr w14:val="tx1"/>
                  </w14:solidFill>
                </w14:textFill>
              </w:rPr>
              <w:t>通川区</w:t>
            </w:r>
            <w:r>
              <w:rPr>
                <w:color w:val="000000" w:themeColor="text1"/>
                <w:highlight w:val="none"/>
                <w14:textFill>
                  <w14:solidFill>
                    <w14:schemeClr w14:val="tx1"/>
                  </w14:solidFill>
                </w14:textFill>
              </w:rPr>
              <w:t>、</w:t>
            </w:r>
            <w:r>
              <w:rPr>
                <w:b/>
                <w:bCs/>
                <w:color w:val="000000" w:themeColor="text1"/>
                <w:highlight w:val="none"/>
                <w14:textFill>
                  <w14:solidFill>
                    <w14:schemeClr w14:val="tx1"/>
                  </w14:solidFill>
                </w14:textFill>
              </w:rPr>
              <w:t>宣汉县</w:t>
            </w:r>
            <w:r>
              <w:rPr>
                <w:color w:val="000000" w:themeColor="text1"/>
                <w:highlight w:val="none"/>
                <w14:textFill>
                  <w14:solidFill>
                    <w14:schemeClr w14:val="tx1"/>
                  </w14:solidFill>
                </w14:textFill>
              </w:rPr>
              <w:t>；德阳市：中江县；广元市：苍溪县、剑阁县；乐山市：犍为县、井研县；眉山市：仁寿县；绵阳市：三台县、盐亭县、梓潼县；内江市：威远县、资中县；南充市：阆中市、仪陇县、营山县；遂宁市：大英县；宜宾市：宜宾县；资阳市：安岳县、乐至县、雁江区；自贡市；柴县（31）</w:t>
            </w:r>
          </w:p>
        </w:tc>
      </w:tr>
    </w:tbl>
    <w:p>
      <w:pPr>
        <w:spacing w:before="120" w:beforeLines="50"/>
        <w:ind w:firstLine="480"/>
        <w:rPr>
          <w:rFonts w:cs="Times New Roman"/>
          <w:color w:val="000000" w:themeColor="text1"/>
          <w:kern w:val="0"/>
          <w:highlight w:val="none"/>
          <w14:textFill>
            <w14:solidFill>
              <w14:schemeClr w14:val="tx1"/>
            </w14:solidFill>
          </w14:textFill>
        </w:rPr>
      </w:pPr>
      <w:r>
        <w:rPr>
          <w:rFonts w:cs="Times New Roman"/>
          <w:color w:val="000000" w:themeColor="text1"/>
          <w:kern w:val="0"/>
          <w:highlight w:val="none"/>
          <w14:textFill>
            <w14:solidFill>
              <w14:schemeClr w14:val="tx1"/>
            </w14:solidFill>
          </w14:textFill>
        </w:rPr>
        <w:t>同时，</w:t>
      </w:r>
      <w:r>
        <w:rPr>
          <w:rFonts w:ascii="宋体" w:hAnsi="宋体" w:cs="Times New Roman"/>
          <w:color w:val="000000" w:themeColor="text1"/>
          <w:kern w:val="0"/>
          <w:highlight w:val="none"/>
          <w14:textFill>
            <w14:solidFill>
              <w14:schemeClr w14:val="tx1"/>
            </w14:solidFill>
          </w14:textFill>
        </w:rPr>
        <w:t>根据达州市水利局《关于水土保持“两区”划分的公告》“以下称《公告》”</w:t>
      </w:r>
      <w:r>
        <w:rPr>
          <w:rFonts w:cs="Times New Roman"/>
          <w:color w:val="000000" w:themeColor="text1"/>
          <w:kern w:val="0"/>
          <w:highlight w:val="none"/>
          <w14:textFill>
            <w14:solidFill>
              <w14:schemeClr w14:val="tx1"/>
            </w14:solidFill>
          </w14:textFill>
        </w:rPr>
        <w:t>，</w:t>
      </w:r>
      <w:r>
        <w:rPr>
          <w:rFonts w:hint="eastAsia" w:cs="Times New Roman"/>
          <w:color w:val="000000" w:themeColor="text1"/>
          <w:kern w:val="0"/>
          <w:highlight w:val="none"/>
          <w14:textFill>
            <w14:solidFill>
              <w14:schemeClr w14:val="tx1"/>
            </w14:solidFill>
          </w14:textFill>
        </w:rPr>
        <w:t>本项目</w:t>
      </w:r>
      <w:r>
        <w:rPr>
          <w:rFonts w:cs="Times New Roman"/>
          <w:color w:val="000000" w:themeColor="text1"/>
          <w:kern w:val="0"/>
          <w:highlight w:val="none"/>
          <w14:textFill>
            <w14:solidFill>
              <w14:schemeClr w14:val="tx1"/>
            </w14:solidFill>
          </w14:textFill>
        </w:rPr>
        <w:t>涉及《公告》中</w:t>
      </w:r>
      <w:r>
        <w:rPr>
          <w:rFonts w:ascii="宋体" w:hAnsi="宋体" w:cs="Times New Roman"/>
          <w:color w:val="000000" w:themeColor="text1"/>
          <w:kern w:val="0"/>
          <w:highlight w:val="none"/>
          <w14:textFill>
            <w14:solidFill>
              <w14:schemeClr w14:val="tx1"/>
            </w14:solidFill>
          </w14:textFill>
        </w:rPr>
        <w:t>“附件1达州市水土流失重点防治区划分表”中所列生态分区中“</w:t>
      </w:r>
      <w:r>
        <w:rPr>
          <w:rFonts w:cs="Times New Roman"/>
          <w:color w:val="000000" w:themeColor="text1"/>
          <w:kern w:val="0"/>
          <w:highlight w:val="none"/>
          <w14:textFill>
            <w14:solidFill>
              <w14:schemeClr w14:val="tx1"/>
            </w14:solidFill>
          </w14:textFill>
        </w:rPr>
        <w:t>Ⅱ区-重点治理区</w:t>
      </w:r>
      <w:r>
        <w:rPr>
          <w:rFonts w:ascii="宋体" w:hAnsi="宋体" w:cs="Times New Roman"/>
          <w:color w:val="000000" w:themeColor="text1"/>
          <w:kern w:val="0"/>
          <w:highlight w:val="none"/>
          <w14:textFill>
            <w14:solidFill>
              <w14:schemeClr w14:val="tx1"/>
            </w14:solidFill>
          </w14:textFill>
        </w:rPr>
        <w:t>”</w:t>
      </w:r>
      <w:r>
        <w:rPr>
          <w:rFonts w:cs="Times New Roman"/>
          <w:color w:val="000000" w:themeColor="text1"/>
          <w:kern w:val="0"/>
          <w:highlight w:val="none"/>
          <w14:textFill>
            <w14:solidFill>
              <w14:schemeClr w14:val="tx1"/>
            </w14:solidFill>
          </w14:textFill>
        </w:rPr>
        <w:t>，具体详见下表。</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达州市水土流失重点防治区划分表</w:t>
      </w:r>
    </w:p>
    <w:tbl>
      <w:tblPr>
        <w:tblStyle w:val="4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2"/>
        <w:gridCol w:w="1417"/>
        <w:gridCol w:w="57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生态分区</w:t>
            </w:r>
          </w:p>
        </w:tc>
        <w:tc>
          <w:tcPr>
            <w:tcW w:w="1417"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治理分区</w:t>
            </w:r>
          </w:p>
        </w:tc>
        <w:tc>
          <w:tcPr>
            <w:tcW w:w="575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乡镇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II区</w:t>
            </w:r>
          </w:p>
        </w:tc>
        <w:tc>
          <w:tcPr>
            <w:tcW w:w="1417"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重点预防区</w:t>
            </w:r>
          </w:p>
        </w:tc>
        <w:tc>
          <w:tcPr>
            <w:tcW w:w="575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宣汉县：龙泉乡、渡口乡、三墩乡、白马乡、大成镇、东乡镇、柳池乡、清溪镇、普光镇、桃花乡、双河镇、七里乡、柏树镇、天生镇、石铁乡、新华镇、厂溪乡、风鸣乡、红峰乡（19）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dxa"/>
            <w:vMerge w:val="continue"/>
            <w:vAlign w:val="center"/>
          </w:tcPr>
          <w:p>
            <w:pPr>
              <w:pStyle w:val="118"/>
              <w:rPr>
                <w:color w:val="000000" w:themeColor="text1"/>
                <w:highlight w:val="none"/>
                <w14:textFill>
                  <w14:solidFill>
                    <w14:schemeClr w14:val="tx1"/>
                  </w14:solidFill>
                </w14:textFill>
              </w:rPr>
            </w:pPr>
          </w:p>
        </w:tc>
        <w:tc>
          <w:tcPr>
            <w:tcW w:w="1417"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重点治理区</w:t>
            </w:r>
          </w:p>
        </w:tc>
        <w:tc>
          <w:tcPr>
            <w:tcW w:w="575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宣汉县：三墩乡、土黄镇、樊哙镇、漆碑乡、华景镇、白马乡、庆云乡、马渡乡、隘口乡、清溪镇、老君乡、普光镇、峰城镇、凤林乡、五宝镇、天台乡、三河乡、</w:t>
            </w:r>
            <w:r>
              <w:rPr>
                <w:rFonts w:hint="eastAsia"/>
                <w:b/>
                <w:bCs/>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、明月乡、东乡镇、</w:t>
            </w:r>
            <w:r>
              <w:rPr>
                <w:b/>
                <w:bCs/>
                <w:color w:val="000000" w:themeColor="text1"/>
                <w:highlight w:val="none"/>
                <w14:textFill>
                  <w14:solidFill>
                    <w14:schemeClr w14:val="tx1"/>
                  </w14:solidFill>
                </w14:textFill>
              </w:rPr>
              <w:t>红岭乡</w:t>
            </w:r>
            <w:r>
              <w:rPr>
                <w:color w:val="000000" w:themeColor="text1"/>
                <w:highlight w:val="none"/>
                <w14:textFill>
                  <w14:solidFill>
                    <w14:schemeClr w14:val="tx1"/>
                  </w14:solidFill>
                </w14:textFill>
              </w:rPr>
              <w:t>、大成镇、柳池乡、东林乡、庙安乡、天宝乡、柏树镇、黄金镇、</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镇、胡家镇、花池乡、土主乡、南坪乡、观山乡（34）</w:t>
            </w:r>
          </w:p>
        </w:tc>
      </w:tr>
    </w:tbl>
    <w:p>
      <w:pPr>
        <w:spacing w:before="120" w:beforeLines="5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由上表可知，</w:t>
      </w:r>
      <w:r>
        <w:rPr>
          <w:color w:val="000000" w:themeColor="text1"/>
          <w:highlight w:val="none"/>
          <w14:textFill>
            <w14:solidFill>
              <w14:schemeClr w14:val="tx1"/>
            </w14:solidFill>
          </w14:textFill>
        </w:rPr>
        <w:t>本项目涉及水土流失重点治理区。</w:t>
      </w:r>
    </w:p>
    <w:p>
      <w:pPr>
        <w:ind w:firstLine="480"/>
        <w:rPr>
          <w:rFonts w:cs="Times New Roman"/>
          <w:color w:val="000000" w:themeColor="text1"/>
          <w:kern w:val="0"/>
          <w:szCs w:val="20"/>
          <w:highlight w:val="none"/>
          <w14:textFill>
            <w14:solidFill>
              <w14:schemeClr w14:val="tx1"/>
            </w14:solidFill>
          </w14:textFill>
        </w:rPr>
      </w:pPr>
      <w:r>
        <w:rPr>
          <w:rFonts w:cs="Times New Roman"/>
          <w:color w:val="000000" w:themeColor="text1"/>
          <w:kern w:val="0"/>
          <w:highlight w:val="none"/>
          <w14:textFill>
            <w14:solidFill>
              <w14:schemeClr w14:val="tx1"/>
            </w14:solidFill>
          </w14:textFill>
        </w:rPr>
        <w:t>根据《中华人民共和国环境保护法》（2015年1月1日实施）、《中华人民共和国环境影响评价法》（2018年12月29日实施）、《建设项目环境影响评价分类管理名录》（2021年版）等的有关规定，建设过程中或者建成投产后可能对环境产生影响的新建、扩建、改建、迁建项目及区域开发建设项目，必须执行环境影响评价制度。根据</w:t>
      </w:r>
      <w:r>
        <w:rPr>
          <w:rFonts w:hint="eastAsia" w:cs="Times New Roman"/>
          <w:color w:val="000000" w:themeColor="text1"/>
          <w:kern w:val="0"/>
          <w:highlight w:val="none"/>
          <w14:textFill>
            <w14:solidFill>
              <w14:schemeClr w14:val="tx1"/>
            </w14:solidFill>
          </w14:textFill>
        </w:rPr>
        <w:t>生态环境部</w:t>
      </w:r>
      <w:r>
        <w:rPr>
          <w:rFonts w:cs="Times New Roman"/>
          <w:color w:val="000000" w:themeColor="text1"/>
          <w:kern w:val="0"/>
          <w:highlight w:val="none"/>
          <w14:textFill>
            <w14:solidFill>
              <w14:schemeClr w14:val="tx1"/>
            </w14:solidFill>
          </w14:textFill>
        </w:rPr>
        <w:t>制定的《建设项目环境影响评价分类管理名录》（2021年版）中的相关要求，本项目属于</w:t>
      </w:r>
      <w:r>
        <w:rPr>
          <w:rFonts w:ascii="宋体" w:hAnsi="宋体" w:cs="Times New Roman"/>
          <w:color w:val="000000" w:themeColor="text1"/>
          <w:kern w:val="0"/>
          <w:highlight w:val="none"/>
          <w14:textFill>
            <w14:solidFill>
              <w14:schemeClr w14:val="tx1"/>
            </w14:solidFill>
          </w14:textFill>
        </w:rPr>
        <w:t>“</w:t>
      </w:r>
      <w:r>
        <w:rPr>
          <w:rFonts w:cs="Times New Roman"/>
          <w:color w:val="000000" w:themeColor="text1"/>
          <w:kern w:val="0"/>
          <w:highlight w:val="none"/>
          <w14:textFill>
            <w14:solidFill>
              <w14:schemeClr w14:val="tx1"/>
            </w14:solidFill>
          </w14:textFill>
        </w:rPr>
        <w:t>五、石油和天然气开采业07-8、陆地天然气开采0721-新区块开发；年生产能力1亿立方米及以上的煤层气开采；涉及环境敏感区的（含内部集输管线建设）（本项目涉及水土流失重点治理区</w:t>
      </w:r>
      <w:r>
        <w:rPr>
          <w:rFonts w:hint="eastAsia" w:cs="Times New Roman"/>
          <w:color w:val="000000" w:themeColor="text1"/>
          <w:kern w:val="0"/>
          <w:highlight w:val="none"/>
          <w14:textFill>
            <w14:solidFill>
              <w14:schemeClr w14:val="tx1"/>
            </w14:solidFill>
          </w14:textFill>
        </w:rPr>
        <w:t>及基本农田</w:t>
      </w:r>
      <w:r>
        <w:rPr>
          <w:rFonts w:cs="Times New Roman"/>
          <w:color w:val="000000" w:themeColor="text1"/>
          <w:kern w:val="0"/>
          <w:highlight w:val="none"/>
          <w14:textFill>
            <w14:solidFill>
              <w14:schemeClr w14:val="tx1"/>
            </w14:solidFill>
          </w14:textFill>
        </w:rPr>
        <w:t>）</w:t>
      </w:r>
      <w:r>
        <w:rPr>
          <w:rFonts w:ascii="宋体" w:hAnsi="宋体" w:cs="Times New Roman"/>
          <w:color w:val="000000" w:themeColor="text1"/>
          <w:kern w:val="0"/>
          <w:highlight w:val="none"/>
          <w14:textFill>
            <w14:solidFill>
              <w14:schemeClr w14:val="tx1"/>
            </w14:solidFill>
          </w14:textFill>
        </w:rPr>
        <w:t>”</w:t>
      </w:r>
      <w:r>
        <w:rPr>
          <w:rFonts w:cs="Times New Roman"/>
          <w:color w:val="000000" w:themeColor="text1"/>
          <w:kern w:val="0"/>
          <w:highlight w:val="none"/>
          <w14:textFill>
            <w14:solidFill>
              <w14:schemeClr w14:val="tx1"/>
            </w14:solidFill>
          </w14:textFill>
        </w:rPr>
        <w:t>的建设项目，环评类别为编制环境影响报告书。</w:t>
      </w:r>
    </w:p>
    <w:p>
      <w:pPr>
        <w:ind w:firstLine="480"/>
        <w:rPr>
          <w:rFonts w:cs="Times New Roman"/>
          <w:color w:val="000000" w:themeColor="text1"/>
          <w:kern w:val="0"/>
          <w:szCs w:val="20"/>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中国石油化工股份有限公司中原油田普光分公司委托成都维清环保科技有限公司承担本项目环境影响评价工作（见附件）。成都维清环保科技有限公司接受委托后，成立项目组，并随即对该项目建设沿线及其周边的自然环境进行踏勘调查，收集了与项目有关的建设及技术资料，根据建设项目环境影响评价导则、规范及要求，编制《</w:t>
      </w:r>
      <w:r>
        <w:rPr>
          <w:rFonts w:hint="eastAsia" w:cs="Times New Roman"/>
          <w:color w:val="000000" w:themeColor="text1"/>
          <w:kern w:val="0"/>
          <w:szCs w:val="20"/>
          <w:highlight w:val="none"/>
          <w14:textFill>
            <w14:solidFill>
              <w14:schemeClr w14:val="tx1"/>
            </w14:solidFill>
          </w14:textFill>
        </w:rPr>
        <w:t>雷页1井</w:t>
      </w:r>
      <w:r>
        <w:rPr>
          <w:rFonts w:cs="Times New Roman"/>
          <w:color w:val="000000" w:themeColor="text1"/>
          <w:kern w:val="0"/>
          <w:szCs w:val="20"/>
          <w:highlight w:val="none"/>
          <w14:textFill>
            <w14:solidFill>
              <w14:schemeClr w14:val="tx1"/>
            </w14:solidFill>
          </w14:textFill>
        </w:rPr>
        <w:t>试采</w:t>
      </w:r>
      <w:r>
        <w:rPr>
          <w:rFonts w:hint="eastAsia" w:cs="Times New Roman"/>
          <w:color w:val="000000" w:themeColor="text1"/>
          <w:kern w:val="0"/>
          <w:szCs w:val="20"/>
          <w:highlight w:val="none"/>
          <w14:textFill>
            <w14:solidFill>
              <w14:schemeClr w14:val="tx1"/>
            </w14:solidFill>
          </w14:textFill>
        </w:rPr>
        <w:t>地面</w:t>
      </w:r>
      <w:r>
        <w:rPr>
          <w:rFonts w:cs="Times New Roman"/>
          <w:color w:val="000000" w:themeColor="text1"/>
          <w:kern w:val="0"/>
          <w:szCs w:val="20"/>
          <w:highlight w:val="none"/>
          <w14:textFill>
            <w14:solidFill>
              <w14:schemeClr w14:val="tx1"/>
            </w14:solidFill>
          </w14:textFill>
        </w:rPr>
        <w:t>工程环境影响报告书》。</w:t>
      </w:r>
    </w:p>
    <w:bookmarkEnd w:id="5"/>
    <w:p>
      <w:pPr>
        <w:pStyle w:val="4"/>
        <w:spacing w:before="120"/>
        <w:rPr>
          <w:color w:val="000000" w:themeColor="text1"/>
          <w:highlight w:val="none"/>
          <w14:textFill>
            <w14:solidFill>
              <w14:schemeClr w14:val="tx1"/>
            </w14:solidFill>
          </w14:textFill>
        </w:rPr>
      </w:pPr>
      <w:bookmarkStart w:id="12" w:name="_Toc10950"/>
      <w:r>
        <w:rPr>
          <w:color w:val="000000" w:themeColor="text1"/>
          <w:highlight w:val="none"/>
          <w14:textFill>
            <w14:solidFill>
              <w14:schemeClr w14:val="tx1"/>
            </w14:solidFill>
          </w14:textFill>
        </w:rPr>
        <w:t>建设项目特点</w:t>
      </w:r>
      <w:bookmarkEnd w:id="12"/>
    </w:p>
    <w:p>
      <w:pPr>
        <w:ind w:firstLine="480"/>
        <w:rPr>
          <w:rFonts w:cs="Times New Roman"/>
          <w:color w:val="000000" w:themeColor="text1"/>
          <w:kern w:val="0"/>
          <w:szCs w:val="20"/>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本项目为天然气试采</w:t>
      </w:r>
      <w:r>
        <w:rPr>
          <w:rFonts w:hint="eastAsia" w:cs="Times New Roman"/>
          <w:color w:val="000000" w:themeColor="text1"/>
          <w:kern w:val="0"/>
          <w:szCs w:val="20"/>
          <w:highlight w:val="none"/>
          <w14:textFill>
            <w14:solidFill>
              <w14:schemeClr w14:val="tx1"/>
            </w14:solidFill>
          </w14:textFill>
        </w:rPr>
        <w:t>地面</w:t>
      </w:r>
      <w:r>
        <w:rPr>
          <w:rFonts w:cs="Times New Roman"/>
          <w:color w:val="000000" w:themeColor="text1"/>
          <w:kern w:val="0"/>
          <w:szCs w:val="20"/>
          <w:highlight w:val="none"/>
          <w14:textFill>
            <w14:solidFill>
              <w14:schemeClr w14:val="tx1"/>
            </w14:solidFill>
          </w14:textFill>
        </w:rPr>
        <w:t>工程，具有如下特点：</w:t>
      </w:r>
    </w:p>
    <w:p>
      <w:pPr>
        <w:ind w:firstLine="480"/>
        <w:rPr>
          <w:rFonts w:cs="Times New Roman"/>
          <w:bCs/>
          <w:color w:val="000000" w:themeColor="text1"/>
          <w:kern w:val="0"/>
          <w:szCs w:val="20"/>
          <w:highlight w:val="none"/>
          <w14:textFill>
            <w14:solidFill>
              <w14:schemeClr w14:val="tx1"/>
            </w14:solidFill>
          </w14:textFill>
        </w:rPr>
      </w:pPr>
      <w:r>
        <w:rPr>
          <w:rFonts w:cs="Times New Roman"/>
          <w:bCs/>
          <w:color w:val="000000" w:themeColor="text1"/>
          <w:kern w:val="0"/>
          <w:szCs w:val="20"/>
          <w:highlight w:val="none"/>
          <w14:textFill>
            <w14:solidFill>
              <w14:schemeClr w14:val="tx1"/>
            </w14:solidFill>
          </w14:textFill>
        </w:rPr>
        <w:t>（1）</w:t>
      </w:r>
      <w:r>
        <w:rPr>
          <w:rFonts w:hint="eastAsia" w:cs="Times New Roman"/>
          <w:bCs/>
          <w:color w:val="000000" w:themeColor="text1"/>
          <w:kern w:val="0"/>
          <w:szCs w:val="20"/>
          <w:highlight w:val="none"/>
          <w14:textFill>
            <w14:solidFill>
              <w14:schemeClr w14:val="tx1"/>
            </w14:solidFill>
          </w14:textFill>
        </w:rPr>
        <w:t>施工期</w:t>
      </w:r>
      <w:r>
        <w:rPr>
          <w:rFonts w:cs="Times New Roman"/>
          <w:bCs/>
          <w:color w:val="000000" w:themeColor="text1"/>
          <w:kern w:val="0"/>
          <w:szCs w:val="20"/>
          <w:highlight w:val="none"/>
          <w14:textFill>
            <w14:solidFill>
              <w14:schemeClr w14:val="tx1"/>
            </w14:solidFill>
          </w14:textFill>
        </w:rPr>
        <w:t>主要为施工扬尘、施工噪声、建筑垃圾</w:t>
      </w:r>
      <w:r>
        <w:rPr>
          <w:rFonts w:hint="eastAsia" w:cs="Times New Roman"/>
          <w:bCs/>
          <w:color w:val="000000" w:themeColor="text1"/>
          <w:kern w:val="0"/>
          <w:szCs w:val="20"/>
          <w:highlight w:val="none"/>
          <w14:textFill>
            <w14:solidFill>
              <w14:schemeClr w14:val="tx1"/>
            </w14:solidFill>
          </w14:textFill>
        </w:rPr>
        <w:t>、施工废水</w:t>
      </w:r>
      <w:r>
        <w:rPr>
          <w:rFonts w:cs="Times New Roman"/>
          <w:bCs/>
          <w:color w:val="000000" w:themeColor="text1"/>
          <w:kern w:val="0"/>
          <w:szCs w:val="20"/>
          <w:highlight w:val="none"/>
          <w14:textFill>
            <w14:solidFill>
              <w14:schemeClr w14:val="tx1"/>
            </w14:solidFill>
          </w14:textFill>
        </w:rPr>
        <w:t>等的环境影响。</w:t>
      </w:r>
    </w:p>
    <w:p>
      <w:pPr>
        <w:ind w:firstLine="480"/>
        <w:rPr>
          <w:rFonts w:cs="Times New Roman"/>
          <w:color w:val="000000" w:themeColor="text1"/>
          <w:kern w:val="0"/>
          <w:szCs w:val="20"/>
          <w:highlight w:val="none"/>
          <w14:textFill>
            <w14:solidFill>
              <w14:schemeClr w14:val="tx1"/>
            </w14:solidFill>
          </w14:textFill>
        </w:rPr>
      </w:pPr>
      <w:r>
        <w:rPr>
          <w:rFonts w:cs="Times New Roman"/>
          <w:bCs/>
          <w:color w:val="000000" w:themeColor="text1"/>
          <w:kern w:val="0"/>
          <w:szCs w:val="20"/>
          <w:highlight w:val="none"/>
          <w14:textFill>
            <w14:solidFill>
              <w14:schemeClr w14:val="tx1"/>
            </w14:solidFill>
          </w14:textFill>
        </w:rPr>
        <w:t>（2）天然气试采工程主要为试采站占地生态影响</w:t>
      </w:r>
      <w:r>
        <w:rPr>
          <w:rFonts w:cs="Times New Roman"/>
          <w:color w:val="000000" w:themeColor="text1"/>
          <w:kern w:val="0"/>
          <w:szCs w:val="20"/>
          <w:highlight w:val="none"/>
          <w14:textFill>
            <w14:solidFill>
              <w14:schemeClr w14:val="tx1"/>
            </w14:solidFill>
          </w14:textFill>
        </w:rPr>
        <w:t>。</w:t>
      </w:r>
    </w:p>
    <w:p>
      <w:pPr>
        <w:ind w:firstLine="480"/>
        <w:rPr>
          <w:rFonts w:cs="Times New Roman"/>
          <w:color w:val="000000" w:themeColor="text1"/>
          <w:kern w:val="0"/>
          <w:szCs w:val="20"/>
          <w:highlight w:val="none"/>
          <w14:textFill>
            <w14:solidFill>
              <w14:schemeClr w14:val="tx1"/>
            </w14:solidFill>
          </w14:textFill>
        </w:rPr>
      </w:pPr>
      <w:r>
        <w:rPr>
          <w:rFonts w:hint="eastAsia" w:cs="Times New Roman"/>
          <w:color w:val="000000" w:themeColor="text1"/>
          <w:kern w:val="0"/>
          <w:szCs w:val="20"/>
          <w:highlight w:val="none"/>
          <w14:textFill>
            <w14:solidFill>
              <w14:schemeClr w14:val="tx1"/>
            </w14:solidFill>
          </w14:textFill>
        </w:rPr>
        <w:t>（</w:t>
      </w:r>
      <w:r>
        <w:rPr>
          <w:rFonts w:cs="Times New Roman"/>
          <w:color w:val="000000" w:themeColor="text1"/>
          <w:kern w:val="0"/>
          <w:szCs w:val="20"/>
          <w:highlight w:val="none"/>
          <w14:textFill>
            <w14:solidFill>
              <w14:schemeClr w14:val="tx1"/>
            </w14:solidFill>
          </w14:textFill>
        </w:rPr>
        <w:t>3</w:t>
      </w:r>
      <w:r>
        <w:rPr>
          <w:rFonts w:hint="eastAsia" w:cs="Times New Roman"/>
          <w:color w:val="000000" w:themeColor="text1"/>
          <w:kern w:val="0"/>
          <w:szCs w:val="20"/>
          <w:highlight w:val="none"/>
          <w14:textFill>
            <w14:solidFill>
              <w14:schemeClr w14:val="tx1"/>
            </w14:solidFill>
          </w14:textFill>
        </w:rPr>
        <w:t>）集输管线工程主要影响为施工期临时占地和管道穿越对生态的影响。</w:t>
      </w:r>
    </w:p>
    <w:p>
      <w:pPr>
        <w:ind w:firstLine="480"/>
        <w:rPr>
          <w:rFonts w:cs="Times New Roman"/>
          <w:color w:val="000000" w:themeColor="text1"/>
          <w:kern w:val="0"/>
          <w:szCs w:val="20"/>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（4）本项目</w:t>
      </w:r>
      <w:r>
        <w:rPr>
          <w:rFonts w:hint="eastAsia" w:cs="Times New Roman"/>
          <w:color w:val="000000" w:themeColor="text1"/>
          <w:kern w:val="0"/>
          <w:szCs w:val="20"/>
          <w:highlight w:val="none"/>
          <w14:textFill>
            <w14:solidFill>
              <w14:schemeClr w14:val="tx1"/>
            </w14:solidFill>
          </w14:textFill>
        </w:rPr>
        <w:t>试采原料及</w:t>
      </w:r>
      <w:r>
        <w:rPr>
          <w:rFonts w:cs="Times New Roman"/>
          <w:color w:val="000000" w:themeColor="text1"/>
          <w:kern w:val="0"/>
          <w:szCs w:val="20"/>
          <w:highlight w:val="none"/>
          <w14:textFill>
            <w14:solidFill>
              <w14:schemeClr w14:val="tx1"/>
            </w14:solidFill>
          </w14:textFill>
        </w:rPr>
        <w:t>输送介质为天然气</w:t>
      </w:r>
      <w:r>
        <w:rPr>
          <w:rFonts w:hint="eastAsia" w:cs="Times New Roman"/>
          <w:color w:val="000000" w:themeColor="text1"/>
          <w:kern w:val="0"/>
          <w:szCs w:val="20"/>
          <w:highlight w:val="none"/>
          <w14:textFill>
            <w14:solidFill>
              <w14:schemeClr w14:val="tx1"/>
            </w14:solidFill>
          </w14:textFill>
        </w:rPr>
        <w:t>，</w:t>
      </w:r>
      <w:r>
        <w:rPr>
          <w:rFonts w:cs="Times New Roman"/>
          <w:color w:val="000000" w:themeColor="text1"/>
          <w:kern w:val="0"/>
          <w:szCs w:val="20"/>
          <w:highlight w:val="none"/>
          <w14:textFill>
            <w14:solidFill>
              <w14:schemeClr w14:val="tx1"/>
            </w14:solidFill>
          </w14:textFill>
        </w:rPr>
        <w:t>需考虑环境风险影响。</w:t>
      </w:r>
    </w:p>
    <w:p>
      <w:pPr>
        <w:pStyle w:val="4"/>
        <w:spacing w:before="120"/>
        <w:rPr>
          <w:color w:val="000000" w:themeColor="text1"/>
          <w:szCs w:val="24"/>
          <w:highlight w:val="none"/>
          <w:lang w:eastAsia="zh-CN"/>
          <w14:textFill>
            <w14:solidFill>
              <w14:schemeClr w14:val="tx1"/>
            </w14:solidFill>
          </w14:textFill>
        </w:rPr>
      </w:pPr>
      <w:bookmarkStart w:id="13" w:name="_Toc759"/>
      <w:r>
        <w:rPr>
          <w:color w:val="000000" w:themeColor="text1"/>
          <w:highlight w:val="none"/>
          <w:lang w:eastAsia="zh-CN"/>
          <w14:textFill>
            <w14:solidFill>
              <w14:schemeClr w14:val="tx1"/>
            </w14:solidFill>
          </w14:textFill>
        </w:rPr>
        <w:t>环境影响评价的工作过程</w:t>
      </w:r>
      <w:bookmarkEnd w:id="13"/>
    </w:p>
    <w:p>
      <w:pPr>
        <w:ind w:firstLine="480"/>
        <w:rPr>
          <w:rFonts w:cs="Times New Roman"/>
          <w:color w:val="000000" w:themeColor="text1"/>
          <w:kern w:val="0"/>
          <w:szCs w:val="20"/>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主要评价工作过程如下：</w:t>
      </w:r>
    </w:p>
    <w:p>
      <w:pPr>
        <w:ind w:firstLine="480"/>
        <w:rPr>
          <w:rFonts w:cs="Times New Roman"/>
          <w:color w:val="000000" w:themeColor="text1"/>
          <w:kern w:val="0"/>
          <w:szCs w:val="20"/>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（1）研究国家和地方有关环境保护的法律法规、政策、标准及相关规划等，依据相关规定确定本项目环境影响评价文件类型；</w:t>
      </w:r>
    </w:p>
    <w:p>
      <w:pPr>
        <w:ind w:firstLine="480"/>
        <w:rPr>
          <w:rFonts w:cs="Times New Roman"/>
          <w:color w:val="000000" w:themeColor="text1"/>
          <w:kern w:val="0"/>
          <w:szCs w:val="20"/>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（2）收集和研究项目相关技术文件和其他相关文件，进行初步工程分析，明确本项目的工程组成，根据工程特点确定产排污环节和主要污染物；</w:t>
      </w:r>
    </w:p>
    <w:p>
      <w:pPr>
        <w:ind w:firstLine="480"/>
        <w:rPr>
          <w:rFonts w:cs="Times New Roman"/>
          <w:color w:val="000000" w:themeColor="text1"/>
          <w:kern w:val="0"/>
          <w:szCs w:val="20"/>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（3）结合初步工程分析结果和环境现状资料，识别建设项目的环境影响因素，筛选主要的环境影响评价因子，明确评价重点，确定评价工作等级、评价范围及评价标准；</w:t>
      </w:r>
    </w:p>
    <w:p>
      <w:pPr>
        <w:ind w:firstLine="480"/>
        <w:rPr>
          <w:rFonts w:cs="Times New Roman"/>
          <w:color w:val="000000" w:themeColor="text1"/>
          <w:kern w:val="0"/>
          <w:szCs w:val="20"/>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4）制定工作方案，在进行充分的环境现状调查、监测的基础上开展环境质量现状评价，并进行进一步的工程分析，根据工程分析确定的污染源强以及结合项目区环境特征，采用模型计算和类比调查的方式预测、分析或评价项目建设对环境的影响范围以及引起的环境质量变化情况，从环境保护角度分析论证建设工程的可行性；</w:t>
      </w:r>
    </w:p>
    <w:p>
      <w:pPr>
        <w:ind w:firstLine="480"/>
        <w:rPr>
          <w:rFonts w:cs="Times New Roman"/>
          <w:color w:val="000000" w:themeColor="text1"/>
          <w:kern w:val="0"/>
          <w:szCs w:val="20"/>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（5）在对建设项目实施后可能造成的环境影响进行分析、预测的基础上，提出预防或者减轻不良环境影响的对策和措施，从环境保护的角度提出项目建设的可行性结论，完成环境影响报告书编制。</w:t>
      </w:r>
    </w:p>
    <w:p>
      <w:pPr>
        <w:ind w:firstLine="480"/>
        <w:rPr>
          <w:rFonts w:cs="Times New Roman"/>
          <w:color w:val="000000" w:themeColor="text1"/>
          <w:kern w:val="0"/>
          <w:szCs w:val="20"/>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本项目环境影响评价过程见下图：</w:t>
      </w:r>
    </w:p>
    <w:p>
      <w:pPr>
        <w:pStyle w:val="6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5379720" cy="5130165"/>
            <wp:effectExtent l="0" t="0" r="0" b="0"/>
            <wp:docPr id="54"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6.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5379720" cy="5130165"/>
                    </a:xfrm>
                    <a:prstGeom prst="rect">
                      <a:avLst/>
                    </a:prstGeom>
                    <a:noFill/>
                    <a:ln>
                      <a:noFill/>
                    </a:ln>
                  </pic:spPr>
                </pic:pic>
              </a:graphicData>
            </a:graphic>
          </wp:inline>
        </w:drawing>
      </w:r>
    </w:p>
    <w:p>
      <w:pPr>
        <w:pStyle w:val="76"/>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环境影响评价程序</w:t>
      </w:r>
    </w:p>
    <w:p>
      <w:pPr>
        <w:pStyle w:val="4"/>
        <w:spacing w:before="120"/>
        <w:rPr>
          <w:color w:val="000000" w:themeColor="text1"/>
          <w:highlight w:val="none"/>
          <w:lang w:eastAsia="zh-CN"/>
          <w14:textFill>
            <w14:solidFill>
              <w14:schemeClr w14:val="tx1"/>
            </w14:solidFill>
          </w14:textFill>
        </w:rPr>
      </w:pPr>
      <w:bookmarkStart w:id="14" w:name="_Toc11940"/>
      <w:r>
        <w:rPr>
          <w:color w:val="000000" w:themeColor="text1"/>
          <w:highlight w:val="none"/>
          <w:lang w:eastAsia="zh-CN"/>
          <w14:textFill>
            <w14:solidFill>
              <w14:schemeClr w14:val="tx1"/>
            </w14:solidFill>
          </w14:textFill>
        </w:rPr>
        <w:t>分析判定相关情况</w:t>
      </w:r>
      <w:bookmarkEnd w:id="14"/>
    </w:p>
    <w:p>
      <w:pPr>
        <w:ind w:firstLine="480"/>
        <w:rPr>
          <w:rFonts w:cs="Times New Roman"/>
          <w:color w:val="000000" w:themeColor="text1"/>
          <w:kern w:val="0"/>
          <w:szCs w:val="20"/>
          <w:highlight w:val="none"/>
          <w14:textFill>
            <w14:solidFill>
              <w14:schemeClr w14:val="tx1"/>
            </w14:solidFill>
          </w14:textFill>
        </w:rPr>
      </w:pPr>
      <w:r>
        <w:rPr>
          <w:color w:val="000000" w:themeColor="text1"/>
          <w:highlight w:val="none"/>
          <w14:textFill>
            <w14:solidFill>
              <w14:schemeClr w14:val="tx1"/>
            </w14:solidFill>
          </w14:textFill>
        </w:rPr>
        <w:t>根据《国民经济行业分类》（GB/T4754-2017），本项目属于</w:t>
      </w:r>
      <w:r>
        <w:rPr>
          <w:rFonts w:hint="eastAsia"/>
          <w:color w:val="000000" w:themeColor="text1"/>
          <w:highlight w:val="none"/>
          <w14:textFill>
            <w14:solidFill>
              <w14:schemeClr w14:val="tx1"/>
            </w14:solidFill>
          </w14:textFill>
        </w:rPr>
        <w:t>B0721陆地天然气开采，</w:t>
      </w:r>
      <w:r>
        <w:rPr>
          <w:rFonts w:cs="Times New Roman"/>
          <w:color w:val="000000" w:themeColor="text1"/>
          <w:kern w:val="0"/>
          <w:szCs w:val="20"/>
          <w:highlight w:val="none"/>
          <w14:textFill>
            <w14:solidFill>
              <w14:schemeClr w14:val="tx1"/>
            </w14:solidFill>
          </w14:textFill>
        </w:rPr>
        <w:t>符合《产业结构调整指导目录（2024年本）》及相关环保政策要求。</w:t>
      </w:r>
    </w:p>
    <w:p>
      <w:pPr>
        <w:ind w:firstLine="480"/>
        <w:rPr>
          <w:rFonts w:cs="Times New Roman"/>
          <w:color w:val="000000" w:themeColor="text1"/>
          <w:kern w:val="0"/>
          <w:szCs w:val="20"/>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本项目</w:t>
      </w:r>
      <w:r>
        <w:rPr>
          <w:rFonts w:hint="eastAsia" w:cs="Times New Roman"/>
          <w:color w:val="000000" w:themeColor="text1"/>
          <w:kern w:val="0"/>
          <w:szCs w:val="20"/>
          <w:highlight w:val="none"/>
          <w14:textFill>
            <w14:solidFill>
              <w14:schemeClr w14:val="tx1"/>
            </w14:solidFill>
          </w14:textFill>
        </w:rPr>
        <w:t>不</w:t>
      </w:r>
      <w:r>
        <w:rPr>
          <w:rFonts w:cs="Times New Roman"/>
          <w:color w:val="000000" w:themeColor="text1"/>
          <w:kern w:val="0"/>
          <w:szCs w:val="20"/>
          <w:highlight w:val="none"/>
          <w14:textFill>
            <w14:solidFill>
              <w14:schemeClr w14:val="tx1"/>
            </w14:solidFill>
          </w14:textFill>
        </w:rPr>
        <w:t>位于四川省达州市划定的生态保护红线区域内，与</w:t>
      </w:r>
      <w:r>
        <w:rPr>
          <w:rFonts w:hint="eastAsia" w:cs="Times New Roman"/>
          <w:color w:val="000000" w:themeColor="text1"/>
          <w:kern w:val="0"/>
          <w:szCs w:val="20"/>
          <w:highlight w:val="none"/>
          <w14:textFill>
            <w14:solidFill>
              <w14:schemeClr w14:val="tx1"/>
            </w14:solidFill>
          </w14:textFill>
        </w:rPr>
        <w:t>达州市</w:t>
      </w:r>
      <w:r>
        <w:rPr>
          <w:rFonts w:ascii="宋体" w:hAnsi="宋体" w:cs="Times New Roman"/>
          <w:color w:val="000000" w:themeColor="text1"/>
          <w:kern w:val="0"/>
          <w:szCs w:val="20"/>
          <w:highlight w:val="none"/>
          <w14:textFill>
            <w14:solidFill>
              <w14:schemeClr w14:val="tx1"/>
            </w14:solidFill>
          </w14:textFill>
        </w:rPr>
        <w:t>“三线一单”</w:t>
      </w:r>
      <w:r>
        <w:rPr>
          <w:rFonts w:cs="Times New Roman"/>
          <w:color w:val="000000" w:themeColor="text1"/>
          <w:kern w:val="0"/>
          <w:szCs w:val="20"/>
          <w:highlight w:val="none"/>
          <w14:textFill>
            <w14:solidFill>
              <w14:schemeClr w14:val="tx1"/>
            </w14:solidFill>
          </w14:textFill>
        </w:rPr>
        <w:t>不冲突；本项目未位于自然保护区、森林公园、风景名胜区等生态敏感区范围内，拟建</w:t>
      </w:r>
      <w:r>
        <w:rPr>
          <w:rFonts w:hint="eastAsia" w:cs="Times New Roman"/>
          <w:color w:val="000000" w:themeColor="text1"/>
          <w:kern w:val="0"/>
          <w:szCs w:val="20"/>
          <w:highlight w:val="none"/>
          <w14:textFill>
            <w14:solidFill>
              <w14:schemeClr w14:val="tx1"/>
            </w14:solidFill>
          </w14:textFill>
        </w:rPr>
        <w:t>试采站和集输管线</w:t>
      </w:r>
      <w:r>
        <w:rPr>
          <w:rFonts w:cs="Times New Roman"/>
          <w:color w:val="000000" w:themeColor="text1"/>
          <w:kern w:val="0"/>
          <w:szCs w:val="20"/>
          <w:highlight w:val="none"/>
          <w14:textFill>
            <w14:solidFill>
              <w14:schemeClr w14:val="tx1"/>
            </w14:solidFill>
          </w14:textFill>
        </w:rPr>
        <w:t>不涉及集中式饮用水源保护区。</w:t>
      </w:r>
    </w:p>
    <w:p>
      <w:pPr>
        <w:pStyle w:val="4"/>
        <w:spacing w:before="120"/>
        <w:rPr>
          <w:color w:val="000000" w:themeColor="text1"/>
          <w:highlight w:val="none"/>
          <w:lang w:eastAsia="zh-CN"/>
          <w14:textFill>
            <w14:solidFill>
              <w14:schemeClr w14:val="tx1"/>
            </w14:solidFill>
          </w14:textFill>
        </w:rPr>
      </w:pPr>
      <w:bookmarkStart w:id="15" w:name="_Toc28558"/>
      <w:r>
        <w:rPr>
          <w:color w:val="000000" w:themeColor="text1"/>
          <w:highlight w:val="none"/>
          <w:lang w:eastAsia="zh-CN"/>
          <w14:textFill>
            <w14:solidFill>
              <w14:schemeClr w14:val="tx1"/>
            </w14:solidFill>
          </w14:textFill>
        </w:rPr>
        <w:t>关注的主要环境问题</w:t>
      </w:r>
      <w:bookmarkEnd w:id="15"/>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（1）废气：施工期主要是开挖扬尘、部分机械设备运行产生的废气（主要污染物NO</w:t>
      </w:r>
      <w:r>
        <w:rPr>
          <w:rFonts w:cs="Times New Roman"/>
          <w:bCs/>
          <w:color w:val="000000" w:themeColor="text1"/>
          <w:szCs w:val="24"/>
          <w:highlight w:val="none"/>
          <w:vertAlign w:val="subscript"/>
          <w14:textFill>
            <w14:solidFill>
              <w14:schemeClr w14:val="tx1"/>
            </w14:solidFill>
          </w14:textFill>
        </w:rPr>
        <w:t>x</w:t>
      </w:r>
      <w:r>
        <w:rPr>
          <w:rFonts w:cs="Times New Roman"/>
          <w:bCs/>
          <w:color w:val="000000" w:themeColor="text1"/>
          <w:szCs w:val="24"/>
          <w:highlight w:val="none"/>
          <w14:textFill>
            <w14:solidFill>
              <w14:schemeClr w14:val="tx1"/>
            </w14:solidFill>
          </w14:textFill>
        </w:rPr>
        <w:t>、CO）等；试采期主要为水套加热炉废气、非正常工况下的检修废气和事故放空废气。环评中注重施工期废气的环境影响分析和试采期废气的达标排放及影响分析。</w:t>
      </w:r>
    </w:p>
    <w:p>
      <w:pPr>
        <w:tabs>
          <w:tab w:val="left" w:pos="0"/>
        </w:tabs>
        <w:overflowPunct w:val="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（2）废水：施工期主要是施工人员生活污水；试采期主要为分离器产生的气田水与场站值班人员生活污水。环评中注重施工期废水处理的可行性和可靠性论证，试采期气田水依托处置可行性分析。</w:t>
      </w:r>
    </w:p>
    <w:p>
      <w:pPr>
        <w:tabs>
          <w:tab w:val="left" w:pos="0"/>
        </w:tabs>
        <w:overflowPunct w:val="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（3）噪声：施工期为各类机械设备产生的噪声；试采期主要为</w:t>
      </w:r>
      <w:r>
        <w:rPr>
          <w:rFonts w:hint="eastAsia" w:cs="Times New Roman"/>
          <w:bCs/>
          <w:color w:val="000000" w:themeColor="text1"/>
          <w:szCs w:val="24"/>
          <w:highlight w:val="none"/>
          <w14:textFill>
            <w14:solidFill>
              <w14:schemeClr w14:val="tx1"/>
            </w14:solidFill>
          </w14:textFill>
        </w:rPr>
        <w:t>试采</w:t>
      </w:r>
      <w:r>
        <w:rPr>
          <w:rFonts w:cs="Times New Roman"/>
          <w:bCs/>
          <w:color w:val="000000" w:themeColor="text1"/>
          <w:szCs w:val="24"/>
          <w:highlight w:val="none"/>
          <w14:textFill>
            <w14:solidFill>
              <w14:schemeClr w14:val="tx1"/>
            </w14:solidFill>
          </w14:textFill>
        </w:rPr>
        <w:t>站节流阀等因节流或流速改变造成部件的机械振动而产生的一定噪声。环评中注重施工期和试采期噪声控制措施的可行性论证。</w:t>
      </w:r>
    </w:p>
    <w:p>
      <w:pPr>
        <w:tabs>
          <w:tab w:val="left" w:pos="0"/>
        </w:tabs>
        <w:overflowPunct w:val="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（4）固体废物：施工期主要是废弃土石方、生活垃圾等；</w:t>
      </w:r>
      <w:r>
        <w:rPr>
          <w:rFonts w:hint="eastAsia" w:cs="Times New Roman"/>
          <w:bCs/>
          <w:color w:val="000000" w:themeColor="text1"/>
          <w:szCs w:val="24"/>
          <w:highlight w:val="none"/>
          <w14:textFill>
            <w14:solidFill>
              <w14:schemeClr w14:val="tx1"/>
            </w14:solidFill>
          </w14:textFill>
        </w:rPr>
        <w:t>试采期主要是</w:t>
      </w:r>
      <w:r>
        <w:rPr>
          <w:rFonts w:cs="Times New Roman"/>
          <w:bCs/>
          <w:color w:val="000000" w:themeColor="text1"/>
          <w:szCs w:val="24"/>
          <w:highlight w:val="none"/>
          <w14:textFill>
            <w14:solidFill>
              <w14:schemeClr w14:val="tx1"/>
            </w14:solidFill>
          </w14:textFill>
        </w:rPr>
        <w:t>场站值班人员生活垃圾</w:t>
      </w:r>
      <w:r>
        <w:rPr>
          <w:rFonts w:hint="eastAsia" w:cs="Times New Roman"/>
          <w:bCs/>
          <w:color w:val="000000" w:themeColor="text1"/>
          <w:szCs w:val="24"/>
          <w:highlight w:val="none"/>
          <w14:textFill>
            <w14:solidFill>
              <w14:schemeClr w14:val="tx1"/>
            </w14:solidFill>
          </w14:textFill>
        </w:rPr>
        <w:t>、分离器废渣、废分子筛</w:t>
      </w:r>
      <w:r>
        <w:rPr>
          <w:rFonts w:cs="Times New Roman"/>
          <w:bCs/>
          <w:color w:val="000000" w:themeColor="text1"/>
          <w:szCs w:val="24"/>
          <w:highlight w:val="none"/>
          <w14:textFill>
            <w14:solidFill>
              <w14:schemeClr w14:val="tx1"/>
            </w14:solidFill>
          </w14:textFill>
        </w:rPr>
        <w:t>。环评中注重施工期固体废物</w:t>
      </w:r>
      <w:r>
        <w:rPr>
          <w:rFonts w:hint="eastAsia" w:cs="Times New Roman"/>
          <w:bCs/>
          <w:color w:val="000000" w:themeColor="text1"/>
          <w:szCs w:val="24"/>
          <w:highlight w:val="none"/>
          <w14:textFill>
            <w14:solidFill>
              <w14:schemeClr w14:val="tx1"/>
            </w14:solidFill>
          </w14:textFill>
        </w:rPr>
        <w:t>处置</w:t>
      </w:r>
      <w:r>
        <w:rPr>
          <w:rFonts w:cs="Times New Roman"/>
          <w:bCs/>
          <w:color w:val="000000" w:themeColor="text1"/>
          <w:szCs w:val="24"/>
          <w:highlight w:val="none"/>
          <w14:textFill>
            <w14:solidFill>
              <w14:schemeClr w14:val="tx1"/>
            </w14:solidFill>
          </w14:textFill>
        </w:rPr>
        <w:t>的可行性进行论证。</w:t>
      </w:r>
    </w:p>
    <w:p>
      <w:pPr>
        <w:tabs>
          <w:tab w:val="left" w:pos="0"/>
        </w:tabs>
        <w:overflowPunct w:val="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（5）生态环境：施工期生态环境影响主要来自</w:t>
      </w:r>
      <w:r>
        <w:rPr>
          <w:rFonts w:hint="eastAsia" w:cs="Times New Roman"/>
          <w:bCs/>
          <w:color w:val="000000" w:themeColor="text1"/>
          <w:szCs w:val="24"/>
          <w:highlight w:val="none"/>
          <w14:textFill>
            <w14:solidFill>
              <w14:schemeClr w14:val="tx1"/>
            </w14:solidFill>
          </w14:textFill>
        </w:rPr>
        <w:t>集输管线</w:t>
      </w:r>
      <w:r>
        <w:rPr>
          <w:rFonts w:cs="Times New Roman"/>
          <w:bCs/>
          <w:color w:val="000000" w:themeColor="text1"/>
          <w:szCs w:val="24"/>
          <w:highlight w:val="none"/>
          <w14:textFill>
            <w14:solidFill>
              <w14:schemeClr w14:val="tx1"/>
            </w14:solidFill>
          </w14:textFill>
        </w:rPr>
        <w:t>施工过程中开挖管沟、施工机械和人员的践踏等活动，以及工程临时占地、施工产生的固体废物等对土壤、生态环境的影响；试采期主要为生态恢复。环评中注意对生态环境保护措施</w:t>
      </w:r>
      <w:r>
        <w:rPr>
          <w:rFonts w:hint="eastAsia" w:cs="Times New Roman"/>
          <w:bCs/>
          <w:color w:val="000000" w:themeColor="text1"/>
          <w:szCs w:val="24"/>
          <w:highlight w:val="none"/>
          <w14:textFill>
            <w14:solidFill>
              <w14:schemeClr w14:val="tx1"/>
            </w14:solidFill>
          </w14:textFill>
        </w:rPr>
        <w:t>的可行性</w:t>
      </w:r>
      <w:r>
        <w:rPr>
          <w:rFonts w:cs="Times New Roman"/>
          <w:bCs/>
          <w:color w:val="000000" w:themeColor="text1"/>
          <w:szCs w:val="24"/>
          <w:highlight w:val="none"/>
          <w14:textFill>
            <w14:solidFill>
              <w14:schemeClr w14:val="tx1"/>
            </w14:solidFill>
          </w14:textFill>
        </w:rPr>
        <w:t>进行论证。</w:t>
      </w:r>
    </w:p>
    <w:p>
      <w:pPr>
        <w:tabs>
          <w:tab w:val="left" w:pos="0"/>
        </w:tabs>
        <w:overflowPunct w:val="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（6）环境风险：主要为输气管道、</w:t>
      </w:r>
      <w:r>
        <w:rPr>
          <w:rFonts w:hint="eastAsia" w:cs="Times New Roman"/>
          <w:bCs/>
          <w:color w:val="000000" w:themeColor="text1"/>
          <w:szCs w:val="24"/>
          <w:highlight w:val="none"/>
          <w14:textFill>
            <w14:solidFill>
              <w14:schemeClr w14:val="tx1"/>
            </w14:solidFill>
          </w14:textFill>
        </w:rPr>
        <w:t>污水罐</w:t>
      </w:r>
      <w:r>
        <w:rPr>
          <w:rFonts w:cs="Times New Roman"/>
          <w:bCs/>
          <w:color w:val="000000" w:themeColor="text1"/>
          <w:szCs w:val="24"/>
          <w:highlight w:val="none"/>
          <w14:textFill>
            <w14:solidFill>
              <w14:schemeClr w14:val="tx1"/>
            </w14:solidFill>
          </w14:textFill>
        </w:rPr>
        <w:t>等受影响而产生泄漏风险。</w:t>
      </w:r>
    </w:p>
    <w:p>
      <w:pPr>
        <w:pStyle w:val="4"/>
        <w:spacing w:before="0" w:beforeLines="0"/>
        <w:rPr>
          <w:color w:val="000000" w:themeColor="text1"/>
          <w:highlight w:val="none"/>
          <w:lang w:eastAsia="zh-CN"/>
          <w14:textFill>
            <w14:solidFill>
              <w14:schemeClr w14:val="tx1"/>
            </w14:solidFill>
          </w14:textFill>
        </w:rPr>
      </w:pPr>
      <w:bookmarkStart w:id="16" w:name="_Toc32500"/>
      <w:r>
        <w:rPr>
          <w:color w:val="000000" w:themeColor="text1"/>
          <w:highlight w:val="none"/>
          <w:lang w:eastAsia="zh-CN"/>
          <w14:textFill>
            <w14:solidFill>
              <w14:schemeClr w14:val="tx1"/>
            </w14:solidFill>
          </w14:textFill>
        </w:rPr>
        <w:t>环境影响评价的主要结论</w:t>
      </w:r>
      <w:bookmarkEnd w:id="16"/>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项目符合国家产业政策，与当地规划相容，符合石油天然气发展规划；所在区域环境空气质量现状较好；建设期间对生态环境、地表水、地下水、大气、土壤、声环境影响小，不改变区域的环境功能；该项目达到清洁生产国内先进水平，采用的环保措施可行，社会、经济效益十分显著；建设项目环境可行，选址</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选线合理；该工程采取的环境风险措施可靠，在落实风险防范措施后，环境风险达到可接受水平；所采取的废水、</w:t>
      </w:r>
      <w:r>
        <w:rPr>
          <w:rFonts w:hint="eastAsia" w:cs="Times New Roman"/>
          <w:bCs/>
          <w:color w:val="000000" w:themeColor="text1"/>
          <w:szCs w:val="24"/>
          <w:highlight w:val="none"/>
          <w14:textFill>
            <w14:solidFill>
              <w14:schemeClr w14:val="tx1"/>
            </w14:solidFill>
          </w14:textFill>
        </w:rPr>
        <w:t>废气、</w:t>
      </w:r>
      <w:r>
        <w:rPr>
          <w:rFonts w:cs="Times New Roman"/>
          <w:bCs/>
          <w:color w:val="000000" w:themeColor="text1"/>
          <w:szCs w:val="24"/>
          <w:highlight w:val="none"/>
          <w14:textFill>
            <w14:solidFill>
              <w14:schemeClr w14:val="tx1"/>
            </w14:solidFill>
          </w14:textFill>
        </w:rPr>
        <w:t>固体废物和噪声防治措施以及水土保持措施可行有效，在建设过</w:t>
      </w:r>
      <w:r>
        <w:rPr>
          <w:rFonts w:hint="eastAsia" w:cs="Times New Roman"/>
          <w:bCs/>
          <w:color w:val="000000" w:themeColor="text1"/>
          <w:szCs w:val="24"/>
          <w:highlight w:val="none"/>
          <w14:textFill>
            <w14:solidFill>
              <w14:schemeClr w14:val="tx1"/>
            </w14:solidFill>
          </w14:textFill>
        </w:rPr>
        <w:t>程中</w:t>
      </w:r>
      <w:r>
        <w:rPr>
          <w:rFonts w:cs="Times New Roman"/>
          <w:bCs/>
          <w:color w:val="000000" w:themeColor="text1"/>
          <w:szCs w:val="24"/>
          <w:highlight w:val="none"/>
          <w14:textFill>
            <w14:solidFill>
              <w14:schemeClr w14:val="tx1"/>
            </w14:solidFill>
          </w14:textFill>
        </w:rPr>
        <w:t>认真落实报告提出的各项污染防治措施后，对周围环境不会造成污染影响。从环境角度而言，无明显制约项目建设的环境因素，本项目</w:t>
      </w:r>
      <w:r>
        <w:rPr>
          <w:rFonts w:hint="eastAsia" w:cs="Times New Roman"/>
          <w:bCs/>
          <w:color w:val="000000" w:themeColor="text1"/>
          <w:szCs w:val="24"/>
          <w:highlight w:val="none"/>
          <w14:textFill>
            <w14:solidFill>
              <w14:schemeClr w14:val="tx1"/>
            </w14:solidFill>
          </w14:textFill>
        </w:rPr>
        <w:t>选址、选线</w:t>
      </w:r>
      <w:r>
        <w:rPr>
          <w:rFonts w:cs="Times New Roman"/>
          <w:bCs/>
          <w:color w:val="000000" w:themeColor="text1"/>
          <w:szCs w:val="24"/>
          <w:highlight w:val="none"/>
          <w14:textFill>
            <w14:solidFill>
              <w14:schemeClr w14:val="tx1"/>
            </w14:solidFill>
          </w14:textFill>
        </w:rPr>
        <w:t>是可行的。</w:t>
      </w:r>
    </w:p>
    <w:p>
      <w:pPr>
        <w:tabs>
          <w:tab w:val="left" w:pos="0"/>
        </w:tabs>
        <w:ind w:firstLine="482"/>
        <w:rPr>
          <w:rFonts w:cs="Times New Roman"/>
          <w:b/>
          <w:color w:val="000000" w:themeColor="text1"/>
          <w:szCs w:val="24"/>
          <w:highlight w:val="none"/>
          <w14:textFill>
            <w14:solidFill>
              <w14:schemeClr w14:val="tx1"/>
            </w14:solidFill>
          </w14:textFill>
        </w:rPr>
      </w:pPr>
      <w:r>
        <w:rPr>
          <w:rFonts w:cs="Times New Roman"/>
          <w:b/>
          <w:color w:val="000000" w:themeColor="text1"/>
          <w:szCs w:val="24"/>
          <w:highlight w:val="none"/>
          <w14:textFill>
            <w14:solidFill>
              <w14:schemeClr w14:val="tx1"/>
            </w14:solidFill>
          </w14:textFill>
        </w:rPr>
        <w:t>综上，项目建设无明显制约的环境因素，建设过程中认真落实报告提出的各项污染防治、生态保护措施和应急预案后，从环境保护角度而言，本项目建设是可行的。</w:t>
      </w:r>
    </w:p>
    <w:p>
      <w:pPr>
        <w:ind w:firstLine="480"/>
        <w:rPr>
          <w:rFonts w:cs="Times New Roman"/>
          <w:color w:val="000000" w:themeColor="text1"/>
          <w:highlight w:val="none"/>
          <w14:textFill>
            <w14:solidFill>
              <w14:schemeClr w14:val="tx1"/>
            </w14:solidFill>
          </w14:textFill>
        </w:rPr>
        <w:sectPr>
          <w:headerReference r:id="rId14" w:type="default"/>
          <w:footerReference r:id="rId15" w:type="default"/>
          <w:footerReference r:id="rId16" w:type="even"/>
          <w:type w:val="nextColumn"/>
          <w:pgSz w:w="11910" w:h="16840"/>
          <w:pgMar w:top="1440" w:right="1800" w:bottom="1440" w:left="1800" w:header="964" w:footer="964" w:gutter="0"/>
          <w:pgNumType w:start="1"/>
          <w:cols w:space="720" w:num="1"/>
          <w:docGrid w:linePitch="326" w:charSpace="0"/>
        </w:sectPr>
      </w:pPr>
    </w:p>
    <w:p>
      <w:pPr>
        <w:pStyle w:val="3"/>
        <w:rPr>
          <w:color w:val="000000" w:themeColor="text1"/>
          <w:highlight w:val="none"/>
          <w14:textFill>
            <w14:solidFill>
              <w14:schemeClr w14:val="tx1"/>
            </w14:solidFill>
          </w14:textFill>
        </w:rPr>
      </w:pPr>
      <w:bookmarkStart w:id="17" w:name="_Toc16517"/>
      <w:r>
        <w:rPr>
          <w:color w:val="000000" w:themeColor="text1"/>
          <w:highlight w:val="none"/>
          <w14:textFill>
            <w14:solidFill>
              <w14:schemeClr w14:val="tx1"/>
            </w14:solidFill>
          </w14:textFill>
        </w:rPr>
        <w:t>总则</w:t>
      </w:r>
      <w:bookmarkEnd w:id="17"/>
    </w:p>
    <w:p>
      <w:pPr>
        <w:pStyle w:val="4"/>
        <w:spacing w:before="120"/>
        <w:rPr>
          <w:color w:val="000000" w:themeColor="text1"/>
          <w:highlight w:val="none"/>
          <w:lang w:eastAsia="zh-CN"/>
          <w14:textFill>
            <w14:solidFill>
              <w14:schemeClr w14:val="tx1"/>
            </w14:solidFill>
          </w14:textFill>
        </w:rPr>
      </w:pPr>
      <w:bookmarkStart w:id="18" w:name="_Toc14836"/>
      <w:r>
        <w:rPr>
          <w:color w:val="000000" w:themeColor="text1"/>
          <w:highlight w:val="none"/>
          <w:lang w:eastAsia="zh-CN"/>
          <w14:textFill>
            <w14:solidFill>
              <w14:schemeClr w14:val="tx1"/>
            </w14:solidFill>
          </w14:textFill>
        </w:rPr>
        <w:t>评价目的</w:t>
      </w:r>
      <w:bookmarkEnd w:id="18"/>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通过对区域现状环境质量、自然生态等的调查，在现状调查和工程分析的基础上，对项目及区域的主要环境影响因子进行分析、预测、评价，确定项目对区域生态、水、声等环境影响的程度及范围，分析可能存在的环境风险。同时，从环保角度提出工程拟采取的污染治理措施并论证环保措施的可行性；分析污染物总量控制要求；并就项目建设环境可行性和选址</w:t>
      </w:r>
      <w:r>
        <w:rPr>
          <w:rFonts w:hint="eastAsia" w:cs="Times New Roman"/>
          <w:bCs/>
          <w:color w:val="000000" w:themeColor="text1"/>
          <w:szCs w:val="24"/>
          <w:highlight w:val="none"/>
          <w14:textFill>
            <w14:solidFill>
              <w14:schemeClr w14:val="tx1"/>
            </w14:solidFill>
          </w14:textFill>
        </w:rPr>
        <w:t>、选线</w:t>
      </w:r>
      <w:r>
        <w:rPr>
          <w:rFonts w:cs="Times New Roman"/>
          <w:bCs/>
          <w:color w:val="000000" w:themeColor="text1"/>
          <w:szCs w:val="24"/>
          <w:highlight w:val="none"/>
          <w14:textFill>
            <w14:solidFill>
              <w14:schemeClr w14:val="tx1"/>
            </w14:solidFill>
          </w14:textFill>
        </w:rPr>
        <w:t>的合理性做出结论，为</w:t>
      </w:r>
      <w:r>
        <w:rPr>
          <w:rFonts w:hint="eastAsia" w:cs="Times New Roman"/>
          <w:bCs/>
          <w:color w:val="000000" w:themeColor="text1"/>
          <w:szCs w:val="24"/>
          <w:highlight w:val="none"/>
          <w14:textFill>
            <w14:solidFill>
              <w14:schemeClr w14:val="tx1"/>
            </w14:solidFill>
          </w14:textFill>
        </w:rPr>
        <w:t>生态环境主管部</w:t>
      </w:r>
      <w:r>
        <w:rPr>
          <w:rFonts w:cs="Times New Roman"/>
          <w:bCs/>
          <w:color w:val="000000" w:themeColor="text1"/>
          <w:szCs w:val="24"/>
          <w:highlight w:val="none"/>
          <w14:textFill>
            <w14:solidFill>
              <w14:schemeClr w14:val="tx1"/>
            </w14:solidFill>
          </w14:textFill>
        </w:rPr>
        <w:t>门提供可靠的决策依据，为项目顺利建设和运行提供有效的污染防治措施，为建设单位环境管理提供科学依据，达到保护好区域环境的目的。</w:t>
      </w:r>
    </w:p>
    <w:p>
      <w:pPr>
        <w:pStyle w:val="4"/>
        <w:spacing w:before="120"/>
        <w:rPr>
          <w:color w:val="000000" w:themeColor="text1"/>
          <w:highlight w:val="none"/>
          <w:lang w:eastAsia="zh-CN"/>
          <w14:textFill>
            <w14:solidFill>
              <w14:schemeClr w14:val="tx1"/>
            </w14:solidFill>
          </w14:textFill>
        </w:rPr>
      </w:pPr>
      <w:bookmarkStart w:id="19" w:name="_Toc10992"/>
      <w:r>
        <w:rPr>
          <w:color w:val="000000" w:themeColor="text1"/>
          <w:highlight w:val="none"/>
          <w:lang w:eastAsia="zh-CN"/>
          <w14:textFill>
            <w14:solidFill>
              <w14:schemeClr w14:val="tx1"/>
            </w14:solidFill>
          </w14:textFill>
        </w:rPr>
        <w:t>评价原则</w:t>
      </w:r>
      <w:bookmarkEnd w:id="19"/>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突出环境影响评价的源头预防作用，坚持保护和改善环境质量。</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（1）依法评价</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贯彻执行我国环境保护相关法律法规、标准、政策和规划等，优化项目建设，服务环境管理。</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（2）科学评价</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规范环境影响评价方法，科学分析项目建设对环境质量的影响。</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（3）突出重点</w:t>
      </w:r>
    </w:p>
    <w:p>
      <w:pPr>
        <w:tabs>
          <w:tab w:val="left" w:pos="0"/>
        </w:tabs>
        <w:ind w:firstLine="480"/>
        <w:rPr>
          <w:rFonts w:cs="Times New Roman"/>
          <w:b/>
          <w:color w:val="000000" w:themeColor="text1"/>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根据建设项目的工程内容及其特点，明确与环境要素间的作用效应关系，充分利用符合时效的数据资料及成果，对建设项目主要环境影响予以重点分析和评价。</w:t>
      </w:r>
    </w:p>
    <w:p>
      <w:pPr>
        <w:pStyle w:val="4"/>
        <w:spacing w:before="120"/>
        <w:rPr>
          <w:color w:val="000000" w:themeColor="text1"/>
          <w:highlight w:val="none"/>
          <w:lang w:eastAsia="zh-CN"/>
          <w14:textFill>
            <w14:solidFill>
              <w14:schemeClr w14:val="tx1"/>
            </w14:solidFill>
          </w14:textFill>
        </w:rPr>
      </w:pPr>
      <w:bookmarkStart w:id="20" w:name="_Toc14610"/>
      <w:r>
        <w:rPr>
          <w:color w:val="000000" w:themeColor="text1"/>
          <w:highlight w:val="none"/>
          <w:lang w:eastAsia="zh-CN"/>
          <w14:textFill>
            <w14:solidFill>
              <w14:schemeClr w14:val="tx1"/>
            </w14:solidFill>
          </w14:textFill>
        </w:rPr>
        <w:t>编制依据</w:t>
      </w:r>
      <w:bookmarkEnd w:id="20"/>
    </w:p>
    <w:p>
      <w:pPr>
        <w:pStyle w:val="5"/>
        <w:spacing w:before="120"/>
        <w:ind w:firstLine="480"/>
        <w:rPr>
          <w:b/>
          <w:color w:val="000000" w:themeColor="text1"/>
          <w:highlight w:val="none"/>
          <w:lang w:eastAsia="zh-CN"/>
          <w14:textFill>
            <w14:solidFill>
              <w14:schemeClr w14:val="tx1"/>
            </w14:solidFill>
          </w14:textFill>
        </w:rPr>
      </w:pPr>
      <w:bookmarkStart w:id="21" w:name="_Toc120173054"/>
      <w:r>
        <w:rPr>
          <w:color w:val="000000" w:themeColor="text1"/>
          <w:highlight w:val="none"/>
          <w:lang w:eastAsia="zh-CN"/>
          <w14:textFill>
            <w14:solidFill>
              <w14:schemeClr w14:val="tx1"/>
            </w14:solidFill>
          </w14:textFill>
        </w:rPr>
        <w:t>法律、法规</w:t>
      </w:r>
      <w:bookmarkEnd w:id="21"/>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r>
        <w:rPr>
          <w:rFonts w:eastAsia="Times New Roman"/>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中华人民共和国环境保护法</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w:t>
      </w:r>
      <w:r>
        <w:rPr>
          <w:rFonts w:eastAsia="Times New Roman"/>
          <w:color w:val="000000" w:themeColor="text1"/>
          <w:highlight w:val="none"/>
          <w14:textFill>
            <w14:solidFill>
              <w14:schemeClr w14:val="tx1"/>
            </w14:solidFill>
          </w14:textFill>
        </w:rPr>
        <w:t>2014</w:t>
      </w:r>
      <w:r>
        <w:rPr>
          <w:color w:val="000000" w:themeColor="text1"/>
          <w:spacing w:val="-27"/>
          <w:highlight w:val="none"/>
          <w14:textFill>
            <w14:solidFill>
              <w14:schemeClr w14:val="tx1"/>
            </w14:solidFill>
          </w14:textFill>
        </w:rPr>
        <w:t>修订）》，</w:t>
      </w:r>
      <w:r>
        <w:rPr>
          <w:rFonts w:eastAsia="Times New Roman"/>
          <w:color w:val="000000" w:themeColor="text1"/>
          <w:spacing w:val="-27"/>
          <w:highlight w:val="none"/>
          <w14:textFill>
            <w14:solidFill>
              <w14:schemeClr w14:val="tx1"/>
            </w14:solidFill>
          </w14:textFill>
        </w:rPr>
        <w:t>2015</w:t>
      </w:r>
      <w:r>
        <w:rPr>
          <w:color w:val="000000" w:themeColor="text1"/>
          <w:highlight w:val="none"/>
          <w14:textFill>
            <w14:solidFill>
              <w14:schemeClr w14:val="tx1"/>
            </w14:solidFill>
          </w14:textFill>
        </w:rPr>
        <w:t>年</w:t>
      </w:r>
      <w:r>
        <w:rPr>
          <w:rFonts w:eastAsia="Times New Roman"/>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月</w:t>
      </w:r>
      <w:r>
        <w:rPr>
          <w:rFonts w:eastAsia="Times New Roman"/>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日起施行；</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r>
        <w:rPr>
          <w:rFonts w:eastAsia="Times New Roman"/>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）《中华人民共和国环境影响评价法（</w:t>
      </w:r>
      <w:r>
        <w:rPr>
          <w:rFonts w:eastAsia="Times New Roman"/>
          <w:color w:val="000000" w:themeColor="text1"/>
          <w:highlight w:val="none"/>
          <w14:textFill>
            <w14:solidFill>
              <w14:schemeClr w14:val="tx1"/>
            </w14:solidFill>
          </w14:textFill>
        </w:rPr>
        <w:t>2018</w:t>
      </w:r>
      <w:r>
        <w:rPr>
          <w:color w:val="000000" w:themeColor="text1"/>
          <w:spacing w:val="-27"/>
          <w:highlight w:val="none"/>
          <w14:textFill>
            <w14:solidFill>
              <w14:schemeClr w14:val="tx1"/>
            </w14:solidFill>
          </w14:textFill>
        </w:rPr>
        <w:t>修订）》，</w:t>
      </w:r>
      <w:r>
        <w:rPr>
          <w:rFonts w:eastAsia="Times New Roman"/>
          <w:color w:val="000000" w:themeColor="text1"/>
          <w:spacing w:val="-27"/>
          <w:highlight w:val="none"/>
          <w14:textFill>
            <w14:solidFill>
              <w14:schemeClr w14:val="tx1"/>
            </w14:solidFill>
          </w14:textFill>
        </w:rPr>
        <w:t>2018</w:t>
      </w:r>
      <w:r>
        <w:rPr>
          <w:color w:val="000000" w:themeColor="text1"/>
          <w:highlight w:val="none"/>
          <w14:textFill>
            <w14:solidFill>
              <w14:schemeClr w14:val="tx1"/>
            </w14:solidFill>
          </w14:textFill>
        </w:rPr>
        <w:t>年</w:t>
      </w:r>
      <w:r>
        <w:rPr>
          <w:rFonts w:eastAsia="Times New Roman"/>
          <w:color w:val="000000" w:themeColor="text1"/>
          <w:highlight w:val="none"/>
          <w14:textFill>
            <w14:solidFill>
              <w14:schemeClr w14:val="tx1"/>
            </w14:solidFill>
          </w14:textFill>
        </w:rPr>
        <w:t>12</w:t>
      </w:r>
      <w:r>
        <w:rPr>
          <w:color w:val="000000" w:themeColor="text1"/>
          <w:highlight w:val="none"/>
          <w14:textFill>
            <w14:solidFill>
              <w14:schemeClr w14:val="tx1"/>
            </w14:solidFill>
          </w14:textFill>
        </w:rPr>
        <w:t>月</w:t>
      </w:r>
      <w:r>
        <w:rPr>
          <w:rFonts w:eastAsia="Times New Roman"/>
          <w:color w:val="000000" w:themeColor="text1"/>
          <w:highlight w:val="none"/>
          <w14:textFill>
            <w14:solidFill>
              <w14:schemeClr w14:val="tx1"/>
            </w14:solidFill>
          </w14:textFill>
        </w:rPr>
        <w:t>29</w:t>
      </w:r>
      <w:r>
        <w:rPr>
          <w:color w:val="000000" w:themeColor="text1"/>
          <w:highlight w:val="none"/>
          <w14:textFill>
            <w14:solidFill>
              <w14:schemeClr w14:val="tx1"/>
            </w14:solidFill>
          </w14:textFill>
        </w:rPr>
        <w:t>日施行；</w:t>
      </w:r>
    </w:p>
    <w:p>
      <w:pPr>
        <w:ind w:firstLine="468"/>
        <w:rPr>
          <w:color w:val="000000" w:themeColor="text1"/>
          <w:highlight w:val="none"/>
          <w14:textFill>
            <w14:solidFill>
              <w14:schemeClr w14:val="tx1"/>
            </w14:solidFill>
          </w14:textFill>
        </w:rPr>
      </w:pPr>
      <w:r>
        <w:rPr>
          <w:color w:val="000000" w:themeColor="text1"/>
          <w:spacing w:val="-6"/>
          <w:highlight w:val="none"/>
          <w14:textFill>
            <w14:solidFill>
              <w14:schemeClr w14:val="tx1"/>
            </w14:solidFill>
          </w14:textFill>
        </w:rPr>
        <w:t>（</w:t>
      </w:r>
      <w:r>
        <w:rPr>
          <w:rFonts w:eastAsia="Times New Roman"/>
          <w:color w:val="000000" w:themeColor="text1"/>
          <w:spacing w:val="-6"/>
          <w:highlight w:val="none"/>
          <w14:textFill>
            <w14:solidFill>
              <w14:schemeClr w14:val="tx1"/>
            </w14:solidFill>
          </w14:textFill>
        </w:rPr>
        <w:t>3</w:t>
      </w:r>
      <w:r>
        <w:rPr>
          <w:color w:val="000000" w:themeColor="text1"/>
          <w:spacing w:val="-6"/>
          <w:highlight w:val="none"/>
          <w14:textFill>
            <w14:solidFill>
              <w14:schemeClr w14:val="tx1"/>
            </w14:solidFill>
          </w14:textFill>
        </w:rPr>
        <w:t>）《中华人民共和国水污染防治法》，</w:t>
      </w:r>
      <w:r>
        <w:rPr>
          <w:rFonts w:eastAsia="Times New Roman"/>
          <w:color w:val="000000" w:themeColor="text1"/>
          <w:spacing w:val="-6"/>
          <w:highlight w:val="none"/>
          <w14:textFill>
            <w14:solidFill>
              <w14:schemeClr w14:val="tx1"/>
            </w14:solidFill>
          </w14:textFill>
        </w:rPr>
        <w:t>2018</w:t>
      </w:r>
      <w:r>
        <w:rPr>
          <w:color w:val="000000" w:themeColor="text1"/>
          <w:highlight w:val="none"/>
          <w14:textFill>
            <w14:solidFill>
              <w14:schemeClr w14:val="tx1"/>
            </w14:solidFill>
          </w14:textFill>
        </w:rPr>
        <w:t>年</w:t>
      </w:r>
      <w:r>
        <w:rPr>
          <w:rFonts w:eastAsia="Times New Roman"/>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月</w:t>
      </w:r>
      <w:r>
        <w:rPr>
          <w:rFonts w:eastAsia="Times New Roman"/>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日起施行；</w:t>
      </w:r>
    </w:p>
    <w:p>
      <w:pPr>
        <w:ind w:firstLine="470"/>
        <w:rPr>
          <w:color w:val="000000" w:themeColor="text1"/>
          <w:highlight w:val="none"/>
          <w14:textFill>
            <w14:solidFill>
              <w14:schemeClr w14:val="tx1"/>
            </w14:solidFill>
          </w14:textFill>
        </w:rPr>
      </w:pPr>
      <w:r>
        <w:rPr>
          <w:color w:val="000000" w:themeColor="text1"/>
          <w:spacing w:val="-5"/>
          <w:highlight w:val="none"/>
          <w14:textFill>
            <w14:solidFill>
              <w14:schemeClr w14:val="tx1"/>
            </w14:solidFill>
          </w14:textFill>
        </w:rPr>
        <w:t>（</w:t>
      </w:r>
      <w:r>
        <w:rPr>
          <w:rFonts w:eastAsia="Times New Roman"/>
          <w:color w:val="000000" w:themeColor="text1"/>
          <w:spacing w:val="-5"/>
          <w:highlight w:val="none"/>
          <w14:textFill>
            <w14:solidFill>
              <w14:schemeClr w14:val="tx1"/>
            </w14:solidFill>
          </w14:textFill>
        </w:rPr>
        <w:t>4</w:t>
      </w:r>
      <w:r>
        <w:rPr>
          <w:color w:val="000000" w:themeColor="text1"/>
          <w:spacing w:val="-5"/>
          <w:highlight w:val="none"/>
          <w14:textFill>
            <w14:solidFill>
              <w14:schemeClr w14:val="tx1"/>
            </w14:solidFill>
          </w14:textFill>
        </w:rPr>
        <w:t>）《中华人民共和国大气污染防治法》，</w:t>
      </w:r>
      <w:r>
        <w:rPr>
          <w:rFonts w:eastAsia="Times New Roman"/>
          <w:color w:val="000000" w:themeColor="text1"/>
          <w:spacing w:val="-5"/>
          <w:highlight w:val="none"/>
          <w14:textFill>
            <w14:solidFill>
              <w14:schemeClr w14:val="tx1"/>
            </w14:solidFill>
          </w14:textFill>
        </w:rPr>
        <w:t>2016</w:t>
      </w:r>
      <w:r>
        <w:rPr>
          <w:color w:val="000000" w:themeColor="text1"/>
          <w:highlight w:val="none"/>
          <w14:textFill>
            <w14:solidFill>
              <w14:schemeClr w14:val="tx1"/>
            </w14:solidFill>
          </w14:textFill>
        </w:rPr>
        <w:t>年</w:t>
      </w:r>
      <w:r>
        <w:rPr>
          <w:rFonts w:eastAsia="Times New Roman"/>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月1日起施行；</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r>
        <w:rPr>
          <w:rFonts w:eastAsia="Times New Roman"/>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）《中华人民共和国环境噪声污染防治法（</w:t>
      </w:r>
      <w:r>
        <w:rPr>
          <w:rFonts w:eastAsia="Times New Roman"/>
          <w:color w:val="000000" w:themeColor="text1"/>
          <w:highlight w:val="none"/>
          <w14:textFill>
            <w14:solidFill>
              <w14:schemeClr w14:val="tx1"/>
            </w14:solidFill>
          </w14:textFill>
        </w:rPr>
        <w:t>2021</w:t>
      </w:r>
      <w:r>
        <w:rPr>
          <w:color w:val="000000" w:themeColor="text1"/>
          <w:spacing w:val="-27"/>
          <w:highlight w:val="none"/>
          <w14:textFill>
            <w14:solidFill>
              <w14:schemeClr w14:val="tx1"/>
            </w14:solidFill>
          </w14:textFill>
        </w:rPr>
        <w:t>修订）》，</w:t>
      </w:r>
      <w:r>
        <w:rPr>
          <w:rFonts w:eastAsia="Times New Roman"/>
          <w:color w:val="000000" w:themeColor="text1"/>
          <w:spacing w:val="-27"/>
          <w:highlight w:val="none"/>
          <w14:textFill>
            <w14:solidFill>
              <w14:schemeClr w14:val="tx1"/>
            </w14:solidFill>
          </w14:textFill>
        </w:rPr>
        <w:t>2022</w:t>
      </w:r>
      <w:r>
        <w:rPr>
          <w:color w:val="000000" w:themeColor="text1"/>
          <w:highlight w:val="none"/>
          <w14:textFill>
            <w14:solidFill>
              <w14:schemeClr w14:val="tx1"/>
            </w14:solidFill>
          </w14:textFill>
        </w:rPr>
        <w:t>年</w:t>
      </w:r>
      <w:r>
        <w:rPr>
          <w:rFonts w:eastAsia="Times New Roman"/>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t>月</w:t>
      </w:r>
      <w:r>
        <w:rPr>
          <w:rFonts w:eastAsia="Times New Roman"/>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日施行；</w:t>
      </w:r>
    </w:p>
    <w:p>
      <w:pPr>
        <w:ind w:firstLine="470"/>
        <w:rPr>
          <w:color w:val="000000" w:themeColor="text1"/>
          <w:highlight w:val="none"/>
          <w14:textFill>
            <w14:solidFill>
              <w14:schemeClr w14:val="tx1"/>
            </w14:solidFill>
          </w14:textFill>
        </w:rPr>
      </w:pPr>
      <w:r>
        <w:rPr>
          <w:color w:val="000000" w:themeColor="text1"/>
          <w:spacing w:val="-5"/>
          <w:highlight w:val="none"/>
          <w14:textFill>
            <w14:solidFill>
              <w14:schemeClr w14:val="tx1"/>
            </w14:solidFill>
          </w14:textFill>
        </w:rPr>
        <w:t>（</w:t>
      </w:r>
      <w:r>
        <w:rPr>
          <w:rFonts w:eastAsia="Times New Roman"/>
          <w:color w:val="000000" w:themeColor="text1"/>
          <w:spacing w:val="-5"/>
          <w:highlight w:val="none"/>
          <w14:textFill>
            <w14:solidFill>
              <w14:schemeClr w14:val="tx1"/>
            </w14:solidFill>
          </w14:textFill>
        </w:rPr>
        <w:t>6</w:t>
      </w:r>
      <w:r>
        <w:rPr>
          <w:color w:val="000000" w:themeColor="text1"/>
          <w:spacing w:val="-5"/>
          <w:highlight w:val="none"/>
          <w14:textFill>
            <w14:solidFill>
              <w14:schemeClr w14:val="tx1"/>
            </w14:solidFill>
          </w14:textFill>
        </w:rPr>
        <w:t>）《中华人民共和国固体废物污染环境防治法》，</w:t>
      </w:r>
      <w:r>
        <w:rPr>
          <w:rFonts w:eastAsia="Times New Roman"/>
          <w:color w:val="000000" w:themeColor="text1"/>
          <w:spacing w:val="-5"/>
          <w:highlight w:val="none"/>
          <w14:textFill>
            <w14:solidFill>
              <w14:schemeClr w14:val="tx1"/>
            </w14:solidFill>
          </w14:textFill>
        </w:rPr>
        <w:t>2020</w:t>
      </w:r>
      <w:r>
        <w:rPr>
          <w:color w:val="000000" w:themeColor="text1"/>
          <w:spacing w:val="-5"/>
          <w:highlight w:val="none"/>
          <w14:textFill>
            <w14:solidFill>
              <w14:schemeClr w14:val="tx1"/>
            </w14:solidFill>
          </w14:textFill>
        </w:rPr>
        <w:t>年修订</w:t>
      </w:r>
      <w:r>
        <w:rPr>
          <w:color w:val="000000" w:themeColor="text1"/>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（7）《中华人民共和国土壤污染防治法》（2019年1月1日起实施）；</w:t>
      </w:r>
    </w:p>
    <w:p>
      <w:pPr>
        <w:ind w:firstLine="468"/>
        <w:rPr>
          <w:color w:val="000000" w:themeColor="text1"/>
          <w:highlight w:val="none"/>
          <w:u w:val="single"/>
          <w14:textFill>
            <w14:solidFill>
              <w14:schemeClr w14:val="tx1"/>
            </w14:solidFill>
          </w14:textFill>
        </w:rPr>
      </w:pPr>
      <w:r>
        <w:rPr>
          <w:color w:val="000000" w:themeColor="text1"/>
          <w:spacing w:val="-6"/>
          <w:highlight w:val="none"/>
          <w14:textFill>
            <w14:solidFill>
              <w14:schemeClr w14:val="tx1"/>
            </w14:solidFill>
          </w14:textFill>
        </w:rPr>
        <w:t>（8）</w:t>
      </w:r>
      <w:r>
        <w:rPr>
          <w:rFonts w:eastAsia="新宋体"/>
          <w:color w:val="000000" w:themeColor="text1"/>
          <w:szCs w:val="20"/>
          <w:highlight w:val="none"/>
          <w14:textFill>
            <w14:solidFill>
              <w14:schemeClr w14:val="tx1"/>
            </w14:solidFill>
          </w14:textFill>
        </w:rPr>
        <w:t>《中华人民共和国土地管理法》，2020年1月1日实施</w:t>
      </w:r>
      <w:r>
        <w:rPr>
          <w:color w:val="000000" w:themeColor="text1"/>
          <w:highlight w:val="none"/>
          <w14:textFill>
            <w14:solidFill>
              <w14:schemeClr w14:val="tx1"/>
            </w14:solidFill>
          </w14:textFill>
        </w:rPr>
        <w:t>；</w:t>
      </w:r>
    </w:p>
    <w:p>
      <w:pPr>
        <w:ind w:firstLine="468"/>
        <w:rPr>
          <w:color w:val="000000" w:themeColor="text1"/>
          <w:highlight w:val="none"/>
          <w14:textFill>
            <w14:solidFill>
              <w14:schemeClr w14:val="tx1"/>
            </w14:solidFill>
          </w14:textFill>
        </w:rPr>
      </w:pPr>
      <w:r>
        <w:rPr>
          <w:color w:val="000000" w:themeColor="text1"/>
          <w:spacing w:val="-6"/>
          <w:highlight w:val="none"/>
          <w14:textFill>
            <w14:solidFill>
              <w14:schemeClr w14:val="tx1"/>
            </w14:solidFill>
          </w14:textFill>
        </w:rPr>
        <w:t>（9）《中华人民共和国城乡规</w:t>
      </w:r>
      <w:r>
        <w:rPr>
          <w:color w:val="000000" w:themeColor="text1"/>
          <w:highlight w:val="none"/>
          <w14:textFill>
            <w14:solidFill>
              <w14:schemeClr w14:val="tx1"/>
            </w14:solidFill>
          </w14:textFill>
        </w:rPr>
        <w:t>划法》，</w:t>
      </w:r>
      <w:r>
        <w:rPr>
          <w:rFonts w:hint="eastAsia"/>
          <w:color w:val="000000" w:themeColor="text1"/>
          <w:highlight w:val="none"/>
          <w14:textFill>
            <w14:solidFill>
              <w14:schemeClr w14:val="tx1"/>
            </w14:solidFill>
          </w14:textFill>
        </w:rPr>
        <w:t>2019年修订</w:t>
      </w:r>
      <w:r>
        <w:rPr>
          <w:color w:val="000000" w:themeColor="text1"/>
          <w:highlight w:val="none"/>
          <w14:textFill>
            <w14:solidFill>
              <w14:schemeClr w14:val="tx1"/>
            </w14:solidFill>
          </w14:textFill>
        </w:rPr>
        <w:t>；</w:t>
      </w:r>
    </w:p>
    <w:p>
      <w:pPr>
        <w:ind w:firstLine="468"/>
        <w:rPr>
          <w:color w:val="000000" w:themeColor="text1"/>
          <w:highlight w:val="none"/>
          <w14:textFill>
            <w14:solidFill>
              <w14:schemeClr w14:val="tx1"/>
            </w14:solidFill>
          </w14:textFill>
        </w:rPr>
      </w:pPr>
      <w:r>
        <w:rPr>
          <w:color w:val="000000" w:themeColor="text1"/>
          <w:spacing w:val="-6"/>
          <w:highlight w:val="none"/>
          <w14:textFill>
            <w14:solidFill>
              <w14:schemeClr w14:val="tx1"/>
            </w14:solidFill>
          </w14:textFill>
        </w:rPr>
        <w:t>（10）《中华人民共和国水土保持法》，</w:t>
      </w:r>
      <w:r>
        <w:rPr>
          <w:rFonts w:eastAsia="Times New Roman"/>
          <w:color w:val="000000" w:themeColor="text1"/>
          <w:spacing w:val="-6"/>
          <w:highlight w:val="none"/>
          <w14:textFill>
            <w14:solidFill>
              <w14:schemeClr w14:val="tx1"/>
            </w14:solidFill>
          </w14:textFill>
        </w:rPr>
        <w:t>2011</w:t>
      </w:r>
      <w:r>
        <w:rPr>
          <w:color w:val="000000" w:themeColor="text1"/>
          <w:highlight w:val="none"/>
          <w14:textFill>
            <w14:solidFill>
              <w14:schemeClr w14:val="tx1"/>
            </w14:solidFill>
          </w14:textFill>
        </w:rPr>
        <w:t>年</w:t>
      </w:r>
      <w:r>
        <w:rPr>
          <w:rFonts w:eastAsia="Times New Roman"/>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月</w:t>
      </w:r>
      <w:r>
        <w:rPr>
          <w:rFonts w:eastAsia="Times New Roman"/>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日起施行；</w:t>
      </w:r>
    </w:p>
    <w:p>
      <w:pPr>
        <w:ind w:firstLine="468"/>
        <w:rPr>
          <w:color w:val="000000" w:themeColor="text1"/>
          <w:highlight w:val="none"/>
          <w14:textFill>
            <w14:solidFill>
              <w14:schemeClr w14:val="tx1"/>
            </w14:solidFill>
          </w14:textFill>
        </w:rPr>
      </w:pPr>
      <w:r>
        <w:rPr>
          <w:color w:val="000000" w:themeColor="text1"/>
          <w:spacing w:val="-6"/>
          <w:highlight w:val="none"/>
          <w14:textFill>
            <w14:solidFill>
              <w14:schemeClr w14:val="tx1"/>
            </w14:solidFill>
          </w14:textFill>
        </w:rPr>
        <w:t>（</w:t>
      </w:r>
      <w:r>
        <w:rPr>
          <w:rFonts w:eastAsia="Times New Roman"/>
          <w:color w:val="000000" w:themeColor="text1"/>
          <w:spacing w:val="-6"/>
          <w:highlight w:val="none"/>
          <w14:textFill>
            <w14:solidFill>
              <w14:schemeClr w14:val="tx1"/>
            </w14:solidFill>
          </w14:textFill>
        </w:rPr>
        <w:t>1</w:t>
      </w:r>
      <w:r>
        <w:rPr>
          <w:color w:val="000000" w:themeColor="text1"/>
          <w:spacing w:val="-6"/>
          <w:highlight w:val="none"/>
          <w14:textFill>
            <w14:solidFill>
              <w14:schemeClr w14:val="tx1"/>
            </w14:solidFill>
          </w14:textFill>
        </w:rPr>
        <w:t>1）《中华人民共和国水法》，</w:t>
      </w:r>
      <w:r>
        <w:rPr>
          <w:rFonts w:eastAsia="Times New Roman"/>
          <w:color w:val="000000" w:themeColor="text1"/>
          <w:spacing w:val="-6"/>
          <w:highlight w:val="none"/>
          <w14:textFill>
            <w14:solidFill>
              <w14:schemeClr w14:val="tx1"/>
            </w14:solidFill>
          </w14:textFill>
        </w:rPr>
        <w:t>2016</w:t>
      </w:r>
      <w:r>
        <w:rPr>
          <w:color w:val="000000" w:themeColor="text1"/>
          <w:highlight w:val="none"/>
          <w14:textFill>
            <w14:solidFill>
              <w14:schemeClr w14:val="tx1"/>
            </w14:solidFill>
          </w14:textFill>
        </w:rPr>
        <w:t>年</w:t>
      </w:r>
      <w:r>
        <w:rPr>
          <w:rFonts w:eastAsia="Times New Roman"/>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t>月</w:t>
      </w:r>
      <w:r>
        <w:rPr>
          <w:rFonts w:eastAsia="Times New Roman"/>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日修订；</w:t>
      </w:r>
    </w:p>
    <w:p>
      <w:pPr>
        <w:ind w:firstLine="468"/>
        <w:rPr>
          <w:color w:val="000000" w:themeColor="text1"/>
          <w:spacing w:val="-6"/>
          <w:highlight w:val="none"/>
          <w14:textFill>
            <w14:solidFill>
              <w14:schemeClr w14:val="tx1"/>
            </w14:solidFill>
          </w14:textFill>
        </w:rPr>
      </w:pPr>
      <w:r>
        <w:rPr>
          <w:color w:val="000000" w:themeColor="text1"/>
          <w:spacing w:val="-6"/>
          <w:highlight w:val="none"/>
          <w14:textFill>
            <w14:solidFill>
              <w14:schemeClr w14:val="tx1"/>
            </w14:solidFill>
          </w14:textFill>
        </w:rPr>
        <w:t>（12）《中华人民共和国突发事件应对法》（2007年11月1日起实施）</w:t>
      </w:r>
    </w:p>
    <w:p>
      <w:pPr>
        <w:ind w:firstLine="468"/>
        <w:rPr>
          <w:color w:val="000000" w:themeColor="text1"/>
          <w:spacing w:val="-6"/>
          <w:highlight w:val="none"/>
          <w14:textFill>
            <w14:solidFill>
              <w14:schemeClr w14:val="tx1"/>
            </w14:solidFill>
          </w14:textFill>
        </w:rPr>
      </w:pPr>
      <w:r>
        <w:rPr>
          <w:color w:val="000000" w:themeColor="text1"/>
          <w:spacing w:val="-6"/>
          <w:highlight w:val="none"/>
          <w14:textFill>
            <w14:solidFill>
              <w14:schemeClr w14:val="tx1"/>
            </w14:solidFill>
          </w14:textFill>
        </w:rPr>
        <w:t>（13）《中华人民共和国节约能源法》（2018年12月修订）；</w:t>
      </w:r>
    </w:p>
    <w:p>
      <w:pPr>
        <w:ind w:firstLine="468"/>
        <w:rPr>
          <w:color w:val="000000" w:themeColor="text1"/>
          <w:spacing w:val="-6"/>
          <w:highlight w:val="none"/>
          <w14:textFill>
            <w14:solidFill>
              <w14:schemeClr w14:val="tx1"/>
            </w14:solidFill>
          </w14:textFill>
        </w:rPr>
      </w:pPr>
      <w:r>
        <w:rPr>
          <w:color w:val="000000" w:themeColor="text1"/>
          <w:spacing w:val="-6"/>
          <w:highlight w:val="none"/>
          <w14:textFill>
            <w14:solidFill>
              <w14:schemeClr w14:val="tx1"/>
            </w14:solidFill>
          </w14:textFill>
        </w:rPr>
        <w:t>（14）《中华人民共和国清洁生产促进法》，（2012年2月29日）；</w:t>
      </w:r>
    </w:p>
    <w:p>
      <w:pPr>
        <w:ind w:firstLine="468"/>
        <w:rPr>
          <w:color w:val="000000" w:themeColor="text1"/>
          <w:spacing w:val="-6"/>
          <w:highlight w:val="none"/>
          <w14:textFill>
            <w14:solidFill>
              <w14:schemeClr w14:val="tx1"/>
            </w14:solidFill>
          </w14:textFill>
        </w:rPr>
      </w:pPr>
      <w:r>
        <w:rPr>
          <w:color w:val="000000" w:themeColor="text1"/>
          <w:spacing w:val="-6"/>
          <w:highlight w:val="none"/>
          <w14:textFill>
            <w14:solidFill>
              <w14:schemeClr w14:val="tx1"/>
            </w14:solidFill>
          </w14:textFill>
        </w:rPr>
        <w:t>（15）《中华人民共和国循环经济促进法》（2018年10月26日修订）；</w:t>
      </w:r>
    </w:p>
    <w:p>
      <w:pPr>
        <w:ind w:firstLine="468"/>
        <w:rPr>
          <w:color w:val="000000" w:themeColor="text1"/>
          <w:spacing w:val="-6"/>
          <w:highlight w:val="none"/>
          <w14:textFill>
            <w14:solidFill>
              <w14:schemeClr w14:val="tx1"/>
            </w14:solidFill>
          </w14:textFill>
        </w:rPr>
      </w:pPr>
      <w:r>
        <w:rPr>
          <w:color w:val="000000" w:themeColor="text1"/>
          <w:spacing w:val="-6"/>
          <w:highlight w:val="none"/>
          <w14:textFill>
            <w14:solidFill>
              <w14:schemeClr w14:val="tx1"/>
            </w14:solidFill>
          </w14:textFill>
        </w:rPr>
        <w:t>（16）《中华人民共和国石油天然气管道保护法》（2010.10.1实施）。</w:t>
      </w:r>
    </w:p>
    <w:p>
      <w:pPr>
        <w:pStyle w:val="5"/>
        <w:spacing w:before="120"/>
        <w:ind w:firstLine="480"/>
        <w:rPr>
          <w:b/>
          <w:color w:val="000000" w:themeColor="text1"/>
          <w:highlight w:val="none"/>
          <w:lang w:eastAsia="zh-CN"/>
          <w14:textFill>
            <w14:solidFill>
              <w14:schemeClr w14:val="tx1"/>
            </w14:solidFill>
          </w14:textFill>
        </w:rPr>
      </w:pPr>
      <w:bookmarkStart w:id="22" w:name="_Toc120173055"/>
      <w:r>
        <w:rPr>
          <w:color w:val="000000" w:themeColor="text1"/>
          <w:highlight w:val="none"/>
          <w:lang w:eastAsia="zh-CN"/>
          <w14:textFill>
            <w14:solidFill>
              <w14:schemeClr w14:val="tx1"/>
            </w14:solidFill>
          </w14:textFill>
        </w:rPr>
        <w:t>行政法规</w:t>
      </w:r>
      <w:bookmarkEnd w:id="22"/>
    </w:p>
    <w:p>
      <w:pPr>
        <w:ind w:firstLine="466"/>
        <w:rPr>
          <w:color w:val="000000" w:themeColor="text1"/>
          <w:spacing w:val="-7"/>
          <w:highlight w:val="none"/>
          <w14:textFill>
            <w14:solidFill>
              <w14:schemeClr w14:val="tx1"/>
            </w14:solidFill>
          </w14:textFill>
        </w:rPr>
      </w:pPr>
      <w:bookmarkStart w:id="23" w:name="_Hlk153365945"/>
      <w:r>
        <w:rPr>
          <w:color w:val="000000" w:themeColor="text1"/>
          <w:spacing w:val="-7"/>
          <w:highlight w:val="none"/>
          <w14:textFill>
            <w14:solidFill>
              <w14:schemeClr w14:val="tx1"/>
            </w14:solidFill>
          </w14:textFill>
        </w:rPr>
        <w:t>（1）《国务院关于环境保护若干问题的决定》（国发〔1996〕31号，1996.83）；</w:t>
      </w:r>
    </w:p>
    <w:p>
      <w:pPr>
        <w:ind w:firstLine="466"/>
        <w:rPr>
          <w:color w:val="000000" w:themeColor="text1"/>
          <w:spacing w:val="-7"/>
          <w:highlight w:val="none"/>
          <w14:textFill>
            <w14:solidFill>
              <w14:schemeClr w14:val="tx1"/>
            </w14:solidFill>
          </w14:textFill>
        </w:rPr>
      </w:pPr>
      <w:r>
        <w:rPr>
          <w:color w:val="000000" w:themeColor="text1"/>
          <w:spacing w:val="-7"/>
          <w:highlight w:val="none"/>
          <w14:textFill>
            <w14:solidFill>
              <w14:schemeClr w14:val="tx1"/>
            </w14:solidFill>
          </w14:textFill>
        </w:rPr>
        <w:t>（2）《建设项目环境保护管理条例》（国务院令682号，2017.7）；</w:t>
      </w:r>
    </w:p>
    <w:p>
      <w:pPr>
        <w:ind w:firstLine="466"/>
        <w:rPr>
          <w:color w:val="000000" w:themeColor="text1"/>
          <w:spacing w:val="-7"/>
          <w:highlight w:val="none"/>
          <w14:textFill>
            <w14:solidFill>
              <w14:schemeClr w14:val="tx1"/>
            </w14:solidFill>
          </w14:textFill>
        </w:rPr>
      </w:pPr>
      <w:r>
        <w:rPr>
          <w:color w:val="000000" w:themeColor="text1"/>
          <w:spacing w:val="-7"/>
          <w:highlight w:val="none"/>
          <w14:textFill>
            <w14:solidFill>
              <w14:schemeClr w14:val="tx1"/>
            </w14:solidFill>
          </w14:textFill>
        </w:rPr>
        <w:t>（3）《全国生态环境保护纲要》（国发〔2000〕38号，2000.12.6）；</w:t>
      </w:r>
    </w:p>
    <w:p>
      <w:pPr>
        <w:ind w:firstLine="466"/>
        <w:rPr>
          <w:color w:val="000000" w:themeColor="text1"/>
          <w:spacing w:val="-7"/>
          <w:highlight w:val="none"/>
          <w14:textFill>
            <w14:solidFill>
              <w14:schemeClr w14:val="tx1"/>
            </w14:solidFill>
          </w14:textFill>
        </w:rPr>
      </w:pPr>
      <w:r>
        <w:rPr>
          <w:color w:val="000000" w:themeColor="text1"/>
          <w:spacing w:val="-7"/>
          <w:highlight w:val="none"/>
          <w14:textFill>
            <w14:solidFill>
              <w14:schemeClr w14:val="tx1"/>
            </w14:solidFill>
          </w14:textFill>
        </w:rPr>
        <w:t>（4）《国务院办公厅转发发展改革委等部门关于加快推进清洁生产意见的通知》（国发〔2003〕100号，2003.12.17）；</w:t>
      </w:r>
    </w:p>
    <w:p>
      <w:pPr>
        <w:ind w:firstLine="466"/>
        <w:rPr>
          <w:color w:val="000000" w:themeColor="text1"/>
          <w:spacing w:val="-7"/>
          <w:highlight w:val="none"/>
          <w14:textFill>
            <w14:solidFill>
              <w14:schemeClr w14:val="tx1"/>
            </w14:solidFill>
          </w14:textFill>
        </w:rPr>
      </w:pPr>
      <w:r>
        <w:rPr>
          <w:color w:val="000000" w:themeColor="text1"/>
          <w:spacing w:val="-7"/>
          <w:highlight w:val="none"/>
          <w14:textFill>
            <w14:solidFill>
              <w14:schemeClr w14:val="tx1"/>
            </w14:solidFill>
          </w14:textFill>
        </w:rPr>
        <w:t>（5）《国务院关于印发节能减排综合性工作方案的通知》（国发〔2007〕15号，2007.5.23）；</w:t>
      </w:r>
    </w:p>
    <w:p>
      <w:pPr>
        <w:ind w:firstLine="466"/>
        <w:rPr>
          <w:color w:val="000000" w:themeColor="text1"/>
          <w:spacing w:val="-7"/>
          <w:highlight w:val="none"/>
          <w14:textFill>
            <w14:solidFill>
              <w14:schemeClr w14:val="tx1"/>
            </w14:solidFill>
          </w14:textFill>
        </w:rPr>
      </w:pPr>
      <w:r>
        <w:rPr>
          <w:color w:val="000000" w:themeColor="text1"/>
          <w:spacing w:val="-7"/>
          <w:highlight w:val="none"/>
          <w14:textFill>
            <w14:solidFill>
              <w14:schemeClr w14:val="tx1"/>
            </w14:solidFill>
          </w14:textFill>
        </w:rPr>
        <w:t>（6）《基本农田保护条例》（2011.1.8修订）；</w:t>
      </w:r>
    </w:p>
    <w:p>
      <w:pPr>
        <w:ind w:firstLine="466"/>
        <w:rPr>
          <w:color w:val="000000" w:themeColor="text1"/>
          <w:spacing w:val="-7"/>
          <w:highlight w:val="none"/>
          <w14:textFill>
            <w14:solidFill>
              <w14:schemeClr w14:val="tx1"/>
            </w14:solidFill>
          </w14:textFill>
        </w:rPr>
      </w:pPr>
      <w:r>
        <w:rPr>
          <w:color w:val="000000" w:themeColor="text1"/>
          <w:spacing w:val="-7"/>
          <w:highlight w:val="none"/>
          <w14:textFill>
            <w14:solidFill>
              <w14:schemeClr w14:val="tx1"/>
            </w14:solidFill>
          </w14:textFill>
        </w:rPr>
        <w:t>（7）《土地复垦条例》（国务院令592号，2011.2.22）；</w:t>
      </w:r>
    </w:p>
    <w:p>
      <w:pPr>
        <w:ind w:firstLine="466"/>
        <w:rPr>
          <w:color w:val="000000" w:themeColor="text1"/>
          <w:spacing w:val="-7"/>
          <w:highlight w:val="none"/>
          <w14:textFill>
            <w14:solidFill>
              <w14:schemeClr w14:val="tx1"/>
            </w14:solidFill>
          </w14:textFill>
        </w:rPr>
      </w:pPr>
      <w:r>
        <w:rPr>
          <w:color w:val="000000" w:themeColor="text1"/>
          <w:spacing w:val="-7"/>
          <w:highlight w:val="none"/>
          <w14:textFill>
            <w14:solidFill>
              <w14:schemeClr w14:val="tx1"/>
            </w14:solidFill>
          </w14:textFill>
        </w:rPr>
        <w:t>（8）《大气污染防治行动计划》（国发〔2013〕37号），2013.9.10；</w:t>
      </w:r>
    </w:p>
    <w:p>
      <w:pPr>
        <w:ind w:firstLine="466"/>
        <w:rPr>
          <w:color w:val="000000" w:themeColor="text1"/>
          <w:spacing w:val="-7"/>
          <w:highlight w:val="none"/>
          <w14:textFill>
            <w14:solidFill>
              <w14:schemeClr w14:val="tx1"/>
            </w14:solidFill>
          </w14:textFill>
        </w:rPr>
      </w:pPr>
      <w:r>
        <w:rPr>
          <w:color w:val="000000" w:themeColor="text1"/>
          <w:spacing w:val="-7"/>
          <w:highlight w:val="none"/>
          <w14:textFill>
            <w14:solidFill>
              <w14:schemeClr w14:val="tx1"/>
            </w14:solidFill>
          </w14:textFill>
        </w:rPr>
        <w:t>（9）《全国生态保护与建设规划》（2013</w:t>
      </w:r>
      <w:r>
        <w:rPr>
          <w:rFonts w:hint="eastAsia"/>
          <w:color w:val="000000" w:themeColor="text1"/>
          <w:spacing w:val="-7"/>
          <w:highlight w:val="none"/>
          <w14:textFill>
            <w14:solidFill>
              <w14:schemeClr w14:val="tx1"/>
            </w14:solidFill>
          </w14:textFill>
        </w:rPr>
        <w:t>～</w:t>
      </w:r>
      <w:r>
        <w:rPr>
          <w:color w:val="000000" w:themeColor="text1"/>
          <w:spacing w:val="-7"/>
          <w:highlight w:val="none"/>
          <w14:textFill>
            <w14:solidFill>
              <w14:schemeClr w14:val="tx1"/>
            </w14:solidFill>
          </w14:textFill>
        </w:rPr>
        <w:t>2020年），2013.10</w:t>
      </w:r>
      <w:r>
        <w:rPr>
          <w:rFonts w:cs="Times New Roman"/>
          <w:color w:val="000000" w:themeColor="text1"/>
          <w:spacing w:val="-7"/>
          <w:highlight w:val="none"/>
          <w14:textFill>
            <w14:solidFill>
              <w14:schemeClr w14:val="tx1"/>
            </w14:solidFill>
          </w14:textFill>
        </w:rPr>
        <w:t>；</w:t>
      </w:r>
    </w:p>
    <w:p>
      <w:pPr>
        <w:ind w:firstLine="466"/>
        <w:rPr>
          <w:color w:val="000000" w:themeColor="text1"/>
          <w:spacing w:val="-7"/>
          <w:highlight w:val="none"/>
          <w14:textFill>
            <w14:solidFill>
              <w14:schemeClr w14:val="tx1"/>
            </w14:solidFill>
          </w14:textFill>
        </w:rPr>
      </w:pPr>
      <w:r>
        <w:rPr>
          <w:color w:val="000000" w:themeColor="text1"/>
          <w:spacing w:val="-7"/>
          <w:highlight w:val="none"/>
          <w14:textFill>
            <w14:solidFill>
              <w14:schemeClr w14:val="tx1"/>
            </w14:solidFill>
          </w14:textFill>
        </w:rPr>
        <w:t>（10）《水污染防治行动计划》（国发〔2015〕17号），2015.4.2；</w:t>
      </w:r>
    </w:p>
    <w:p>
      <w:pPr>
        <w:ind w:firstLine="466"/>
        <w:rPr>
          <w:color w:val="000000" w:themeColor="text1"/>
          <w:spacing w:val="-7"/>
          <w:highlight w:val="none"/>
          <w14:textFill>
            <w14:solidFill>
              <w14:schemeClr w14:val="tx1"/>
            </w14:solidFill>
          </w14:textFill>
        </w:rPr>
      </w:pPr>
      <w:r>
        <w:rPr>
          <w:color w:val="000000" w:themeColor="text1"/>
          <w:spacing w:val="-7"/>
          <w:highlight w:val="none"/>
          <w14:textFill>
            <w14:solidFill>
              <w14:schemeClr w14:val="tx1"/>
            </w14:solidFill>
          </w14:textFill>
        </w:rPr>
        <w:t>（11）《土壤污染防治行动计划》（国发〔2016〕31号），2016.5.28</w:t>
      </w:r>
      <w:r>
        <w:rPr>
          <w:rFonts w:hint="eastAsia"/>
          <w:color w:val="000000" w:themeColor="text1"/>
          <w:spacing w:val="-7"/>
          <w:highlight w:val="none"/>
          <w14:textFill>
            <w14:solidFill>
              <w14:schemeClr w14:val="tx1"/>
            </w14:solidFill>
          </w14:textFill>
        </w:rPr>
        <w:t>；</w:t>
      </w:r>
    </w:p>
    <w:p>
      <w:pPr>
        <w:ind w:firstLine="466"/>
        <w:rPr>
          <w:color w:val="000000" w:themeColor="text1"/>
          <w:spacing w:val="-7"/>
          <w:highlight w:val="none"/>
          <w14:textFill>
            <w14:solidFill>
              <w14:schemeClr w14:val="tx1"/>
            </w14:solidFill>
          </w14:textFill>
        </w:rPr>
      </w:pPr>
      <w:r>
        <w:rPr>
          <w:rFonts w:hint="eastAsia"/>
          <w:color w:val="000000" w:themeColor="text1"/>
          <w:spacing w:val="-7"/>
          <w:highlight w:val="none"/>
          <w14:textFill>
            <w14:solidFill>
              <w14:schemeClr w14:val="tx1"/>
            </w14:solidFill>
          </w14:textFill>
        </w:rPr>
        <w:t>（1</w:t>
      </w:r>
      <w:r>
        <w:rPr>
          <w:color w:val="000000" w:themeColor="text1"/>
          <w:spacing w:val="-7"/>
          <w:highlight w:val="none"/>
          <w14:textFill>
            <w14:solidFill>
              <w14:schemeClr w14:val="tx1"/>
            </w14:solidFill>
          </w14:textFill>
        </w:rPr>
        <w:t>2</w:t>
      </w:r>
      <w:r>
        <w:rPr>
          <w:rFonts w:hint="eastAsia"/>
          <w:color w:val="000000" w:themeColor="text1"/>
          <w:spacing w:val="-7"/>
          <w:highlight w:val="none"/>
          <w14:textFill>
            <w14:solidFill>
              <w14:schemeClr w14:val="tx1"/>
            </w14:solidFill>
          </w14:textFill>
        </w:rPr>
        <w:t>）关于印发《“十四五”噪声污染防治行动计划》的通知（环大气2023）1号）；</w:t>
      </w:r>
    </w:p>
    <w:p>
      <w:pPr>
        <w:ind w:firstLine="466"/>
        <w:rPr>
          <w:color w:val="000000" w:themeColor="text1"/>
          <w:spacing w:val="-4"/>
          <w:highlight w:val="none"/>
          <w14:textFill>
            <w14:solidFill>
              <w14:schemeClr w14:val="tx1"/>
            </w14:solidFill>
          </w14:textFill>
        </w:rPr>
      </w:pPr>
      <w:r>
        <w:rPr>
          <w:color w:val="000000" w:themeColor="text1"/>
          <w:spacing w:val="-7"/>
          <w:highlight w:val="none"/>
          <w14:textFill>
            <w14:solidFill>
              <w14:schemeClr w14:val="tx1"/>
            </w14:solidFill>
          </w14:textFill>
        </w:rPr>
        <w:t>（13）《中华人民共和国野生植物保护条例》（2017.10.7修订）</w:t>
      </w:r>
      <w:bookmarkEnd w:id="23"/>
      <w:r>
        <w:rPr>
          <w:color w:val="000000" w:themeColor="text1"/>
          <w:spacing w:val="-7"/>
          <w:highlight w:val="none"/>
          <w14:textFill>
            <w14:solidFill>
              <w14:schemeClr w14:val="tx1"/>
            </w14:solidFill>
          </w14:textFill>
        </w:rPr>
        <w:t>。</w:t>
      </w:r>
    </w:p>
    <w:p>
      <w:pPr>
        <w:pStyle w:val="5"/>
        <w:spacing w:before="120"/>
        <w:ind w:firstLine="480"/>
        <w:rPr>
          <w:b/>
          <w:color w:val="000000" w:themeColor="text1"/>
          <w:highlight w:val="none"/>
          <w:lang w:eastAsia="zh-CN"/>
          <w14:textFill>
            <w14:solidFill>
              <w14:schemeClr w14:val="tx1"/>
            </w14:solidFill>
          </w14:textFill>
        </w:rPr>
      </w:pPr>
      <w:bookmarkStart w:id="24" w:name="_Toc120173056"/>
      <w:r>
        <w:rPr>
          <w:color w:val="000000" w:themeColor="text1"/>
          <w:highlight w:val="none"/>
          <w:lang w:eastAsia="zh-CN"/>
          <w14:textFill>
            <w14:solidFill>
              <w14:schemeClr w14:val="tx1"/>
            </w14:solidFill>
          </w14:textFill>
        </w:rPr>
        <w:t>部门规章</w:t>
      </w:r>
      <w:bookmarkEnd w:id="24"/>
    </w:p>
    <w:p>
      <w:pPr>
        <w:pStyle w:val="195"/>
        <w:numPr>
          <w:ilvl w:val="0"/>
          <w:numId w:val="5"/>
        </w:numPr>
        <w:ind w:left="0" w:firstLine="480" w:firstLineChars="200"/>
        <w:rPr>
          <w:color w:val="000000" w:themeColor="text1"/>
          <w:highlight w:val="none"/>
          <w14:textFill>
            <w14:solidFill>
              <w14:schemeClr w14:val="tx1"/>
            </w14:solidFill>
          </w14:textFill>
        </w:rPr>
      </w:pPr>
      <w:bookmarkStart w:id="25" w:name="_Hlk152580554"/>
      <w:r>
        <w:rPr>
          <w:rFonts w:hint="eastAsia"/>
          <w:color w:val="000000" w:themeColor="text1"/>
          <w:highlight w:val="none"/>
          <w14:textFill>
            <w14:solidFill>
              <w14:schemeClr w14:val="tx1"/>
            </w14:solidFill>
          </w14:textFill>
        </w:rPr>
        <w:t>《自然资源部关于进一步做好用地用海要素保障的通知》（自然资发〔2023〕89号）</w:t>
      </w:r>
    </w:p>
    <w:p>
      <w:pPr>
        <w:pStyle w:val="195"/>
        <w:numPr>
          <w:ilvl w:val="0"/>
          <w:numId w:val="5"/>
        </w:numPr>
        <w:ind w:left="0" w:firstLine="480" w:firstLineChars="20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《自然资源部农业农村部关于加强和改进永久基本农田保护工作的通知》（自然资规〔2019〕1号）；</w:t>
      </w:r>
    </w:p>
    <w:p>
      <w:pPr>
        <w:pStyle w:val="195"/>
        <w:numPr>
          <w:ilvl w:val="0"/>
          <w:numId w:val="5"/>
        </w:numPr>
        <w:ind w:left="0" w:firstLine="480" w:firstLineChars="20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《自然资源部关于做好占用永久基本农田重大建设项目用地预审的通知》（自然资规〔2018〕3号）；</w:t>
      </w:r>
    </w:p>
    <w:p>
      <w:pPr>
        <w:pStyle w:val="195"/>
        <w:numPr>
          <w:ilvl w:val="0"/>
          <w:numId w:val="5"/>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《自然资源部关于规范临时用地管理的通知》（自然资规〔2021〕2号）；</w:t>
      </w:r>
    </w:p>
    <w:p>
      <w:pPr>
        <w:pStyle w:val="195"/>
        <w:numPr>
          <w:ilvl w:val="0"/>
          <w:numId w:val="5"/>
        </w:numPr>
        <w:ind w:left="0" w:firstLine="480" w:firstLineChars="20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《自然资源部农业农村部国家林业和草原局关于严格耕地用途管制有关问题的通知》（自然资发〔2021〕166号）；</w:t>
      </w:r>
    </w:p>
    <w:p>
      <w:pPr>
        <w:pStyle w:val="195"/>
        <w:numPr>
          <w:ilvl w:val="0"/>
          <w:numId w:val="5"/>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自然资源部生态环境部国家林业和草原局《关于加强生态保护红线管理的通知（试行）》自然资发〔2022〕142号</w:t>
      </w:r>
      <w:r>
        <w:rPr>
          <w:rFonts w:hint="eastAsia"/>
          <w:color w:val="000000" w:themeColor="text1"/>
          <w:highlight w:val="none"/>
          <w14:textFill>
            <w14:solidFill>
              <w14:schemeClr w14:val="tx1"/>
            </w14:solidFill>
          </w14:textFill>
        </w:rPr>
        <w:t>；</w:t>
      </w:r>
    </w:p>
    <w:p>
      <w:pPr>
        <w:pStyle w:val="195"/>
        <w:numPr>
          <w:ilvl w:val="0"/>
          <w:numId w:val="5"/>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《关于进一步加强建设项目环境保护管理工作的通知》（环发〔2001〕19号，2001.2.21）；</w:t>
      </w:r>
    </w:p>
    <w:p>
      <w:pPr>
        <w:pStyle w:val="195"/>
        <w:numPr>
          <w:ilvl w:val="0"/>
          <w:numId w:val="5"/>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《关于进一步加强石油天然气行业环境影响评价管理的通知》（环办环评函〔2019〕910号）；</w:t>
      </w:r>
    </w:p>
    <w:p>
      <w:pPr>
        <w:pStyle w:val="195"/>
        <w:numPr>
          <w:ilvl w:val="0"/>
          <w:numId w:val="5"/>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《环境影响评价公众参与办法》（2018年7月16日）；</w:t>
      </w:r>
    </w:p>
    <w:p>
      <w:pPr>
        <w:pStyle w:val="195"/>
        <w:numPr>
          <w:ilvl w:val="0"/>
          <w:numId w:val="5"/>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《突发环境事件应急管理办法》（部令第34号，2015.6.5）；</w:t>
      </w:r>
    </w:p>
    <w:p>
      <w:pPr>
        <w:pStyle w:val="195"/>
        <w:numPr>
          <w:ilvl w:val="0"/>
          <w:numId w:val="5"/>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《关于进一步加强环境影响评价管理防范环境风险的通知》（环发〔2012〕77号，2012.7.3）；</w:t>
      </w:r>
    </w:p>
    <w:p>
      <w:pPr>
        <w:pStyle w:val="195"/>
        <w:numPr>
          <w:ilvl w:val="0"/>
          <w:numId w:val="5"/>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《关于切实加强风险防范严格环境影响评价管理的通知》（环发〔2012〕98号，2012.8.8）；</w:t>
      </w:r>
    </w:p>
    <w:p>
      <w:pPr>
        <w:pStyle w:val="195"/>
        <w:numPr>
          <w:ilvl w:val="0"/>
          <w:numId w:val="5"/>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《石油天然气开采业污染防治技术政策》环保部公告2012年第18号，2012.03.07实施；</w:t>
      </w:r>
    </w:p>
    <w:p>
      <w:pPr>
        <w:pStyle w:val="195"/>
        <w:numPr>
          <w:ilvl w:val="0"/>
          <w:numId w:val="5"/>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《产业结构调整指导目录》（2024年</w:t>
      </w:r>
      <w:r>
        <w:rPr>
          <w:rFonts w:hint="eastAsia"/>
          <w:color w:val="000000" w:themeColor="text1"/>
          <w:highlight w:val="none"/>
          <w14:textFill>
            <w14:solidFill>
              <w14:schemeClr w14:val="tx1"/>
            </w14:solidFill>
          </w14:textFill>
        </w:rPr>
        <w:t>本</w:t>
      </w:r>
      <w:r>
        <w:rPr>
          <w:color w:val="000000" w:themeColor="text1"/>
          <w:highlight w:val="none"/>
          <w14:textFill>
            <w14:solidFill>
              <w14:schemeClr w14:val="tx1"/>
            </w14:solidFill>
          </w14:textFill>
        </w:rPr>
        <w:t>）；</w:t>
      </w:r>
    </w:p>
    <w:p>
      <w:pPr>
        <w:pStyle w:val="195"/>
        <w:numPr>
          <w:ilvl w:val="0"/>
          <w:numId w:val="5"/>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《关于推进环境保护公众参与的指导意见》（环办〔2014〕48号）；</w:t>
      </w:r>
    </w:p>
    <w:p>
      <w:pPr>
        <w:pStyle w:val="195"/>
        <w:numPr>
          <w:ilvl w:val="0"/>
          <w:numId w:val="5"/>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《关于落实大气污染防治行动计划严格环境影响评价准入的通知》（环办〔2014〕30号）；</w:t>
      </w:r>
    </w:p>
    <w:p>
      <w:pPr>
        <w:pStyle w:val="195"/>
        <w:numPr>
          <w:ilvl w:val="0"/>
          <w:numId w:val="5"/>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《建设项目环境影响评价分类管理名录》，生态环境部令第16号，2021.1.1起施行；</w:t>
      </w:r>
    </w:p>
    <w:p>
      <w:pPr>
        <w:pStyle w:val="195"/>
        <w:numPr>
          <w:ilvl w:val="0"/>
          <w:numId w:val="5"/>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《国家危险废物名录》</w:t>
      </w:r>
      <w:r>
        <w:rPr>
          <w:rFonts w:hint="eastAsia"/>
          <w:color w:val="000000" w:themeColor="text1"/>
          <w:highlight w:val="none"/>
          <w14:textFill>
            <w14:solidFill>
              <w14:schemeClr w14:val="tx1"/>
            </w14:solidFill>
          </w14:textFill>
        </w:rPr>
        <w:t>生态环境部</w:t>
      </w:r>
      <w:r>
        <w:rPr>
          <w:color w:val="000000" w:themeColor="text1"/>
          <w:highlight w:val="none"/>
          <w14:textFill>
            <w14:solidFill>
              <w14:schemeClr w14:val="tx1"/>
            </w14:solidFill>
          </w14:textFill>
        </w:rPr>
        <w:t>令第15号，2021.1.1起施行；</w:t>
      </w:r>
    </w:p>
    <w:p>
      <w:pPr>
        <w:pStyle w:val="195"/>
        <w:numPr>
          <w:ilvl w:val="0"/>
          <w:numId w:val="5"/>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《关于划定并严守生态保护红线的若干意见》（中共中央办公厅、国务院办公厅，2017.2.7）；</w:t>
      </w:r>
    </w:p>
    <w:p>
      <w:pPr>
        <w:pStyle w:val="195"/>
        <w:numPr>
          <w:ilvl w:val="0"/>
          <w:numId w:val="5"/>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《全国生态环境保护纲要》（国发〔2000〕38号）；</w:t>
      </w:r>
    </w:p>
    <w:p>
      <w:pPr>
        <w:pStyle w:val="195"/>
        <w:numPr>
          <w:ilvl w:val="0"/>
          <w:numId w:val="5"/>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《国家重点生态功能保护区规划纲要》（环发〔2007〕165号）；</w:t>
      </w:r>
    </w:p>
    <w:p>
      <w:pPr>
        <w:pStyle w:val="195"/>
        <w:numPr>
          <w:ilvl w:val="0"/>
          <w:numId w:val="5"/>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《全国生态功能区划（修编版）》（环境保护部、中国科学院公告2015年第61号）；</w:t>
      </w:r>
    </w:p>
    <w:p>
      <w:pPr>
        <w:pStyle w:val="195"/>
        <w:numPr>
          <w:ilvl w:val="0"/>
          <w:numId w:val="5"/>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《关于加强国家重点生态功能区环境保护和管理的意见》（环发〔2013〕16号）；</w:t>
      </w:r>
    </w:p>
    <w:p>
      <w:pPr>
        <w:pStyle w:val="195"/>
        <w:numPr>
          <w:ilvl w:val="0"/>
          <w:numId w:val="5"/>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《关于推进污水资源化利用的指导意见》（发改环资〔2021〕13号）；</w:t>
      </w:r>
    </w:p>
    <w:p>
      <w:pPr>
        <w:pStyle w:val="195"/>
        <w:numPr>
          <w:ilvl w:val="0"/>
          <w:numId w:val="5"/>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《危险废物环境管理指南陆上石油天然气开采》（生态环境部公告2021年第74号）；</w:t>
      </w:r>
    </w:p>
    <w:p>
      <w:pPr>
        <w:pStyle w:val="195"/>
        <w:numPr>
          <w:ilvl w:val="0"/>
          <w:numId w:val="5"/>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《四川省自然资源厅关于进一步明确临时用地管理有关事项的通知》（川自然资规〔2022〕3号）</w:t>
      </w:r>
      <w:r>
        <w:rPr>
          <w:bCs/>
          <w:color w:val="000000" w:themeColor="text1"/>
          <w:highlight w:val="none"/>
          <w14:textFill>
            <w14:solidFill>
              <w14:schemeClr w14:val="tx1"/>
            </w14:solidFill>
          </w14:textFill>
        </w:rPr>
        <w:t>。</w:t>
      </w:r>
    </w:p>
    <w:bookmarkEnd w:id="25"/>
    <w:p>
      <w:pPr>
        <w:pStyle w:val="5"/>
        <w:spacing w:before="120"/>
        <w:ind w:firstLine="480"/>
        <w:rPr>
          <w:b/>
          <w:color w:val="000000" w:themeColor="text1"/>
          <w:highlight w:val="none"/>
          <w:lang w:eastAsia="zh-CN"/>
          <w14:textFill>
            <w14:solidFill>
              <w14:schemeClr w14:val="tx1"/>
            </w14:solidFill>
          </w14:textFill>
        </w:rPr>
      </w:pPr>
      <w:bookmarkStart w:id="26" w:name="_Toc120173057"/>
      <w:r>
        <w:rPr>
          <w:color w:val="000000" w:themeColor="text1"/>
          <w:highlight w:val="none"/>
          <w:lang w:eastAsia="zh-CN"/>
          <w14:textFill>
            <w14:solidFill>
              <w14:schemeClr w14:val="tx1"/>
            </w14:solidFill>
          </w14:textFill>
        </w:rPr>
        <w:t>地方性法规及规范性文件</w:t>
      </w:r>
      <w:bookmarkEnd w:id="26"/>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（1）《四川省重点保护野生动物名录》（1990.3.12）；</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（2）《四川省新增重点保护野生动物名录》（2000.9.13）；</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（3）《四川省永久基本农田保护实施细则》（1996.2.29）；</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（4）《四川省环境保护条例》（2017年9月22日修订）；</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（5）《四川省生态功能区划》（2010年）；</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（6）《四川省主体功能区规划》（川府发〔2013〕16号文）；</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（7）《关于进一步加强我省农村饮用水水源保护区环境保护工作的通知》（川环办发〔2011〕98号）；</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（8）《四川省〈中华人民共和国野生动物保护法〉实施办法》（2012.7.27）；</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（9）《四川省</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中华人民共和国水土保持法</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实施办法》（2012.12.1）；</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（10）《四川省固体废物污染环境防治条例》（2022.6.9修订）；</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（11）《四川省国民经济和社会发展第十四个五年规划和二〇三五年远景目标纲要》（2021.2.2）；</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（12）《四川省自然保护区管理条例》（2018.9.30修订）；</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（13）《四川省生态保护红线实施意见》（2016.9.30）；</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（14）《关于印发四川省生态保护红线方案的通知》（川府发〔2018〕24号）；</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（15）《四川省人民政府关于落实生态保护红线、环境质量底线、资源利用上线制定生态环境准入清单实施生态环境分区管控的通知》（川府发〔2020〕9号）；</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（16）《四川省饮用水水源保护管理条例》（2019年修正）；</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（17）《四川省矿产资源总体规划（2021-2025年）》；</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（18）四川省推动长江经济带发展领导小组办公室重庆市推动长江发展领导小组办公室关于印发《四川省、重庆</w:t>
      </w:r>
      <w:r>
        <w:rPr>
          <w:rFonts w:hint="eastAsia" w:cs="Times New Roman"/>
          <w:bCs/>
          <w:color w:val="000000" w:themeColor="text1"/>
          <w:szCs w:val="24"/>
          <w:highlight w:val="none"/>
          <w14:textFill>
            <w14:solidFill>
              <w14:schemeClr w14:val="tx1"/>
            </w14:solidFill>
          </w14:textFill>
        </w:rPr>
        <w:t>市</w:t>
      </w:r>
      <w:r>
        <w:rPr>
          <w:rFonts w:cs="Times New Roman"/>
          <w:bCs/>
          <w:color w:val="000000" w:themeColor="text1"/>
          <w:szCs w:val="24"/>
          <w:highlight w:val="none"/>
          <w14:textFill>
            <w14:solidFill>
              <w14:schemeClr w14:val="tx1"/>
            </w14:solidFill>
          </w14:textFill>
        </w:rPr>
        <w:t>长江经济带发展负面清单实施细则（试行，2022版）的通知》；</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（19）《四川省自然资源厅关于进一步明确临时用地管理有关事项的通知》（川自然资规〔2022〕3号）；</w:t>
      </w:r>
    </w:p>
    <w:p>
      <w:pPr>
        <w:tabs>
          <w:tab w:val="left" w:pos="0"/>
        </w:tabs>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（2</w:t>
      </w:r>
      <w:r>
        <w:rPr>
          <w:rFonts w:cs="Times New Roman"/>
          <w:bCs/>
          <w:color w:val="000000" w:themeColor="text1"/>
          <w:szCs w:val="24"/>
          <w:highlight w:val="none"/>
          <w14:textFill>
            <w14:solidFill>
              <w14:schemeClr w14:val="tx1"/>
            </w14:solidFill>
          </w14:textFill>
        </w:rPr>
        <w:t>0</w:t>
      </w:r>
      <w:r>
        <w:rPr>
          <w:rFonts w:hint="eastAsia" w:cs="Times New Roman"/>
          <w:bCs/>
          <w:color w:val="000000" w:themeColor="text1"/>
          <w:szCs w:val="24"/>
          <w:highlight w:val="none"/>
          <w14:textFill>
            <w14:solidFill>
              <w14:schemeClr w14:val="tx1"/>
            </w14:solidFill>
          </w14:textFill>
        </w:rPr>
        <w:t>）</w:t>
      </w:r>
      <w:r>
        <w:rPr>
          <w:color w:val="000000" w:themeColor="text1"/>
          <w:highlight w:val="none"/>
          <w14:textFill>
            <w14:solidFill>
              <w14:schemeClr w14:val="tx1"/>
            </w14:solidFill>
          </w14:textFill>
        </w:rPr>
        <w:t>《关于同意调整达州市、德阳市饮用水水源保护区的批复》（川府函〔2012〕73号）</w:t>
      </w:r>
      <w:r>
        <w:rPr>
          <w:rFonts w:hint="eastAsia"/>
          <w:color w:val="000000" w:themeColor="text1"/>
          <w:highlight w:val="none"/>
          <w14:textFill>
            <w14:solidFill>
              <w14:schemeClr w14:val="tx1"/>
            </w14:solidFill>
          </w14:textFill>
        </w:rPr>
        <w:t>；</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（21）《关于进一步加强固体废物污染防治工作的通知》（达市环办发〔2021〕24号）；</w:t>
      </w:r>
    </w:p>
    <w:p>
      <w:pPr>
        <w:tabs>
          <w:tab w:val="left" w:pos="0"/>
        </w:tabs>
        <w:ind w:firstLine="480"/>
        <w:rPr>
          <w:rFonts w:cs="Times New Roman"/>
          <w:bCs/>
          <w:color w:val="000000" w:themeColor="text1"/>
          <w:szCs w:val="24"/>
          <w:highlight w:val="none"/>
          <w14:textFill>
            <w14:solidFill>
              <w14:schemeClr w14:val="tx1"/>
            </w14:solidFill>
          </w14:textFill>
        </w:rPr>
      </w:pPr>
      <w:bookmarkStart w:id="27" w:name="_Hlk152591470"/>
      <w:r>
        <w:rPr>
          <w:rFonts w:cs="Times New Roman"/>
          <w:bCs/>
          <w:color w:val="000000" w:themeColor="text1"/>
          <w:szCs w:val="24"/>
          <w:highlight w:val="none"/>
          <w14:textFill>
            <w14:solidFill>
              <w14:schemeClr w14:val="tx1"/>
            </w14:solidFill>
          </w14:textFill>
        </w:rPr>
        <w:t>（22）达州市人民政府《关于落实生态保护红线、环境质量底线、资源利用上线制定生态环境准入清单实施生态环境分区管控的通知》达市府发〔2021〕17号；</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（23）《达州市集中式饮用水水源保护管理条例》（2020年修正）；</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（24）《宣汉县人民政府办公室关于印发宣汉县声环境功能区划分及适用标准规定的通知》（宣府办〔2022〕106号）；</w:t>
      </w:r>
    </w:p>
    <w:bookmarkEnd w:id="27"/>
    <w:p>
      <w:pPr>
        <w:tabs>
          <w:tab w:val="left" w:pos="0"/>
        </w:tabs>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（25）《达州市生态环境局办公室关于加强固体废物污染防治工作的通知》（达市环办发〔2019〕49号）文件要求；</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（26）《宣汉县矿产资源总体规划（2021-2025年）》。</w:t>
      </w:r>
    </w:p>
    <w:p>
      <w:pPr>
        <w:pStyle w:val="5"/>
        <w:spacing w:before="120"/>
        <w:ind w:firstLine="480"/>
        <w:rPr>
          <w:b/>
          <w:color w:val="000000" w:themeColor="text1"/>
          <w:highlight w:val="none"/>
          <w:lang w:eastAsia="zh-CN"/>
          <w14:textFill>
            <w14:solidFill>
              <w14:schemeClr w14:val="tx1"/>
            </w14:solidFill>
          </w14:textFill>
        </w:rPr>
      </w:pPr>
      <w:bookmarkStart w:id="28" w:name="_Toc120173058"/>
      <w:r>
        <w:rPr>
          <w:color w:val="000000" w:themeColor="text1"/>
          <w:highlight w:val="none"/>
          <w:lang w:eastAsia="zh-CN"/>
          <w14:textFill>
            <w14:solidFill>
              <w14:schemeClr w14:val="tx1"/>
            </w14:solidFill>
          </w14:textFill>
        </w:rPr>
        <w:t>评价技术导则及规范</w:t>
      </w:r>
      <w:bookmarkEnd w:id="28"/>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（1）《建设项目环境影响评价技术导则总纲》（HJ2.1-2016）；</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（2）《环境影响评价技术导则地表水环境》（HJ2.3-2018）；</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（3）《环境影响评价技术导则声环境》（HJ2.4-2021）；</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（4）《环境影响评价技术导则地下水环境》（HJ610-2016）；</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（5）《环境影响评价技术导则大气环境》（HJ2.2-2018）；</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（6）《环境影响评价技术导则生态影响》（HJ19-2022）；</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（7）《环境影响评价技术导则土壤环境（试行）》（HJ964-2018）；</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（8）《建设项目环境风险评价技术导则》（HJ169-2018）；</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（9）</w:t>
      </w:r>
      <w:r>
        <w:rPr>
          <w:rFonts w:hint="eastAsia" w:cs="Times New Roman"/>
          <w:bCs/>
          <w:color w:val="000000" w:themeColor="text1"/>
          <w:szCs w:val="24"/>
          <w:highlight w:val="none"/>
          <w14:textFill>
            <w14:solidFill>
              <w14:schemeClr w14:val="tx1"/>
            </w14:solidFill>
          </w14:textFill>
        </w:rPr>
        <w:t>《环境影响评价技术导则陆地石油天然气开发建设项目》（HJ349-2023）</w:t>
      </w:r>
      <w:r>
        <w:rPr>
          <w:rFonts w:cs="Times New Roman"/>
          <w:bCs/>
          <w:color w:val="000000" w:themeColor="text1"/>
          <w:szCs w:val="24"/>
          <w:highlight w:val="none"/>
          <w14:textFill>
            <w14:solidFill>
              <w14:schemeClr w14:val="tx1"/>
            </w14:solidFill>
          </w14:textFill>
        </w:rPr>
        <w:t>；</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（10）《建设项目危险废物环境影响评价指南》（环境保护部公告〔2017〕年第43号）；</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（11）《</w:t>
      </w:r>
      <w:r>
        <w:rPr>
          <w:rFonts w:hint="eastAsia" w:cs="Times New Roman"/>
          <w:bCs/>
          <w:color w:val="000000" w:themeColor="text1"/>
          <w:szCs w:val="24"/>
          <w:highlight w:val="none"/>
          <w14:textFill>
            <w14:solidFill>
              <w14:schemeClr w14:val="tx1"/>
            </w14:solidFill>
          </w14:textFill>
        </w:rPr>
        <w:t>危险废物转移管理办法</w:t>
      </w:r>
      <w:r>
        <w:rPr>
          <w:rFonts w:cs="Times New Roman"/>
          <w:bCs/>
          <w:color w:val="000000" w:themeColor="text1"/>
          <w:szCs w:val="24"/>
          <w:highlight w:val="none"/>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2021年11月30日生态环境部、公安部、交通运输部令第23号公布 自2022年1月1日起施行</w:t>
      </w:r>
      <w:r>
        <w:rPr>
          <w:rFonts w:cs="Times New Roman"/>
          <w:bCs/>
          <w:color w:val="000000" w:themeColor="text1"/>
          <w:szCs w:val="24"/>
          <w:highlight w:val="none"/>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w:t>
      </w:r>
    </w:p>
    <w:p>
      <w:pPr>
        <w:tabs>
          <w:tab w:val="left" w:pos="0"/>
        </w:tabs>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（1</w:t>
      </w:r>
      <w:r>
        <w:rPr>
          <w:rFonts w:cs="Times New Roman"/>
          <w:bCs/>
          <w:color w:val="000000" w:themeColor="text1"/>
          <w:szCs w:val="24"/>
          <w:highlight w:val="none"/>
          <w14:textFill>
            <w14:solidFill>
              <w14:schemeClr w14:val="tx1"/>
            </w14:solidFill>
          </w14:textFill>
        </w:rPr>
        <w:t>2</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《危险废物贮存污染控制标准》（GB18597-2023）</w:t>
      </w:r>
      <w:r>
        <w:rPr>
          <w:rFonts w:hint="eastAsia" w:cs="Times New Roman"/>
          <w:bCs/>
          <w:color w:val="000000" w:themeColor="text1"/>
          <w:szCs w:val="24"/>
          <w:highlight w:val="none"/>
          <w14:textFill>
            <w14:solidFill>
              <w14:schemeClr w14:val="tx1"/>
            </w14:solidFill>
          </w14:textFill>
        </w:rPr>
        <w:t>；</w:t>
      </w:r>
    </w:p>
    <w:p>
      <w:pPr>
        <w:tabs>
          <w:tab w:val="left" w:pos="0"/>
        </w:tabs>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（1</w:t>
      </w:r>
      <w:r>
        <w:rPr>
          <w:rFonts w:cs="Times New Roman"/>
          <w:bCs/>
          <w:color w:val="000000" w:themeColor="text1"/>
          <w:szCs w:val="24"/>
          <w:highlight w:val="none"/>
          <w14:textFill>
            <w14:solidFill>
              <w14:schemeClr w14:val="tx1"/>
            </w14:solidFill>
          </w14:textFill>
        </w:rPr>
        <w:t>3</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《危险废物收集贮存运输技术规范》（HJ2025-2012）</w:t>
      </w:r>
      <w:r>
        <w:rPr>
          <w:rFonts w:hint="eastAsia" w:cs="Times New Roman"/>
          <w:bCs/>
          <w:color w:val="000000" w:themeColor="text1"/>
          <w:szCs w:val="24"/>
          <w:highlight w:val="none"/>
          <w14:textFill>
            <w14:solidFill>
              <w14:schemeClr w14:val="tx1"/>
            </w14:solidFill>
          </w14:textFill>
        </w:rPr>
        <w:t>；</w:t>
      </w:r>
    </w:p>
    <w:p>
      <w:pPr>
        <w:tabs>
          <w:tab w:val="left" w:pos="0"/>
        </w:tabs>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（1</w:t>
      </w:r>
      <w:r>
        <w:rPr>
          <w:rFonts w:cs="Times New Roman"/>
          <w:bCs/>
          <w:color w:val="000000" w:themeColor="text1"/>
          <w:szCs w:val="24"/>
          <w:highlight w:val="none"/>
          <w14:textFill>
            <w14:solidFill>
              <w14:schemeClr w14:val="tx1"/>
            </w14:solidFill>
          </w14:textFill>
        </w:rPr>
        <w:t>4</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危险废物识别标志设置技术规范</w:t>
      </w:r>
      <w:r>
        <w:rPr>
          <w:rFonts w:cs="Times New Roman"/>
          <w:bCs/>
          <w:color w:val="000000" w:themeColor="text1"/>
          <w:szCs w:val="24"/>
          <w:highlight w:val="none"/>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HJ</w:t>
      </w:r>
      <w:r>
        <w:rPr>
          <w:rFonts w:cs="Times New Roman"/>
          <w:bCs/>
          <w:color w:val="000000" w:themeColor="text1"/>
          <w:szCs w:val="24"/>
          <w:highlight w:val="none"/>
          <w14:textFill>
            <w14:solidFill>
              <w14:schemeClr w14:val="tx1"/>
            </w14:solidFill>
          </w14:textFill>
        </w:rPr>
        <w:t>1276-2022）</w:t>
      </w:r>
      <w:r>
        <w:rPr>
          <w:rFonts w:hint="eastAsia" w:cs="Times New Roman"/>
          <w:bCs/>
          <w:color w:val="000000" w:themeColor="text1"/>
          <w:szCs w:val="24"/>
          <w:highlight w:val="none"/>
          <w14:textFill>
            <w14:solidFill>
              <w14:schemeClr w14:val="tx1"/>
            </w14:solidFill>
          </w14:textFill>
        </w:rPr>
        <w:t>；</w:t>
      </w:r>
    </w:p>
    <w:p>
      <w:pPr>
        <w:tabs>
          <w:tab w:val="left" w:pos="0"/>
        </w:tabs>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（1</w:t>
      </w:r>
      <w:r>
        <w:rPr>
          <w:rFonts w:cs="Times New Roman"/>
          <w:bCs/>
          <w:color w:val="000000" w:themeColor="text1"/>
          <w:szCs w:val="24"/>
          <w:highlight w:val="none"/>
          <w14:textFill>
            <w14:solidFill>
              <w14:schemeClr w14:val="tx1"/>
            </w14:solidFill>
          </w14:textFill>
        </w:rPr>
        <w:t>5</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《一般工业固体废物贮存和填埋污染控制标准》（GB18599-2020）。</w:t>
      </w:r>
    </w:p>
    <w:p>
      <w:pPr>
        <w:pStyle w:val="5"/>
        <w:spacing w:before="120"/>
        <w:ind w:firstLine="480"/>
        <w:rPr>
          <w:b/>
          <w:color w:val="000000" w:themeColor="text1"/>
          <w:highlight w:val="none"/>
          <w:lang w:eastAsia="zh-CN"/>
          <w14:textFill>
            <w14:solidFill>
              <w14:schemeClr w14:val="tx1"/>
            </w14:solidFill>
          </w14:textFill>
        </w:rPr>
      </w:pPr>
      <w:bookmarkStart w:id="29" w:name="_Toc120173059"/>
      <w:r>
        <w:rPr>
          <w:color w:val="000000" w:themeColor="text1"/>
          <w:highlight w:val="none"/>
          <w:lang w:eastAsia="zh-CN"/>
          <w14:textFill>
            <w14:solidFill>
              <w14:schemeClr w14:val="tx1"/>
            </w14:solidFill>
          </w14:textFill>
        </w:rPr>
        <w:t>石油天然气行业技术规范</w:t>
      </w:r>
      <w:bookmarkEnd w:id="29"/>
    </w:p>
    <w:p>
      <w:pPr>
        <w:tabs>
          <w:tab w:val="left" w:pos="0"/>
        </w:tabs>
        <w:ind w:firstLine="480"/>
        <w:rPr>
          <w:rFonts w:cs="Times New Roman"/>
          <w:bCs/>
          <w:color w:val="000000" w:themeColor="text1"/>
          <w:szCs w:val="24"/>
          <w:highlight w:val="none"/>
          <w14:textFill>
            <w14:solidFill>
              <w14:schemeClr w14:val="tx1"/>
            </w14:solidFill>
          </w14:textFill>
        </w:rPr>
      </w:pPr>
      <w:bookmarkStart w:id="30" w:name="_Hlk153366072"/>
      <w:r>
        <w:rPr>
          <w:rFonts w:cs="Times New Roman"/>
          <w:bCs/>
          <w:color w:val="000000" w:themeColor="text1"/>
          <w:szCs w:val="24"/>
          <w:highlight w:val="none"/>
          <w14:textFill>
            <w14:solidFill>
              <w14:schemeClr w14:val="tx1"/>
            </w14:solidFill>
          </w14:textFill>
        </w:rPr>
        <w:t>（1）《石油天然气钻井健康、安全与环境管理体系指南》（SY/T6283－1997）；</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（2）《石油天然气设计防火规范》（GB50183-2004）；</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（3）《石油天然气安全规程》（AQ2012-2007）；</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（4）《石油天然气井控技术规范》（GB/T31033-2014）；</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（5）《气井试气、采气及动态监测工艺规程》（SYT6125-2013）；</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（6）《油气井井喷着火抢险作法》（SYT6203-2014）；</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（7）《碎屑岩油藏注水水质推荐指标及分析方法》（SY/T5329）；</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（8）《输气管道工程设计规范》（GB50251-2015）；</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（9）《气田集输设计规范》（GB50349-2015）；</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（10）《气田水注入技术要求》（SY/T6596-2016）；</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（11）《油气输送管道穿越工程设计规范》（GB50423-2015）；</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（12）《原油和天然气输送管道穿跨越工程设计规范穿越工程》（SY/T0015.1-98）；</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（13）《埋地钢质管道阴极保护技术规范》（GB/T21448-2017）；</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（14）《天然气管道运行规范》（SY/T5922-2003）；</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（15）《建筑设计防火规范》（GB50016-2014）；</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（16）《陆上石油天然气集输环境保护推荐作法》（SY/T7294-2016）</w:t>
      </w:r>
      <w:bookmarkEnd w:id="30"/>
      <w:r>
        <w:rPr>
          <w:rFonts w:cs="Times New Roman"/>
          <w:bCs/>
          <w:color w:val="000000" w:themeColor="text1"/>
          <w:szCs w:val="24"/>
          <w:highlight w:val="none"/>
          <w14:textFill>
            <w14:solidFill>
              <w14:schemeClr w14:val="tx1"/>
            </w14:solidFill>
          </w14:textFill>
        </w:rPr>
        <w:t>。</w:t>
      </w:r>
    </w:p>
    <w:p>
      <w:pPr>
        <w:pStyle w:val="5"/>
        <w:spacing w:before="120"/>
        <w:ind w:firstLine="480"/>
        <w:rPr>
          <w:color w:val="000000" w:themeColor="text1"/>
          <w:highlight w:val="none"/>
          <w14:textFill>
            <w14:solidFill>
              <w14:schemeClr w14:val="tx1"/>
            </w14:solidFill>
          </w14:textFill>
        </w:rPr>
      </w:pPr>
      <w:bookmarkStart w:id="31" w:name="_Toc140495516"/>
      <w:bookmarkStart w:id="32" w:name="_Toc143681838"/>
      <w:r>
        <w:rPr>
          <w:rFonts w:hint="eastAsia"/>
          <w:color w:val="000000" w:themeColor="text1"/>
          <w:highlight w:val="none"/>
          <w14:textFill>
            <w14:solidFill>
              <w14:schemeClr w14:val="tx1"/>
            </w14:solidFill>
          </w14:textFill>
        </w:rPr>
        <w:t>相关</w:t>
      </w:r>
      <w:r>
        <w:rPr>
          <w:color w:val="000000" w:themeColor="text1"/>
          <w:highlight w:val="none"/>
          <w14:textFill>
            <w14:solidFill>
              <w14:schemeClr w14:val="tx1"/>
            </w14:solidFill>
          </w14:textFill>
        </w:rPr>
        <w:t>标准</w:t>
      </w:r>
      <w:bookmarkEnd w:id="31"/>
      <w:bookmarkEnd w:id="32"/>
    </w:p>
    <w:p>
      <w:pPr>
        <w:pStyle w:val="195"/>
        <w:numPr>
          <w:ilvl w:val="0"/>
          <w:numId w:val="6"/>
        </w:numPr>
        <w:ind w:left="0" w:firstLine="480" w:firstLineChars="200"/>
        <w:rPr>
          <w:color w:val="000000" w:themeColor="text1"/>
          <w:highlight w:val="none"/>
          <w14:textFill>
            <w14:solidFill>
              <w14:schemeClr w14:val="tx1"/>
            </w14:solidFill>
          </w14:textFill>
        </w:rPr>
      </w:pPr>
      <w:bookmarkStart w:id="33" w:name="_Hlk153366108"/>
      <w:r>
        <w:rPr>
          <w:color w:val="000000" w:themeColor="text1"/>
          <w:highlight w:val="none"/>
          <w14:textFill>
            <w14:solidFill>
              <w14:schemeClr w14:val="tx1"/>
            </w14:solidFill>
          </w14:textFill>
        </w:rPr>
        <w:t>《环境空气质量标准》（GB3095-2012）；</w:t>
      </w:r>
    </w:p>
    <w:p>
      <w:pPr>
        <w:pStyle w:val="195"/>
        <w:numPr>
          <w:ilvl w:val="0"/>
          <w:numId w:val="6"/>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《地表水环境质量标准》（GB3838-2002）；</w:t>
      </w:r>
    </w:p>
    <w:p>
      <w:pPr>
        <w:pStyle w:val="195"/>
        <w:numPr>
          <w:ilvl w:val="0"/>
          <w:numId w:val="6"/>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《地下水质量标准》（GB/T14848-2017）；</w:t>
      </w:r>
    </w:p>
    <w:p>
      <w:pPr>
        <w:pStyle w:val="195"/>
        <w:numPr>
          <w:ilvl w:val="0"/>
          <w:numId w:val="6"/>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《声环境质量标准》（GB3096-2008）；</w:t>
      </w:r>
    </w:p>
    <w:p>
      <w:pPr>
        <w:pStyle w:val="195"/>
        <w:numPr>
          <w:ilvl w:val="0"/>
          <w:numId w:val="6"/>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《土壤环境质量建设用地土壤污染风险管控标准（试行）》（GB36600-2018）；</w:t>
      </w:r>
    </w:p>
    <w:p>
      <w:pPr>
        <w:pStyle w:val="195"/>
        <w:numPr>
          <w:ilvl w:val="0"/>
          <w:numId w:val="6"/>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《土壤环境质量农用地土壤污染风险管控标准（试行）》（GB15618-2018）；</w:t>
      </w:r>
    </w:p>
    <w:p>
      <w:pPr>
        <w:pStyle w:val="195"/>
        <w:numPr>
          <w:ilvl w:val="0"/>
          <w:numId w:val="6"/>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《大气污染物综合排放标准》（GB16297-1996）；</w:t>
      </w:r>
    </w:p>
    <w:p>
      <w:pPr>
        <w:pStyle w:val="195"/>
        <w:numPr>
          <w:ilvl w:val="0"/>
          <w:numId w:val="6"/>
        </w:numPr>
        <w:ind w:left="0" w:firstLine="480" w:firstLineChars="20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《锅炉大气污染物排放标准》（GB13271-2014）；</w:t>
      </w:r>
    </w:p>
    <w:p>
      <w:pPr>
        <w:pStyle w:val="195"/>
        <w:numPr>
          <w:ilvl w:val="0"/>
          <w:numId w:val="6"/>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《土地复垦质量控制标准》（TD/T1036-2013）；</w:t>
      </w:r>
    </w:p>
    <w:p>
      <w:pPr>
        <w:pStyle w:val="195"/>
        <w:numPr>
          <w:ilvl w:val="0"/>
          <w:numId w:val="6"/>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《工业企业厂界环境噪声排放标准》（GB12348-2008）；</w:t>
      </w:r>
    </w:p>
    <w:p>
      <w:pPr>
        <w:pStyle w:val="195"/>
        <w:numPr>
          <w:ilvl w:val="0"/>
          <w:numId w:val="6"/>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一般工业固体废物贮存和填埋污染控制标准</w:t>
      </w:r>
      <w:r>
        <w:rPr>
          <w:color w:val="000000" w:themeColor="text1"/>
          <w:highlight w:val="none"/>
          <w14:textFill>
            <w14:solidFill>
              <w14:schemeClr w14:val="tx1"/>
            </w14:solidFill>
          </w14:textFill>
        </w:rPr>
        <w:t>》（GB18599-2020）</w:t>
      </w:r>
      <w:r>
        <w:rPr>
          <w:rFonts w:hint="eastAsia"/>
          <w:color w:val="000000" w:themeColor="text1"/>
          <w:highlight w:val="none"/>
          <w14:textFill>
            <w14:solidFill>
              <w14:schemeClr w14:val="tx1"/>
            </w14:solidFill>
          </w14:textFill>
        </w:rPr>
        <w:t>；</w:t>
      </w:r>
    </w:p>
    <w:p>
      <w:pPr>
        <w:pStyle w:val="195"/>
        <w:numPr>
          <w:ilvl w:val="0"/>
          <w:numId w:val="6"/>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《危险废物贮存污染控制标准》（GB18597-2023）</w:t>
      </w:r>
      <w:r>
        <w:rPr>
          <w:rFonts w:hint="eastAsia"/>
          <w:color w:val="000000" w:themeColor="text1"/>
          <w:highlight w:val="none"/>
          <w14:textFill>
            <w14:solidFill>
              <w14:schemeClr w14:val="tx1"/>
            </w14:solidFill>
          </w14:textFill>
        </w:rPr>
        <w:t>；</w:t>
      </w:r>
    </w:p>
    <w:p>
      <w:pPr>
        <w:pStyle w:val="195"/>
        <w:numPr>
          <w:ilvl w:val="0"/>
          <w:numId w:val="6"/>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《土壤侵蚀分类分级标准》（SL190-2007）</w:t>
      </w:r>
      <w:r>
        <w:rPr>
          <w:rFonts w:hint="eastAsia"/>
          <w:color w:val="000000" w:themeColor="text1"/>
          <w:highlight w:val="none"/>
          <w14:textFill>
            <w14:solidFill>
              <w14:schemeClr w14:val="tx1"/>
            </w14:solidFill>
          </w14:textFill>
        </w:rPr>
        <w:t>；</w:t>
      </w:r>
    </w:p>
    <w:p>
      <w:pPr>
        <w:pStyle w:val="195"/>
        <w:numPr>
          <w:ilvl w:val="0"/>
          <w:numId w:val="6"/>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生产</w:t>
      </w:r>
      <w:r>
        <w:rPr>
          <w:color w:val="000000" w:themeColor="text1"/>
          <w:highlight w:val="none"/>
          <w14:textFill>
            <w14:solidFill>
              <w14:schemeClr w14:val="tx1"/>
            </w14:solidFill>
          </w14:textFill>
        </w:rPr>
        <w:t>建设项目水土流失防治标准》（GB50434-2018）</w:t>
      </w:r>
      <w:r>
        <w:rPr>
          <w:rFonts w:hint="eastAsia"/>
          <w:color w:val="000000" w:themeColor="text1"/>
          <w:highlight w:val="none"/>
          <w14:textFill>
            <w14:solidFill>
              <w14:schemeClr w14:val="tx1"/>
            </w14:solidFill>
          </w14:textFill>
        </w:rPr>
        <w:t>；</w:t>
      </w:r>
    </w:p>
    <w:p>
      <w:pPr>
        <w:pStyle w:val="195"/>
        <w:numPr>
          <w:ilvl w:val="0"/>
          <w:numId w:val="6"/>
        </w:numPr>
        <w:tabs>
          <w:tab w:val="left" w:pos="0"/>
        </w:tabs>
        <w:ind w:left="0" w:firstLine="480" w:firstLineChars="200"/>
        <w:rPr>
          <w:bCs/>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《陆上石油天然气开采工业大气污染物排放标准》（G</w:t>
      </w:r>
      <w:r>
        <w:rPr>
          <w:color w:val="000000" w:themeColor="text1"/>
          <w:highlight w:val="none"/>
          <w14:textFill>
            <w14:solidFill>
              <w14:schemeClr w14:val="tx1"/>
            </w14:solidFill>
          </w14:textFill>
        </w:rPr>
        <w:t>B39728</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2020</w:t>
      </w:r>
      <w:r>
        <w:rPr>
          <w:rFonts w:hint="eastAsia"/>
          <w:color w:val="000000" w:themeColor="text1"/>
          <w:highlight w:val="none"/>
          <w14:textFill>
            <w14:solidFill>
              <w14:schemeClr w14:val="tx1"/>
            </w14:solidFill>
          </w14:textFill>
        </w:rPr>
        <w:t>）；</w:t>
      </w:r>
    </w:p>
    <w:p>
      <w:pPr>
        <w:pStyle w:val="195"/>
        <w:numPr>
          <w:ilvl w:val="0"/>
          <w:numId w:val="6"/>
        </w:numPr>
        <w:tabs>
          <w:tab w:val="left" w:pos="0"/>
        </w:tabs>
        <w:ind w:left="0" w:firstLine="480" w:firstLineChars="200"/>
        <w:rPr>
          <w:bCs/>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《四川省施工场地扬尘排放标准》（DB512682-2020）</w:t>
      </w:r>
      <w:bookmarkEnd w:id="33"/>
      <w:r>
        <w:rPr>
          <w:rFonts w:hint="eastAsia"/>
          <w:color w:val="000000" w:themeColor="text1"/>
          <w:highlight w:val="none"/>
          <w14:textFill>
            <w14:solidFill>
              <w14:schemeClr w14:val="tx1"/>
            </w14:solidFill>
          </w14:textFill>
        </w:rPr>
        <w:t>。</w:t>
      </w:r>
    </w:p>
    <w:p>
      <w:pPr>
        <w:pStyle w:val="5"/>
        <w:spacing w:before="120"/>
        <w:ind w:firstLine="480"/>
        <w:rPr>
          <w:b/>
          <w:color w:val="000000" w:themeColor="text1"/>
          <w:highlight w:val="none"/>
          <w:lang w:eastAsia="zh-CN"/>
          <w14:textFill>
            <w14:solidFill>
              <w14:schemeClr w14:val="tx1"/>
            </w14:solidFill>
          </w14:textFill>
        </w:rPr>
      </w:pPr>
      <w:bookmarkStart w:id="34" w:name="_Toc120173060"/>
      <w:bookmarkStart w:id="35" w:name="_Hlk153366122"/>
      <w:r>
        <w:rPr>
          <w:color w:val="000000" w:themeColor="text1"/>
          <w:highlight w:val="none"/>
          <w:lang w:eastAsia="zh-CN"/>
          <w14:textFill>
            <w14:solidFill>
              <w14:schemeClr w14:val="tx1"/>
            </w14:solidFill>
          </w14:textFill>
        </w:rPr>
        <w:t>相关技术及工作文件</w:t>
      </w:r>
      <w:bookmarkEnd w:id="34"/>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（1）环境影响评价委托书；</w:t>
      </w:r>
    </w:p>
    <w:p>
      <w:pPr>
        <w:ind w:firstLine="480"/>
        <w:rPr>
          <w:color w:val="000000" w:themeColor="text1"/>
          <w:highlight w:val="none"/>
          <w14:textFill>
            <w14:solidFill>
              <w14:schemeClr w14:val="tx1"/>
            </w14:solidFill>
          </w14:textFill>
        </w:rPr>
      </w:pPr>
      <w:bookmarkStart w:id="36" w:name="_Hlk56956483"/>
      <w:r>
        <w:rPr>
          <w:color w:val="000000" w:themeColor="text1"/>
          <w:highlight w:val="none"/>
          <w14:textFill>
            <w14:solidFill>
              <w14:schemeClr w14:val="tx1"/>
            </w14:solidFill>
          </w14:textFill>
        </w:rPr>
        <w:t>（2）《</w:t>
      </w:r>
      <w:r>
        <w:rPr>
          <w:rFonts w:hint="eastAsia"/>
          <w:color w:val="000000" w:themeColor="text1"/>
          <w:highlight w:val="none"/>
          <w14:textFill>
            <w14:solidFill>
              <w14:schemeClr w14:val="tx1"/>
            </w14:solidFill>
          </w14:textFill>
        </w:rPr>
        <w:t>雷页1井</w:t>
      </w:r>
      <w:r>
        <w:rPr>
          <w:color w:val="000000" w:themeColor="text1"/>
          <w:highlight w:val="none"/>
          <w14:textFill>
            <w14:solidFill>
              <w14:schemeClr w14:val="tx1"/>
            </w14:solidFill>
          </w14:textFill>
        </w:rPr>
        <w:t>试采</w:t>
      </w:r>
      <w:r>
        <w:rPr>
          <w:rFonts w:hint="eastAsia"/>
          <w:color w:val="000000" w:themeColor="text1"/>
          <w:highlight w:val="none"/>
          <w14:textFill>
            <w14:solidFill>
              <w14:schemeClr w14:val="tx1"/>
            </w14:solidFill>
          </w14:textFill>
        </w:rPr>
        <w:t>地面</w:t>
      </w:r>
      <w:r>
        <w:rPr>
          <w:color w:val="000000" w:themeColor="text1"/>
          <w:highlight w:val="none"/>
          <w14:textFill>
            <w14:solidFill>
              <w14:schemeClr w14:val="tx1"/>
            </w14:solidFill>
          </w14:textFill>
        </w:rPr>
        <w:t>工程可行性研究报告》；</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（3）《环境质量监测报告》；</w:t>
      </w:r>
    </w:p>
    <w:bookmarkEnd w:id="36"/>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（4）项目直接影响区、县及相关乡镇规划、土地利用规划、植被分布现状、水系分布情况、旅游区发展规划等相关文件、资料；</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（5）建设单位提供的项目其他有关资料。</w:t>
      </w:r>
    </w:p>
    <w:bookmarkEnd w:id="35"/>
    <w:p>
      <w:pPr>
        <w:pStyle w:val="4"/>
        <w:spacing w:before="120"/>
        <w:rPr>
          <w:color w:val="000000" w:themeColor="text1"/>
          <w:highlight w:val="none"/>
          <w:lang w:eastAsia="zh-CN"/>
          <w14:textFill>
            <w14:solidFill>
              <w14:schemeClr w14:val="tx1"/>
            </w14:solidFill>
          </w14:textFill>
        </w:rPr>
      </w:pPr>
      <w:bookmarkStart w:id="37" w:name="_Toc16545"/>
      <w:r>
        <w:rPr>
          <w:color w:val="000000" w:themeColor="text1"/>
          <w:highlight w:val="none"/>
          <w:lang w:eastAsia="zh-CN"/>
          <w14:textFill>
            <w14:solidFill>
              <w14:schemeClr w14:val="tx1"/>
            </w14:solidFill>
          </w14:textFill>
        </w:rPr>
        <w:t>环境影响识别与评价因子筛选</w:t>
      </w:r>
      <w:bookmarkEnd w:id="37"/>
    </w:p>
    <w:p>
      <w:pPr>
        <w:pStyle w:val="5"/>
        <w:spacing w:before="120"/>
        <w:ind w:firstLine="480"/>
        <w:rPr>
          <w:b/>
          <w:color w:val="000000" w:themeColor="text1"/>
          <w:highlight w:val="none"/>
          <w:lang w:eastAsia="zh-CN"/>
          <w14:textFill>
            <w14:solidFill>
              <w14:schemeClr w14:val="tx1"/>
            </w14:solidFill>
          </w14:textFill>
        </w:rPr>
      </w:pPr>
      <w:bookmarkStart w:id="38" w:name="_Toc120173062"/>
      <w:r>
        <w:rPr>
          <w:color w:val="000000" w:themeColor="text1"/>
          <w:highlight w:val="none"/>
          <w:lang w:eastAsia="zh-CN"/>
          <w14:textFill>
            <w14:solidFill>
              <w14:schemeClr w14:val="tx1"/>
            </w14:solidFill>
          </w14:textFill>
        </w:rPr>
        <w:t>环境影响识别</w:t>
      </w:r>
      <w:bookmarkEnd w:id="38"/>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本项目为生态影响型建设工程，主要就工程建设及运行对区域生态环境及其他环境要素所造成的影响进行识别。</w:t>
      </w:r>
    </w:p>
    <w:p>
      <w:pPr>
        <w:ind w:firstLine="482"/>
        <w:rPr>
          <w:b/>
          <w:color w:val="000000" w:themeColor="text1"/>
          <w:highlight w:val="none"/>
          <w14:textFill>
            <w14:solidFill>
              <w14:schemeClr w14:val="tx1"/>
            </w14:solidFill>
          </w14:textFill>
        </w:rPr>
      </w:pPr>
      <w:r>
        <w:rPr>
          <w:b/>
          <w:color w:val="000000" w:themeColor="text1"/>
          <w:highlight w:val="none"/>
          <w14:textFill>
            <w14:solidFill>
              <w14:schemeClr w14:val="tx1"/>
            </w14:solidFill>
          </w14:textFill>
        </w:rPr>
        <w:t>1、生态环境影响</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本项目生态环境影响主要体现在施工期。工程施工期间对生态环境的影响主要是</w:t>
      </w:r>
      <w:r>
        <w:rPr>
          <w:rFonts w:hint="eastAsia"/>
          <w:color w:val="000000" w:themeColor="text1"/>
          <w:kern w:val="0"/>
          <w:szCs w:val="20"/>
          <w:highlight w:val="none"/>
          <w14:textFill>
            <w14:solidFill>
              <w14:schemeClr w14:val="tx1"/>
            </w14:solidFill>
          </w14:textFill>
        </w:rPr>
        <w:t>试采站场和管线施工</w:t>
      </w:r>
      <w:r>
        <w:rPr>
          <w:color w:val="000000" w:themeColor="text1"/>
          <w:kern w:val="0"/>
          <w:szCs w:val="20"/>
          <w:highlight w:val="none"/>
          <w14:textFill>
            <w14:solidFill>
              <w14:schemeClr w14:val="tx1"/>
            </w14:solidFill>
          </w14:textFill>
        </w:rPr>
        <w:t>期间土石方的开挖引起自然地貌的改变和地表植被的破坏，引起土地利用性质的改变，导致生物量和生产力的变化，由此引发的区域生态环境的破坏；临时道路、临时</w:t>
      </w:r>
      <w:r>
        <w:rPr>
          <w:rFonts w:hint="eastAsia"/>
          <w:color w:val="000000" w:themeColor="text1"/>
          <w:kern w:val="0"/>
          <w:szCs w:val="20"/>
          <w:highlight w:val="none"/>
          <w14:textFill>
            <w14:solidFill>
              <w14:schemeClr w14:val="tx1"/>
            </w14:solidFill>
          </w14:textFill>
        </w:rPr>
        <w:t>堆管场</w:t>
      </w:r>
      <w:r>
        <w:rPr>
          <w:color w:val="000000" w:themeColor="text1"/>
          <w:kern w:val="0"/>
          <w:szCs w:val="20"/>
          <w:highlight w:val="none"/>
          <w14:textFill>
            <w14:solidFill>
              <w14:schemeClr w14:val="tx1"/>
            </w14:solidFill>
          </w14:textFill>
        </w:rPr>
        <w:t>等可能导致农业、林业生态系统发生变化；</w:t>
      </w:r>
      <w:r>
        <w:rPr>
          <w:rFonts w:hint="eastAsia"/>
          <w:color w:val="000000" w:themeColor="text1"/>
          <w:kern w:val="0"/>
          <w:szCs w:val="20"/>
          <w:highlight w:val="none"/>
          <w14:textFill>
            <w14:solidFill>
              <w14:schemeClr w14:val="tx1"/>
            </w14:solidFill>
          </w14:textFill>
        </w:rPr>
        <w:t>管线开挖土石方的临时堆放</w:t>
      </w:r>
      <w:r>
        <w:rPr>
          <w:color w:val="000000" w:themeColor="text1"/>
          <w:kern w:val="0"/>
          <w:szCs w:val="20"/>
          <w:highlight w:val="none"/>
          <w14:textFill>
            <w14:solidFill>
              <w14:schemeClr w14:val="tx1"/>
            </w14:solidFill>
          </w14:textFill>
        </w:rPr>
        <w:t>增加了区域内的水土流失量；线路工程施工</w:t>
      </w:r>
      <w:r>
        <w:rPr>
          <w:rFonts w:hint="eastAsia"/>
          <w:color w:val="000000" w:themeColor="text1"/>
          <w:kern w:val="0"/>
          <w:szCs w:val="20"/>
          <w:highlight w:val="none"/>
          <w:lang w:eastAsia="zh-CN"/>
          <w14:textFill>
            <w14:solidFill>
              <w14:schemeClr w14:val="tx1"/>
            </w14:solidFill>
          </w14:textFill>
        </w:rPr>
        <w:t>（</w:t>
      </w:r>
      <w:r>
        <w:rPr>
          <w:rFonts w:hint="eastAsia"/>
          <w:color w:val="000000" w:themeColor="text1"/>
          <w:kern w:val="0"/>
          <w:szCs w:val="20"/>
          <w:highlight w:val="none"/>
          <w:lang w:val="en-US" w:eastAsia="zh-CN"/>
          <w14:textFill>
            <w14:solidFill>
              <w14:schemeClr w14:val="tx1"/>
            </w14:solidFill>
          </w14:textFill>
        </w:rPr>
        <w:t>含管道穿越工程等）</w:t>
      </w:r>
      <w:r>
        <w:rPr>
          <w:color w:val="000000" w:themeColor="text1"/>
          <w:kern w:val="0"/>
          <w:szCs w:val="20"/>
          <w:highlight w:val="none"/>
          <w14:textFill>
            <w14:solidFill>
              <w14:schemeClr w14:val="tx1"/>
            </w14:solidFill>
          </w14:textFill>
        </w:rPr>
        <w:t>对沿线生态</w:t>
      </w:r>
      <w:r>
        <w:rPr>
          <w:rFonts w:hint="eastAsia"/>
          <w:color w:val="000000" w:themeColor="text1"/>
          <w:kern w:val="0"/>
          <w:szCs w:val="20"/>
          <w:highlight w:val="none"/>
          <w:lang w:val="en-US" w:eastAsia="zh-CN"/>
          <w14:textFill>
            <w14:solidFill>
              <w14:schemeClr w14:val="tx1"/>
            </w14:solidFill>
          </w14:textFill>
        </w:rPr>
        <w:t>环境</w:t>
      </w:r>
      <w:r>
        <w:rPr>
          <w:color w:val="000000" w:themeColor="text1"/>
          <w:kern w:val="0"/>
          <w:szCs w:val="20"/>
          <w:highlight w:val="none"/>
          <w14:textFill>
            <w14:solidFill>
              <w14:schemeClr w14:val="tx1"/>
            </w14:solidFill>
          </w14:textFill>
        </w:rPr>
        <w:t>目标的干扰等</w:t>
      </w:r>
      <w:r>
        <w:rPr>
          <w:color w:val="000000" w:themeColor="text1"/>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试采期不会带来新的生态</w:t>
      </w:r>
      <w:r>
        <w:rPr>
          <w:rFonts w:hint="eastAsia"/>
          <w:color w:val="000000" w:themeColor="text1"/>
          <w:highlight w:val="none"/>
          <w14:textFill>
            <w14:solidFill>
              <w14:schemeClr w14:val="tx1"/>
            </w14:solidFill>
          </w14:textFill>
        </w:rPr>
        <w:t>环境</w:t>
      </w:r>
      <w:r>
        <w:rPr>
          <w:color w:val="000000" w:themeColor="text1"/>
          <w:highlight w:val="none"/>
          <w14:textFill>
            <w14:solidFill>
              <w14:schemeClr w14:val="tx1"/>
            </w14:solidFill>
          </w14:textFill>
        </w:rPr>
        <w:t>影响，受施工期影响的生态环境</w:t>
      </w:r>
      <w:r>
        <w:rPr>
          <w:rFonts w:hint="eastAsia"/>
          <w:color w:val="000000" w:themeColor="text1"/>
          <w:highlight w:val="none"/>
          <w14:textFill>
            <w14:solidFill>
              <w14:schemeClr w14:val="tx1"/>
            </w14:solidFill>
          </w14:textFill>
        </w:rPr>
        <w:t>在采取</w:t>
      </w:r>
      <w:r>
        <w:rPr>
          <w:color w:val="000000" w:themeColor="text1"/>
          <w:highlight w:val="none"/>
          <w14:textFill>
            <w14:solidFill>
              <w14:schemeClr w14:val="tx1"/>
            </w14:solidFill>
          </w14:textFill>
        </w:rPr>
        <w:t>相应的环境保护措施</w:t>
      </w:r>
      <w:r>
        <w:rPr>
          <w:rFonts w:hint="eastAsia"/>
          <w:color w:val="000000" w:themeColor="text1"/>
          <w:highlight w:val="none"/>
          <w14:textFill>
            <w14:solidFill>
              <w14:schemeClr w14:val="tx1"/>
            </w14:solidFill>
          </w14:textFill>
        </w:rPr>
        <w:t>后</w:t>
      </w:r>
      <w:r>
        <w:rPr>
          <w:color w:val="000000" w:themeColor="text1"/>
          <w:highlight w:val="none"/>
          <w14:textFill>
            <w14:solidFill>
              <w14:schemeClr w14:val="tx1"/>
            </w14:solidFill>
          </w14:textFill>
        </w:rPr>
        <w:t>逐步恢复。</w:t>
      </w:r>
    </w:p>
    <w:p>
      <w:pPr>
        <w:ind w:firstLine="482"/>
        <w:rPr>
          <w:b/>
          <w:color w:val="000000" w:themeColor="text1"/>
          <w:highlight w:val="none"/>
          <w14:textFill>
            <w14:solidFill>
              <w14:schemeClr w14:val="tx1"/>
            </w14:solidFill>
          </w14:textFill>
        </w:rPr>
      </w:pPr>
      <w:r>
        <w:rPr>
          <w:b/>
          <w:color w:val="000000" w:themeColor="text1"/>
          <w:highlight w:val="none"/>
          <w14:textFill>
            <w14:solidFill>
              <w14:schemeClr w14:val="tx1"/>
            </w14:solidFill>
          </w14:textFill>
        </w:rPr>
        <w:t>2、地表水环境影响</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施工废水和</w:t>
      </w:r>
      <w:r>
        <w:rPr>
          <w:color w:val="000000" w:themeColor="text1"/>
          <w:highlight w:val="none"/>
          <w14:textFill>
            <w14:solidFill>
              <w14:schemeClr w14:val="tx1"/>
            </w14:solidFill>
          </w14:textFill>
        </w:rPr>
        <w:t>施工人员产生的生活污水对地表水环境的影响；</w:t>
      </w:r>
    </w:p>
    <w:p>
      <w:pPr>
        <w:ind w:firstLine="48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（2）管线穿越河流对当地地表水环境质量的影响；</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（3）试采期气田水</w:t>
      </w:r>
      <w:r>
        <w:rPr>
          <w:rFonts w:hint="eastAsia"/>
          <w:color w:val="000000" w:themeColor="text1"/>
          <w:highlight w:val="none"/>
          <w14:textFill>
            <w14:solidFill>
              <w14:schemeClr w14:val="tx1"/>
            </w14:solidFill>
          </w14:textFill>
        </w:rPr>
        <w:t>、生活污水</w:t>
      </w:r>
      <w:r>
        <w:rPr>
          <w:color w:val="000000" w:themeColor="text1"/>
          <w:highlight w:val="none"/>
          <w14:textFill>
            <w14:solidFill>
              <w14:schemeClr w14:val="tx1"/>
            </w14:solidFill>
          </w14:textFill>
        </w:rPr>
        <w:t>对地表水环境的影响。</w:t>
      </w:r>
    </w:p>
    <w:p>
      <w:pPr>
        <w:ind w:firstLine="482"/>
        <w:rPr>
          <w:b/>
          <w:color w:val="000000" w:themeColor="text1"/>
          <w:highlight w:val="none"/>
          <w14:textFill>
            <w14:solidFill>
              <w14:schemeClr w14:val="tx1"/>
            </w14:solidFill>
          </w14:textFill>
        </w:rPr>
      </w:pPr>
      <w:r>
        <w:rPr>
          <w:b/>
          <w:color w:val="000000" w:themeColor="text1"/>
          <w:highlight w:val="none"/>
          <w14:textFill>
            <w14:solidFill>
              <w14:schemeClr w14:val="tx1"/>
            </w14:solidFill>
          </w14:textFill>
        </w:rPr>
        <w:t>3、地下水环境影响</w:t>
      </w:r>
    </w:p>
    <w:p>
      <w:pPr>
        <w:ind w:firstLine="480"/>
        <w:rPr>
          <w:rFonts w:cs="Times New Roman"/>
          <w:color w:val="000000" w:themeColor="text1"/>
          <w:szCs w:val="20"/>
          <w:highlight w:val="none"/>
          <w14:textFill>
            <w14:solidFill>
              <w14:schemeClr w14:val="tx1"/>
            </w14:solidFill>
          </w14:textFill>
        </w:rPr>
      </w:pPr>
      <w:r>
        <w:rPr>
          <w:rFonts w:cs="Times New Roman"/>
          <w:color w:val="000000" w:themeColor="text1"/>
          <w:szCs w:val="20"/>
          <w:highlight w:val="none"/>
          <w14:textFill>
            <w14:solidFill>
              <w14:schemeClr w14:val="tx1"/>
            </w14:solidFill>
          </w14:textFill>
        </w:rPr>
        <w:t>（1）本项目施工期对地下水的影响是施工期施工废水及施工生活污水若处理不当外排，外排废水下渗对局部区域地下水水质造成影响；</w:t>
      </w:r>
    </w:p>
    <w:p>
      <w:pPr>
        <w:ind w:firstLine="482" w:firstLineChars="0"/>
        <w:rPr>
          <w:color w:val="000000" w:themeColor="text1"/>
          <w:kern w:val="0"/>
          <w:szCs w:val="20"/>
          <w:highlight w:val="none"/>
          <w14:textFill>
            <w14:solidFill>
              <w14:schemeClr w14:val="tx1"/>
            </w14:solidFill>
          </w14:textFill>
        </w:rPr>
      </w:pPr>
      <w:r>
        <w:rPr>
          <w:color w:val="000000" w:themeColor="text1"/>
          <w:kern w:val="0"/>
          <w:szCs w:val="20"/>
          <w:highlight w:val="none"/>
          <w14:textFill>
            <w14:solidFill>
              <w14:schemeClr w14:val="tx1"/>
            </w14:solidFill>
          </w14:textFill>
        </w:rPr>
        <w:t>（2）本项目</w:t>
      </w:r>
      <w:r>
        <w:rPr>
          <w:color w:val="000000" w:themeColor="text1"/>
          <w:highlight w:val="none"/>
          <w14:textFill>
            <w14:solidFill>
              <w14:schemeClr w14:val="tx1"/>
            </w14:solidFill>
          </w14:textFill>
        </w:rPr>
        <w:t>试采期</w:t>
      </w:r>
      <w:r>
        <w:rPr>
          <w:rFonts w:hint="eastAsia"/>
          <w:color w:val="000000" w:themeColor="text1"/>
          <w:kern w:val="0"/>
          <w:szCs w:val="20"/>
          <w:highlight w:val="none"/>
          <w14:textFill>
            <w14:solidFill>
              <w14:schemeClr w14:val="tx1"/>
            </w14:solidFill>
          </w14:textFill>
        </w:rPr>
        <w:t>试采站内污水罐泄漏时，气田水会通过包气带渗入地下，对土壤和地下水造成污染，本项目污水罐置于地面上，可以及时发现污水泄漏，同时污水罐区重点防渗，并设置有围堰，可以进一步避免污染土壤和地下水。此外</w:t>
      </w:r>
      <w:r>
        <w:rPr>
          <w:color w:val="000000" w:themeColor="text1"/>
          <w:kern w:val="0"/>
          <w:szCs w:val="20"/>
          <w:highlight w:val="none"/>
          <w14:textFill>
            <w14:solidFill>
              <w14:schemeClr w14:val="tx1"/>
            </w14:solidFill>
          </w14:textFill>
        </w:rPr>
        <w:t>内外集输管线破裂</w:t>
      </w:r>
      <w:r>
        <w:rPr>
          <w:rFonts w:hint="eastAsia"/>
          <w:color w:val="000000" w:themeColor="text1"/>
          <w:kern w:val="0"/>
          <w:szCs w:val="20"/>
          <w:highlight w:val="none"/>
          <w14:textFill>
            <w14:solidFill>
              <w14:schemeClr w14:val="tx1"/>
            </w14:solidFill>
          </w14:textFill>
        </w:rPr>
        <w:t>出现泄漏时</w:t>
      </w:r>
      <w:r>
        <w:rPr>
          <w:color w:val="000000" w:themeColor="text1"/>
          <w:kern w:val="0"/>
          <w:szCs w:val="20"/>
          <w:highlight w:val="none"/>
          <w14:textFill>
            <w14:solidFill>
              <w14:schemeClr w14:val="tx1"/>
            </w14:solidFill>
          </w14:textFill>
        </w:rPr>
        <w:t>，天然气将通过包气带土壤孔隙</w:t>
      </w:r>
      <w:r>
        <w:rPr>
          <w:rFonts w:hint="eastAsia"/>
          <w:color w:val="000000" w:themeColor="text1"/>
          <w:kern w:val="0"/>
          <w:szCs w:val="20"/>
          <w:highlight w:val="none"/>
          <w14:textFill>
            <w14:solidFill>
              <w14:schemeClr w14:val="tx1"/>
            </w14:solidFill>
          </w14:textFill>
        </w:rPr>
        <w:t>溢出</w:t>
      </w:r>
      <w:r>
        <w:rPr>
          <w:color w:val="000000" w:themeColor="text1"/>
          <w:kern w:val="0"/>
          <w:szCs w:val="20"/>
          <w:highlight w:val="none"/>
          <w14:textFill>
            <w14:solidFill>
              <w14:schemeClr w14:val="tx1"/>
            </w14:solidFill>
          </w14:textFill>
        </w:rPr>
        <w:t>进入大气，不会对地下水产生影响，天然气中所含少量的气田水为</w:t>
      </w:r>
      <w:r>
        <w:rPr>
          <w:rFonts w:hint="eastAsia"/>
          <w:color w:val="000000" w:themeColor="text1"/>
          <w:kern w:val="0"/>
          <w:szCs w:val="20"/>
          <w:highlight w:val="none"/>
          <w14:textFill>
            <w14:solidFill>
              <w14:schemeClr w14:val="tx1"/>
            </w14:solidFill>
          </w14:textFill>
        </w:rPr>
        <w:t>液</w:t>
      </w:r>
      <w:r>
        <w:rPr>
          <w:color w:val="000000" w:themeColor="text1"/>
          <w:kern w:val="0"/>
          <w:szCs w:val="20"/>
          <w:highlight w:val="none"/>
          <w14:textFill>
            <w14:solidFill>
              <w14:schemeClr w14:val="tx1"/>
            </w14:solidFill>
          </w14:textFill>
        </w:rPr>
        <w:t>态，如果发生上述</w:t>
      </w:r>
      <w:r>
        <w:rPr>
          <w:rFonts w:hint="eastAsia"/>
          <w:color w:val="000000" w:themeColor="text1"/>
          <w:kern w:val="0"/>
          <w:szCs w:val="20"/>
          <w:highlight w:val="none"/>
          <w14:textFill>
            <w14:solidFill>
              <w14:schemeClr w14:val="tx1"/>
            </w14:solidFill>
          </w14:textFill>
        </w:rPr>
        <w:t>泄漏</w:t>
      </w:r>
      <w:r>
        <w:rPr>
          <w:color w:val="000000" w:themeColor="text1"/>
          <w:kern w:val="0"/>
          <w:szCs w:val="20"/>
          <w:highlight w:val="none"/>
          <w14:textFill>
            <w14:solidFill>
              <w14:schemeClr w14:val="tx1"/>
            </w14:solidFill>
          </w14:textFill>
        </w:rPr>
        <w:t>，管道监测系统会立即切断并停止输气，所泄露的气田水</w:t>
      </w:r>
      <w:r>
        <w:rPr>
          <w:rFonts w:hint="eastAsia"/>
          <w:color w:val="000000" w:themeColor="text1"/>
          <w:kern w:val="0"/>
          <w:szCs w:val="20"/>
          <w:highlight w:val="none"/>
          <w14:textFill>
            <w14:solidFill>
              <w14:schemeClr w14:val="tx1"/>
            </w14:solidFill>
          </w14:textFill>
        </w:rPr>
        <w:t>很少，且管线埋深（泄漏点）较浅，位于包气带内，</w:t>
      </w:r>
      <w:bookmarkStart w:id="39" w:name="_Hlk155946411"/>
      <w:r>
        <w:rPr>
          <w:rFonts w:hint="eastAsia"/>
          <w:color w:val="000000" w:themeColor="text1"/>
          <w:kern w:val="0"/>
          <w:szCs w:val="20"/>
          <w:highlight w:val="none"/>
          <w14:textFill>
            <w14:solidFill>
              <w14:schemeClr w14:val="tx1"/>
            </w14:solidFill>
          </w14:textFill>
        </w:rPr>
        <w:t>发生泄漏事故后建设单位会立即对泄漏点进行检修，若发现泄漏点有少量气田水泄漏会立即对泄漏点的土壤进行更换处理，</w:t>
      </w:r>
      <w:bookmarkEnd w:id="39"/>
      <w:r>
        <w:rPr>
          <w:rFonts w:hint="eastAsia"/>
          <w:color w:val="000000" w:themeColor="text1"/>
          <w:kern w:val="0"/>
          <w:szCs w:val="20"/>
          <w:highlight w:val="none"/>
          <w14:textFill>
            <w14:solidFill>
              <w14:schemeClr w14:val="tx1"/>
            </w14:solidFill>
          </w14:textFill>
        </w:rPr>
        <w:t>不会进入地下水含水层</w:t>
      </w:r>
      <w:r>
        <w:rPr>
          <w:color w:val="000000" w:themeColor="text1"/>
          <w:kern w:val="0"/>
          <w:szCs w:val="20"/>
          <w:highlight w:val="none"/>
          <w14:textFill>
            <w14:solidFill>
              <w14:schemeClr w14:val="tx1"/>
            </w14:solidFill>
          </w14:textFill>
        </w:rPr>
        <w:t>对地下水环境产生影响</w:t>
      </w:r>
      <w:r>
        <w:rPr>
          <w:rFonts w:hint="eastAsia"/>
          <w:color w:val="000000" w:themeColor="text1"/>
          <w:kern w:val="0"/>
          <w:szCs w:val="20"/>
          <w:highlight w:val="none"/>
          <w14:textFill>
            <w14:solidFill>
              <w14:schemeClr w14:val="tx1"/>
            </w14:solidFill>
          </w14:textFill>
        </w:rPr>
        <w:t>很小</w:t>
      </w:r>
      <w:r>
        <w:rPr>
          <w:color w:val="000000" w:themeColor="text1"/>
          <w:kern w:val="0"/>
          <w:szCs w:val="20"/>
          <w:highlight w:val="none"/>
          <w14:textFill>
            <w14:solidFill>
              <w14:schemeClr w14:val="tx1"/>
            </w14:solidFill>
          </w14:textFill>
        </w:rPr>
        <w:t>。</w:t>
      </w:r>
    </w:p>
    <w:p>
      <w:pPr>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4、大气环境影响</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（1）施工机械排放的废气；</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（2）施工产生的扬尘；</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（3）试采期水套加热炉废气、</w:t>
      </w:r>
      <w:r>
        <w:rPr>
          <w:rFonts w:hint="eastAsia"/>
          <w:color w:val="000000" w:themeColor="text1"/>
          <w:highlight w:val="none"/>
          <w14:textFill>
            <w14:solidFill>
              <w14:schemeClr w14:val="tx1"/>
            </w14:solidFill>
          </w14:textFill>
        </w:rPr>
        <w:t>异常工况下站场检修排放的少量天然气以及超压放空排放废气（通过管线引至放空立管处点火燃烧）</w:t>
      </w:r>
      <w:r>
        <w:rPr>
          <w:color w:val="000000" w:themeColor="text1"/>
          <w:highlight w:val="none"/>
          <w14:textFill>
            <w14:solidFill>
              <w14:schemeClr w14:val="tx1"/>
            </w14:solidFill>
          </w14:textFill>
        </w:rPr>
        <w:t>。</w:t>
      </w:r>
    </w:p>
    <w:p>
      <w:pPr>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5、声环境影响</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（1）施工期施工机械产生的机械噪声；</w:t>
      </w:r>
    </w:p>
    <w:p>
      <w:pPr>
        <w:ind w:firstLine="480"/>
        <w:rPr>
          <w:color w:val="000000" w:themeColor="text1"/>
          <w:highlight w:val="none"/>
          <w14:textFill>
            <w14:solidFill>
              <w14:schemeClr w14:val="tx1"/>
            </w14:solidFill>
          </w14:textFill>
        </w:rPr>
      </w:pPr>
      <w:bookmarkStart w:id="40" w:name="_Hlk80470452"/>
      <w:r>
        <w:rPr>
          <w:color w:val="000000" w:themeColor="text1"/>
          <w:highlight w:val="none"/>
          <w14:textFill>
            <w14:solidFill>
              <w14:schemeClr w14:val="tx1"/>
            </w14:solidFill>
          </w14:textFill>
        </w:rPr>
        <w:t>（2）试采期场站设备产生的机械噪声及场站输气产生的气流噪声。</w:t>
      </w:r>
    </w:p>
    <w:bookmarkEnd w:id="40"/>
    <w:p>
      <w:pPr>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6、固体废物环境影响</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施工期产生的固体废物主要为生活垃圾、土石方、施工废料</w:t>
      </w:r>
      <w:r>
        <w:rPr>
          <w:rFonts w:hint="eastAsia"/>
          <w:color w:val="000000" w:themeColor="text1"/>
          <w:highlight w:val="none"/>
          <w14:textFill>
            <w14:solidFill>
              <w14:schemeClr w14:val="tx1"/>
            </w14:solidFill>
          </w14:textFill>
        </w:rPr>
        <w:t>，试采期主要是分离器废渣、废分子筛和生活垃圾</w:t>
      </w:r>
      <w:r>
        <w:rPr>
          <w:color w:val="000000" w:themeColor="text1"/>
          <w:highlight w:val="none"/>
          <w14:textFill>
            <w14:solidFill>
              <w14:schemeClr w14:val="tx1"/>
            </w14:solidFill>
          </w14:textFill>
        </w:rPr>
        <w:t>等；</w:t>
      </w:r>
    </w:p>
    <w:p>
      <w:pPr>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7、土壤环境影响</w:t>
      </w:r>
    </w:p>
    <w:p>
      <w:pPr>
        <w:adjustRightInd/>
        <w:snapToGrid/>
        <w:ind w:firstLine="480"/>
        <w:rPr>
          <w:rFonts w:cs="Times New Roman"/>
          <w:color w:val="000000" w:themeColor="text1"/>
          <w:kern w:val="0"/>
          <w:szCs w:val="20"/>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（1）施工期施工机械废机油渗漏对土壤的影响；</w:t>
      </w:r>
    </w:p>
    <w:p>
      <w:pPr>
        <w:adjustRightInd/>
        <w:snapToGrid/>
        <w:ind w:firstLine="480"/>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（2）</w:t>
      </w:r>
      <w:r>
        <w:rPr>
          <w:rFonts w:hint="eastAsia" w:cs="Times New Roman"/>
          <w:color w:val="000000" w:themeColor="text1"/>
          <w:kern w:val="0"/>
          <w:szCs w:val="20"/>
          <w:highlight w:val="none"/>
          <w14:textFill>
            <w14:solidFill>
              <w14:schemeClr w14:val="tx1"/>
            </w14:solidFill>
          </w14:textFill>
        </w:rPr>
        <w:t>试</w:t>
      </w:r>
      <w:r>
        <w:rPr>
          <w:rFonts w:cs="Times New Roman"/>
          <w:color w:val="000000" w:themeColor="text1"/>
          <w:kern w:val="0"/>
          <w:szCs w:val="20"/>
          <w:highlight w:val="none"/>
          <w14:textFill>
            <w14:solidFill>
              <w14:schemeClr w14:val="tx1"/>
            </w14:solidFill>
          </w14:textFill>
        </w:rPr>
        <w:t>采期污水</w:t>
      </w:r>
      <w:r>
        <w:rPr>
          <w:rFonts w:hint="eastAsia" w:cs="Times New Roman"/>
          <w:color w:val="000000" w:themeColor="text1"/>
          <w:kern w:val="0"/>
          <w:szCs w:val="20"/>
          <w:highlight w:val="none"/>
          <w14:textFill>
            <w14:solidFill>
              <w14:schemeClr w14:val="tx1"/>
            </w14:solidFill>
          </w14:textFill>
        </w:rPr>
        <w:t>罐区</w:t>
      </w:r>
      <w:r>
        <w:rPr>
          <w:rFonts w:cs="Times New Roman"/>
          <w:color w:val="000000" w:themeColor="text1"/>
          <w:kern w:val="0"/>
          <w:szCs w:val="20"/>
          <w:highlight w:val="none"/>
          <w14:textFill>
            <w14:solidFill>
              <w14:schemeClr w14:val="tx1"/>
            </w14:solidFill>
          </w14:textFill>
        </w:rPr>
        <w:t>可能存在地面漫流及垂直入渗污染土壤环境。</w:t>
      </w:r>
    </w:p>
    <w:p>
      <w:pPr>
        <w:pStyle w:val="39"/>
        <w:spacing w:after="0"/>
        <w:ind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根据环境影响矩阵表，分析环境影响因子的影响类型和影响程度，其结果见</w:t>
      </w:r>
      <w:r>
        <w:rPr>
          <w:rFonts w:hint="eastAsia"/>
          <w:color w:val="000000" w:themeColor="text1"/>
          <w:highlight w:val="none"/>
          <w14:textFill>
            <w14:solidFill>
              <w14:schemeClr w14:val="tx1"/>
            </w14:solidFill>
          </w14:textFill>
        </w:rPr>
        <w:t>表2.4-1</w:t>
      </w:r>
      <w:r>
        <w:rPr>
          <w:color w:val="000000" w:themeColor="text1"/>
          <w:highlight w:val="none"/>
          <w14:textFill>
            <w14:solidFill>
              <w14:schemeClr w14:val="tx1"/>
            </w14:solidFill>
          </w14:textFill>
        </w:rPr>
        <w:t>。</w:t>
      </w:r>
    </w:p>
    <w:p>
      <w:pPr>
        <w:pStyle w:val="14"/>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t>环境影响要素矩阵</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90"/>
        <w:gridCol w:w="1343"/>
        <w:gridCol w:w="536"/>
        <w:gridCol w:w="541"/>
        <w:gridCol w:w="541"/>
        <w:gridCol w:w="541"/>
        <w:gridCol w:w="541"/>
        <w:gridCol w:w="541"/>
        <w:gridCol w:w="539"/>
        <w:gridCol w:w="544"/>
        <w:gridCol w:w="541"/>
        <w:gridCol w:w="539"/>
        <w:gridCol w:w="541"/>
        <w:gridCol w:w="5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tblHeader/>
          <w:jc w:val="center"/>
        </w:trPr>
        <w:tc>
          <w:tcPr>
            <w:tcW w:w="295" w:type="pct"/>
            <w:vMerge w:val="restar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类别</w:t>
            </w:r>
          </w:p>
        </w:tc>
        <w:tc>
          <w:tcPr>
            <w:tcW w:w="807" w:type="pct"/>
            <w:vMerge w:val="restar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环境因子</w:t>
            </w:r>
          </w:p>
        </w:tc>
        <w:tc>
          <w:tcPr>
            <w:tcW w:w="1296" w:type="pct"/>
            <w:gridSpan w:val="4"/>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工程施工</w:t>
            </w:r>
          </w:p>
        </w:tc>
        <w:tc>
          <w:tcPr>
            <w:tcW w:w="1301" w:type="pct"/>
            <w:gridSpan w:val="4"/>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正常运行</w:t>
            </w:r>
          </w:p>
        </w:tc>
        <w:tc>
          <w:tcPr>
            <w:tcW w:w="1302" w:type="pct"/>
            <w:gridSpan w:val="4"/>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非正常工况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tblHeader/>
          <w:jc w:val="center"/>
        </w:trPr>
        <w:tc>
          <w:tcPr>
            <w:tcW w:w="295" w:type="pct"/>
            <w:vMerge w:val="continue"/>
            <w:vAlign w:val="center"/>
          </w:tcPr>
          <w:p>
            <w:pPr>
              <w:pStyle w:val="118"/>
              <w:rPr>
                <w:b/>
                <w:bCs/>
                <w:color w:val="000000" w:themeColor="text1"/>
                <w:highlight w:val="none"/>
                <w14:textFill>
                  <w14:solidFill>
                    <w14:schemeClr w14:val="tx1"/>
                  </w14:solidFill>
                </w14:textFill>
              </w:rPr>
            </w:pPr>
          </w:p>
        </w:tc>
        <w:tc>
          <w:tcPr>
            <w:tcW w:w="807" w:type="pct"/>
            <w:vMerge w:val="continue"/>
            <w:vAlign w:val="center"/>
          </w:tcPr>
          <w:p>
            <w:pPr>
              <w:pStyle w:val="118"/>
              <w:rPr>
                <w:b/>
                <w:bCs/>
                <w:color w:val="000000" w:themeColor="text1"/>
                <w:highlight w:val="none"/>
                <w14:textFill>
                  <w14:solidFill>
                    <w14:schemeClr w14:val="tx1"/>
                  </w14:solidFill>
                </w14:textFill>
              </w:rPr>
            </w:pPr>
          </w:p>
        </w:tc>
        <w:tc>
          <w:tcPr>
            <w:tcW w:w="322"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有利</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影响</w:t>
            </w:r>
          </w:p>
        </w:tc>
        <w:tc>
          <w:tcPr>
            <w:tcW w:w="325"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不利</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影响</w:t>
            </w:r>
          </w:p>
        </w:tc>
        <w:tc>
          <w:tcPr>
            <w:tcW w:w="325"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影响</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较大</w:t>
            </w:r>
          </w:p>
        </w:tc>
        <w:tc>
          <w:tcPr>
            <w:tcW w:w="325"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影响</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较轻</w:t>
            </w:r>
          </w:p>
        </w:tc>
        <w:tc>
          <w:tcPr>
            <w:tcW w:w="325"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有利</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影响</w:t>
            </w:r>
          </w:p>
        </w:tc>
        <w:tc>
          <w:tcPr>
            <w:tcW w:w="325"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不利</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影响</w:t>
            </w:r>
          </w:p>
        </w:tc>
        <w:tc>
          <w:tcPr>
            <w:tcW w:w="324"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影响</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较大</w:t>
            </w:r>
          </w:p>
        </w:tc>
        <w:tc>
          <w:tcPr>
            <w:tcW w:w="326"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影响</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较轻</w:t>
            </w:r>
          </w:p>
        </w:tc>
        <w:tc>
          <w:tcPr>
            <w:tcW w:w="325"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有利</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影响</w:t>
            </w:r>
          </w:p>
        </w:tc>
        <w:tc>
          <w:tcPr>
            <w:tcW w:w="324"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不利</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影响</w:t>
            </w:r>
          </w:p>
        </w:tc>
        <w:tc>
          <w:tcPr>
            <w:tcW w:w="325"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影响</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较大</w:t>
            </w:r>
          </w:p>
        </w:tc>
        <w:tc>
          <w:tcPr>
            <w:tcW w:w="327"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影响</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较轻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环境质量</w:t>
            </w:r>
          </w:p>
        </w:tc>
        <w:tc>
          <w:tcPr>
            <w:tcW w:w="807"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地表水</w:t>
            </w:r>
          </w:p>
        </w:tc>
        <w:tc>
          <w:tcPr>
            <w:tcW w:w="322" w:type="pct"/>
            <w:vAlign w:val="center"/>
          </w:tcPr>
          <w:p>
            <w:pPr>
              <w:pStyle w:val="118"/>
              <w:rPr>
                <w:color w:val="000000" w:themeColor="text1"/>
                <w:highlight w:val="none"/>
                <w14:textFill>
                  <w14:solidFill>
                    <w14:schemeClr w14:val="tx1"/>
                  </w14:solidFill>
                </w14:textFill>
              </w:rPr>
            </w:pPr>
          </w:p>
        </w:tc>
        <w:tc>
          <w:tcPr>
            <w:tcW w:w="32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25" w:type="pct"/>
            <w:vAlign w:val="center"/>
          </w:tcPr>
          <w:p>
            <w:pPr>
              <w:pStyle w:val="118"/>
              <w:rPr>
                <w:color w:val="000000" w:themeColor="text1"/>
                <w:highlight w:val="none"/>
                <w14:textFill>
                  <w14:solidFill>
                    <w14:schemeClr w14:val="tx1"/>
                  </w14:solidFill>
                </w14:textFill>
              </w:rPr>
            </w:pPr>
          </w:p>
        </w:tc>
        <w:tc>
          <w:tcPr>
            <w:tcW w:w="32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25" w:type="pct"/>
            <w:vAlign w:val="center"/>
          </w:tcPr>
          <w:p>
            <w:pPr>
              <w:pStyle w:val="118"/>
              <w:rPr>
                <w:color w:val="000000" w:themeColor="text1"/>
                <w:highlight w:val="none"/>
                <w14:textFill>
                  <w14:solidFill>
                    <w14:schemeClr w14:val="tx1"/>
                  </w14:solidFill>
                </w14:textFill>
              </w:rPr>
            </w:pPr>
          </w:p>
        </w:tc>
        <w:tc>
          <w:tcPr>
            <w:tcW w:w="32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24" w:type="pct"/>
            <w:vAlign w:val="center"/>
          </w:tcPr>
          <w:p>
            <w:pPr>
              <w:pStyle w:val="118"/>
              <w:rPr>
                <w:color w:val="000000" w:themeColor="text1"/>
                <w:highlight w:val="none"/>
                <w14:textFill>
                  <w14:solidFill>
                    <w14:schemeClr w14:val="tx1"/>
                  </w14:solidFill>
                </w14:textFill>
              </w:rPr>
            </w:pPr>
          </w:p>
        </w:tc>
        <w:tc>
          <w:tcPr>
            <w:tcW w:w="32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25" w:type="pct"/>
            <w:vAlign w:val="center"/>
          </w:tcPr>
          <w:p>
            <w:pPr>
              <w:pStyle w:val="118"/>
              <w:rPr>
                <w:color w:val="000000" w:themeColor="text1"/>
                <w:highlight w:val="none"/>
                <w14:textFill>
                  <w14:solidFill>
                    <w14:schemeClr w14:val="tx1"/>
                  </w14:solidFill>
                </w14:textFill>
              </w:rPr>
            </w:pPr>
          </w:p>
        </w:tc>
        <w:tc>
          <w:tcPr>
            <w:tcW w:w="32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25" w:type="pct"/>
            <w:vAlign w:val="center"/>
          </w:tcPr>
          <w:p>
            <w:pPr>
              <w:pStyle w:val="118"/>
              <w:rPr>
                <w:color w:val="000000" w:themeColor="text1"/>
                <w:highlight w:val="none"/>
                <w14:textFill>
                  <w14:solidFill>
                    <w14:schemeClr w14:val="tx1"/>
                  </w14:solidFill>
                </w14:textFill>
              </w:rPr>
            </w:pPr>
          </w:p>
        </w:tc>
        <w:tc>
          <w:tcPr>
            <w:tcW w:w="327"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continue"/>
            <w:vAlign w:val="center"/>
          </w:tcPr>
          <w:p>
            <w:pPr>
              <w:pStyle w:val="118"/>
              <w:rPr>
                <w:color w:val="000000" w:themeColor="text1"/>
                <w:highlight w:val="none"/>
                <w14:textFill>
                  <w14:solidFill>
                    <w14:schemeClr w14:val="tx1"/>
                  </w14:solidFill>
                </w14:textFill>
              </w:rPr>
            </w:pPr>
          </w:p>
        </w:tc>
        <w:tc>
          <w:tcPr>
            <w:tcW w:w="807"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环境空气</w:t>
            </w:r>
          </w:p>
        </w:tc>
        <w:tc>
          <w:tcPr>
            <w:tcW w:w="322" w:type="pct"/>
            <w:vAlign w:val="center"/>
          </w:tcPr>
          <w:p>
            <w:pPr>
              <w:pStyle w:val="118"/>
              <w:rPr>
                <w:color w:val="000000" w:themeColor="text1"/>
                <w:highlight w:val="none"/>
                <w14:textFill>
                  <w14:solidFill>
                    <w14:schemeClr w14:val="tx1"/>
                  </w14:solidFill>
                </w14:textFill>
              </w:rPr>
            </w:pPr>
          </w:p>
        </w:tc>
        <w:tc>
          <w:tcPr>
            <w:tcW w:w="32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25" w:type="pct"/>
            <w:vAlign w:val="center"/>
          </w:tcPr>
          <w:p>
            <w:pPr>
              <w:pStyle w:val="118"/>
              <w:rPr>
                <w:color w:val="000000" w:themeColor="text1"/>
                <w:highlight w:val="none"/>
                <w14:textFill>
                  <w14:solidFill>
                    <w14:schemeClr w14:val="tx1"/>
                  </w14:solidFill>
                </w14:textFill>
              </w:rPr>
            </w:pPr>
          </w:p>
        </w:tc>
        <w:tc>
          <w:tcPr>
            <w:tcW w:w="32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25" w:type="pct"/>
            <w:vAlign w:val="center"/>
          </w:tcPr>
          <w:p>
            <w:pPr>
              <w:pStyle w:val="118"/>
              <w:rPr>
                <w:color w:val="000000" w:themeColor="text1"/>
                <w:highlight w:val="none"/>
                <w14:textFill>
                  <w14:solidFill>
                    <w14:schemeClr w14:val="tx1"/>
                  </w14:solidFill>
                </w14:textFill>
              </w:rPr>
            </w:pPr>
          </w:p>
        </w:tc>
        <w:tc>
          <w:tcPr>
            <w:tcW w:w="32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24" w:type="pct"/>
            <w:vAlign w:val="center"/>
          </w:tcPr>
          <w:p>
            <w:pPr>
              <w:pStyle w:val="118"/>
              <w:rPr>
                <w:color w:val="000000" w:themeColor="text1"/>
                <w:highlight w:val="none"/>
                <w14:textFill>
                  <w14:solidFill>
                    <w14:schemeClr w14:val="tx1"/>
                  </w14:solidFill>
                </w14:textFill>
              </w:rPr>
            </w:pPr>
          </w:p>
        </w:tc>
        <w:tc>
          <w:tcPr>
            <w:tcW w:w="32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25" w:type="pct"/>
            <w:vAlign w:val="center"/>
          </w:tcPr>
          <w:p>
            <w:pPr>
              <w:pStyle w:val="118"/>
              <w:rPr>
                <w:color w:val="000000" w:themeColor="text1"/>
                <w:highlight w:val="none"/>
                <w14:textFill>
                  <w14:solidFill>
                    <w14:schemeClr w14:val="tx1"/>
                  </w14:solidFill>
                </w14:textFill>
              </w:rPr>
            </w:pPr>
          </w:p>
        </w:tc>
        <w:tc>
          <w:tcPr>
            <w:tcW w:w="32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2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27" w:type="pct"/>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continue"/>
            <w:vAlign w:val="center"/>
          </w:tcPr>
          <w:p>
            <w:pPr>
              <w:pStyle w:val="118"/>
              <w:rPr>
                <w:color w:val="000000" w:themeColor="text1"/>
                <w:highlight w:val="none"/>
                <w14:textFill>
                  <w14:solidFill>
                    <w14:schemeClr w14:val="tx1"/>
                  </w14:solidFill>
                </w14:textFill>
              </w:rPr>
            </w:pPr>
          </w:p>
        </w:tc>
        <w:tc>
          <w:tcPr>
            <w:tcW w:w="807"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声环境</w:t>
            </w:r>
          </w:p>
        </w:tc>
        <w:tc>
          <w:tcPr>
            <w:tcW w:w="322" w:type="pct"/>
            <w:vAlign w:val="center"/>
          </w:tcPr>
          <w:p>
            <w:pPr>
              <w:pStyle w:val="118"/>
              <w:rPr>
                <w:color w:val="000000" w:themeColor="text1"/>
                <w:highlight w:val="none"/>
                <w14:textFill>
                  <w14:solidFill>
                    <w14:schemeClr w14:val="tx1"/>
                  </w14:solidFill>
                </w14:textFill>
              </w:rPr>
            </w:pPr>
          </w:p>
        </w:tc>
        <w:tc>
          <w:tcPr>
            <w:tcW w:w="32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25" w:type="pct"/>
            <w:vAlign w:val="center"/>
          </w:tcPr>
          <w:p>
            <w:pPr>
              <w:pStyle w:val="118"/>
              <w:rPr>
                <w:color w:val="000000" w:themeColor="text1"/>
                <w:highlight w:val="none"/>
                <w14:textFill>
                  <w14:solidFill>
                    <w14:schemeClr w14:val="tx1"/>
                  </w14:solidFill>
                </w14:textFill>
              </w:rPr>
            </w:pPr>
          </w:p>
        </w:tc>
        <w:tc>
          <w:tcPr>
            <w:tcW w:w="32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25" w:type="pct"/>
            <w:vAlign w:val="center"/>
          </w:tcPr>
          <w:p>
            <w:pPr>
              <w:pStyle w:val="118"/>
              <w:rPr>
                <w:color w:val="000000" w:themeColor="text1"/>
                <w:highlight w:val="none"/>
                <w14:textFill>
                  <w14:solidFill>
                    <w14:schemeClr w14:val="tx1"/>
                  </w14:solidFill>
                </w14:textFill>
              </w:rPr>
            </w:pPr>
          </w:p>
        </w:tc>
        <w:tc>
          <w:tcPr>
            <w:tcW w:w="32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24" w:type="pct"/>
            <w:vAlign w:val="center"/>
          </w:tcPr>
          <w:p>
            <w:pPr>
              <w:pStyle w:val="118"/>
              <w:rPr>
                <w:color w:val="000000" w:themeColor="text1"/>
                <w:highlight w:val="none"/>
                <w14:textFill>
                  <w14:solidFill>
                    <w14:schemeClr w14:val="tx1"/>
                  </w14:solidFill>
                </w14:textFill>
              </w:rPr>
            </w:pPr>
          </w:p>
        </w:tc>
        <w:tc>
          <w:tcPr>
            <w:tcW w:w="32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25" w:type="pct"/>
            <w:vAlign w:val="center"/>
          </w:tcPr>
          <w:p>
            <w:pPr>
              <w:pStyle w:val="118"/>
              <w:rPr>
                <w:color w:val="000000" w:themeColor="text1"/>
                <w:highlight w:val="none"/>
                <w14:textFill>
                  <w14:solidFill>
                    <w14:schemeClr w14:val="tx1"/>
                  </w14:solidFill>
                </w14:textFill>
              </w:rPr>
            </w:pPr>
          </w:p>
        </w:tc>
        <w:tc>
          <w:tcPr>
            <w:tcW w:w="32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25" w:type="pct"/>
            <w:vAlign w:val="center"/>
          </w:tcPr>
          <w:p>
            <w:pPr>
              <w:pStyle w:val="118"/>
              <w:rPr>
                <w:color w:val="000000" w:themeColor="text1"/>
                <w:highlight w:val="none"/>
                <w14:textFill>
                  <w14:solidFill>
                    <w14:schemeClr w14:val="tx1"/>
                  </w14:solidFill>
                </w14:textFill>
              </w:rPr>
            </w:pPr>
          </w:p>
        </w:tc>
        <w:tc>
          <w:tcPr>
            <w:tcW w:w="327"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自然生态环境</w:t>
            </w:r>
          </w:p>
        </w:tc>
        <w:tc>
          <w:tcPr>
            <w:tcW w:w="807"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地形地貌</w:t>
            </w:r>
          </w:p>
        </w:tc>
        <w:tc>
          <w:tcPr>
            <w:tcW w:w="322" w:type="pct"/>
            <w:vAlign w:val="center"/>
          </w:tcPr>
          <w:p>
            <w:pPr>
              <w:pStyle w:val="118"/>
              <w:rPr>
                <w:color w:val="000000" w:themeColor="text1"/>
                <w:highlight w:val="none"/>
                <w14:textFill>
                  <w14:solidFill>
                    <w14:schemeClr w14:val="tx1"/>
                  </w14:solidFill>
                </w14:textFill>
              </w:rPr>
            </w:pPr>
          </w:p>
        </w:tc>
        <w:tc>
          <w:tcPr>
            <w:tcW w:w="32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25" w:type="pct"/>
            <w:vAlign w:val="center"/>
          </w:tcPr>
          <w:p>
            <w:pPr>
              <w:pStyle w:val="118"/>
              <w:rPr>
                <w:color w:val="000000" w:themeColor="text1"/>
                <w:highlight w:val="none"/>
                <w14:textFill>
                  <w14:solidFill>
                    <w14:schemeClr w14:val="tx1"/>
                  </w14:solidFill>
                </w14:textFill>
              </w:rPr>
            </w:pPr>
          </w:p>
        </w:tc>
        <w:tc>
          <w:tcPr>
            <w:tcW w:w="32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25" w:type="pct"/>
            <w:vAlign w:val="center"/>
          </w:tcPr>
          <w:p>
            <w:pPr>
              <w:pStyle w:val="118"/>
              <w:rPr>
                <w:color w:val="000000" w:themeColor="text1"/>
                <w:highlight w:val="none"/>
                <w14:textFill>
                  <w14:solidFill>
                    <w14:schemeClr w14:val="tx1"/>
                  </w14:solidFill>
                </w14:textFill>
              </w:rPr>
            </w:pPr>
          </w:p>
        </w:tc>
        <w:tc>
          <w:tcPr>
            <w:tcW w:w="325" w:type="pct"/>
            <w:vAlign w:val="center"/>
          </w:tcPr>
          <w:p>
            <w:pPr>
              <w:pStyle w:val="118"/>
              <w:rPr>
                <w:color w:val="000000" w:themeColor="text1"/>
                <w:highlight w:val="none"/>
                <w14:textFill>
                  <w14:solidFill>
                    <w14:schemeClr w14:val="tx1"/>
                  </w14:solidFill>
                </w14:textFill>
              </w:rPr>
            </w:pPr>
          </w:p>
        </w:tc>
        <w:tc>
          <w:tcPr>
            <w:tcW w:w="324" w:type="pct"/>
            <w:vAlign w:val="center"/>
          </w:tcPr>
          <w:p>
            <w:pPr>
              <w:pStyle w:val="118"/>
              <w:rPr>
                <w:color w:val="000000" w:themeColor="text1"/>
                <w:highlight w:val="none"/>
                <w14:textFill>
                  <w14:solidFill>
                    <w14:schemeClr w14:val="tx1"/>
                  </w14:solidFill>
                </w14:textFill>
              </w:rPr>
            </w:pPr>
          </w:p>
        </w:tc>
        <w:tc>
          <w:tcPr>
            <w:tcW w:w="326" w:type="pct"/>
            <w:vAlign w:val="center"/>
          </w:tcPr>
          <w:p>
            <w:pPr>
              <w:pStyle w:val="118"/>
              <w:rPr>
                <w:color w:val="000000" w:themeColor="text1"/>
                <w:highlight w:val="none"/>
                <w14:textFill>
                  <w14:solidFill>
                    <w14:schemeClr w14:val="tx1"/>
                  </w14:solidFill>
                </w14:textFill>
              </w:rPr>
            </w:pPr>
          </w:p>
        </w:tc>
        <w:tc>
          <w:tcPr>
            <w:tcW w:w="325" w:type="pct"/>
            <w:vAlign w:val="center"/>
          </w:tcPr>
          <w:p>
            <w:pPr>
              <w:pStyle w:val="118"/>
              <w:rPr>
                <w:color w:val="000000" w:themeColor="text1"/>
                <w:highlight w:val="none"/>
                <w14:textFill>
                  <w14:solidFill>
                    <w14:schemeClr w14:val="tx1"/>
                  </w14:solidFill>
                </w14:textFill>
              </w:rPr>
            </w:pPr>
          </w:p>
        </w:tc>
        <w:tc>
          <w:tcPr>
            <w:tcW w:w="324" w:type="pct"/>
            <w:vAlign w:val="center"/>
          </w:tcPr>
          <w:p>
            <w:pPr>
              <w:pStyle w:val="118"/>
              <w:rPr>
                <w:color w:val="000000" w:themeColor="text1"/>
                <w:highlight w:val="none"/>
                <w14:textFill>
                  <w14:solidFill>
                    <w14:schemeClr w14:val="tx1"/>
                  </w14:solidFill>
                </w14:textFill>
              </w:rPr>
            </w:pPr>
          </w:p>
        </w:tc>
        <w:tc>
          <w:tcPr>
            <w:tcW w:w="325" w:type="pct"/>
            <w:vAlign w:val="center"/>
          </w:tcPr>
          <w:p>
            <w:pPr>
              <w:pStyle w:val="118"/>
              <w:rPr>
                <w:color w:val="000000" w:themeColor="text1"/>
                <w:highlight w:val="none"/>
                <w14:textFill>
                  <w14:solidFill>
                    <w14:schemeClr w14:val="tx1"/>
                  </w14:solidFill>
                </w14:textFill>
              </w:rPr>
            </w:pPr>
          </w:p>
        </w:tc>
        <w:tc>
          <w:tcPr>
            <w:tcW w:w="327" w:type="pct"/>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continue"/>
            <w:vAlign w:val="center"/>
          </w:tcPr>
          <w:p>
            <w:pPr>
              <w:pStyle w:val="118"/>
              <w:rPr>
                <w:color w:val="000000" w:themeColor="text1"/>
                <w:highlight w:val="none"/>
                <w14:textFill>
                  <w14:solidFill>
                    <w14:schemeClr w14:val="tx1"/>
                  </w14:solidFill>
                </w14:textFill>
              </w:rPr>
            </w:pPr>
          </w:p>
        </w:tc>
        <w:tc>
          <w:tcPr>
            <w:tcW w:w="807"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生态环境</w:t>
            </w:r>
          </w:p>
        </w:tc>
        <w:tc>
          <w:tcPr>
            <w:tcW w:w="322" w:type="pct"/>
            <w:vAlign w:val="center"/>
          </w:tcPr>
          <w:p>
            <w:pPr>
              <w:pStyle w:val="118"/>
              <w:rPr>
                <w:color w:val="000000" w:themeColor="text1"/>
                <w:highlight w:val="none"/>
                <w14:textFill>
                  <w14:solidFill>
                    <w14:schemeClr w14:val="tx1"/>
                  </w14:solidFill>
                </w14:textFill>
              </w:rPr>
            </w:pPr>
          </w:p>
        </w:tc>
        <w:tc>
          <w:tcPr>
            <w:tcW w:w="32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25" w:type="pct"/>
            <w:vAlign w:val="center"/>
          </w:tcPr>
          <w:p>
            <w:pPr>
              <w:pStyle w:val="118"/>
              <w:rPr>
                <w:color w:val="000000" w:themeColor="text1"/>
                <w:highlight w:val="none"/>
                <w14:textFill>
                  <w14:solidFill>
                    <w14:schemeClr w14:val="tx1"/>
                  </w14:solidFill>
                </w14:textFill>
              </w:rPr>
            </w:pPr>
          </w:p>
        </w:tc>
        <w:tc>
          <w:tcPr>
            <w:tcW w:w="32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25" w:type="pct"/>
            <w:vAlign w:val="center"/>
          </w:tcPr>
          <w:p>
            <w:pPr>
              <w:pStyle w:val="118"/>
              <w:rPr>
                <w:color w:val="000000" w:themeColor="text1"/>
                <w:highlight w:val="none"/>
                <w14:textFill>
                  <w14:solidFill>
                    <w14:schemeClr w14:val="tx1"/>
                  </w14:solidFill>
                </w14:textFill>
              </w:rPr>
            </w:pPr>
          </w:p>
        </w:tc>
        <w:tc>
          <w:tcPr>
            <w:tcW w:w="325" w:type="pct"/>
            <w:vAlign w:val="center"/>
          </w:tcPr>
          <w:p>
            <w:pPr>
              <w:pStyle w:val="118"/>
              <w:rPr>
                <w:color w:val="000000" w:themeColor="text1"/>
                <w:highlight w:val="none"/>
                <w14:textFill>
                  <w14:solidFill>
                    <w14:schemeClr w14:val="tx1"/>
                  </w14:solidFill>
                </w14:textFill>
              </w:rPr>
            </w:pPr>
          </w:p>
        </w:tc>
        <w:tc>
          <w:tcPr>
            <w:tcW w:w="324" w:type="pct"/>
            <w:vAlign w:val="center"/>
          </w:tcPr>
          <w:p>
            <w:pPr>
              <w:pStyle w:val="118"/>
              <w:rPr>
                <w:color w:val="000000" w:themeColor="text1"/>
                <w:highlight w:val="none"/>
                <w14:textFill>
                  <w14:solidFill>
                    <w14:schemeClr w14:val="tx1"/>
                  </w14:solidFill>
                </w14:textFill>
              </w:rPr>
            </w:pPr>
          </w:p>
        </w:tc>
        <w:tc>
          <w:tcPr>
            <w:tcW w:w="32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25" w:type="pct"/>
            <w:vAlign w:val="center"/>
          </w:tcPr>
          <w:p>
            <w:pPr>
              <w:pStyle w:val="118"/>
              <w:rPr>
                <w:color w:val="000000" w:themeColor="text1"/>
                <w:highlight w:val="none"/>
                <w14:textFill>
                  <w14:solidFill>
                    <w14:schemeClr w14:val="tx1"/>
                  </w14:solidFill>
                </w14:textFill>
              </w:rPr>
            </w:pPr>
          </w:p>
        </w:tc>
        <w:tc>
          <w:tcPr>
            <w:tcW w:w="32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25" w:type="pct"/>
            <w:vAlign w:val="center"/>
          </w:tcPr>
          <w:p>
            <w:pPr>
              <w:pStyle w:val="118"/>
              <w:rPr>
                <w:color w:val="000000" w:themeColor="text1"/>
                <w:highlight w:val="none"/>
                <w14:textFill>
                  <w14:solidFill>
                    <w14:schemeClr w14:val="tx1"/>
                  </w14:solidFill>
                </w14:textFill>
              </w:rPr>
            </w:pPr>
          </w:p>
        </w:tc>
        <w:tc>
          <w:tcPr>
            <w:tcW w:w="327"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continue"/>
            <w:vAlign w:val="center"/>
          </w:tcPr>
          <w:p>
            <w:pPr>
              <w:pStyle w:val="118"/>
              <w:rPr>
                <w:color w:val="000000" w:themeColor="text1"/>
                <w:highlight w:val="none"/>
                <w14:textFill>
                  <w14:solidFill>
                    <w14:schemeClr w14:val="tx1"/>
                  </w14:solidFill>
                </w14:textFill>
              </w:rPr>
            </w:pPr>
          </w:p>
        </w:tc>
        <w:tc>
          <w:tcPr>
            <w:tcW w:w="807"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土壤</w:t>
            </w:r>
          </w:p>
        </w:tc>
        <w:tc>
          <w:tcPr>
            <w:tcW w:w="322" w:type="pct"/>
            <w:vAlign w:val="center"/>
          </w:tcPr>
          <w:p>
            <w:pPr>
              <w:pStyle w:val="118"/>
              <w:rPr>
                <w:color w:val="000000" w:themeColor="text1"/>
                <w:highlight w:val="none"/>
                <w14:textFill>
                  <w14:solidFill>
                    <w14:schemeClr w14:val="tx1"/>
                  </w14:solidFill>
                </w14:textFill>
              </w:rPr>
            </w:pPr>
          </w:p>
        </w:tc>
        <w:tc>
          <w:tcPr>
            <w:tcW w:w="32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25" w:type="pct"/>
            <w:vAlign w:val="center"/>
          </w:tcPr>
          <w:p>
            <w:pPr>
              <w:pStyle w:val="118"/>
              <w:rPr>
                <w:color w:val="000000" w:themeColor="text1"/>
                <w:highlight w:val="none"/>
                <w14:textFill>
                  <w14:solidFill>
                    <w14:schemeClr w14:val="tx1"/>
                  </w14:solidFill>
                </w14:textFill>
              </w:rPr>
            </w:pPr>
          </w:p>
        </w:tc>
        <w:tc>
          <w:tcPr>
            <w:tcW w:w="32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25" w:type="pct"/>
            <w:vAlign w:val="center"/>
          </w:tcPr>
          <w:p>
            <w:pPr>
              <w:pStyle w:val="118"/>
              <w:rPr>
                <w:color w:val="000000" w:themeColor="text1"/>
                <w:highlight w:val="none"/>
                <w14:textFill>
                  <w14:solidFill>
                    <w14:schemeClr w14:val="tx1"/>
                  </w14:solidFill>
                </w14:textFill>
              </w:rPr>
            </w:pPr>
          </w:p>
        </w:tc>
        <w:tc>
          <w:tcPr>
            <w:tcW w:w="325" w:type="pct"/>
            <w:vAlign w:val="center"/>
          </w:tcPr>
          <w:p>
            <w:pPr>
              <w:pStyle w:val="118"/>
              <w:rPr>
                <w:color w:val="000000" w:themeColor="text1"/>
                <w:highlight w:val="none"/>
                <w14:textFill>
                  <w14:solidFill>
                    <w14:schemeClr w14:val="tx1"/>
                  </w14:solidFill>
                </w14:textFill>
              </w:rPr>
            </w:pPr>
          </w:p>
        </w:tc>
        <w:tc>
          <w:tcPr>
            <w:tcW w:w="324" w:type="pct"/>
            <w:vAlign w:val="center"/>
          </w:tcPr>
          <w:p>
            <w:pPr>
              <w:pStyle w:val="118"/>
              <w:rPr>
                <w:color w:val="000000" w:themeColor="text1"/>
                <w:highlight w:val="none"/>
                <w14:textFill>
                  <w14:solidFill>
                    <w14:schemeClr w14:val="tx1"/>
                  </w14:solidFill>
                </w14:textFill>
              </w:rPr>
            </w:pPr>
          </w:p>
        </w:tc>
        <w:tc>
          <w:tcPr>
            <w:tcW w:w="326" w:type="pct"/>
            <w:vAlign w:val="center"/>
          </w:tcPr>
          <w:p>
            <w:pPr>
              <w:pStyle w:val="118"/>
              <w:rPr>
                <w:color w:val="000000" w:themeColor="text1"/>
                <w:highlight w:val="none"/>
                <w14:textFill>
                  <w14:solidFill>
                    <w14:schemeClr w14:val="tx1"/>
                  </w14:solidFill>
                </w14:textFill>
              </w:rPr>
            </w:pPr>
          </w:p>
        </w:tc>
        <w:tc>
          <w:tcPr>
            <w:tcW w:w="325" w:type="pct"/>
            <w:vAlign w:val="center"/>
          </w:tcPr>
          <w:p>
            <w:pPr>
              <w:pStyle w:val="118"/>
              <w:rPr>
                <w:color w:val="000000" w:themeColor="text1"/>
                <w:highlight w:val="none"/>
                <w14:textFill>
                  <w14:solidFill>
                    <w14:schemeClr w14:val="tx1"/>
                  </w14:solidFill>
                </w14:textFill>
              </w:rPr>
            </w:pPr>
          </w:p>
        </w:tc>
        <w:tc>
          <w:tcPr>
            <w:tcW w:w="32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25" w:type="pct"/>
            <w:vAlign w:val="center"/>
          </w:tcPr>
          <w:p>
            <w:pPr>
              <w:pStyle w:val="118"/>
              <w:rPr>
                <w:color w:val="000000" w:themeColor="text1"/>
                <w:highlight w:val="none"/>
                <w14:textFill>
                  <w14:solidFill>
                    <w14:schemeClr w14:val="tx1"/>
                  </w14:solidFill>
                </w14:textFill>
              </w:rPr>
            </w:pPr>
          </w:p>
        </w:tc>
        <w:tc>
          <w:tcPr>
            <w:tcW w:w="327"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continue"/>
            <w:vAlign w:val="center"/>
          </w:tcPr>
          <w:p>
            <w:pPr>
              <w:pStyle w:val="118"/>
              <w:rPr>
                <w:color w:val="000000" w:themeColor="text1"/>
                <w:highlight w:val="none"/>
                <w14:textFill>
                  <w14:solidFill>
                    <w14:schemeClr w14:val="tx1"/>
                  </w14:solidFill>
                </w14:textFill>
              </w:rPr>
            </w:pPr>
          </w:p>
        </w:tc>
        <w:tc>
          <w:tcPr>
            <w:tcW w:w="807"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植被</w:t>
            </w:r>
          </w:p>
        </w:tc>
        <w:tc>
          <w:tcPr>
            <w:tcW w:w="322" w:type="pct"/>
            <w:vAlign w:val="center"/>
          </w:tcPr>
          <w:p>
            <w:pPr>
              <w:pStyle w:val="118"/>
              <w:rPr>
                <w:color w:val="000000" w:themeColor="text1"/>
                <w:highlight w:val="none"/>
                <w14:textFill>
                  <w14:solidFill>
                    <w14:schemeClr w14:val="tx1"/>
                  </w14:solidFill>
                </w14:textFill>
              </w:rPr>
            </w:pPr>
          </w:p>
        </w:tc>
        <w:tc>
          <w:tcPr>
            <w:tcW w:w="32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25" w:type="pct"/>
            <w:vAlign w:val="center"/>
          </w:tcPr>
          <w:p>
            <w:pPr>
              <w:pStyle w:val="118"/>
              <w:rPr>
                <w:color w:val="000000" w:themeColor="text1"/>
                <w:highlight w:val="none"/>
                <w14:textFill>
                  <w14:solidFill>
                    <w14:schemeClr w14:val="tx1"/>
                  </w14:solidFill>
                </w14:textFill>
              </w:rPr>
            </w:pPr>
          </w:p>
        </w:tc>
        <w:tc>
          <w:tcPr>
            <w:tcW w:w="32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25" w:type="pct"/>
            <w:vAlign w:val="center"/>
          </w:tcPr>
          <w:p>
            <w:pPr>
              <w:pStyle w:val="118"/>
              <w:rPr>
                <w:color w:val="000000" w:themeColor="text1"/>
                <w:highlight w:val="none"/>
                <w14:textFill>
                  <w14:solidFill>
                    <w14:schemeClr w14:val="tx1"/>
                  </w14:solidFill>
                </w14:textFill>
              </w:rPr>
            </w:pPr>
          </w:p>
        </w:tc>
        <w:tc>
          <w:tcPr>
            <w:tcW w:w="325" w:type="pct"/>
            <w:vAlign w:val="center"/>
          </w:tcPr>
          <w:p>
            <w:pPr>
              <w:pStyle w:val="118"/>
              <w:rPr>
                <w:color w:val="000000" w:themeColor="text1"/>
                <w:highlight w:val="none"/>
                <w14:textFill>
                  <w14:solidFill>
                    <w14:schemeClr w14:val="tx1"/>
                  </w14:solidFill>
                </w14:textFill>
              </w:rPr>
            </w:pPr>
          </w:p>
        </w:tc>
        <w:tc>
          <w:tcPr>
            <w:tcW w:w="324" w:type="pct"/>
            <w:vAlign w:val="center"/>
          </w:tcPr>
          <w:p>
            <w:pPr>
              <w:pStyle w:val="118"/>
              <w:rPr>
                <w:color w:val="000000" w:themeColor="text1"/>
                <w:highlight w:val="none"/>
                <w14:textFill>
                  <w14:solidFill>
                    <w14:schemeClr w14:val="tx1"/>
                  </w14:solidFill>
                </w14:textFill>
              </w:rPr>
            </w:pPr>
          </w:p>
        </w:tc>
        <w:tc>
          <w:tcPr>
            <w:tcW w:w="326" w:type="pct"/>
            <w:vAlign w:val="center"/>
          </w:tcPr>
          <w:p>
            <w:pPr>
              <w:pStyle w:val="118"/>
              <w:rPr>
                <w:color w:val="000000" w:themeColor="text1"/>
                <w:highlight w:val="none"/>
                <w14:textFill>
                  <w14:solidFill>
                    <w14:schemeClr w14:val="tx1"/>
                  </w14:solidFill>
                </w14:textFill>
              </w:rPr>
            </w:pPr>
          </w:p>
        </w:tc>
        <w:tc>
          <w:tcPr>
            <w:tcW w:w="325" w:type="pct"/>
            <w:vAlign w:val="center"/>
          </w:tcPr>
          <w:p>
            <w:pPr>
              <w:pStyle w:val="118"/>
              <w:rPr>
                <w:color w:val="000000" w:themeColor="text1"/>
                <w:highlight w:val="none"/>
                <w14:textFill>
                  <w14:solidFill>
                    <w14:schemeClr w14:val="tx1"/>
                  </w14:solidFill>
                </w14:textFill>
              </w:rPr>
            </w:pPr>
          </w:p>
        </w:tc>
        <w:tc>
          <w:tcPr>
            <w:tcW w:w="32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25" w:type="pct"/>
            <w:vAlign w:val="center"/>
          </w:tcPr>
          <w:p>
            <w:pPr>
              <w:pStyle w:val="118"/>
              <w:rPr>
                <w:color w:val="000000" w:themeColor="text1"/>
                <w:highlight w:val="none"/>
                <w14:textFill>
                  <w14:solidFill>
                    <w14:schemeClr w14:val="tx1"/>
                  </w14:solidFill>
                </w14:textFill>
              </w:rPr>
            </w:pPr>
          </w:p>
        </w:tc>
        <w:tc>
          <w:tcPr>
            <w:tcW w:w="327"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continue"/>
            <w:vAlign w:val="center"/>
          </w:tcPr>
          <w:p>
            <w:pPr>
              <w:pStyle w:val="118"/>
              <w:rPr>
                <w:color w:val="000000" w:themeColor="text1"/>
                <w:highlight w:val="none"/>
                <w14:textFill>
                  <w14:solidFill>
                    <w14:schemeClr w14:val="tx1"/>
                  </w14:solidFill>
                </w14:textFill>
              </w:rPr>
            </w:pPr>
          </w:p>
        </w:tc>
        <w:tc>
          <w:tcPr>
            <w:tcW w:w="807"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水土流失</w:t>
            </w:r>
          </w:p>
        </w:tc>
        <w:tc>
          <w:tcPr>
            <w:tcW w:w="322" w:type="pct"/>
            <w:vAlign w:val="center"/>
          </w:tcPr>
          <w:p>
            <w:pPr>
              <w:pStyle w:val="118"/>
              <w:rPr>
                <w:color w:val="000000" w:themeColor="text1"/>
                <w:highlight w:val="none"/>
                <w14:textFill>
                  <w14:solidFill>
                    <w14:schemeClr w14:val="tx1"/>
                  </w14:solidFill>
                </w14:textFill>
              </w:rPr>
            </w:pPr>
          </w:p>
        </w:tc>
        <w:tc>
          <w:tcPr>
            <w:tcW w:w="32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25" w:type="pct"/>
            <w:vAlign w:val="center"/>
          </w:tcPr>
          <w:p>
            <w:pPr>
              <w:pStyle w:val="118"/>
              <w:rPr>
                <w:color w:val="000000" w:themeColor="text1"/>
                <w:highlight w:val="none"/>
                <w14:textFill>
                  <w14:solidFill>
                    <w14:schemeClr w14:val="tx1"/>
                  </w14:solidFill>
                </w14:textFill>
              </w:rPr>
            </w:pPr>
          </w:p>
        </w:tc>
        <w:tc>
          <w:tcPr>
            <w:tcW w:w="32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25" w:type="pct"/>
            <w:vAlign w:val="center"/>
          </w:tcPr>
          <w:p>
            <w:pPr>
              <w:pStyle w:val="118"/>
              <w:rPr>
                <w:color w:val="000000" w:themeColor="text1"/>
                <w:highlight w:val="none"/>
                <w14:textFill>
                  <w14:solidFill>
                    <w14:schemeClr w14:val="tx1"/>
                  </w14:solidFill>
                </w14:textFill>
              </w:rPr>
            </w:pPr>
          </w:p>
        </w:tc>
        <w:tc>
          <w:tcPr>
            <w:tcW w:w="325" w:type="pct"/>
            <w:vAlign w:val="center"/>
          </w:tcPr>
          <w:p>
            <w:pPr>
              <w:pStyle w:val="118"/>
              <w:rPr>
                <w:color w:val="000000" w:themeColor="text1"/>
                <w:highlight w:val="none"/>
                <w14:textFill>
                  <w14:solidFill>
                    <w14:schemeClr w14:val="tx1"/>
                  </w14:solidFill>
                </w14:textFill>
              </w:rPr>
            </w:pPr>
          </w:p>
        </w:tc>
        <w:tc>
          <w:tcPr>
            <w:tcW w:w="324" w:type="pct"/>
            <w:vAlign w:val="center"/>
          </w:tcPr>
          <w:p>
            <w:pPr>
              <w:pStyle w:val="118"/>
              <w:rPr>
                <w:color w:val="000000" w:themeColor="text1"/>
                <w:highlight w:val="none"/>
                <w14:textFill>
                  <w14:solidFill>
                    <w14:schemeClr w14:val="tx1"/>
                  </w14:solidFill>
                </w14:textFill>
              </w:rPr>
            </w:pPr>
          </w:p>
        </w:tc>
        <w:tc>
          <w:tcPr>
            <w:tcW w:w="326" w:type="pct"/>
            <w:vAlign w:val="center"/>
          </w:tcPr>
          <w:p>
            <w:pPr>
              <w:pStyle w:val="118"/>
              <w:rPr>
                <w:color w:val="000000" w:themeColor="text1"/>
                <w:highlight w:val="none"/>
                <w14:textFill>
                  <w14:solidFill>
                    <w14:schemeClr w14:val="tx1"/>
                  </w14:solidFill>
                </w14:textFill>
              </w:rPr>
            </w:pPr>
          </w:p>
        </w:tc>
        <w:tc>
          <w:tcPr>
            <w:tcW w:w="325" w:type="pct"/>
            <w:vAlign w:val="center"/>
          </w:tcPr>
          <w:p>
            <w:pPr>
              <w:pStyle w:val="118"/>
              <w:rPr>
                <w:color w:val="000000" w:themeColor="text1"/>
                <w:highlight w:val="none"/>
                <w14:textFill>
                  <w14:solidFill>
                    <w14:schemeClr w14:val="tx1"/>
                  </w14:solidFill>
                </w14:textFill>
              </w:rPr>
            </w:pPr>
          </w:p>
        </w:tc>
        <w:tc>
          <w:tcPr>
            <w:tcW w:w="324" w:type="pct"/>
            <w:vAlign w:val="center"/>
          </w:tcPr>
          <w:p>
            <w:pPr>
              <w:pStyle w:val="118"/>
              <w:rPr>
                <w:color w:val="000000" w:themeColor="text1"/>
                <w:highlight w:val="none"/>
                <w14:textFill>
                  <w14:solidFill>
                    <w14:schemeClr w14:val="tx1"/>
                  </w14:solidFill>
                </w14:textFill>
              </w:rPr>
            </w:pPr>
          </w:p>
        </w:tc>
        <w:tc>
          <w:tcPr>
            <w:tcW w:w="325" w:type="pct"/>
            <w:vAlign w:val="center"/>
          </w:tcPr>
          <w:p>
            <w:pPr>
              <w:pStyle w:val="118"/>
              <w:rPr>
                <w:color w:val="000000" w:themeColor="text1"/>
                <w:highlight w:val="none"/>
                <w14:textFill>
                  <w14:solidFill>
                    <w14:schemeClr w14:val="tx1"/>
                  </w14:solidFill>
                </w14:textFill>
              </w:rPr>
            </w:pPr>
          </w:p>
        </w:tc>
        <w:tc>
          <w:tcPr>
            <w:tcW w:w="327" w:type="pct"/>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continue"/>
            <w:vAlign w:val="center"/>
          </w:tcPr>
          <w:p>
            <w:pPr>
              <w:pStyle w:val="118"/>
              <w:rPr>
                <w:color w:val="000000" w:themeColor="text1"/>
                <w:highlight w:val="none"/>
                <w14:textFill>
                  <w14:solidFill>
                    <w14:schemeClr w14:val="tx1"/>
                  </w14:solidFill>
                </w14:textFill>
              </w:rPr>
            </w:pPr>
          </w:p>
        </w:tc>
        <w:tc>
          <w:tcPr>
            <w:tcW w:w="807"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土地利用</w:t>
            </w:r>
          </w:p>
        </w:tc>
        <w:tc>
          <w:tcPr>
            <w:tcW w:w="322" w:type="pct"/>
            <w:vAlign w:val="center"/>
          </w:tcPr>
          <w:p>
            <w:pPr>
              <w:pStyle w:val="118"/>
              <w:rPr>
                <w:color w:val="000000" w:themeColor="text1"/>
                <w:highlight w:val="none"/>
                <w14:textFill>
                  <w14:solidFill>
                    <w14:schemeClr w14:val="tx1"/>
                  </w14:solidFill>
                </w14:textFill>
              </w:rPr>
            </w:pPr>
          </w:p>
        </w:tc>
        <w:tc>
          <w:tcPr>
            <w:tcW w:w="32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25" w:type="pct"/>
            <w:vAlign w:val="center"/>
          </w:tcPr>
          <w:p>
            <w:pPr>
              <w:pStyle w:val="118"/>
              <w:rPr>
                <w:color w:val="000000" w:themeColor="text1"/>
                <w:highlight w:val="none"/>
                <w14:textFill>
                  <w14:solidFill>
                    <w14:schemeClr w14:val="tx1"/>
                  </w14:solidFill>
                </w14:textFill>
              </w:rPr>
            </w:pPr>
          </w:p>
        </w:tc>
        <w:tc>
          <w:tcPr>
            <w:tcW w:w="32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25" w:type="pct"/>
            <w:vAlign w:val="center"/>
          </w:tcPr>
          <w:p>
            <w:pPr>
              <w:pStyle w:val="118"/>
              <w:rPr>
                <w:color w:val="000000" w:themeColor="text1"/>
                <w:highlight w:val="none"/>
                <w14:textFill>
                  <w14:solidFill>
                    <w14:schemeClr w14:val="tx1"/>
                  </w14:solidFill>
                </w14:textFill>
              </w:rPr>
            </w:pPr>
          </w:p>
        </w:tc>
        <w:tc>
          <w:tcPr>
            <w:tcW w:w="325" w:type="pct"/>
            <w:vAlign w:val="center"/>
          </w:tcPr>
          <w:p>
            <w:pPr>
              <w:pStyle w:val="118"/>
              <w:rPr>
                <w:color w:val="000000" w:themeColor="text1"/>
                <w:highlight w:val="none"/>
                <w14:textFill>
                  <w14:solidFill>
                    <w14:schemeClr w14:val="tx1"/>
                  </w14:solidFill>
                </w14:textFill>
              </w:rPr>
            </w:pPr>
          </w:p>
        </w:tc>
        <w:tc>
          <w:tcPr>
            <w:tcW w:w="324" w:type="pct"/>
            <w:vAlign w:val="center"/>
          </w:tcPr>
          <w:p>
            <w:pPr>
              <w:pStyle w:val="118"/>
              <w:rPr>
                <w:color w:val="000000" w:themeColor="text1"/>
                <w:highlight w:val="none"/>
                <w14:textFill>
                  <w14:solidFill>
                    <w14:schemeClr w14:val="tx1"/>
                  </w14:solidFill>
                </w14:textFill>
              </w:rPr>
            </w:pPr>
          </w:p>
        </w:tc>
        <w:tc>
          <w:tcPr>
            <w:tcW w:w="326" w:type="pct"/>
            <w:vAlign w:val="center"/>
          </w:tcPr>
          <w:p>
            <w:pPr>
              <w:pStyle w:val="118"/>
              <w:rPr>
                <w:color w:val="000000" w:themeColor="text1"/>
                <w:highlight w:val="none"/>
                <w14:textFill>
                  <w14:solidFill>
                    <w14:schemeClr w14:val="tx1"/>
                  </w14:solidFill>
                </w14:textFill>
              </w:rPr>
            </w:pPr>
          </w:p>
        </w:tc>
        <w:tc>
          <w:tcPr>
            <w:tcW w:w="325" w:type="pct"/>
            <w:vAlign w:val="center"/>
          </w:tcPr>
          <w:p>
            <w:pPr>
              <w:pStyle w:val="118"/>
              <w:rPr>
                <w:color w:val="000000" w:themeColor="text1"/>
                <w:highlight w:val="none"/>
                <w14:textFill>
                  <w14:solidFill>
                    <w14:schemeClr w14:val="tx1"/>
                  </w14:solidFill>
                </w14:textFill>
              </w:rPr>
            </w:pPr>
          </w:p>
        </w:tc>
        <w:tc>
          <w:tcPr>
            <w:tcW w:w="324" w:type="pct"/>
            <w:vAlign w:val="center"/>
          </w:tcPr>
          <w:p>
            <w:pPr>
              <w:pStyle w:val="118"/>
              <w:rPr>
                <w:color w:val="000000" w:themeColor="text1"/>
                <w:highlight w:val="none"/>
                <w14:textFill>
                  <w14:solidFill>
                    <w14:schemeClr w14:val="tx1"/>
                  </w14:solidFill>
                </w14:textFill>
              </w:rPr>
            </w:pPr>
          </w:p>
        </w:tc>
        <w:tc>
          <w:tcPr>
            <w:tcW w:w="325" w:type="pct"/>
            <w:vAlign w:val="center"/>
          </w:tcPr>
          <w:p>
            <w:pPr>
              <w:pStyle w:val="118"/>
              <w:rPr>
                <w:color w:val="000000" w:themeColor="text1"/>
                <w:highlight w:val="none"/>
                <w14:textFill>
                  <w14:solidFill>
                    <w14:schemeClr w14:val="tx1"/>
                  </w14:solidFill>
                </w14:textFill>
              </w:rPr>
            </w:pPr>
          </w:p>
        </w:tc>
        <w:tc>
          <w:tcPr>
            <w:tcW w:w="327" w:type="pct"/>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continue"/>
            <w:vAlign w:val="center"/>
          </w:tcPr>
          <w:p>
            <w:pPr>
              <w:pStyle w:val="118"/>
              <w:rPr>
                <w:color w:val="000000" w:themeColor="text1"/>
                <w:highlight w:val="none"/>
                <w14:textFill>
                  <w14:solidFill>
                    <w14:schemeClr w14:val="tx1"/>
                  </w14:solidFill>
                </w14:textFill>
              </w:rPr>
            </w:pPr>
          </w:p>
        </w:tc>
        <w:tc>
          <w:tcPr>
            <w:tcW w:w="807"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减少温室效应</w:t>
            </w:r>
          </w:p>
        </w:tc>
        <w:tc>
          <w:tcPr>
            <w:tcW w:w="322" w:type="pct"/>
            <w:vAlign w:val="center"/>
          </w:tcPr>
          <w:p>
            <w:pPr>
              <w:pStyle w:val="118"/>
              <w:rPr>
                <w:color w:val="000000" w:themeColor="text1"/>
                <w:highlight w:val="none"/>
                <w14:textFill>
                  <w14:solidFill>
                    <w14:schemeClr w14:val="tx1"/>
                  </w14:solidFill>
                </w14:textFill>
              </w:rPr>
            </w:pPr>
          </w:p>
        </w:tc>
        <w:tc>
          <w:tcPr>
            <w:tcW w:w="325" w:type="pct"/>
            <w:vAlign w:val="center"/>
          </w:tcPr>
          <w:p>
            <w:pPr>
              <w:pStyle w:val="118"/>
              <w:rPr>
                <w:color w:val="000000" w:themeColor="text1"/>
                <w:highlight w:val="none"/>
                <w14:textFill>
                  <w14:solidFill>
                    <w14:schemeClr w14:val="tx1"/>
                  </w14:solidFill>
                </w14:textFill>
              </w:rPr>
            </w:pPr>
          </w:p>
        </w:tc>
        <w:tc>
          <w:tcPr>
            <w:tcW w:w="325" w:type="pct"/>
            <w:vAlign w:val="center"/>
          </w:tcPr>
          <w:p>
            <w:pPr>
              <w:pStyle w:val="118"/>
              <w:rPr>
                <w:color w:val="000000" w:themeColor="text1"/>
                <w:highlight w:val="none"/>
                <w14:textFill>
                  <w14:solidFill>
                    <w14:schemeClr w14:val="tx1"/>
                  </w14:solidFill>
                </w14:textFill>
              </w:rPr>
            </w:pPr>
          </w:p>
        </w:tc>
        <w:tc>
          <w:tcPr>
            <w:tcW w:w="325" w:type="pct"/>
            <w:vAlign w:val="center"/>
          </w:tcPr>
          <w:p>
            <w:pPr>
              <w:pStyle w:val="118"/>
              <w:rPr>
                <w:color w:val="000000" w:themeColor="text1"/>
                <w:highlight w:val="none"/>
                <w14:textFill>
                  <w14:solidFill>
                    <w14:schemeClr w14:val="tx1"/>
                  </w14:solidFill>
                </w14:textFill>
              </w:rPr>
            </w:pPr>
          </w:p>
        </w:tc>
        <w:tc>
          <w:tcPr>
            <w:tcW w:w="32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25" w:type="pct"/>
            <w:vAlign w:val="center"/>
          </w:tcPr>
          <w:p>
            <w:pPr>
              <w:pStyle w:val="118"/>
              <w:rPr>
                <w:color w:val="000000" w:themeColor="text1"/>
                <w:highlight w:val="none"/>
                <w14:textFill>
                  <w14:solidFill>
                    <w14:schemeClr w14:val="tx1"/>
                  </w14:solidFill>
                </w14:textFill>
              </w:rPr>
            </w:pPr>
          </w:p>
        </w:tc>
        <w:tc>
          <w:tcPr>
            <w:tcW w:w="324" w:type="pct"/>
            <w:vAlign w:val="center"/>
          </w:tcPr>
          <w:p>
            <w:pPr>
              <w:pStyle w:val="118"/>
              <w:rPr>
                <w:color w:val="000000" w:themeColor="text1"/>
                <w:highlight w:val="none"/>
                <w14:textFill>
                  <w14:solidFill>
                    <w14:schemeClr w14:val="tx1"/>
                  </w14:solidFill>
                </w14:textFill>
              </w:rPr>
            </w:pPr>
          </w:p>
        </w:tc>
        <w:tc>
          <w:tcPr>
            <w:tcW w:w="326" w:type="pct"/>
            <w:vAlign w:val="center"/>
          </w:tcPr>
          <w:p>
            <w:pPr>
              <w:pStyle w:val="118"/>
              <w:rPr>
                <w:color w:val="000000" w:themeColor="text1"/>
                <w:highlight w:val="none"/>
                <w14:textFill>
                  <w14:solidFill>
                    <w14:schemeClr w14:val="tx1"/>
                  </w14:solidFill>
                </w14:textFill>
              </w:rPr>
            </w:pPr>
          </w:p>
        </w:tc>
        <w:tc>
          <w:tcPr>
            <w:tcW w:w="325" w:type="pct"/>
            <w:vAlign w:val="center"/>
          </w:tcPr>
          <w:p>
            <w:pPr>
              <w:pStyle w:val="118"/>
              <w:rPr>
                <w:color w:val="000000" w:themeColor="text1"/>
                <w:highlight w:val="none"/>
                <w14:textFill>
                  <w14:solidFill>
                    <w14:schemeClr w14:val="tx1"/>
                  </w14:solidFill>
                </w14:textFill>
              </w:rPr>
            </w:pPr>
          </w:p>
        </w:tc>
        <w:tc>
          <w:tcPr>
            <w:tcW w:w="324" w:type="pct"/>
            <w:vAlign w:val="center"/>
          </w:tcPr>
          <w:p>
            <w:pPr>
              <w:pStyle w:val="118"/>
              <w:rPr>
                <w:color w:val="000000" w:themeColor="text1"/>
                <w:highlight w:val="none"/>
                <w14:textFill>
                  <w14:solidFill>
                    <w14:schemeClr w14:val="tx1"/>
                  </w14:solidFill>
                </w14:textFill>
              </w:rPr>
            </w:pPr>
          </w:p>
        </w:tc>
        <w:tc>
          <w:tcPr>
            <w:tcW w:w="325" w:type="pct"/>
            <w:vAlign w:val="center"/>
          </w:tcPr>
          <w:p>
            <w:pPr>
              <w:pStyle w:val="118"/>
              <w:rPr>
                <w:color w:val="000000" w:themeColor="text1"/>
                <w:highlight w:val="none"/>
                <w14:textFill>
                  <w14:solidFill>
                    <w14:schemeClr w14:val="tx1"/>
                  </w14:solidFill>
                </w14:textFill>
              </w:rPr>
            </w:pPr>
          </w:p>
        </w:tc>
        <w:tc>
          <w:tcPr>
            <w:tcW w:w="327" w:type="pct"/>
            <w:vAlign w:val="center"/>
          </w:tcPr>
          <w:p>
            <w:pPr>
              <w:pStyle w:val="118"/>
              <w:rPr>
                <w:color w:val="000000" w:themeColor="text1"/>
                <w:highlight w:val="none"/>
                <w14:textFill>
                  <w14:solidFill>
                    <w14:schemeClr w14:val="tx1"/>
                  </w14:solidFill>
                </w14:textFill>
              </w:rPr>
            </w:pPr>
          </w:p>
        </w:tc>
      </w:tr>
    </w:tbl>
    <w:p>
      <w:pPr>
        <w:spacing w:before="120" w:beforeLines="5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w:t>
      </w:r>
      <w:r>
        <w:rPr>
          <w:rFonts w:hint="eastAsia"/>
          <w:color w:val="000000" w:themeColor="text1"/>
          <w:highlight w:val="none"/>
          <w14:textFill>
            <w14:solidFill>
              <w14:schemeClr w14:val="tx1"/>
            </w14:solidFill>
          </w14:textFill>
        </w:rPr>
        <w:t>上</w:t>
      </w:r>
      <w:r>
        <w:rPr>
          <w:color w:val="000000" w:themeColor="text1"/>
          <w:highlight w:val="none"/>
          <w14:textFill>
            <w14:solidFill>
              <w14:schemeClr w14:val="tx1"/>
            </w14:solidFill>
          </w14:textFill>
        </w:rPr>
        <w:t>表的分析结果可知，就环境影响因子影响而言，拟建工程主要影响生态环境</w:t>
      </w:r>
      <w:r>
        <w:rPr>
          <w:rFonts w:hint="eastAsia"/>
          <w:color w:val="000000" w:themeColor="text1"/>
          <w:highlight w:val="none"/>
          <w14:textFill>
            <w14:solidFill>
              <w14:schemeClr w14:val="tx1"/>
            </w14:solidFill>
          </w14:textFill>
        </w:rPr>
        <w:t>。</w:t>
      </w:r>
    </w:p>
    <w:p>
      <w:pPr>
        <w:pStyle w:val="5"/>
        <w:spacing w:before="12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评价因子筛选</w:t>
      </w:r>
    </w:p>
    <w:p>
      <w:pPr>
        <w:ind w:firstLine="482"/>
        <w:rPr>
          <w:b/>
          <w:bCs/>
          <w:color w:val="000000" w:themeColor="text1"/>
          <w:highlight w:val="none"/>
          <w14:textFill>
            <w14:solidFill>
              <w14:schemeClr w14:val="tx1"/>
            </w14:solidFill>
          </w14:textFill>
        </w:rPr>
      </w:pPr>
      <w:bookmarkStart w:id="41" w:name="_Toc12757"/>
      <w:bookmarkStart w:id="42" w:name="_Toc9464"/>
      <w:bookmarkStart w:id="43" w:name="_Toc14939"/>
      <w:r>
        <w:rPr>
          <w:b/>
          <w:bCs/>
          <w:color w:val="000000" w:themeColor="text1"/>
          <w:highlight w:val="none"/>
          <w14:textFill>
            <w14:solidFill>
              <w14:schemeClr w14:val="tx1"/>
            </w14:solidFill>
          </w14:textFill>
        </w:rPr>
        <w:t>1、地表水</w:t>
      </w:r>
      <w:r>
        <w:rPr>
          <w:b/>
          <w:bCs/>
          <w:color w:val="000000" w:themeColor="text1"/>
          <w:szCs w:val="24"/>
          <w:highlight w:val="none"/>
          <w14:textFill>
            <w14:solidFill>
              <w14:schemeClr w14:val="tx1"/>
            </w14:solidFill>
          </w14:textFill>
        </w:rPr>
        <w:t>环境</w:t>
      </w:r>
      <w:bookmarkEnd w:id="41"/>
      <w:bookmarkEnd w:id="42"/>
      <w:bookmarkEnd w:id="43"/>
    </w:p>
    <w:p>
      <w:pPr>
        <w:ind w:firstLine="480"/>
        <w:rPr>
          <w:color w:val="000000" w:themeColor="text1"/>
          <w:szCs w:val="24"/>
          <w:highlight w:val="none"/>
          <w14:textFill>
            <w14:solidFill>
              <w14:schemeClr w14:val="tx1"/>
            </w14:solidFill>
          </w14:textFill>
        </w:rPr>
      </w:pPr>
      <w:r>
        <w:rPr>
          <w:color w:val="000000" w:themeColor="text1"/>
          <w:highlight w:val="none"/>
          <w14:textFill>
            <w14:solidFill>
              <w14:schemeClr w14:val="tx1"/>
            </w14:solidFill>
          </w14:textFill>
        </w:rPr>
        <w:t>现状评价因子：</w:t>
      </w:r>
      <w:r>
        <w:rPr>
          <w:rFonts w:hint="eastAsia"/>
          <w:color w:val="000000" w:themeColor="text1"/>
          <w:szCs w:val="24"/>
          <w:highlight w:val="none"/>
          <w14:textFill>
            <w14:solidFill>
              <w14:schemeClr w14:val="tx1"/>
            </w14:solidFill>
          </w14:textFill>
        </w:rPr>
        <w:t>pH、水温、悬浮物、化学需氧量（COD</w:t>
      </w:r>
      <w:r>
        <w:rPr>
          <w:rFonts w:hint="eastAsia"/>
          <w:color w:val="000000" w:themeColor="text1"/>
          <w:szCs w:val="24"/>
          <w:highlight w:val="none"/>
          <w:vertAlign w:val="subscript"/>
          <w14:textFill>
            <w14:solidFill>
              <w14:schemeClr w14:val="tx1"/>
            </w14:solidFill>
          </w14:textFill>
        </w:rPr>
        <w:t>Cr</w:t>
      </w:r>
      <w:r>
        <w:rPr>
          <w:rFonts w:hint="eastAsia"/>
          <w:color w:val="000000" w:themeColor="text1"/>
          <w:szCs w:val="24"/>
          <w:highlight w:val="none"/>
          <w14:textFill>
            <w14:solidFill>
              <w14:schemeClr w14:val="tx1"/>
            </w14:solidFill>
          </w14:textFill>
        </w:rPr>
        <w:t>）、五日生化需氧量（BOD</w:t>
      </w:r>
      <w:r>
        <w:rPr>
          <w:rFonts w:hint="eastAsia"/>
          <w:color w:val="000000" w:themeColor="text1"/>
          <w:szCs w:val="24"/>
          <w:highlight w:val="none"/>
          <w:vertAlign w:val="subscript"/>
          <w14:textFill>
            <w14:solidFill>
              <w14:schemeClr w14:val="tx1"/>
            </w14:solidFill>
          </w14:textFill>
        </w:rPr>
        <w:t>5</w:t>
      </w:r>
      <w:r>
        <w:rPr>
          <w:rFonts w:hint="eastAsia"/>
          <w:color w:val="000000" w:themeColor="text1"/>
          <w:szCs w:val="24"/>
          <w:highlight w:val="none"/>
          <w14:textFill>
            <w14:solidFill>
              <w14:schemeClr w14:val="tx1"/>
            </w14:solidFill>
          </w14:textFill>
        </w:rPr>
        <w:t>）、氨氮（NH</w:t>
      </w:r>
      <w:r>
        <w:rPr>
          <w:rFonts w:hint="eastAsia"/>
          <w:color w:val="000000" w:themeColor="text1"/>
          <w:szCs w:val="24"/>
          <w:highlight w:val="none"/>
          <w:vertAlign w:val="subscript"/>
          <w14:textFill>
            <w14:solidFill>
              <w14:schemeClr w14:val="tx1"/>
            </w14:solidFill>
          </w14:textFill>
        </w:rPr>
        <w:t>3</w:t>
      </w:r>
      <w:r>
        <w:rPr>
          <w:rFonts w:hint="eastAsia"/>
          <w:color w:val="000000" w:themeColor="text1"/>
          <w:szCs w:val="24"/>
          <w:highlight w:val="none"/>
          <w14:textFill>
            <w14:solidFill>
              <w14:schemeClr w14:val="tx1"/>
            </w14:solidFill>
          </w14:textFill>
        </w:rPr>
        <w:t>-N）、硫化物、挥发酚、石油类、氯化物、硫化物</w:t>
      </w:r>
      <w:r>
        <w:rPr>
          <w:color w:val="000000" w:themeColor="text1"/>
          <w:szCs w:val="24"/>
          <w:highlight w:val="none"/>
          <w14:textFill>
            <w14:solidFill>
              <w14:schemeClr w14:val="tx1"/>
            </w14:solidFill>
          </w14:textFill>
        </w:rPr>
        <w:t>。</w:t>
      </w:r>
    </w:p>
    <w:p>
      <w:pPr>
        <w:ind w:firstLine="482"/>
        <w:rPr>
          <w:b/>
          <w:bCs/>
          <w:color w:val="000000" w:themeColor="text1"/>
          <w:highlight w:val="none"/>
          <w14:textFill>
            <w14:solidFill>
              <w14:schemeClr w14:val="tx1"/>
            </w14:solidFill>
          </w14:textFill>
        </w:rPr>
      </w:pPr>
      <w:bookmarkStart w:id="44" w:name="_Toc307"/>
      <w:bookmarkStart w:id="45" w:name="_Toc24153"/>
      <w:bookmarkStart w:id="46" w:name="_Toc2714"/>
      <w:r>
        <w:rPr>
          <w:b/>
          <w:bCs/>
          <w:color w:val="000000" w:themeColor="text1"/>
          <w:highlight w:val="none"/>
          <w14:textFill>
            <w14:solidFill>
              <w14:schemeClr w14:val="tx1"/>
            </w14:solidFill>
          </w14:textFill>
        </w:rPr>
        <w:t>2、地下水环境</w:t>
      </w:r>
      <w:bookmarkEnd w:id="44"/>
      <w:bookmarkEnd w:id="45"/>
      <w:bookmarkEnd w:id="46"/>
    </w:p>
    <w:p>
      <w:pPr>
        <w:ind w:firstLine="480"/>
        <w:rPr>
          <w:bCs/>
          <w:color w:val="000000" w:themeColor="text1"/>
          <w:spacing w:val="5"/>
          <w:highlight w:val="none"/>
          <w14:textFill>
            <w14:solidFill>
              <w14:schemeClr w14:val="tx1"/>
            </w14:solidFill>
          </w14:textFill>
        </w:rPr>
      </w:pPr>
      <w:r>
        <w:rPr>
          <w:color w:val="000000" w:themeColor="text1"/>
          <w:szCs w:val="24"/>
          <w:highlight w:val="none"/>
          <w14:textFill>
            <w14:solidFill>
              <w14:schemeClr w14:val="tx1"/>
            </w14:solidFill>
          </w14:textFill>
        </w:rPr>
        <w:t>现状评价因子：</w:t>
      </w:r>
      <w:r>
        <w:rPr>
          <w:color w:val="000000" w:themeColor="text1"/>
          <w:highlight w:val="none"/>
          <w14:textFill>
            <w14:solidFill>
              <w14:schemeClr w14:val="tx1"/>
            </w14:solidFill>
          </w14:textFill>
        </w:rPr>
        <w:t>K</w:t>
      </w:r>
      <w:r>
        <w:rPr>
          <w:color w:val="000000" w:themeColor="text1"/>
          <w:highlight w:val="none"/>
          <w:vertAlign w:val="superscript"/>
          <w14:textFill>
            <w14:solidFill>
              <w14:schemeClr w14:val="tx1"/>
            </w14:solidFill>
          </w14:textFill>
        </w:rPr>
        <w:t>+</w:t>
      </w:r>
      <w:r>
        <w:rPr>
          <w:color w:val="000000" w:themeColor="text1"/>
          <w:highlight w:val="none"/>
          <w14:textFill>
            <w14:solidFill>
              <w14:schemeClr w14:val="tx1"/>
            </w14:solidFill>
          </w14:textFill>
        </w:rPr>
        <w:t>、Na</w:t>
      </w:r>
      <w:r>
        <w:rPr>
          <w:color w:val="000000" w:themeColor="text1"/>
          <w:highlight w:val="none"/>
          <w:vertAlign w:val="superscript"/>
          <w14:textFill>
            <w14:solidFill>
              <w14:schemeClr w14:val="tx1"/>
            </w14:solidFill>
          </w14:textFill>
        </w:rPr>
        <w:t>+</w:t>
      </w:r>
      <w:r>
        <w:rPr>
          <w:color w:val="000000" w:themeColor="text1"/>
          <w:highlight w:val="none"/>
          <w14:textFill>
            <w14:solidFill>
              <w14:schemeClr w14:val="tx1"/>
            </w14:solidFill>
          </w14:textFill>
        </w:rPr>
        <w:t>、Ca</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、Mg</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、CO</w:t>
      </w:r>
      <w:r>
        <w:rPr>
          <w:color w:val="000000" w:themeColor="text1"/>
          <w:highlight w:val="none"/>
          <w:vertAlign w:val="subscript"/>
          <w14:textFill>
            <w14:solidFill>
              <w14:schemeClr w14:val="tx1"/>
            </w14:solidFill>
          </w14:textFill>
        </w:rPr>
        <w:t>3</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、HCO</w:t>
      </w:r>
      <w:r>
        <w:rPr>
          <w:color w:val="000000" w:themeColor="text1"/>
          <w:highlight w:val="none"/>
          <w:vertAlign w:val="subscript"/>
          <w14:textFill>
            <w14:solidFill>
              <w14:schemeClr w14:val="tx1"/>
            </w14:solidFill>
          </w14:textFill>
        </w:rPr>
        <w:t>3</w:t>
      </w:r>
      <w:r>
        <w:rPr>
          <w:color w:val="000000" w:themeColor="text1"/>
          <w:highlight w:val="none"/>
          <w:vertAlign w:val="superscript"/>
          <w14:textFill>
            <w14:solidFill>
              <w14:schemeClr w14:val="tx1"/>
            </w14:solidFill>
          </w14:textFill>
        </w:rPr>
        <w:t>-</w:t>
      </w:r>
      <w:r>
        <w:rPr>
          <w:color w:val="000000" w:themeColor="text1"/>
          <w:highlight w:val="none"/>
          <w14:textFill>
            <w14:solidFill>
              <w14:schemeClr w14:val="tx1"/>
            </w14:solidFill>
          </w14:textFill>
        </w:rPr>
        <w:t>、Cl</w:t>
      </w:r>
      <w:r>
        <w:rPr>
          <w:color w:val="000000" w:themeColor="text1"/>
          <w:highlight w:val="none"/>
          <w:vertAlign w:val="superscript"/>
          <w14:textFill>
            <w14:solidFill>
              <w14:schemeClr w14:val="tx1"/>
            </w14:solidFill>
          </w14:textFill>
        </w:rPr>
        <w:t>-</w:t>
      </w:r>
      <w:r>
        <w:rPr>
          <w:color w:val="000000" w:themeColor="text1"/>
          <w:highlight w:val="none"/>
          <w14:textFill>
            <w14:solidFill>
              <w14:schemeClr w14:val="tx1"/>
            </w14:solidFill>
          </w14:textFill>
        </w:rPr>
        <w:t>、SO</w:t>
      </w:r>
      <w:r>
        <w:rPr>
          <w:color w:val="000000" w:themeColor="text1"/>
          <w:highlight w:val="none"/>
          <w:vertAlign w:val="subscript"/>
          <w14:textFill>
            <w14:solidFill>
              <w14:schemeClr w14:val="tx1"/>
            </w14:solidFill>
          </w14:textFill>
        </w:rPr>
        <w:t>4</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pH、氨氮、硝酸盐、亚硝酸盐、挥发性酚类、氰化物、砷、汞、铬（六价）、总硬度、铅、氟、镉、铁、锰、溶解性总固体、耗氧量、硫酸盐、氯化物、总大肠菌群、细菌总数、石油类</w:t>
      </w:r>
      <w:r>
        <w:rPr>
          <w:bCs/>
          <w:color w:val="000000" w:themeColor="text1"/>
          <w:spacing w:val="5"/>
          <w:highlight w:val="none"/>
          <w14:textFill>
            <w14:solidFill>
              <w14:schemeClr w14:val="tx1"/>
            </w14:solidFill>
          </w14:textFill>
        </w:rPr>
        <w:t>；</w:t>
      </w:r>
    </w:p>
    <w:p>
      <w:pPr>
        <w:ind w:firstLine="490"/>
        <w:rPr>
          <w:bCs/>
          <w:color w:val="000000" w:themeColor="text1"/>
          <w:spacing w:val="5"/>
          <w:highlight w:val="none"/>
          <w14:textFill>
            <w14:solidFill>
              <w14:schemeClr w14:val="tx1"/>
            </w14:solidFill>
          </w14:textFill>
        </w:rPr>
      </w:pPr>
      <w:r>
        <w:rPr>
          <w:bCs/>
          <w:color w:val="000000" w:themeColor="text1"/>
          <w:spacing w:val="5"/>
          <w:highlight w:val="none"/>
          <w14:textFill>
            <w14:solidFill>
              <w14:schemeClr w14:val="tx1"/>
            </w14:solidFill>
          </w14:textFill>
        </w:rPr>
        <w:t>影响预测因子：COD</w:t>
      </w:r>
      <w:r>
        <w:rPr>
          <w:rFonts w:hint="eastAsia"/>
          <w:bCs/>
          <w:color w:val="000000" w:themeColor="text1"/>
          <w:spacing w:val="5"/>
          <w:highlight w:val="none"/>
          <w:vertAlign w:val="subscript"/>
          <w14:textFill>
            <w14:solidFill>
              <w14:schemeClr w14:val="tx1"/>
            </w14:solidFill>
          </w14:textFill>
        </w:rPr>
        <w:t>Mn</w:t>
      </w:r>
      <w:r>
        <w:rPr>
          <w:bCs/>
          <w:color w:val="000000" w:themeColor="text1"/>
          <w:spacing w:val="5"/>
          <w:highlight w:val="none"/>
          <w14:textFill>
            <w14:solidFill>
              <w14:schemeClr w14:val="tx1"/>
            </w14:solidFill>
          </w14:textFill>
        </w:rPr>
        <w:t>、氯</w:t>
      </w:r>
      <w:r>
        <w:rPr>
          <w:rFonts w:hint="eastAsia"/>
          <w:bCs/>
          <w:color w:val="000000" w:themeColor="text1"/>
          <w:spacing w:val="5"/>
          <w:highlight w:val="none"/>
          <w14:textFill>
            <w14:solidFill>
              <w14:schemeClr w14:val="tx1"/>
            </w14:solidFill>
          </w14:textFill>
        </w:rPr>
        <w:t>离子</w:t>
      </w:r>
      <w:r>
        <w:rPr>
          <w:bCs/>
          <w:color w:val="000000" w:themeColor="text1"/>
          <w:spacing w:val="5"/>
          <w:highlight w:val="none"/>
          <w14:textFill>
            <w14:solidFill>
              <w14:schemeClr w14:val="tx1"/>
            </w14:solidFill>
          </w14:textFill>
        </w:rPr>
        <w:t>、石油类。</w:t>
      </w:r>
    </w:p>
    <w:p>
      <w:pPr>
        <w:numPr>
          <w:ilvl w:val="0"/>
          <w:numId w:val="7"/>
        </w:numPr>
        <w:adjustRightInd/>
        <w:snapToGrid/>
        <w:ind w:firstLine="482"/>
        <w:textAlignment w:val="baseline"/>
        <w:rPr>
          <w:b/>
          <w:bCs/>
          <w:color w:val="000000" w:themeColor="text1"/>
          <w:szCs w:val="24"/>
          <w:highlight w:val="none"/>
          <w14:textFill>
            <w14:solidFill>
              <w14:schemeClr w14:val="tx1"/>
            </w14:solidFill>
          </w14:textFill>
        </w:rPr>
      </w:pPr>
      <w:bookmarkStart w:id="47" w:name="_Toc22351"/>
      <w:bookmarkStart w:id="48" w:name="_Toc18773"/>
      <w:bookmarkStart w:id="49" w:name="_Toc15188"/>
      <w:r>
        <w:rPr>
          <w:b/>
          <w:bCs/>
          <w:color w:val="000000" w:themeColor="text1"/>
          <w:szCs w:val="24"/>
          <w:highlight w:val="none"/>
          <w14:textFill>
            <w14:solidFill>
              <w14:schemeClr w14:val="tx1"/>
            </w14:solidFill>
          </w14:textFill>
        </w:rPr>
        <w:t>环境空气</w:t>
      </w:r>
      <w:bookmarkEnd w:id="47"/>
      <w:bookmarkEnd w:id="48"/>
      <w:bookmarkEnd w:id="49"/>
    </w:p>
    <w:p>
      <w:pPr>
        <w:adjustRightInd/>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现状评价因子：二氧化硫（SO</w:t>
      </w:r>
      <w:r>
        <w:rPr>
          <w:color w:val="000000" w:themeColor="text1"/>
          <w:szCs w:val="24"/>
          <w:highlight w:val="none"/>
          <w:vertAlign w:val="subscript"/>
          <w14:textFill>
            <w14:solidFill>
              <w14:schemeClr w14:val="tx1"/>
            </w14:solidFill>
          </w14:textFill>
        </w:rPr>
        <w:t>2</w:t>
      </w:r>
      <w:r>
        <w:rPr>
          <w:color w:val="000000" w:themeColor="text1"/>
          <w:szCs w:val="24"/>
          <w:highlight w:val="none"/>
          <w14:textFill>
            <w14:solidFill>
              <w14:schemeClr w14:val="tx1"/>
            </w14:solidFill>
          </w14:textFill>
        </w:rPr>
        <w:t>）、二氧化氮（NO</w:t>
      </w:r>
      <w:r>
        <w:rPr>
          <w:color w:val="000000" w:themeColor="text1"/>
          <w:szCs w:val="24"/>
          <w:highlight w:val="none"/>
          <w:vertAlign w:val="subscript"/>
          <w14:textFill>
            <w14:solidFill>
              <w14:schemeClr w14:val="tx1"/>
            </w14:solidFill>
          </w14:textFill>
        </w:rPr>
        <w:t>2</w:t>
      </w:r>
      <w:r>
        <w:rPr>
          <w:color w:val="000000" w:themeColor="text1"/>
          <w:szCs w:val="24"/>
          <w:highlight w:val="none"/>
          <w14:textFill>
            <w14:solidFill>
              <w14:schemeClr w14:val="tx1"/>
            </w14:solidFill>
          </w14:textFill>
        </w:rPr>
        <w:t>）、PM</w:t>
      </w:r>
      <w:r>
        <w:rPr>
          <w:color w:val="000000" w:themeColor="text1"/>
          <w:szCs w:val="24"/>
          <w:highlight w:val="none"/>
          <w:vertAlign w:val="subscript"/>
          <w14:textFill>
            <w14:solidFill>
              <w14:schemeClr w14:val="tx1"/>
            </w14:solidFill>
          </w14:textFill>
        </w:rPr>
        <w:t>10</w:t>
      </w:r>
      <w:r>
        <w:rPr>
          <w:color w:val="000000" w:themeColor="text1"/>
          <w:szCs w:val="24"/>
          <w:highlight w:val="none"/>
          <w14:textFill>
            <w14:solidFill>
              <w14:schemeClr w14:val="tx1"/>
            </w14:solidFill>
          </w14:textFill>
        </w:rPr>
        <w:t>、PM</w:t>
      </w:r>
      <w:r>
        <w:rPr>
          <w:color w:val="000000" w:themeColor="text1"/>
          <w:szCs w:val="24"/>
          <w:highlight w:val="none"/>
          <w:vertAlign w:val="subscript"/>
          <w14:textFill>
            <w14:solidFill>
              <w14:schemeClr w14:val="tx1"/>
            </w14:solidFill>
          </w14:textFill>
        </w:rPr>
        <w:t>2.5</w:t>
      </w:r>
      <w:r>
        <w:rPr>
          <w:color w:val="000000" w:themeColor="text1"/>
          <w:szCs w:val="24"/>
          <w:highlight w:val="none"/>
          <w14:textFill>
            <w14:solidFill>
              <w14:schemeClr w14:val="tx1"/>
            </w14:solidFill>
          </w14:textFill>
        </w:rPr>
        <w:t>、臭氧（O</w:t>
      </w:r>
      <w:r>
        <w:rPr>
          <w:color w:val="000000" w:themeColor="text1"/>
          <w:szCs w:val="24"/>
          <w:highlight w:val="none"/>
          <w:vertAlign w:val="subscript"/>
          <w14:textFill>
            <w14:solidFill>
              <w14:schemeClr w14:val="tx1"/>
            </w14:solidFill>
          </w14:textFill>
        </w:rPr>
        <w:t>3</w:t>
      </w:r>
      <w:r>
        <w:rPr>
          <w:color w:val="000000" w:themeColor="text1"/>
          <w:szCs w:val="24"/>
          <w:highlight w:val="none"/>
          <w14:textFill>
            <w14:solidFill>
              <w14:schemeClr w14:val="tx1"/>
            </w14:solidFill>
          </w14:textFill>
        </w:rPr>
        <w:t>）、一氧化碳（CO）、</w:t>
      </w:r>
      <w:r>
        <w:rPr>
          <w:rFonts w:hint="eastAsia"/>
          <w:color w:val="000000" w:themeColor="text1"/>
          <w:spacing w:val="-1"/>
          <w:position w:val="2"/>
          <w:szCs w:val="24"/>
          <w:highlight w:val="none"/>
          <w14:textFill>
            <w14:solidFill>
              <w14:schemeClr w14:val="tx1"/>
            </w14:solidFill>
          </w14:textFill>
        </w:rPr>
        <w:t>非甲烷总烃、TSP</w:t>
      </w:r>
      <w:r>
        <w:rPr>
          <w:color w:val="000000" w:themeColor="text1"/>
          <w:szCs w:val="24"/>
          <w:highlight w:val="none"/>
          <w14:textFill>
            <w14:solidFill>
              <w14:schemeClr w14:val="tx1"/>
            </w14:solidFill>
          </w14:textFill>
        </w:rPr>
        <w:t>；</w:t>
      </w:r>
    </w:p>
    <w:p>
      <w:pPr>
        <w:adjustRightInd/>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预测评价因子：</w:t>
      </w:r>
      <w:r>
        <w:rPr>
          <w:rFonts w:hint="eastAsia"/>
          <w:color w:val="000000" w:themeColor="text1"/>
          <w:szCs w:val="24"/>
          <w:highlight w:val="none"/>
          <w14:textFill>
            <w14:solidFill>
              <w14:schemeClr w14:val="tx1"/>
            </w14:solidFill>
          </w14:textFill>
        </w:rPr>
        <w:t>氮氧化物、颗粒物</w:t>
      </w:r>
      <w:r>
        <w:rPr>
          <w:color w:val="000000" w:themeColor="text1"/>
          <w:szCs w:val="24"/>
          <w:highlight w:val="none"/>
          <w14:textFill>
            <w14:solidFill>
              <w14:schemeClr w14:val="tx1"/>
            </w14:solidFill>
          </w14:textFill>
        </w:rPr>
        <w:t>。</w:t>
      </w:r>
    </w:p>
    <w:p>
      <w:pPr>
        <w:numPr>
          <w:ilvl w:val="0"/>
          <w:numId w:val="7"/>
        </w:numPr>
        <w:snapToGrid/>
        <w:ind w:firstLine="482"/>
        <w:textAlignment w:val="baseline"/>
        <w:rPr>
          <w:b/>
          <w:bCs/>
          <w:color w:val="000000" w:themeColor="text1"/>
          <w:highlight w:val="none"/>
          <w14:textFill>
            <w14:solidFill>
              <w14:schemeClr w14:val="tx1"/>
            </w14:solidFill>
          </w14:textFill>
        </w:rPr>
      </w:pPr>
      <w:bookmarkStart w:id="50" w:name="_Toc2678"/>
      <w:bookmarkStart w:id="51" w:name="_Toc3580"/>
      <w:bookmarkStart w:id="52" w:name="_Toc7541"/>
      <w:r>
        <w:rPr>
          <w:b/>
          <w:bCs/>
          <w:color w:val="000000" w:themeColor="text1"/>
          <w:highlight w:val="none"/>
          <w14:textFill>
            <w14:solidFill>
              <w14:schemeClr w14:val="tx1"/>
            </w14:solidFill>
          </w14:textFill>
        </w:rPr>
        <w:t>声环境</w:t>
      </w:r>
      <w:bookmarkEnd w:id="50"/>
      <w:bookmarkEnd w:id="51"/>
      <w:bookmarkEnd w:id="52"/>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现状评价因子：环境背景噪声L</w:t>
      </w:r>
      <w:r>
        <w:rPr>
          <w:color w:val="000000" w:themeColor="text1"/>
          <w:highlight w:val="none"/>
          <w:vertAlign w:val="subscript"/>
          <w14:textFill>
            <w14:solidFill>
              <w14:schemeClr w14:val="tx1"/>
            </w14:solidFill>
          </w14:textFill>
        </w:rPr>
        <w:t>Aeq</w:t>
      </w:r>
      <w:r>
        <w:rPr>
          <w:color w:val="000000" w:themeColor="text1"/>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预测因子：厂界和敏感点噪声L</w:t>
      </w:r>
      <w:r>
        <w:rPr>
          <w:color w:val="000000" w:themeColor="text1"/>
          <w:highlight w:val="none"/>
          <w:vertAlign w:val="subscript"/>
          <w14:textFill>
            <w14:solidFill>
              <w14:schemeClr w14:val="tx1"/>
            </w14:solidFill>
          </w14:textFill>
        </w:rPr>
        <w:t>Aeq</w:t>
      </w:r>
      <w:r>
        <w:rPr>
          <w:color w:val="000000" w:themeColor="text1"/>
          <w:highlight w:val="none"/>
          <w14:textFill>
            <w14:solidFill>
              <w14:schemeClr w14:val="tx1"/>
            </w14:solidFill>
          </w14:textFill>
        </w:rPr>
        <w:t>。</w:t>
      </w:r>
    </w:p>
    <w:p>
      <w:pPr>
        <w:numPr>
          <w:ilvl w:val="0"/>
          <w:numId w:val="7"/>
        </w:numPr>
        <w:snapToGrid/>
        <w:ind w:firstLine="482"/>
        <w:textAlignment w:val="baseline"/>
        <w:rPr>
          <w:b/>
          <w:bCs/>
          <w:color w:val="000000" w:themeColor="text1"/>
          <w:highlight w:val="none"/>
          <w14:textFill>
            <w14:solidFill>
              <w14:schemeClr w14:val="tx1"/>
            </w14:solidFill>
          </w14:textFill>
        </w:rPr>
      </w:pPr>
      <w:bookmarkStart w:id="53" w:name="_Toc26643"/>
      <w:bookmarkStart w:id="54" w:name="_Toc4770"/>
      <w:bookmarkStart w:id="55" w:name="_Toc28109"/>
      <w:r>
        <w:rPr>
          <w:b/>
          <w:bCs/>
          <w:color w:val="000000" w:themeColor="text1"/>
          <w:highlight w:val="none"/>
          <w14:textFill>
            <w14:solidFill>
              <w14:schemeClr w14:val="tx1"/>
            </w14:solidFill>
          </w14:textFill>
        </w:rPr>
        <w:t>土壤环境</w:t>
      </w:r>
      <w:bookmarkEnd w:id="53"/>
      <w:bookmarkEnd w:id="54"/>
      <w:bookmarkEnd w:id="55"/>
    </w:p>
    <w:p>
      <w:pPr>
        <w:adjustRightInd/>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现状评价因子：《土壤环境质量 建设用地土壤污染风险管控标准（试行）</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GB36600—2018</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》中表1基本项目，共45个</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《土壤环境质量 农用地土壤污染风险管控标准（试行）》（GB15618-2018）表1全部8项；</w:t>
      </w:r>
      <w:r>
        <w:rPr>
          <w:rFonts w:hint="eastAsia"/>
          <w:color w:val="000000" w:themeColor="text1"/>
          <w:highlight w:val="none"/>
          <w14:textFill>
            <w14:solidFill>
              <w14:schemeClr w14:val="tx1"/>
            </w14:solidFill>
          </w14:textFill>
        </w:rPr>
        <w:t>石油烃、全盐量、氯离子、硫酸根、钡、pH</w:t>
      </w:r>
      <w:r>
        <w:rPr>
          <w:color w:val="000000" w:themeColor="text1"/>
          <w:highlight w:val="none"/>
          <w14:textFill>
            <w14:solidFill>
              <w14:schemeClr w14:val="tx1"/>
            </w14:solidFill>
          </w14:textFill>
        </w:rPr>
        <w:t>；</w:t>
      </w:r>
    </w:p>
    <w:p>
      <w:pPr>
        <w:numPr>
          <w:ilvl w:val="0"/>
          <w:numId w:val="7"/>
        </w:numPr>
        <w:snapToGrid/>
        <w:ind w:firstLine="482"/>
        <w:textAlignment w:val="baseline"/>
        <w:rPr>
          <w:b/>
          <w:bCs/>
          <w:color w:val="000000" w:themeColor="text1"/>
          <w:highlight w:val="none"/>
          <w14:textFill>
            <w14:solidFill>
              <w14:schemeClr w14:val="tx1"/>
            </w14:solidFill>
          </w14:textFill>
        </w:rPr>
      </w:pPr>
      <w:bookmarkStart w:id="56" w:name="_Toc20379"/>
      <w:bookmarkStart w:id="57" w:name="_Toc24930"/>
      <w:bookmarkStart w:id="58" w:name="_Toc13001"/>
      <w:r>
        <w:rPr>
          <w:b/>
          <w:bCs/>
          <w:color w:val="000000" w:themeColor="text1"/>
          <w:highlight w:val="none"/>
          <w14:textFill>
            <w14:solidFill>
              <w14:schemeClr w14:val="tx1"/>
            </w14:solidFill>
          </w14:textFill>
        </w:rPr>
        <w:t>固体废物</w:t>
      </w:r>
      <w:bookmarkEnd w:id="56"/>
      <w:bookmarkEnd w:id="57"/>
      <w:bookmarkEnd w:id="58"/>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预测因子：一般废物、危险废物。</w:t>
      </w:r>
    </w:p>
    <w:p>
      <w:pPr>
        <w:numPr>
          <w:ilvl w:val="0"/>
          <w:numId w:val="7"/>
        </w:numPr>
        <w:snapToGrid/>
        <w:ind w:firstLine="482"/>
        <w:textAlignment w:val="baseline"/>
        <w:rPr>
          <w:b/>
          <w:bCs/>
          <w:color w:val="000000" w:themeColor="text1"/>
          <w:highlight w:val="none"/>
          <w14:textFill>
            <w14:solidFill>
              <w14:schemeClr w14:val="tx1"/>
            </w14:solidFill>
          </w14:textFill>
        </w:rPr>
      </w:pPr>
      <w:bookmarkStart w:id="59" w:name="_Toc11577"/>
      <w:bookmarkStart w:id="60" w:name="_Toc9584"/>
      <w:bookmarkStart w:id="61" w:name="_Toc10528"/>
      <w:r>
        <w:rPr>
          <w:b/>
          <w:bCs/>
          <w:color w:val="000000" w:themeColor="text1"/>
          <w:highlight w:val="none"/>
          <w14:textFill>
            <w14:solidFill>
              <w14:schemeClr w14:val="tx1"/>
            </w14:solidFill>
          </w14:textFill>
        </w:rPr>
        <w:t>生态环境</w:t>
      </w:r>
      <w:bookmarkEnd w:id="59"/>
      <w:bookmarkEnd w:id="60"/>
      <w:bookmarkEnd w:id="61"/>
    </w:p>
    <w:p>
      <w:pPr>
        <w:spacing w:before="120" w:beforeLines="50"/>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项目主要建设内容</w:t>
      </w:r>
      <w:r>
        <w:rPr>
          <w:rFonts w:hint="eastAsia" w:cs="Times New Roman"/>
          <w:color w:val="000000" w:themeColor="text1"/>
          <w:highlight w:val="none"/>
          <w14:textFill>
            <w14:solidFill>
              <w14:schemeClr w14:val="tx1"/>
            </w14:solidFill>
          </w14:textFill>
        </w:rPr>
        <w:t>为新建雷页1井试采站</w:t>
      </w:r>
      <w:r>
        <w:rPr>
          <w:rFonts w:cs="Times New Roman"/>
          <w:color w:val="000000" w:themeColor="text1"/>
          <w:highlight w:val="none"/>
          <w14:textFill>
            <w14:solidFill>
              <w14:schemeClr w14:val="tx1"/>
            </w14:solidFill>
          </w14:textFill>
        </w:rPr>
        <w:t>1座、</w:t>
      </w:r>
      <w:r>
        <w:rPr>
          <w:rFonts w:hint="eastAsia" w:cs="Times New Roman"/>
          <w:color w:val="000000" w:themeColor="text1"/>
          <w:highlight w:val="none"/>
          <w14:textFill>
            <w14:solidFill>
              <w14:schemeClr w14:val="tx1"/>
            </w14:solidFill>
          </w14:textFill>
        </w:rPr>
        <w:t>新建雷页1井试采站至魏兴交接计量站集输管线1</w:t>
      </w:r>
      <w:r>
        <w:rPr>
          <w:rFonts w:cs="Times New Roman"/>
          <w:color w:val="000000" w:themeColor="text1"/>
          <w:highlight w:val="none"/>
          <w14:textFill>
            <w14:solidFill>
              <w14:schemeClr w14:val="tx1"/>
            </w14:solidFill>
          </w14:textFill>
        </w:rPr>
        <w:t>1.8</w:t>
      </w:r>
      <w:r>
        <w:rPr>
          <w:rFonts w:hint="eastAsia" w:cs="Times New Roman"/>
          <w:color w:val="000000" w:themeColor="text1"/>
          <w:highlight w:val="none"/>
          <w14:textFill>
            <w14:solidFill>
              <w14:schemeClr w14:val="tx1"/>
            </w14:solidFill>
          </w14:textFill>
        </w:rPr>
        <w:t>km</w:t>
      </w:r>
      <w:r>
        <w:rPr>
          <w:rFonts w:cs="Times New Roman"/>
          <w:color w:val="000000" w:themeColor="text1"/>
          <w:highlight w:val="none"/>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项目产生的</w:t>
      </w:r>
      <w:r>
        <w:rPr>
          <w:rFonts w:cs="Times New Roman"/>
          <w:color w:val="000000" w:themeColor="text1"/>
          <w:highlight w:val="none"/>
          <w14:textFill>
            <w14:solidFill>
              <w14:schemeClr w14:val="tx1"/>
            </w14:solidFill>
          </w14:textFill>
        </w:rPr>
        <w:t>生态环境影响主要表现在施工运营活动对物种、生境、生物群落、自然景观、生态系统、生物多样性等方面的影响。</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在工程分析和现场调查的基础上，结合本项目的特点，进行项目环境影响识别与评价因子筛选，确定本次评价的重点，生态环境影响因素如下表所示。</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t>2施工期生态影响评价因子筛选表</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92"/>
        <w:gridCol w:w="2820"/>
        <w:gridCol w:w="2622"/>
        <w:gridCol w:w="854"/>
        <w:gridCol w:w="9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6" w:hRule="atLeast"/>
          <w:jc w:val="center"/>
        </w:trPr>
        <w:tc>
          <w:tcPr>
            <w:tcW w:w="656"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受影响对象</w:t>
            </w:r>
          </w:p>
        </w:tc>
        <w:tc>
          <w:tcPr>
            <w:tcW w:w="1695"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评价因子</w:t>
            </w:r>
          </w:p>
        </w:tc>
        <w:tc>
          <w:tcPr>
            <w:tcW w:w="1576"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工程内容及影响方式</w:t>
            </w:r>
          </w:p>
        </w:tc>
        <w:tc>
          <w:tcPr>
            <w:tcW w:w="513"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影响性质</w:t>
            </w:r>
          </w:p>
        </w:tc>
        <w:tc>
          <w:tcPr>
            <w:tcW w:w="561"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影响程度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4" w:hRule="atLeast"/>
          <w:jc w:val="center"/>
        </w:trPr>
        <w:tc>
          <w:tcPr>
            <w:tcW w:w="65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物种</w:t>
            </w:r>
          </w:p>
        </w:tc>
        <w:tc>
          <w:tcPr>
            <w:tcW w:w="169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分布范围、种群数量、种群结构、行为等</w:t>
            </w:r>
          </w:p>
        </w:tc>
        <w:tc>
          <w:tcPr>
            <w:tcW w:w="1576" w:type="pct"/>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试采站及边坡、施工便道、集输管线、表土堆场、生活营地，直接影响。</w:t>
            </w:r>
          </w:p>
          <w:p>
            <w:pPr>
              <w:pStyle w:val="118"/>
              <w:rPr>
                <w:rFonts w:hint="default" w:eastAsia="宋体"/>
                <w:lang w:val="en-US" w:eastAsia="zh-CN"/>
              </w:rPr>
            </w:pP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输气管线穿越州河支流及小型沟渠，直接影响</w:t>
            </w:r>
          </w:p>
        </w:tc>
        <w:tc>
          <w:tcPr>
            <w:tcW w:w="513" w:type="pct"/>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短期、可逆</w:t>
            </w:r>
          </w:p>
        </w:tc>
        <w:tc>
          <w:tcPr>
            <w:tcW w:w="561" w:type="pct"/>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65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生境</w:t>
            </w:r>
          </w:p>
        </w:tc>
        <w:tc>
          <w:tcPr>
            <w:tcW w:w="169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生境面积、质量、连通性等</w:t>
            </w:r>
          </w:p>
        </w:tc>
        <w:tc>
          <w:tcPr>
            <w:tcW w:w="1576" w:type="pct"/>
            <w:vMerge w:val="continue"/>
            <w:vAlign w:val="center"/>
          </w:tcPr>
          <w:p>
            <w:pPr>
              <w:pStyle w:val="118"/>
              <w:rPr>
                <w:color w:val="000000" w:themeColor="text1"/>
                <w:highlight w:val="none"/>
                <w14:textFill>
                  <w14:solidFill>
                    <w14:schemeClr w14:val="tx1"/>
                  </w14:solidFill>
                </w14:textFill>
              </w:rPr>
            </w:pPr>
          </w:p>
        </w:tc>
        <w:tc>
          <w:tcPr>
            <w:tcW w:w="513" w:type="pct"/>
            <w:vMerge w:val="continue"/>
            <w:vAlign w:val="center"/>
          </w:tcPr>
          <w:p>
            <w:pPr>
              <w:pStyle w:val="118"/>
              <w:rPr>
                <w:color w:val="000000" w:themeColor="text1"/>
                <w:highlight w:val="none"/>
                <w14:textFill>
                  <w14:solidFill>
                    <w14:schemeClr w14:val="tx1"/>
                  </w14:solidFill>
                </w14:textFill>
              </w:rPr>
            </w:pPr>
          </w:p>
        </w:tc>
        <w:tc>
          <w:tcPr>
            <w:tcW w:w="561" w:type="pct"/>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2" w:hRule="atLeast"/>
          <w:jc w:val="center"/>
        </w:trPr>
        <w:tc>
          <w:tcPr>
            <w:tcW w:w="65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生物群落</w:t>
            </w:r>
          </w:p>
        </w:tc>
        <w:tc>
          <w:tcPr>
            <w:tcW w:w="169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物种组成、群落结构等</w:t>
            </w:r>
          </w:p>
        </w:tc>
        <w:tc>
          <w:tcPr>
            <w:tcW w:w="1576" w:type="pct"/>
            <w:vMerge w:val="continue"/>
            <w:vAlign w:val="center"/>
          </w:tcPr>
          <w:p>
            <w:pPr>
              <w:pStyle w:val="118"/>
              <w:rPr>
                <w:color w:val="000000" w:themeColor="text1"/>
                <w:highlight w:val="none"/>
                <w14:textFill>
                  <w14:solidFill>
                    <w14:schemeClr w14:val="tx1"/>
                  </w14:solidFill>
                </w14:textFill>
              </w:rPr>
            </w:pPr>
          </w:p>
        </w:tc>
        <w:tc>
          <w:tcPr>
            <w:tcW w:w="513" w:type="pct"/>
            <w:vMerge w:val="continue"/>
            <w:vAlign w:val="center"/>
          </w:tcPr>
          <w:p>
            <w:pPr>
              <w:pStyle w:val="118"/>
              <w:rPr>
                <w:color w:val="000000" w:themeColor="text1"/>
                <w:highlight w:val="none"/>
                <w14:textFill>
                  <w14:solidFill>
                    <w14:schemeClr w14:val="tx1"/>
                  </w14:solidFill>
                </w14:textFill>
              </w:rPr>
            </w:pPr>
          </w:p>
        </w:tc>
        <w:tc>
          <w:tcPr>
            <w:tcW w:w="561" w:type="pct"/>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65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生态系统</w:t>
            </w:r>
          </w:p>
        </w:tc>
        <w:tc>
          <w:tcPr>
            <w:tcW w:w="169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植被覆盖度、生产力、生物量、生态系统功能等</w:t>
            </w:r>
          </w:p>
        </w:tc>
        <w:tc>
          <w:tcPr>
            <w:tcW w:w="1576" w:type="pct"/>
            <w:vMerge w:val="continue"/>
            <w:vAlign w:val="center"/>
          </w:tcPr>
          <w:p>
            <w:pPr>
              <w:pStyle w:val="118"/>
              <w:rPr>
                <w:color w:val="000000" w:themeColor="text1"/>
                <w:highlight w:val="none"/>
                <w14:textFill>
                  <w14:solidFill>
                    <w14:schemeClr w14:val="tx1"/>
                  </w14:solidFill>
                </w14:textFill>
              </w:rPr>
            </w:pPr>
          </w:p>
        </w:tc>
        <w:tc>
          <w:tcPr>
            <w:tcW w:w="513" w:type="pct"/>
            <w:vMerge w:val="continue"/>
            <w:vAlign w:val="center"/>
          </w:tcPr>
          <w:p>
            <w:pPr>
              <w:pStyle w:val="118"/>
              <w:rPr>
                <w:color w:val="000000" w:themeColor="text1"/>
                <w:highlight w:val="none"/>
                <w14:textFill>
                  <w14:solidFill>
                    <w14:schemeClr w14:val="tx1"/>
                  </w14:solidFill>
                </w14:textFill>
              </w:rPr>
            </w:pPr>
          </w:p>
        </w:tc>
        <w:tc>
          <w:tcPr>
            <w:tcW w:w="561" w:type="pct"/>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2" w:hRule="atLeast"/>
          <w:jc w:val="center"/>
        </w:trPr>
        <w:tc>
          <w:tcPr>
            <w:tcW w:w="65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生物多样性</w:t>
            </w:r>
          </w:p>
        </w:tc>
        <w:tc>
          <w:tcPr>
            <w:tcW w:w="169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物种丰富度、均匀度、优势度等</w:t>
            </w:r>
          </w:p>
        </w:tc>
        <w:tc>
          <w:tcPr>
            <w:tcW w:w="1576" w:type="pct"/>
            <w:vMerge w:val="continue"/>
            <w:vAlign w:val="center"/>
          </w:tcPr>
          <w:p>
            <w:pPr>
              <w:pStyle w:val="118"/>
              <w:rPr>
                <w:color w:val="000000" w:themeColor="text1"/>
                <w:highlight w:val="none"/>
                <w14:textFill>
                  <w14:solidFill>
                    <w14:schemeClr w14:val="tx1"/>
                  </w14:solidFill>
                </w14:textFill>
              </w:rPr>
            </w:pPr>
          </w:p>
        </w:tc>
        <w:tc>
          <w:tcPr>
            <w:tcW w:w="513" w:type="pct"/>
            <w:vMerge w:val="continue"/>
            <w:vAlign w:val="center"/>
          </w:tcPr>
          <w:p>
            <w:pPr>
              <w:pStyle w:val="118"/>
              <w:rPr>
                <w:color w:val="000000" w:themeColor="text1"/>
                <w:highlight w:val="none"/>
                <w14:textFill>
                  <w14:solidFill>
                    <w14:schemeClr w14:val="tx1"/>
                  </w14:solidFill>
                </w14:textFill>
              </w:rPr>
            </w:pPr>
          </w:p>
        </w:tc>
        <w:tc>
          <w:tcPr>
            <w:tcW w:w="561" w:type="pct"/>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2" w:hRule="atLeast"/>
          <w:jc w:val="center"/>
        </w:trPr>
        <w:tc>
          <w:tcPr>
            <w:tcW w:w="65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生态敏感区</w:t>
            </w:r>
          </w:p>
        </w:tc>
        <w:tc>
          <w:tcPr>
            <w:tcW w:w="1695"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主要保护对象、生态功能等</w:t>
            </w:r>
          </w:p>
        </w:tc>
        <w:tc>
          <w:tcPr>
            <w:tcW w:w="1576" w:type="pct"/>
            <w:vMerge w:val="continue"/>
            <w:vAlign w:val="center"/>
          </w:tcPr>
          <w:p>
            <w:pPr>
              <w:pStyle w:val="118"/>
              <w:rPr>
                <w:color w:val="000000" w:themeColor="text1"/>
                <w:highlight w:val="none"/>
                <w14:textFill>
                  <w14:solidFill>
                    <w14:schemeClr w14:val="tx1"/>
                  </w14:solidFill>
                </w14:textFill>
              </w:rPr>
            </w:pPr>
          </w:p>
        </w:tc>
        <w:tc>
          <w:tcPr>
            <w:tcW w:w="513" w:type="pct"/>
            <w:vMerge w:val="continue"/>
            <w:vAlign w:val="center"/>
          </w:tcPr>
          <w:p>
            <w:pPr>
              <w:pStyle w:val="118"/>
              <w:rPr>
                <w:color w:val="000000" w:themeColor="text1"/>
                <w:highlight w:val="none"/>
                <w14:textFill>
                  <w14:solidFill>
                    <w14:schemeClr w14:val="tx1"/>
                  </w14:solidFill>
                </w14:textFill>
              </w:rPr>
            </w:pPr>
          </w:p>
        </w:tc>
        <w:tc>
          <w:tcPr>
            <w:tcW w:w="561" w:type="pct"/>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65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自然景观</w:t>
            </w:r>
          </w:p>
        </w:tc>
        <w:tc>
          <w:tcPr>
            <w:tcW w:w="169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景观多样性、完整性等</w:t>
            </w:r>
          </w:p>
        </w:tc>
        <w:tc>
          <w:tcPr>
            <w:tcW w:w="1576" w:type="pct"/>
            <w:vMerge w:val="continue"/>
            <w:vAlign w:val="center"/>
          </w:tcPr>
          <w:p>
            <w:pPr>
              <w:pStyle w:val="118"/>
              <w:rPr>
                <w:color w:val="000000" w:themeColor="text1"/>
                <w:highlight w:val="none"/>
                <w14:textFill>
                  <w14:solidFill>
                    <w14:schemeClr w14:val="tx1"/>
                  </w14:solidFill>
                </w14:textFill>
              </w:rPr>
            </w:pPr>
          </w:p>
        </w:tc>
        <w:tc>
          <w:tcPr>
            <w:tcW w:w="513" w:type="pct"/>
            <w:vMerge w:val="continue"/>
            <w:vAlign w:val="center"/>
          </w:tcPr>
          <w:p>
            <w:pPr>
              <w:pStyle w:val="118"/>
              <w:rPr>
                <w:color w:val="000000" w:themeColor="text1"/>
                <w:highlight w:val="none"/>
                <w14:textFill>
                  <w14:solidFill>
                    <w14:schemeClr w14:val="tx1"/>
                  </w14:solidFill>
                </w14:textFill>
              </w:rPr>
            </w:pPr>
          </w:p>
        </w:tc>
        <w:tc>
          <w:tcPr>
            <w:tcW w:w="561" w:type="pct"/>
            <w:vMerge w:val="continue"/>
            <w:vAlign w:val="center"/>
          </w:tcPr>
          <w:p>
            <w:pPr>
              <w:pStyle w:val="118"/>
              <w:rPr>
                <w:color w:val="000000" w:themeColor="text1"/>
                <w:highlight w:val="none"/>
                <w14:textFill>
                  <w14:solidFill>
                    <w14:schemeClr w14:val="tx1"/>
                  </w14:solidFill>
                </w14:textFill>
              </w:rPr>
            </w:pPr>
          </w:p>
        </w:tc>
      </w:tr>
    </w:tbl>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t>3运营期生态影响评价因子筛选表</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76"/>
        <w:gridCol w:w="2849"/>
        <w:gridCol w:w="2607"/>
        <w:gridCol w:w="854"/>
        <w:gridCol w:w="9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6" w:hRule="atLeast"/>
          <w:jc w:val="center"/>
        </w:trPr>
        <w:tc>
          <w:tcPr>
            <w:tcW w:w="647" w:type="pct"/>
            <w:vAlign w:val="center"/>
          </w:tcPr>
          <w:p>
            <w:pPr>
              <w:snapToGrid/>
              <w:spacing w:line="240" w:lineRule="auto"/>
              <w:ind w:firstLine="0" w:firstLineChars="0"/>
              <w:jc w:val="center"/>
              <w:textAlignment w:val="baseline"/>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受影响对象</w:t>
            </w:r>
          </w:p>
        </w:tc>
        <w:tc>
          <w:tcPr>
            <w:tcW w:w="1712" w:type="pct"/>
            <w:vAlign w:val="center"/>
          </w:tcPr>
          <w:p>
            <w:pPr>
              <w:snapToGrid/>
              <w:spacing w:line="240" w:lineRule="auto"/>
              <w:ind w:firstLine="0" w:firstLineChars="0"/>
              <w:jc w:val="center"/>
              <w:textAlignment w:val="baseline"/>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评价因子</w:t>
            </w:r>
          </w:p>
        </w:tc>
        <w:tc>
          <w:tcPr>
            <w:tcW w:w="1567" w:type="pct"/>
            <w:vAlign w:val="center"/>
          </w:tcPr>
          <w:p>
            <w:pPr>
              <w:snapToGrid/>
              <w:spacing w:line="240" w:lineRule="auto"/>
              <w:ind w:firstLine="0" w:firstLineChars="0"/>
              <w:jc w:val="center"/>
              <w:textAlignment w:val="baseline"/>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工程内容及影响方式</w:t>
            </w:r>
          </w:p>
        </w:tc>
        <w:tc>
          <w:tcPr>
            <w:tcW w:w="513" w:type="pct"/>
            <w:vAlign w:val="center"/>
          </w:tcPr>
          <w:p>
            <w:pPr>
              <w:snapToGrid/>
              <w:spacing w:line="240" w:lineRule="auto"/>
              <w:ind w:firstLine="0" w:firstLineChars="0"/>
              <w:jc w:val="center"/>
              <w:textAlignment w:val="baseline"/>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影响性质</w:t>
            </w:r>
          </w:p>
        </w:tc>
        <w:tc>
          <w:tcPr>
            <w:tcW w:w="561" w:type="pct"/>
            <w:vAlign w:val="center"/>
          </w:tcPr>
          <w:p>
            <w:pPr>
              <w:snapToGrid/>
              <w:spacing w:line="240" w:lineRule="auto"/>
              <w:ind w:firstLine="0" w:firstLineChars="0"/>
              <w:jc w:val="center"/>
              <w:textAlignment w:val="baseline"/>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影响程度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4" w:hRule="atLeast"/>
          <w:jc w:val="center"/>
        </w:trPr>
        <w:tc>
          <w:tcPr>
            <w:tcW w:w="647" w:type="pct"/>
            <w:vAlign w:val="center"/>
          </w:tcPr>
          <w:p>
            <w:pPr>
              <w:snapToGrid/>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物种</w:t>
            </w:r>
          </w:p>
        </w:tc>
        <w:tc>
          <w:tcPr>
            <w:tcW w:w="1712" w:type="pct"/>
            <w:vAlign w:val="center"/>
          </w:tcPr>
          <w:p>
            <w:pPr>
              <w:snapToGrid/>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分布范围、种群数量、种群结构、行为等</w:t>
            </w:r>
          </w:p>
        </w:tc>
        <w:tc>
          <w:tcPr>
            <w:tcW w:w="1567" w:type="pct"/>
            <w:vMerge w:val="restart"/>
            <w:vAlign w:val="center"/>
          </w:tcPr>
          <w:p>
            <w:pPr>
              <w:snapToGrid/>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运营期不新增占地，间接影响。</w:t>
            </w:r>
          </w:p>
        </w:tc>
        <w:tc>
          <w:tcPr>
            <w:tcW w:w="513" w:type="pct"/>
            <w:vMerge w:val="restart"/>
            <w:vAlign w:val="center"/>
          </w:tcPr>
          <w:p>
            <w:pPr>
              <w:snapToGrid/>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短期、可逆</w:t>
            </w:r>
          </w:p>
        </w:tc>
        <w:tc>
          <w:tcPr>
            <w:tcW w:w="561" w:type="pct"/>
            <w:vMerge w:val="restart"/>
            <w:vAlign w:val="center"/>
          </w:tcPr>
          <w:p>
            <w:pPr>
              <w:snapToGrid/>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647" w:type="pct"/>
            <w:vAlign w:val="center"/>
          </w:tcPr>
          <w:p>
            <w:pPr>
              <w:snapToGrid/>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生境</w:t>
            </w:r>
          </w:p>
        </w:tc>
        <w:tc>
          <w:tcPr>
            <w:tcW w:w="1712" w:type="pct"/>
            <w:vAlign w:val="center"/>
          </w:tcPr>
          <w:p>
            <w:pPr>
              <w:snapToGrid/>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生境面积、质量、连通性等</w:t>
            </w:r>
          </w:p>
        </w:tc>
        <w:tc>
          <w:tcPr>
            <w:tcW w:w="1567" w:type="pct"/>
            <w:vMerge w:val="continue"/>
            <w:vAlign w:val="center"/>
          </w:tcPr>
          <w:p>
            <w:pPr>
              <w:snapToGrid/>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p>
        </w:tc>
        <w:tc>
          <w:tcPr>
            <w:tcW w:w="513" w:type="pct"/>
            <w:vMerge w:val="continue"/>
            <w:vAlign w:val="center"/>
          </w:tcPr>
          <w:p>
            <w:pPr>
              <w:snapToGrid/>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p>
        </w:tc>
        <w:tc>
          <w:tcPr>
            <w:tcW w:w="561" w:type="pct"/>
            <w:vMerge w:val="continue"/>
            <w:vAlign w:val="center"/>
          </w:tcPr>
          <w:p>
            <w:pPr>
              <w:snapToGrid/>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2" w:hRule="atLeast"/>
          <w:jc w:val="center"/>
        </w:trPr>
        <w:tc>
          <w:tcPr>
            <w:tcW w:w="647" w:type="pct"/>
            <w:vAlign w:val="center"/>
          </w:tcPr>
          <w:p>
            <w:pPr>
              <w:snapToGrid/>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生物群落</w:t>
            </w:r>
          </w:p>
        </w:tc>
        <w:tc>
          <w:tcPr>
            <w:tcW w:w="1712" w:type="pct"/>
            <w:vAlign w:val="center"/>
          </w:tcPr>
          <w:p>
            <w:pPr>
              <w:snapToGrid/>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物种组成、群落结构等</w:t>
            </w:r>
          </w:p>
        </w:tc>
        <w:tc>
          <w:tcPr>
            <w:tcW w:w="1567" w:type="pct"/>
            <w:vMerge w:val="continue"/>
            <w:vAlign w:val="center"/>
          </w:tcPr>
          <w:p>
            <w:pPr>
              <w:snapToGrid/>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p>
        </w:tc>
        <w:tc>
          <w:tcPr>
            <w:tcW w:w="513" w:type="pct"/>
            <w:vMerge w:val="continue"/>
            <w:vAlign w:val="center"/>
          </w:tcPr>
          <w:p>
            <w:pPr>
              <w:snapToGrid/>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p>
        </w:tc>
        <w:tc>
          <w:tcPr>
            <w:tcW w:w="561" w:type="pct"/>
            <w:vMerge w:val="continue"/>
            <w:vAlign w:val="center"/>
          </w:tcPr>
          <w:p>
            <w:pPr>
              <w:snapToGrid/>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647" w:type="pct"/>
            <w:vAlign w:val="center"/>
          </w:tcPr>
          <w:p>
            <w:pPr>
              <w:snapToGrid/>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生态系统</w:t>
            </w:r>
          </w:p>
        </w:tc>
        <w:tc>
          <w:tcPr>
            <w:tcW w:w="1712" w:type="pct"/>
            <w:vAlign w:val="center"/>
          </w:tcPr>
          <w:p>
            <w:pPr>
              <w:snapToGrid/>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植被覆盖度、生产力、生物量、生态系统功能等</w:t>
            </w:r>
          </w:p>
        </w:tc>
        <w:tc>
          <w:tcPr>
            <w:tcW w:w="1567" w:type="pct"/>
            <w:vMerge w:val="continue"/>
            <w:vAlign w:val="center"/>
          </w:tcPr>
          <w:p>
            <w:pPr>
              <w:snapToGrid/>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p>
        </w:tc>
        <w:tc>
          <w:tcPr>
            <w:tcW w:w="513" w:type="pct"/>
            <w:vMerge w:val="continue"/>
            <w:vAlign w:val="center"/>
          </w:tcPr>
          <w:p>
            <w:pPr>
              <w:snapToGrid/>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p>
        </w:tc>
        <w:tc>
          <w:tcPr>
            <w:tcW w:w="561" w:type="pct"/>
            <w:vMerge w:val="continue"/>
            <w:vAlign w:val="center"/>
          </w:tcPr>
          <w:p>
            <w:pPr>
              <w:snapToGrid/>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647" w:type="pct"/>
            <w:vAlign w:val="center"/>
          </w:tcPr>
          <w:p>
            <w:pPr>
              <w:snapToGrid/>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生态敏感区</w:t>
            </w:r>
          </w:p>
        </w:tc>
        <w:tc>
          <w:tcPr>
            <w:tcW w:w="1712" w:type="pct"/>
            <w:vAlign w:val="center"/>
          </w:tcPr>
          <w:p>
            <w:pPr>
              <w:snapToGrid/>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主要保护对象、生态功能等</w:t>
            </w:r>
          </w:p>
        </w:tc>
        <w:tc>
          <w:tcPr>
            <w:tcW w:w="1567" w:type="pct"/>
            <w:vMerge w:val="continue"/>
            <w:vAlign w:val="center"/>
          </w:tcPr>
          <w:p>
            <w:pPr>
              <w:snapToGrid/>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p>
        </w:tc>
        <w:tc>
          <w:tcPr>
            <w:tcW w:w="513" w:type="pct"/>
            <w:vMerge w:val="continue"/>
            <w:vAlign w:val="center"/>
          </w:tcPr>
          <w:p>
            <w:pPr>
              <w:snapToGrid/>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p>
        </w:tc>
        <w:tc>
          <w:tcPr>
            <w:tcW w:w="561" w:type="pct"/>
            <w:vMerge w:val="continue"/>
            <w:vAlign w:val="center"/>
          </w:tcPr>
          <w:p>
            <w:pPr>
              <w:snapToGrid/>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2" w:hRule="atLeast"/>
          <w:jc w:val="center"/>
        </w:trPr>
        <w:tc>
          <w:tcPr>
            <w:tcW w:w="647" w:type="pct"/>
            <w:vAlign w:val="center"/>
          </w:tcPr>
          <w:p>
            <w:pPr>
              <w:snapToGrid/>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生物多样性</w:t>
            </w:r>
          </w:p>
        </w:tc>
        <w:tc>
          <w:tcPr>
            <w:tcW w:w="1712" w:type="pct"/>
            <w:vAlign w:val="center"/>
          </w:tcPr>
          <w:p>
            <w:pPr>
              <w:snapToGrid/>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物种丰富度、均匀度、优势度等</w:t>
            </w:r>
          </w:p>
        </w:tc>
        <w:tc>
          <w:tcPr>
            <w:tcW w:w="1567" w:type="pct"/>
            <w:vMerge w:val="continue"/>
            <w:vAlign w:val="center"/>
          </w:tcPr>
          <w:p>
            <w:pPr>
              <w:snapToGrid/>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p>
        </w:tc>
        <w:tc>
          <w:tcPr>
            <w:tcW w:w="513" w:type="pct"/>
            <w:vMerge w:val="continue"/>
            <w:vAlign w:val="center"/>
          </w:tcPr>
          <w:p>
            <w:pPr>
              <w:snapToGrid/>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p>
        </w:tc>
        <w:tc>
          <w:tcPr>
            <w:tcW w:w="561" w:type="pct"/>
            <w:vMerge w:val="continue"/>
            <w:vAlign w:val="center"/>
          </w:tcPr>
          <w:p>
            <w:pPr>
              <w:snapToGrid/>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647" w:type="pct"/>
            <w:vAlign w:val="center"/>
          </w:tcPr>
          <w:p>
            <w:pPr>
              <w:snapToGrid/>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自然景观</w:t>
            </w:r>
          </w:p>
        </w:tc>
        <w:tc>
          <w:tcPr>
            <w:tcW w:w="1712" w:type="pct"/>
            <w:vAlign w:val="center"/>
          </w:tcPr>
          <w:p>
            <w:pPr>
              <w:snapToGrid/>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景观多样性、完整性等</w:t>
            </w:r>
          </w:p>
        </w:tc>
        <w:tc>
          <w:tcPr>
            <w:tcW w:w="1567" w:type="pct"/>
            <w:vMerge w:val="continue"/>
            <w:vAlign w:val="center"/>
          </w:tcPr>
          <w:p>
            <w:pPr>
              <w:snapToGrid/>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p>
        </w:tc>
        <w:tc>
          <w:tcPr>
            <w:tcW w:w="513" w:type="pct"/>
            <w:vMerge w:val="continue"/>
            <w:vAlign w:val="center"/>
          </w:tcPr>
          <w:p>
            <w:pPr>
              <w:snapToGrid/>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p>
        </w:tc>
        <w:tc>
          <w:tcPr>
            <w:tcW w:w="561" w:type="pct"/>
            <w:vMerge w:val="continue"/>
            <w:vAlign w:val="center"/>
          </w:tcPr>
          <w:p>
            <w:pPr>
              <w:snapToGrid/>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p>
        </w:tc>
      </w:tr>
    </w:tbl>
    <w:p>
      <w:pPr>
        <w:numPr>
          <w:ilvl w:val="0"/>
          <w:numId w:val="7"/>
        </w:numPr>
        <w:snapToGrid/>
        <w:spacing w:before="120" w:beforeLines="50"/>
        <w:ind w:firstLine="482"/>
        <w:textAlignment w:val="baseline"/>
        <w:rPr>
          <w:b/>
          <w:bCs/>
          <w:color w:val="000000" w:themeColor="text1"/>
          <w:szCs w:val="32"/>
          <w:highlight w:val="none"/>
          <w14:textFill>
            <w14:solidFill>
              <w14:schemeClr w14:val="tx1"/>
            </w14:solidFill>
          </w14:textFill>
        </w:rPr>
      </w:pPr>
      <w:r>
        <w:rPr>
          <w:b/>
          <w:bCs/>
          <w:color w:val="000000" w:themeColor="text1"/>
          <w:highlight w:val="none"/>
          <w14:textFill>
            <w14:solidFill>
              <w14:schemeClr w14:val="tx1"/>
            </w14:solidFill>
          </w14:textFill>
        </w:rPr>
        <w:t>风险评价</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天然气</w:t>
      </w:r>
      <w:r>
        <w:rPr>
          <w:rFonts w:hint="eastAsia"/>
          <w:color w:val="000000" w:themeColor="text1"/>
          <w:highlight w:val="none"/>
          <w14:textFill>
            <w14:solidFill>
              <w14:schemeClr w14:val="tx1"/>
            </w14:solidFill>
          </w14:textFill>
        </w:rPr>
        <w:t>、气田水</w:t>
      </w:r>
      <w:r>
        <w:rPr>
          <w:color w:val="000000" w:themeColor="text1"/>
          <w:highlight w:val="none"/>
          <w14:textFill>
            <w14:solidFill>
              <w14:schemeClr w14:val="tx1"/>
            </w14:solidFill>
          </w14:textFill>
        </w:rPr>
        <w:t>泄漏</w:t>
      </w:r>
      <w:r>
        <w:rPr>
          <w:rFonts w:hint="eastAsia"/>
          <w:color w:val="000000" w:themeColor="text1"/>
          <w:highlight w:val="none"/>
          <w14:textFill>
            <w14:solidFill>
              <w14:schemeClr w14:val="tx1"/>
            </w14:solidFill>
          </w14:textFill>
        </w:rPr>
        <w:t>，以及</w:t>
      </w:r>
      <w:r>
        <w:rPr>
          <w:color w:val="000000" w:themeColor="text1"/>
          <w:highlight w:val="none"/>
          <w14:textFill>
            <w14:solidFill>
              <w14:schemeClr w14:val="tx1"/>
            </w14:solidFill>
          </w14:textFill>
        </w:rPr>
        <w:t>火灾或爆炸事故次生污染物排放</w:t>
      </w:r>
      <w:r>
        <w:rPr>
          <w:rFonts w:hint="eastAsia"/>
          <w:color w:val="000000" w:themeColor="text1"/>
          <w:highlight w:val="none"/>
          <w14:textFill>
            <w14:solidFill>
              <w14:schemeClr w14:val="tx1"/>
            </w14:solidFill>
          </w14:textFill>
        </w:rPr>
        <w:t>。</w:t>
      </w:r>
    </w:p>
    <w:p>
      <w:pPr>
        <w:pStyle w:val="4"/>
        <w:spacing w:before="120"/>
        <w:rPr>
          <w:color w:val="000000" w:themeColor="text1"/>
          <w:highlight w:val="none"/>
          <w:lang w:eastAsia="zh-CN"/>
          <w14:textFill>
            <w14:solidFill>
              <w14:schemeClr w14:val="tx1"/>
            </w14:solidFill>
          </w14:textFill>
        </w:rPr>
      </w:pPr>
      <w:bookmarkStart w:id="62" w:name="_Toc21634"/>
      <w:r>
        <w:rPr>
          <w:color w:val="000000" w:themeColor="text1"/>
          <w:highlight w:val="none"/>
          <w:lang w:eastAsia="zh-CN"/>
          <w14:textFill>
            <w14:solidFill>
              <w14:schemeClr w14:val="tx1"/>
            </w14:solidFill>
          </w14:textFill>
        </w:rPr>
        <w:t>环境功能区划与评价标准</w:t>
      </w:r>
      <w:bookmarkEnd w:id="62"/>
    </w:p>
    <w:p>
      <w:pPr>
        <w:pStyle w:val="5"/>
        <w:spacing w:before="120"/>
        <w:ind w:firstLine="480"/>
        <w:rPr>
          <w:b/>
          <w:color w:val="000000" w:themeColor="text1"/>
          <w:highlight w:val="none"/>
          <w:lang w:eastAsia="zh-CN"/>
          <w14:textFill>
            <w14:solidFill>
              <w14:schemeClr w14:val="tx1"/>
            </w14:solidFill>
          </w14:textFill>
        </w:rPr>
      </w:pPr>
      <w:bookmarkStart w:id="63" w:name="_Toc120173065"/>
      <w:r>
        <w:rPr>
          <w:color w:val="000000" w:themeColor="text1"/>
          <w:highlight w:val="none"/>
          <w:lang w:eastAsia="zh-CN"/>
          <w14:textFill>
            <w14:solidFill>
              <w14:schemeClr w14:val="tx1"/>
            </w14:solidFill>
          </w14:textFill>
        </w:rPr>
        <w:t>环境功能区划</w:t>
      </w:r>
      <w:bookmarkEnd w:id="63"/>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（1）大气环境功能区划</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工程建设区域内主要为农业耕作区，散居农户较少，属乡村区域环境，根据《环境空气质量标准》（GB3095-2012）划分，工程建设区属2类地区，执行《环境空气质量标准》（GB3095-2012）中的二级标准。</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（2）地表水环境功能区划</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根据宣汉县地表水功能区划，本项目周边地表水</w:t>
      </w:r>
      <w:r>
        <w:rPr>
          <w:rFonts w:hint="eastAsia" w:cs="Times New Roman"/>
          <w:bCs/>
          <w:color w:val="000000" w:themeColor="text1"/>
          <w:szCs w:val="24"/>
          <w:highlight w:val="none"/>
          <w14:textFill>
            <w14:solidFill>
              <w14:schemeClr w14:val="tx1"/>
            </w14:solidFill>
          </w14:textFill>
        </w:rPr>
        <w:t>州</w:t>
      </w:r>
      <w:r>
        <w:rPr>
          <w:rFonts w:cs="Times New Roman"/>
          <w:bCs/>
          <w:color w:val="000000" w:themeColor="text1"/>
          <w:szCs w:val="24"/>
          <w:highlight w:val="none"/>
          <w14:textFill>
            <w14:solidFill>
              <w14:schemeClr w14:val="tx1"/>
            </w14:solidFill>
          </w14:textFill>
        </w:rPr>
        <w:t>河</w:t>
      </w:r>
      <w:r>
        <w:rPr>
          <w:rFonts w:hint="eastAsia" w:cs="Times New Roman"/>
          <w:bCs/>
          <w:color w:val="000000" w:themeColor="text1"/>
          <w:szCs w:val="24"/>
          <w:highlight w:val="none"/>
          <w14:textFill>
            <w14:solidFill>
              <w14:schemeClr w14:val="tx1"/>
            </w14:solidFill>
          </w14:textFill>
        </w:rPr>
        <w:t>及其支流</w:t>
      </w:r>
      <w:r>
        <w:rPr>
          <w:rFonts w:cs="Times New Roman"/>
          <w:bCs/>
          <w:color w:val="000000" w:themeColor="text1"/>
          <w:szCs w:val="24"/>
          <w:highlight w:val="none"/>
          <w14:textFill>
            <w14:solidFill>
              <w14:schemeClr w14:val="tx1"/>
            </w14:solidFill>
          </w14:textFill>
        </w:rPr>
        <w:t>为《地表水环境质量标准》（GB3838-2002）Ⅲ类水域。</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（3）地下水环境功能区划</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工程场站地下水环境质量均执行《地下水质量标准》（GB/T14848-2017）III类标准，项目所在区域地下水均属于III类地下水功能区。</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（4）声环境功能区划</w:t>
      </w:r>
    </w:p>
    <w:p>
      <w:pPr>
        <w:tabs>
          <w:tab w:val="left" w:pos="0"/>
        </w:tabs>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项目试采站位于宣汉县</w:t>
      </w:r>
      <w:r>
        <w:rPr>
          <w:rFonts w:hint="eastAsia" w:cs="Times New Roman"/>
          <w:bCs/>
          <w:color w:val="000000" w:themeColor="text1"/>
          <w:szCs w:val="24"/>
          <w:highlight w:val="none"/>
          <w:lang w:eastAsia="zh-CN"/>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，外输管线涉及达州市宣汉县</w:t>
      </w:r>
      <w:r>
        <w:rPr>
          <w:rFonts w:hint="eastAsia" w:cs="Times New Roman"/>
          <w:bCs/>
          <w:color w:val="000000" w:themeColor="text1"/>
          <w:szCs w:val="24"/>
          <w:highlight w:val="none"/>
          <w:lang w:eastAsia="zh-CN"/>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、红岭镇（原红岭乡）和达州市通川区魏兴镇，</w:t>
      </w:r>
      <w:r>
        <w:rPr>
          <w:rFonts w:cs="Times New Roman"/>
          <w:bCs/>
          <w:color w:val="000000" w:themeColor="text1"/>
          <w:szCs w:val="24"/>
          <w:highlight w:val="none"/>
          <w14:textFill>
            <w14:solidFill>
              <w14:schemeClr w14:val="tx1"/>
            </w14:solidFill>
          </w14:textFill>
        </w:rPr>
        <w:t>参照</w:t>
      </w:r>
      <w:r>
        <w:rPr>
          <w:rFonts w:hint="eastAsia" w:cs="Times New Roman"/>
          <w:bCs/>
          <w:color w:val="000000" w:themeColor="text1"/>
          <w:szCs w:val="24"/>
          <w:highlight w:val="none"/>
          <w14:textFill>
            <w14:solidFill>
              <w14:schemeClr w14:val="tx1"/>
            </w14:solidFill>
          </w14:textFill>
        </w:rPr>
        <w:t>《达州市中心城区声环境功能区划分方案》（达市府办规〔2023〕4号）和《宣汉县人民政府办公室关于印发宣汉县声环境功能区划分及适用标准规定的通知》（宣府办</w:t>
      </w:r>
      <w:r>
        <w:rPr>
          <w:rFonts w:cs="Times New Roman"/>
          <w:bCs/>
          <w:color w:val="000000" w:themeColor="text1"/>
          <w:szCs w:val="24"/>
          <w:highlight w:val="none"/>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2022</w:t>
      </w:r>
      <w:r>
        <w:rPr>
          <w:rFonts w:cs="Times New Roman"/>
          <w:bCs/>
          <w:color w:val="000000" w:themeColor="text1"/>
          <w:szCs w:val="24"/>
          <w:highlight w:val="none"/>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106号），根据《声环境质量标准》（GB3096-2008），项目所在地功能区划属2类区域</w:t>
      </w:r>
      <w:r>
        <w:rPr>
          <w:rFonts w:cs="Times New Roman"/>
          <w:bCs/>
          <w:color w:val="000000" w:themeColor="text1"/>
          <w:szCs w:val="24"/>
          <w:highlight w:val="none"/>
          <w14:textFill>
            <w14:solidFill>
              <w14:schemeClr w14:val="tx1"/>
            </w14:solidFill>
          </w14:textFill>
        </w:rPr>
        <w:t>。</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（5）生态功能区划</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根据《四川省生态功能区划》，本项目位于四川盆地亚热带湿润气候生态区，属于</w:t>
      </w:r>
      <w:r>
        <w:rPr>
          <w:rFonts w:hint="eastAsia" w:cs="Times New Roman"/>
          <w:bCs/>
          <w:color w:val="000000" w:themeColor="text1"/>
          <w:szCs w:val="24"/>
          <w:highlight w:val="none"/>
          <w:lang w:eastAsia="zh-CN"/>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水源涵养与土壤保持生态功能区（I-3-2），该生态功能区的主导功能是水源涵养功能，土壤保持功能。面临的主要环境问题是多洪灾，滑坡崩塌强烈发育，水土流失严重</w:t>
      </w:r>
      <w:r>
        <w:rPr>
          <w:rFonts w:cs="Times New Roman"/>
          <w:bCs/>
          <w:color w:val="000000" w:themeColor="text1"/>
          <w:szCs w:val="24"/>
          <w:highlight w:val="none"/>
          <w14:textFill>
            <w14:solidFill>
              <w14:schemeClr w14:val="tx1"/>
            </w14:solidFill>
          </w14:textFill>
        </w:rPr>
        <w:t>。</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（6）水土流失防治区划分</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根据达州市水利局《关于水土保持</w:t>
      </w:r>
      <w:r>
        <w:rPr>
          <w:rFonts w:ascii="宋体" w:hAnsi="宋体" w:cs="Times New Roman"/>
          <w:bCs/>
          <w:color w:val="000000" w:themeColor="text1"/>
          <w:szCs w:val="24"/>
          <w:highlight w:val="none"/>
          <w14:textFill>
            <w14:solidFill>
              <w14:schemeClr w14:val="tx1"/>
            </w14:solidFill>
          </w14:textFill>
        </w:rPr>
        <w:t>“两区”</w:t>
      </w:r>
      <w:r>
        <w:rPr>
          <w:rFonts w:cs="Times New Roman"/>
          <w:bCs/>
          <w:color w:val="000000" w:themeColor="text1"/>
          <w:szCs w:val="24"/>
          <w:highlight w:val="none"/>
          <w14:textFill>
            <w14:solidFill>
              <w14:schemeClr w14:val="tx1"/>
            </w14:solidFill>
          </w14:textFill>
        </w:rPr>
        <w:t>划分的公告》，本项目涉及水土流失重点治理区。</w:t>
      </w:r>
    </w:p>
    <w:p>
      <w:pPr>
        <w:pStyle w:val="5"/>
        <w:spacing w:before="120"/>
        <w:ind w:firstLine="480"/>
        <w:rPr>
          <w:b/>
          <w:color w:val="000000" w:themeColor="text1"/>
          <w:highlight w:val="none"/>
          <w:lang w:eastAsia="zh-CN"/>
          <w14:textFill>
            <w14:solidFill>
              <w14:schemeClr w14:val="tx1"/>
            </w14:solidFill>
          </w14:textFill>
        </w:rPr>
      </w:pPr>
      <w:bookmarkStart w:id="64" w:name="_Toc120173066"/>
      <w:r>
        <w:rPr>
          <w:color w:val="000000" w:themeColor="text1"/>
          <w:highlight w:val="none"/>
          <w:lang w:eastAsia="zh-CN"/>
          <w14:textFill>
            <w14:solidFill>
              <w14:schemeClr w14:val="tx1"/>
            </w14:solidFill>
          </w14:textFill>
        </w:rPr>
        <w:t>环境质量标准</w:t>
      </w:r>
      <w:bookmarkEnd w:id="64"/>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（1）地表水</w:t>
      </w:r>
    </w:p>
    <w:p>
      <w:pPr>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本项目地表水执行《地表水环境质量标准》（GB3838-2002）Ⅲ类水域标准，氯化物执行《地表水环境质量标准》（GB3838-2002）中表2标准限值。</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地表水环境质量标准（Ⅲ类）</w:t>
      </w:r>
      <w:r>
        <w:rPr>
          <w:color w:val="000000" w:themeColor="text1"/>
          <w:highlight w:val="none"/>
          <w14:textFill>
            <w14:solidFill>
              <w14:schemeClr w14:val="tx1"/>
            </w14:solidFill>
          </w14:textFill>
        </w:rPr>
        <w:t>单位：mg/L</w:t>
      </w:r>
    </w:p>
    <w:tbl>
      <w:tblPr>
        <w:tblStyle w:val="41"/>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6"/>
        <w:gridCol w:w="680"/>
        <w:gridCol w:w="864"/>
        <w:gridCol w:w="738"/>
        <w:gridCol w:w="793"/>
        <w:gridCol w:w="779"/>
        <w:gridCol w:w="835"/>
        <w:gridCol w:w="794"/>
        <w:gridCol w:w="821"/>
        <w:gridCol w:w="8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6"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污染物</w:t>
            </w:r>
          </w:p>
        </w:tc>
        <w:tc>
          <w:tcPr>
            <w:tcW w:w="680"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pH</w:t>
            </w:r>
          </w:p>
        </w:tc>
        <w:tc>
          <w:tcPr>
            <w:tcW w:w="864"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COD</w:t>
            </w:r>
            <w:r>
              <w:rPr>
                <w:b/>
                <w:bCs/>
                <w:color w:val="000000" w:themeColor="text1"/>
                <w:highlight w:val="none"/>
                <w:vertAlign w:val="subscript"/>
                <w14:textFill>
                  <w14:solidFill>
                    <w14:schemeClr w14:val="tx1"/>
                  </w14:solidFill>
                </w14:textFill>
              </w:rPr>
              <w:t>Cr</w:t>
            </w:r>
          </w:p>
        </w:tc>
        <w:tc>
          <w:tcPr>
            <w:tcW w:w="738"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石油类</w:t>
            </w:r>
          </w:p>
        </w:tc>
        <w:tc>
          <w:tcPr>
            <w:tcW w:w="79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BOD</w:t>
            </w:r>
            <w:r>
              <w:rPr>
                <w:b/>
                <w:bCs/>
                <w:color w:val="000000" w:themeColor="text1"/>
                <w:highlight w:val="none"/>
                <w:vertAlign w:val="subscript"/>
                <w14:textFill>
                  <w14:solidFill>
                    <w14:schemeClr w14:val="tx1"/>
                  </w14:solidFill>
                </w14:textFill>
              </w:rPr>
              <w:t>5</w:t>
            </w:r>
          </w:p>
        </w:tc>
        <w:tc>
          <w:tcPr>
            <w:tcW w:w="77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六价铬</w:t>
            </w:r>
          </w:p>
        </w:tc>
        <w:tc>
          <w:tcPr>
            <w:tcW w:w="835"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挥发酚</w:t>
            </w:r>
          </w:p>
        </w:tc>
        <w:tc>
          <w:tcPr>
            <w:tcW w:w="794"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NH</w:t>
            </w:r>
            <w:r>
              <w:rPr>
                <w:b/>
                <w:bCs/>
                <w:color w:val="000000" w:themeColor="text1"/>
                <w:highlight w:val="none"/>
                <w:vertAlign w:val="subscript"/>
                <w14:textFill>
                  <w14:solidFill>
                    <w14:schemeClr w14:val="tx1"/>
                  </w14:solidFill>
                </w14:textFill>
              </w:rPr>
              <w:t>3</w:t>
            </w:r>
            <w:r>
              <w:rPr>
                <w:b/>
                <w:bCs/>
                <w:color w:val="000000" w:themeColor="text1"/>
                <w:highlight w:val="none"/>
                <w14:textFill>
                  <w14:solidFill>
                    <w14:schemeClr w14:val="tx1"/>
                  </w14:solidFill>
                </w14:textFill>
              </w:rPr>
              <w:t>-N</w:t>
            </w:r>
          </w:p>
        </w:tc>
        <w:tc>
          <w:tcPr>
            <w:tcW w:w="821"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硫化物</w:t>
            </w:r>
          </w:p>
        </w:tc>
        <w:tc>
          <w:tcPr>
            <w:tcW w:w="812"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氯化物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6"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Ⅲ类标准</w:t>
            </w:r>
          </w:p>
        </w:tc>
        <w:tc>
          <w:tcPr>
            <w:tcW w:w="680"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6～9</w:t>
            </w:r>
          </w:p>
        </w:tc>
        <w:tc>
          <w:tcPr>
            <w:tcW w:w="864"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w:t>
            </w:r>
          </w:p>
        </w:tc>
        <w:tc>
          <w:tcPr>
            <w:tcW w:w="73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≤0.05</w:t>
            </w:r>
          </w:p>
        </w:tc>
        <w:tc>
          <w:tcPr>
            <w:tcW w:w="79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c>
          <w:tcPr>
            <w:tcW w:w="77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≤0.05</w:t>
            </w:r>
          </w:p>
        </w:tc>
        <w:tc>
          <w:tcPr>
            <w:tcW w:w="83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≤0.005</w:t>
            </w:r>
          </w:p>
        </w:tc>
        <w:tc>
          <w:tcPr>
            <w:tcW w:w="794"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82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≤0.2</w:t>
            </w:r>
          </w:p>
        </w:tc>
        <w:tc>
          <w:tcPr>
            <w:tcW w:w="81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≤250</w:t>
            </w:r>
          </w:p>
        </w:tc>
      </w:tr>
    </w:tbl>
    <w:p>
      <w:pPr>
        <w:spacing w:before="120" w:beforeLines="50"/>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（2）地下水</w:t>
      </w:r>
    </w:p>
    <w:p>
      <w:pPr>
        <w:ind w:firstLine="472"/>
        <w:rPr>
          <w:bCs/>
          <w:color w:val="000000" w:themeColor="text1"/>
          <w:szCs w:val="24"/>
          <w:highlight w:val="none"/>
          <w14:textFill>
            <w14:solidFill>
              <w14:schemeClr w14:val="tx1"/>
            </w14:solidFill>
          </w14:textFill>
        </w:rPr>
      </w:pPr>
      <w:r>
        <w:rPr>
          <w:color w:val="000000" w:themeColor="text1"/>
          <w:spacing w:val="-4"/>
          <w:highlight w:val="none"/>
          <w14:textFill>
            <w14:solidFill>
              <w14:schemeClr w14:val="tx1"/>
            </w14:solidFill>
          </w14:textFill>
        </w:rPr>
        <w:t>地下水环境执行《地下水质量标准》（GB/T14848-2017）中III类标准，石油类参照执行《地表水环境质量标准》（GB3838-2002）表1中III类标准</w:t>
      </w:r>
      <w:r>
        <w:rPr>
          <w:bCs/>
          <w:color w:val="000000" w:themeColor="text1"/>
          <w:szCs w:val="24"/>
          <w:highlight w:val="none"/>
          <w14:textFill>
            <w14:solidFill>
              <w14:schemeClr w14:val="tx1"/>
            </w14:solidFill>
          </w14:textFill>
        </w:rPr>
        <w:t>，标准值</w:t>
      </w:r>
      <w:r>
        <w:rPr>
          <w:color w:val="000000" w:themeColor="text1"/>
          <w:spacing w:val="-4"/>
          <w:highlight w:val="none"/>
          <w14:textFill>
            <w14:solidFill>
              <w14:schemeClr w14:val="tx1"/>
            </w14:solidFill>
          </w14:textFill>
        </w:rPr>
        <w:t>见</w:t>
      </w:r>
      <w:r>
        <w:rPr>
          <w:color w:val="000000" w:themeColor="text1"/>
          <w:spacing w:val="-4"/>
          <w:highlight w:val="none"/>
          <w14:textFill>
            <w14:solidFill>
              <w14:schemeClr w14:val="tx1"/>
            </w14:solidFill>
          </w14:textFill>
        </w:rPr>
        <w:fldChar w:fldCharType="begin"/>
      </w:r>
      <w:r>
        <w:rPr>
          <w:color w:val="000000" w:themeColor="text1"/>
          <w:spacing w:val="-4"/>
          <w:highlight w:val="none"/>
          <w14:textFill>
            <w14:solidFill>
              <w14:schemeClr w14:val="tx1"/>
            </w14:solidFill>
          </w14:textFill>
        </w:rPr>
        <w:instrText xml:space="preserve"> REF _Ref143335031 \h  \* MERGEFORMAT </w:instrText>
      </w:r>
      <w:r>
        <w:rPr>
          <w:color w:val="000000" w:themeColor="text1"/>
          <w:spacing w:val="-4"/>
          <w:highlight w:val="none"/>
          <w14:textFill>
            <w14:solidFill>
              <w14:schemeClr w14:val="tx1"/>
            </w14:solidFill>
          </w14:textFill>
        </w:rPr>
        <w:fldChar w:fldCharType="separate"/>
      </w:r>
      <w:r>
        <w:rPr>
          <w:rFonts w:hint="eastAsia"/>
          <w:color w:val="000000" w:themeColor="text1"/>
          <w:spacing w:val="-4"/>
          <w:highlight w:val="none"/>
          <w14:textFill>
            <w14:solidFill>
              <w14:schemeClr w14:val="tx1"/>
            </w14:solidFill>
          </w14:textFill>
        </w:rPr>
        <w:t>表</w:t>
      </w:r>
      <w:r>
        <w:rPr>
          <w:color w:val="000000" w:themeColor="text1"/>
          <w:spacing w:val="-4"/>
          <w:highlight w:val="none"/>
          <w14:textFill>
            <w14:solidFill>
              <w14:schemeClr w14:val="tx1"/>
            </w14:solidFill>
          </w14:textFill>
        </w:rPr>
        <w:t>2.5</w:t>
      </w:r>
      <w:r>
        <w:rPr>
          <w:color w:val="000000" w:themeColor="text1"/>
          <w:spacing w:val="-4"/>
          <w:highlight w:val="none"/>
          <w14:textFill>
            <w14:solidFill>
              <w14:schemeClr w14:val="tx1"/>
            </w14:solidFill>
          </w14:textFill>
        </w:rPr>
        <w:noBreakHyphen/>
      </w:r>
      <w:r>
        <w:rPr>
          <w:color w:val="000000" w:themeColor="text1"/>
          <w:spacing w:val="-4"/>
          <w:highlight w:val="none"/>
          <w14:textFill>
            <w14:solidFill>
              <w14:schemeClr w14:val="tx1"/>
            </w14:solidFill>
          </w14:textFill>
        </w:rPr>
        <w:t>2</w:t>
      </w:r>
      <w:r>
        <w:rPr>
          <w:color w:val="000000" w:themeColor="text1"/>
          <w:spacing w:val="-4"/>
          <w:highlight w:val="none"/>
          <w14:textFill>
            <w14:solidFill>
              <w14:schemeClr w14:val="tx1"/>
            </w14:solidFill>
          </w14:textFill>
        </w:rPr>
        <w:fldChar w:fldCharType="end"/>
      </w:r>
      <w:r>
        <w:rPr>
          <w:bCs/>
          <w:color w:val="000000" w:themeColor="text1"/>
          <w:szCs w:val="24"/>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bookmarkStart w:id="65" w:name="_Ref143335031"/>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fldChar w:fldCharType="end"/>
      </w:r>
      <w:bookmarkEnd w:id="65"/>
      <w:r>
        <w:rPr>
          <w:rFonts w:hint="eastAsia"/>
          <w:color w:val="000000" w:themeColor="text1"/>
          <w:highlight w:val="none"/>
          <w14:textFill>
            <w14:solidFill>
              <w14:schemeClr w14:val="tx1"/>
            </w14:solidFill>
          </w14:textFill>
        </w:rPr>
        <w:t>地下水质量标准限值</w:t>
      </w:r>
      <w:r>
        <w:rPr>
          <w:color w:val="000000" w:themeColor="text1"/>
          <w:highlight w:val="none"/>
          <w14:textFill>
            <w14:solidFill>
              <w14:schemeClr w14:val="tx1"/>
            </w14:solidFill>
          </w14:textFill>
        </w:rPr>
        <w:t>单位：mg/L</w:t>
      </w:r>
    </w:p>
    <w:tbl>
      <w:tblPr>
        <w:tblStyle w:val="18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6"/>
        <w:gridCol w:w="2036"/>
        <w:gridCol w:w="1398"/>
        <w:gridCol w:w="931"/>
        <w:gridCol w:w="2036"/>
        <w:gridCol w:w="12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 w:type="pct"/>
            <w:vAlign w:val="center"/>
          </w:tcPr>
          <w:p>
            <w:pPr>
              <w:pStyle w:val="118"/>
              <w:spacing w:line="240" w:lineRule="auto"/>
              <w:ind w:firstLine="0"/>
              <w:rPr>
                <w:rFonts w:eastAsia="Times New Roman"/>
                <w:b/>
                <w:bCs/>
                <w:snapToGrid w:val="0"/>
                <w:color w:val="000000" w:themeColor="text1"/>
                <w:highlight w:val="none"/>
                <w14:textFill>
                  <w14:solidFill>
                    <w14:schemeClr w14:val="tx1"/>
                  </w14:solidFill>
                </w14:textFill>
                <w14:ligatures w14:val="standardContextual"/>
              </w:rPr>
            </w:pPr>
            <w:r>
              <w:rPr>
                <w:rFonts w:hint="eastAsia" w:eastAsia="Times New Roman"/>
                <w:b/>
                <w:bCs/>
                <w:snapToGrid w:val="0"/>
                <w:color w:val="000000" w:themeColor="text1"/>
                <w:highlight w:val="none"/>
                <w14:textFill>
                  <w14:solidFill>
                    <w14:schemeClr w14:val="tx1"/>
                  </w14:solidFill>
                </w14:textFill>
                <w14:ligatures w14:val="standardContextual"/>
              </w:rPr>
              <w:t>序号</w:t>
            </w:r>
          </w:p>
        </w:tc>
        <w:tc>
          <w:tcPr>
            <w:tcW w:w="1194" w:type="pct"/>
            <w:vAlign w:val="center"/>
          </w:tcPr>
          <w:p>
            <w:pPr>
              <w:pStyle w:val="118"/>
              <w:spacing w:line="240" w:lineRule="auto"/>
              <w:ind w:firstLine="0"/>
              <w:rPr>
                <w:rFonts w:eastAsia="Times New Roman"/>
                <w:b/>
                <w:bCs/>
                <w:snapToGrid w:val="0"/>
                <w:color w:val="000000" w:themeColor="text1"/>
                <w:highlight w:val="none"/>
                <w14:textFill>
                  <w14:solidFill>
                    <w14:schemeClr w14:val="tx1"/>
                  </w14:solidFill>
                </w14:textFill>
                <w14:ligatures w14:val="standardContextual"/>
              </w:rPr>
            </w:pPr>
            <w:r>
              <w:rPr>
                <w:rFonts w:hint="eastAsia" w:ascii="宋体" w:hAnsi="宋体" w:eastAsia="宋体" w:cs="宋体"/>
                <w:b/>
                <w:bCs/>
                <w:snapToGrid w:val="0"/>
                <w:color w:val="000000" w:themeColor="text1"/>
                <w:highlight w:val="none"/>
                <w14:textFill>
                  <w14:solidFill>
                    <w14:schemeClr w14:val="tx1"/>
                  </w14:solidFill>
                </w14:textFill>
                <w14:ligatures w14:val="standardContextual"/>
              </w:rPr>
              <w:t>指</w:t>
            </w:r>
            <w:r>
              <w:rPr>
                <w:rFonts w:hint="eastAsia" w:eastAsia="Times New Roman"/>
                <w:b/>
                <w:bCs/>
                <w:snapToGrid w:val="0"/>
                <w:color w:val="000000" w:themeColor="text1"/>
                <w:highlight w:val="none"/>
                <w14:textFill>
                  <w14:solidFill>
                    <w14:schemeClr w14:val="tx1"/>
                  </w14:solidFill>
                </w14:textFill>
                <w14:ligatures w14:val="standardContextual"/>
              </w:rPr>
              <w:t>标</w:t>
            </w:r>
          </w:p>
        </w:tc>
        <w:tc>
          <w:tcPr>
            <w:tcW w:w="820" w:type="pct"/>
            <w:vAlign w:val="center"/>
          </w:tcPr>
          <w:p>
            <w:pPr>
              <w:pStyle w:val="118"/>
              <w:spacing w:line="240" w:lineRule="auto"/>
              <w:ind w:firstLine="0"/>
              <w:rPr>
                <w:rFonts w:eastAsia="Times New Roman"/>
                <w:b/>
                <w:bCs/>
                <w:snapToGrid w:val="0"/>
                <w:color w:val="000000" w:themeColor="text1"/>
                <w:highlight w:val="none"/>
                <w14:textFill>
                  <w14:solidFill>
                    <w14:schemeClr w14:val="tx1"/>
                  </w14:solidFill>
                </w14:textFill>
                <w14:ligatures w14:val="standardContextual"/>
              </w:rPr>
            </w:pPr>
            <w:r>
              <w:rPr>
                <w:rFonts w:hint="eastAsia" w:ascii="宋体" w:hAnsi="宋体" w:eastAsia="宋体" w:cs="宋体"/>
                <w:b/>
                <w:bCs/>
                <w:snapToGrid w:val="0"/>
                <w:color w:val="000000" w:themeColor="text1"/>
                <w:highlight w:val="none"/>
                <w14:textFill>
                  <w14:solidFill>
                    <w14:schemeClr w14:val="tx1"/>
                  </w14:solidFill>
                </w14:textFill>
                <w14:ligatures w14:val="standardContextual"/>
              </w:rPr>
              <w:t>标</w:t>
            </w:r>
            <w:r>
              <w:rPr>
                <w:rFonts w:hint="eastAsia" w:eastAsia="Times New Roman"/>
                <w:b/>
                <w:bCs/>
                <w:snapToGrid w:val="0"/>
                <w:color w:val="000000" w:themeColor="text1"/>
                <w:highlight w:val="none"/>
                <w14:textFill>
                  <w14:solidFill>
                    <w14:schemeClr w14:val="tx1"/>
                  </w14:solidFill>
                </w14:textFill>
                <w14:ligatures w14:val="standardContextual"/>
              </w:rPr>
              <w:t>准值</w:t>
            </w:r>
          </w:p>
        </w:tc>
        <w:tc>
          <w:tcPr>
            <w:tcW w:w="546" w:type="pct"/>
            <w:vAlign w:val="center"/>
          </w:tcPr>
          <w:p>
            <w:pPr>
              <w:pStyle w:val="118"/>
              <w:spacing w:line="240" w:lineRule="auto"/>
              <w:ind w:firstLine="0"/>
              <w:rPr>
                <w:rFonts w:eastAsia="Times New Roman"/>
                <w:b/>
                <w:bCs/>
                <w:snapToGrid w:val="0"/>
                <w:color w:val="000000" w:themeColor="text1"/>
                <w:highlight w:val="none"/>
                <w14:textFill>
                  <w14:solidFill>
                    <w14:schemeClr w14:val="tx1"/>
                  </w14:solidFill>
                </w14:textFill>
                <w14:ligatures w14:val="standardContextual"/>
              </w:rPr>
            </w:pPr>
            <w:r>
              <w:rPr>
                <w:rFonts w:hint="eastAsia" w:ascii="宋体" w:hAnsi="宋体" w:eastAsia="宋体" w:cs="宋体"/>
                <w:b/>
                <w:bCs/>
                <w:snapToGrid w:val="0"/>
                <w:color w:val="000000" w:themeColor="text1"/>
                <w:highlight w:val="none"/>
                <w14:textFill>
                  <w14:solidFill>
                    <w14:schemeClr w14:val="tx1"/>
                  </w14:solidFill>
                </w14:textFill>
                <w14:ligatures w14:val="standardContextual"/>
              </w:rPr>
              <w:t>序</w:t>
            </w:r>
            <w:r>
              <w:rPr>
                <w:rFonts w:hint="eastAsia" w:eastAsia="Times New Roman"/>
                <w:b/>
                <w:bCs/>
                <w:snapToGrid w:val="0"/>
                <w:color w:val="000000" w:themeColor="text1"/>
                <w:highlight w:val="none"/>
                <w14:textFill>
                  <w14:solidFill>
                    <w14:schemeClr w14:val="tx1"/>
                  </w14:solidFill>
                </w14:textFill>
                <w14:ligatures w14:val="standardContextual"/>
              </w:rPr>
              <w:t>号</w:t>
            </w:r>
          </w:p>
        </w:tc>
        <w:tc>
          <w:tcPr>
            <w:tcW w:w="1194" w:type="pct"/>
            <w:vAlign w:val="center"/>
          </w:tcPr>
          <w:p>
            <w:pPr>
              <w:pStyle w:val="118"/>
              <w:spacing w:line="240" w:lineRule="auto"/>
              <w:ind w:firstLine="0"/>
              <w:rPr>
                <w:rFonts w:eastAsia="Times New Roman"/>
                <w:b/>
                <w:bCs/>
                <w:snapToGrid w:val="0"/>
                <w:color w:val="000000" w:themeColor="text1"/>
                <w:highlight w:val="none"/>
                <w14:textFill>
                  <w14:solidFill>
                    <w14:schemeClr w14:val="tx1"/>
                  </w14:solidFill>
                </w14:textFill>
                <w14:ligatures w14:val="standardContextual"/>
              </w:rPr>
            </w:pPr>
            <w:r>
              <w:rPr>
                <w:rFonts w:hint="eastAsia" w:ascii="宋体" w:hAnsi="宋体" w:eastAsia="宋体" w:cs="宋体"/>
                <w:b/>
                <w:bCs/>
                <w:snapToGrid w:val="0"/>
                <w:color w:val="000000" w:themeColor="text1"/>
                <w:highlight w:val="none"/>
                <w14:textFill>
                  <w14:solidFill>
                    <w14:schemeClr w14:val="tx1"/>
                  </w14:solidFill>
                </w14:textFill>
                <w14:ligatures w14:val="standardContextual"/>
              </w:rPr>
              <w:t>污</w:t>
            </w:r>
            <w:r>
              <w:rPr>
                <w:rFonts w:hint="eastAsia" w:eastAsia="Times New Roman"/>
                <w:b/>
                <w:bCs/>
                <w:snapToGrid w:val="0"/>
                <w:color w:val="000000" w:themeColor="text1"/>
                <w:highlight w:val="none"/>
                <w14:textFill>
                  <w14:solidFill>
                    <w14:schemeClr w14:val="tx1"/>
                  </w14:solidFill>
                </w14:textFill>
                <w14:ligatures w14:val="standardContextual"/>
              </w:rPr>
              <w:t>染物</w:t>
            </w:r>
          </w:p>
        </w:tc>
        <w:tc>
          <w:tcPr>
            <w:tcW w:w="732" w:type="pct"/>
            <w:vAlign w:val="center"/>
          </w:tcPr>
          <w:p>
            <w:pPr>
              <w:pStyle w:val="118"/>
              <w:spacing w:line="240" w:lineRule="auto"/>
              <w:ind w:firstLine="0"/>
              <w:rPr>
                <w:rFonts w:eastAsia="Times New Roman"/>
                <w:b/>
                <w:bCs/>
                <w:snapToGrid w:val="0"/>
                <w:color w:val="000000" w:themeColor="text1"/>
                <w:highlight w:val="none"/>
                <w14:textFill>
                  <w14:solidFill>
                    <w14:schemeClr w14:val="tx1"/>
                  </w14:solidFill>
                </w14:textFill>
                <w14:ligatures w14:val="standardContextual"/>
              </w:rPr>
            </w:pPr>
            <w:r>
              <w:rPr>
                <w:rFonts w:hint="eastAsia" w:ascii="宋体" w:hAnsi="宋体" w:eastAsia="宋体" w:cs="宋体"/>
                <w:b/>
                <w:bCs/>
                <w:snapToGrid w:val="0"/>
                <w:color w:val="000000" w:themeColor="text1"/>
                <w:highlight w:val="none"/>
                <w14:textFill>
                  <w14:solidFill>
                    <w14:schemeClr w14:val="tx1"/>
                  </w14:solidFill>
                </w14:textFill>
                <w14:ligatures w14:val="standardContextual"/>
              </w:rPr>
              <w:t>标</w:t>
            </w:r>
            <w:r>
              <w:rPr>
                <w:rFonts w:hint="eastAsia" w:eastAsia="Times New Roman"/>
                <w:b/>
                <w:bCs/>
                <w:snapToGrid w:val="0"/>
                <w:color w:val="000000" w:themeColor="text1"/>
                <w:highlight w:val="none"/>
                <w14:textFill>
                  <w14:solidFill>
                    <w14:schemeClr w14:val="tx1"/>
                  </w14:solidFill>
                </w14:textFill>
                <w14:ligatures w14:val="standardContextual"/>
              </w:rPr>
              <w:t>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1</w:t>
            </w:r>
          </w:p>
        </w:tc>
        <w:tc>
          <w:tcPr>
            <w:tcW w:w="119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pH</w:t>
            </w:r>
          </w:p>
        </w:tc>
        <w:tc>
          <w:tcPr>
            <w:tcW w:w="820"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6.5-8.5</w:t>
            </w:r>
          </w:p>
        </w:tc>
        <w:tc>
          <w:tcPr>
            <w:tcW w:w="546"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eastAsia="Times New Roman"/>
                <w:snapToGrid w:val="0"/>
                <w:color w:val="000000" w:themeColor="text1"/>
                <w:highlight w:val="none"/>
                <w14:textFill>
                  <w14:solidFill>
                    <w14:schemeClr w14:val="tx1"/>
                  </w14:solidFill>
                </w14:textFill>
                <w14:ligatures w14:val="standardContextual"/>
              </w:rPr>
              <w:t>1</w:t>
            </w:r>
            <w:r>
              <w:rPr>
                <w:rFonts w:eastAsia="Times New Roman"/>
                <w:snapToGrid w:val="0"/>
                <w:color w:val="000000" w:themeColor="text1"/>
                <w:highlight w:val="none"/>
                <w14:textFill>
                  <w14:solidFill>
                    <w14:schemeClr w14:val="tx1"/>
                  </w14:solidFill>
                </w14:textFill>
                <w14:ligatures w14:val="standardContextual"/>
              </w:rPr>
              <w:t>3</w:t>
            </w:r>
          </w:p>
        </w:tc>
        <w:tc>
          <w:tcPr>
            <w:tcW w:w="119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溶</w:t>
            </w:r>
            <w:r>
              <w:rPr>
                <w:rFonts w:hint="eastAsia" w:eastAsia="Times New Roman"/>
                <w:snapToGrid w:val="0"/>
                <w:color w:val="000000" w:themeColor="text1"/>
                <w:highlight w:val="none"/>
                <w14:textFill>
                  <w14:solidFill>
                    <w14:schemeClr w14:val="tx1"/>
                  </w14:solidFill>
                </w14:textFill>
                <w14:ligatures w14:val="standardContextual"/>
              </w:rPr>
              <w:t>解性总固体</w:t>
            </w:r>
          </w:p>
        </w:tc>
        <w:tc>
          <w:tcPr>
            <w:tcW w:w="732"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2</w:t>
            </w:r>
          </w:p>
        </w:tc>
        <w:tc>
          <w:tcPr>
            <w:tcW w:w="119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氨</w:t>
            </w:r>
            <w:r>
              <w:rPr>
                <w:rFonts w:hint="eastAsia" w:eastAsia="Times New Roman"/>
                <w:snapToGrid w:val="0"/>
                <w:color w:val="000000" w:themeColor="text1"/>
                <w:highlight w:val="none"/>
                <w14:textFill>
                  <w14:solidFill>
                    <w14:schemeClr w14:val="tx1"/>
                  </w14:solidFill>
                </w14:textFill>
                <w14:ligatures w14:val="standardContextual"/>
              </w:rPr>
              <w:t>氮</w:t>
            </w:r>
          </w:p>
        </w:tc>
        <w:tc>
          <w:tcPr>
            <w:tcW w:w="820"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≤0.5</w:t>
            </w:r>
          </w:p>
        </w:tc>
        <w:tc>
          <w:tcPr>
            <w:tcW w:w="546"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14</w:t>
            </w:r>
          </w:p>
        </w:tc>
        <w:tc>
          <w:tcPr>
            <w:tcW w:w="119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耗</w:t>
            </w:r>
            <w:r>
              <w:rPr>
                <w:rFonts w:hint="eastAsia" w:eastAsia="Times New Roman"/>
                <w:snapToGrid w:val="0"/>
                <w:color w:val="000000" w:themeColor="text1"/>
                <w:highlight w:val="none"/>
                <w14:textFill>
                  <w14:solidFill>
                    <w14:schemeClr w14:val="tx1"/>
                  </w14:solidFill>
                </w14:textFill>
                <w14:ligatures w14:val="standardContextual"/>
              </w:rPr>
              <w:t>氧量</w:t>
            </w:r>
          </w:p>
        </w:tc>
        <w:tc>
          <w:tcPr>
            <w:tcW w:w="732"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3</w:t>
            </w:r>
          </w:p>
        </w:tc>
        <w:tc>
          <w:tcPr>
            <w:tcW w:w="119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硝</w:t>
            </w:r>
            <w:r>
              <w:rPr>
                <w:rFonts w:hint="eastAsia" w:eastAsia="Times New Roman"/>
                <w:snapToGrid w:val="0"/>
                <w:color w:val="000000" w:themeColor="text1"/>
                <w:highlight w:val="none"/>
                <w14:textFill>
                  <w14:solidFill>
                    <w14:schemeClr w14:val="tx1"/>
                  </w14:solidFill>
                </w14:textFill>
                <w14:ligatures w14:val="standardContextual"/>
              </w:rPr>
              <w:t>酸盐</w:t>
            </w:r>
          </w:p>
        </w:tc>
        <w:tc>
          <w:tcPr>
            <w:tcW w:w="820"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≤20</w:t>
            </w:r>
          </w:p>
        </w:tc>
        <w:tc>
          <w:tcPr>
            <w:tcW w:w="546"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15</w:t>
            </w:r>
          </w:p>
        </w:tc>
        <w:tc>
          <w:tcPr>
            <w:tcW w:w="119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氯</w:t>
            </w:r>
            <w:r>
              <w:rPr>
                <w:rFonts w:hint="eastAsia" w:eastAsia="Times New Roman"/>
                <w:snapToGrid w:val="0"/>
                <w:color w:val="000000" w:themeColor="text1"/>
                <w:highlight w:val="none"/>
                <w14:textFill>
                  <w14:solidFill>
                    <w14:schemeClr w14:val="tx1"/>
                  </w14:solidFill>
                </w14:textFill>
                <w14:ligatures w14:val="standardContextual"/>
              </w:rPr>
              <w:t>化物</w:t>
            </w:r>
          </w:p>
        </w:tc>
        <w:tc>
          <w:tcPr>
            <w:tcW w:w="732"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4</w:t>
            </w:r>
          </w:p>
        </w:tc>
        <w:tc>
          <w:tcPr>
            <w:tcW w:w="119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亚</w:t>
            </w:r>
            <w:r>
              <w:rPr>
                <w:rFonts w:hint="eastAsia" w:eastAsia="Times New Roman"/>
                <w:snapToGrid w:val="0"/>
                <w:color w:val="000000" w:themeColor="text1"/>
                <w:highlight w:val="none"/>
                <w14:textFill>
                  <w14:solidFill>
                    <w14:schemeClr w14:val="tx1"/>
                  </w14:solidFill>
                </w14:textFill>
                <w14:ligatures w14:val="standardContextual"/>
              </w:rPr>
              <w:t>硝酸盐</w:t>
            </w:r>
          </w:p>
        </w:tc>
        <w:tc>
          <w:tcPr>
            <w:tcW w:w="820"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≤1.0</w:t>
            </w:r>
          </w:p>
        </w:tc>
        <w:tc>
          <w:tcPr>
            <w:tcW w:w="546"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16</w:t>
            </w:r>
          </w:p>
        </w:tc>
        <w:tc>
          <w:tcPr>
            <w:tcW w:w="119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总</w:t>
            </w:r>
            <w:r>
              <w:rPr>
                <w:rFonts w:hint="eastAsia" w:eastAsia="Times New Roman"/>
                <w:snapToGrid w:val="0"/>
                <w:color w:val="000000" w:themeColor="text1"/>
                <w:highlight w:val="none"/>
                <w14:textFill>
                  <w14:solidFill>
                    <w14:schemeClr w14:val="tx1"/>
                  </w14:solidFill>
                </w14:textFill>
                <w14:ligatures w14:val="standardContextual"/>
              </w:rPr>
              <w:t>大肠杆菌</w:t>
            </w:r>
          </w:p>
        </w:tc>
        <w:tc>
          <w:tcPr>
            <w:tcW w:w="732"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5</w:t>
            </w:r>
          </w:p>
        </w:tc>
        <w:tc>
          <w:tcPr>
            <w:tcW w:w="119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挥</w:t>
            </w:r>
            <w:r>
              <w:rPr>
                <w:rFonts w:hint="eastAsia" w:eastAsia="Times New Roman"/>
                <w:snapToGrid w:val="0"/>
                <w:color w:val="000000" w:themeColor="text1"/>
                <w:highlight w:val="none"/>
                <w14:textFill>
                  <w14:solidFill>
                    <w14:schemeClr w14:val="tx1"/>
                  </w14:solidFill>
                </w14:textFill>
                <w14:ligatures w14:val="standardContextual"/>
              </w:rPr>
              <w:t>发性酚</w:t>
            </w:r>
          </w:p>
        </w:tc>
        <w:tc>
          <w:tcPr>
            <w:tcW w:w="820"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≤0.002</w:t>
            </w:r>
          </w:p>
        </w:tc>
        <w:tc>
          <w:tcPr>
            <w:tcW w:w="546"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17</w:t>
            </w:r>
          </w:p>
        </w:tc>
        <w:tc>
          <w:tcPr>
            <w:tcW w:w="119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细</w:t>
            </w:r>
            <w:r>
              <w:rPr>
                <w:rFonts w:hint="eastAsia" w:eastAsia="Times New Roman"/>
                <w:snapToGrid w:val="0"/>
                <w:color w:val="000000" w:themeColor="text1"/>
                <w:highlight w:val="none"/>
                <w14:textFill>
                  <w14:solidFill>
                    <w14:schemeClr w14:val="tx1"/>
                  </w14:solidFill>
                </w14:textFill>
                <w14:ligatures w14:val="standardContextual"/>
              </w:rPr>
              <w:t>菌总数</w:t>
            </w:r>
          </w:p>
        </w:tc>
        <w:tc>
          <w:tcPr>
            <w:tcW w:w="732"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6</w:t>
            </w:r>
          </w:p>
        </w:tc>
        <w:tc>
          <w:tcPr>
            <w:tcW w:w="119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氰</w:t>
            </w:r>
            <w:r>
              <w:rPr>
                <w:rFonts w:hint="eastAsia" w:eastAsia="Times New Roman"/>
                <w:snapToGrid w:val="0"/>
                <w:color w:val="000000" w:themeColor="text1"/>
                <w:highlight w:val="none"/>
                <w14:textFill>
                  <w14:solidFill>
                    <w14:schemeClr w14:val="tx1"/>
                  </w14:solidFill>
                </w14:textFill>
                <w14:ligatures w14:val="standardContextual"/>
              </w:rPr>
              <w:t>化物</w:t>
            </w:r>
          </w:p>
        </w:tc>
        <w:tc>
          <w:tcPr>
            <w:tcW w:w="820"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≤0.05</w:t>
            </w:r>
          </w:p>
        </w:tc>
        <w:tc>
          <w:tcPr>
            <w:tcW w:w="546"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18</w:t>
            </w:r>
          </w:p>
        </w:tc>
        <w:tc>
          <w:tcPr>
            <w:tcW w:w="119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石</w:t>
            </w:r>
            <w:r>
              <w:rPr>
                <w:rFonts w:hint="eastAsia" w:eastAsia="Times New Roman"/>
                <w:snapToGrid w:val="0"/>
                <w:color w:val="000000" w:themeColor="text1"/>
                <w:highlight w:val="none"/>
                <w14:textFill>
                  <w14:solidFill>
                    <w14:schemeClr w14:val="tx1"/>
                  </w14:solidFill>
                </w14:textFill>
                <w14:ligatures w14:val="standardContextual"/>
              </w:rPr>
              <w:t>油类*</w:t>
            </w:r>
          </w:p>
        </w:tc>
        <w:tc>
          <w:tcPr>
            <w:tcW w:w="732"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7</w:t>
            </w:r>
          </w:p>
        </w:tc>
        <w:tc>
          <w:tcPr>
            <w:tcW w:w="119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砷</w:t>
            </w:r>
          </w:p>
        </w:tc>
        <w:tc>
          <w:tcPr>
            <w:tcW w:w="820"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≤0.01</w:t>
            </w:r>
          </w:p>
        </w:tc>
        <w:tc>
          <w:tcPr>
            <w:tcW w:w="546"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19</w:t>
            </w:r>
          </w:p>
        </w:tc>
        <w:tc>
          <w:tcPr>
            <w:tcW w:w="119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铬</w:t>
            </w:r>
            <w:r>
              <w:rPr>
                <w:rFonts w:hint="eastAsia" w:eastAsia="Times New Roman"/>
                <w:snapToGrid w:val="0"/>
                <w:color w:val="000000" w:themeColor="text1"/>
                <w:highlight w:val="none"/>
                <w14:textFill>
                  <w14:solidFill>
                    <w14:schemeClr w14:val="tx1"/>
                  </w14:solidFill>
                </w14:textFill>
                <w14:ligatures w14:val="standardContextual"/>
              </w:rPr>
              <w:t>（六价）</w:t>
            </w:r>
          </w:p>
        </w:tc>
        <w:tc>
          <w:tcPr>
            <w:tcW w:w="732"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8</w:t>
            </w:r>
          </w:p>
        </w:tc>
        <w:tc>
          <w:tcPr>
            <w:tcW w:w="119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汞</w:t>
            </w:r>
          </w:p>
        </w:tc>
        <w:tc>
          <w:tcPr>
            <w:tcW w:w="820"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≤0.001</w:t>
            </w:r>
          </w:p>
        </w:tc>
        <w:tc>
          <w:tcPr>
            <w:tcW w:w="546"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20</w:t>
            </w:r>
          </w:p>
        </w:tc>
        <w:tc>
          <w:tcPr>
            <w:tcW w:w="119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硫</w:t>
            </w:r>
            <w:r>
              <w:rPr>
                <w:rFonts w:hint="eastAsia" w:eastAsia="Times New Roman"/>
                <w:snapToGrid w:val="0"/>
                <w:color w:val="000000" w:themeColor="text1"/>
                <w:highlight w:val="none"/>
                <w14:textFill>
                  <w14:solidFill>
                    <w14:schemeClr w14:val="tx1"/>
                  </w14:solidFill>
                </w14:textFill>
                <w14:ligatures w14:val="standardContextual"/>
              </w:rPr>
              <w:t>酸盐</w:t>
            </w:r>
          </w:p>
        </w:tc>
        <w:tc>
          <w:tcPr>
            <w:tcW w:w="732"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9</w:t>
            </w:r>
          </w:p>
        </w:tc>
        <w:tc>
          <w:tcPr>
            <w:tcW w:w="119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总</w:t>
            </w:r>
            <w:r>
              <w:rPr>
                <w:rFonts w:hint="eastAsia" w:eastAsia="Times New Roman"/>
                <w:snapToGrid w:val="0"/>
                <w:color w:val="000000" w:themeColor="text1"/>
                <w:highlight w:val="none"/>
                <w14:textFill>
                  <w14:solidFill>
                    <w14:schemeClr w14:val="tx1"/>
                  </w14:solidFill>
                </w14:textFill>
                <w14:ligatures w14:val="standardContextual"/>
              </w:rPr>
              <w:t>硬度</w:t>
            </w:r>
          </w:p>
        </w:tc>
        <w:tc>
          <w:tcPr>
            <w:tcW w:w="820"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≤450</w:t>
            </w:r>
          </w:p>
        </w:tc>
        <w:tc>
          <w:tcPr>
            <w:tcW w:w="546"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21</w:t>
            </w:r>
          </w:p>
        </w:tc>
        <w:tc>
          <w:tcPr>
            <w:tcW w:w="119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钠</w:t>
            </w:r>
          </w:p>
        </w:tc>
        <w:tc>
          <w:tcPr>
            <w:tcW w:w="732"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10</w:t>
            </w:r>
          </w:p>
        </w:tc>
        <w:tc>
          <w:tcPr>
            <w:tcW w:w="119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铅</w:t>
            </w:r>
          </w:p>
        </w:tc>
        <w:tc>
          <w:tcPr>
            <w:tcW w:w="820"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≤0.01</w:t>
            </w:r>
          </w:p>
        </w:tc>
        <w:tc>
          <w:tcPr>
            <w:tcW w:w="546"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22</w:t>
            </w:r>
          </w:p>
        </w:tc>
        <w:tc>
          <w:tcPr>
            <w:tcW w:w="119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硫</w:t>
            </w:r>
            <w:r>
              <w:rPr>
                <w:rFonts w:hint="eastAsia" w:eastAsia="Times New Roman"/>
                <w:snapToGrid w:val="0"/>
                <w:color w:val="000000" w:themeColor="text1"/>
                <w:highlight w:val="none"/>
                <w14:textFill>
                  <w14:solidFill>
                    <w14:schemeClr w14:val="tx1"/>
                  </w14:solidFill>
                </w14:textFill>
                <w14:ligatures w14:val="standardContextual"/>
              </w:rPr>
              <w:t>化物</w:t>
            </w:r>
          </w:p>
        </w:tc>
        <w:tc>
          <w:tcPr>
            <w:tcW w:w="732"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11</w:t>
            </w:r>
          </w:p>
        </w:tc>
        <w:tc>
          <w:tcPr>
            <w:tcW w:w="119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氟</w:t>
            </w:r>
            <w:r>
              <w:rPr>
                <w:rFonts w:hint="eastAsia" w:eastAsia="Times New Roman"/>
                <w:snapToGrid w:val="0"/>
                <w:color w:val="000000" w:themeColor="text1"/>
                <w:highlight w:val="none"/>
                <w14:textFill>
                  <w14:solidFill>
                    <w14:schemeClr w14:val="tx1"/>
                  </w14:solidFill>
                </w14:textFill>
                <w14:ligatures w14:val="standardContextual"/>
              </w:rPr>
              <w:t>化物</w:t>
            </w:r>
          </w:p>
        </w:tc>
        <w:tc>
          <w:tcPr>
            <w:tcW w:w="820"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≤1.0</w:t>
            </w:r>
          </w:p>
        </w:tc>
        <w:tc>
          <w:tcPr>
            <w:tcW w:w="546"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23</w:t>
            </w:r>
          </w:p>
        </w:tc>
        <w:tc>
          <w:tcPr>
            <w:tcW w:w="119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铁</w:t>
            </w:r>
          </w:p>
        </w:tc>
        <w:tc>
          <w:tcPr>
            <w:tcW w:w="732"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12</w:t>
            </w:r>
          </w:p>
        </w:tc>
        <w:tc>
          <w:tcPr>
            <w:tcW w:w="119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镉</w:t>
            </w:r>
          </w:p>
        </w:tc>
        <w:tc>
          <w:tcPr>
            <w:tcW w:w="820"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≤0.005</w:t>
            </w:r>
          </w:p>
        </w:tc>
        <w:tc>
          <w:tcPr>
            <w:tcW w:w="546"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24</w:t>
            </w:r>
          </w:p>
        </w:tc>
        <w:tc>
          <w:tcPr>
            <w:tcW w:w="119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锰</w:t>
            </w:r>
          </w:p>
        </w:tc>
        <w:tc>
          <w:tcPr>
            <w:tcW w:w="732"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≤0.1</w:t>
            </w:r>
          </w:p>
        </w:tc>
      </w:tr>
    </w:tbl>
    <w:p>
      <w:pPr>
        <w:spacing w:line="240" w:lineRule="auto"/>
        <w:ind w:firstLine="0" w:firstLineChars="0"/>
        <w:rPr>
          <w:rFonts w:ascii="宋体" w:hAnsi="宋体" w:cs="Times New Roman"/>
          <w:i/>
          <w:iCs/>
          <w:color w:val="000000" w:themeColor="text1"/>
          <w:sz w:val="21"/>
          <w:szCs w:val="21"/>
          <w:highlight w:val="none"/>
          <w14:textFill>
            <w14:solidFill>
              <w14:schemeClr w14:val="tx1"/>
            </w14:solidFill>
          </w14:textFill>
        </w:rPr>
      </w:pPr>
      <w:r>
        <w:rPr>
          <w:rFonts w:ascii="宋体" w:hAnsi="宋体" w:cs="Times New Roman"/>
          <w:i/>
          <w:iCs/>
          <w:color w:val="000000" w:themeColor="text1"/>
          <w:sz w:val="20"/>
          <w:szCs w:val="20"/>
          <w:highlight w:val="none"/>
          <w14:textFill>
            <w14:solidFill>
              <w14:schemeClr w14:val="tx1"/>
            </w14:solidFill>
          </w14:textFill>
        </w:rPr>
        <w:t>注：*为参考地表水标准。</w:t>
      </w:r>
    </w:p>
    <w:p>
      <w:pPr>
        <w:tabs>
          <w:tab w:val="left" w:pos="0"/>
        </w:tabs>
        <w:spacing w:before="120"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（3）环境空气</w:t>
      </w:r>
    </w:p>
    <w:p>
      <w:pPr>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评价区域环境空气执行《环境空气质量标准》（GB3095-2012）二级标准；非甲烷总烃执行《大气污染物综合排放标准详解》中标准限值。具体标准限值见</w:t>
      </w:r>
      <w:r>
        <w:rPr>
          <w:bCs/>
          <w:color w:val="000000" w:themeColor="text1"/>
          <w:szCs w:val="24"/>
          <w:highlight w:val="none"/>
          <w14:textFill>
            <w14:solidFill>
              <w14:schemeClr w14:val="tx1"/>
            </w14:solidFill>
          </w14:textFill>
        </w:rPr>
        <w:fldChar w:fldCharType="begin"/>
      </w:r>
      <w:r>
        <w:rPr>
          <w:bCs/>
          <w:color w:val="000000" w:themeColor="text1"/>
          <w:szCs w:val="24"/>
          <w:highlight w:val="none"/>
          <w14:textFill>
            <w14:solidFill>
              <w14:schemeClr w14:val="tx1"/>
            </w14:solidFill>
          </w14:textFill>
        </w:rPr>
        <w:instrText xml:space="preserve"> REF _Ref143335003 \h  \* MERGEFORMAT </w:instrText>
      </w:r>
      <w:r>
        <w:rPr>
          <w:bCs/>
          <w:color w:val="000000" w:themeColor="text1"/>
          <w:szCs w:val="24"/>
          <w:highlight w:val="none"/>
          <w14:textFill>
            <w14:solidFill>
              <w14:schemeClr w14:val="tx1"/>
            </w14:solidFill>
          </w14:textFill>
        </w:rPr>
        <w:fldChar w:fldCharType="separate"/>
      </w:r>
      <w:r>
        <w:rPr>
          <w:rFonts w:hint="eastAsia"/>
          <w:bCs/>
          <w:color w:val="000000" w:themeColor="text1"/>
          <w:szCs w:val="24"/>
          <w:highlight w:val="none"/>
          <w14:textFill>
            <w14:solidFill>
              <w14:schemeClr w14:val="tx1"/>
            </w14:solidFill>
          </w14:textFill>
        </w:rPr>
        <w:t>表</w:t>
      </w:r>
      <w:r>
        <w:rPr>
          <w:bCs/>
          <w:color w:val="000000" w:themeColor="text1"/>
          <w:szCs w:val="24"/>
          <w:highlight w:val="none"/>
          <w14:textFill>
            <w14:solidFill>
              <w14:schemeClr w14:val="tx1"/>
            </w14:solidFill>
          </w14:textFill>
        </w:rPr>
        <w:t>2.5</w:t>
      </w:r>
      <w:r>
        <w:rPr>
          <w:bCs/>
          <w:color w:val="000000" w:themeColor="text1"/>
          <w:szCs w:val="24"/>
          <w:highlight w:val="none"/>
          <w14:textFill>
            <w14:solidFill>
              <w14:schemeClr w14:val="tx1"/>
            </w14:solidFill>
          </w14:textFill>
        </w:rPr>
        <w:noBreakHyphen/>
      </w:r>
      <w:r>
        <w:rPr>
          <w:bCs/>
          <w:color w:val="000000" w:themeColor="text1"/>
          <w:szCs w:val="24"/>
          <w:highlight w:val="none"/>
          <w14:textFill>
            <w14:solidFill>
              <w14:schemeClr w14:val="tx1"/>
            </w14:solidFill>
          </w14:textFill>
        </w:rPr>
        <w:t>3</w:t>
      </w:r>
      <w:r>
        <w:rPr>
          <w:bCs/>
          <w:color w:val="000000" w:themeColor="text1"/>
          <w:szCs w:val="24"/>
          <w:highlight w:val="none"/>
          <w14:textFill>
            <w14:solidFill>
              <w14:schemeClr w14:val="tx1"/>
            </w14:solidFill>
          </w14:textFill>
        </w:rPr>
        <w:fldChar w:fldCharType="end"/>
      </w:r>
      <w:r>
        <w:rPr>
          <w:bCs/>
          <w:color w:val="000000" w:themeColor="text1"/>
          <w:szCs w:val="24"/>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bookmarkStart w:id="66" w:name="_Ref143335003"/>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fldChar w:fldCharType="end"/>
      </w:r>
      <w:bookmarkEnd w:id="66"/>
      <w:r>
        <w:rPr>
          <w:rFonts w:hint="eastAsia"/>
          <w:color w:val="000000" w:themeColor="text1"/>
          <w:highlight w:val="none"/>
          <w14:textFill>
            <w14:solidFill>
              <w14:schemeClr w14:val="tx1"/>
            </w14:solidFill>
          </w14:textFill>
        </w:rPr>
        <w:t>环境空气质量标准</w:t>
      </w:r>
      <w:r>
        <w:rPr>
          <w:color w:val="000000" w:themeColor="text1"/>
          <w:highlight w:val="none"/>
          <w14:textFill>
            <w14:solidFill>
              <w14:schemeClr w14:val="tx1"/>
            </w14:solidFill>
          </w14:textFill>
        </w:rPr>
        <w:t>单位：mg/m</w:t>
      </w:r>
      <w:r>
        <w:rPr>
          <w:color w:val="000000" w:themeColor="text1"/>
          <w:highlight w:val="none"/>
          <w:vertAlign w:val="superscript"/>
          <w14:textFill>
            <w14:solidFill>
              <w14:schemeClr w14:val="tx1"/>
            </w14:solidFill>
          </w14:textFill>
        </w:rPr>
        <w:t>3</w:t>
      </w:r>
    </w:p>
    <w:tbl>
      <w:tblPr>
        <w:tblStyle w:val="41"/>
        <w:tblW w:w="51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21"/>
        <w:gridCol w:w="1812"/>
        <w:gridCol w:w="1812"/>
        <w:gridCol w:w="37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 w:hRule="atLeast"/>
          <w:tblHeader/>
          <w:jc w:val="center"/>
        </w:trPr>
        <w:tc>
          <w:tcPr>
            <w:tcW w:w="1481" w:type="dxa"/>
            <w:vMerge w:val="restar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污染物</w:t>
            </w:r>
          </w:p>
        </w:tc>
        <w:tc>
          <w:tcPr>
            <w:tcW w:w="3526" w:type="dxa"/>
            <w:gridSpan w:val="2"/>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浓度限值</w:t>
            </w:r>
          </w:p>
        </w:tc>
        <w:tc>
          <w:tcPr>
            <w:tcW w:w="3611" w:type="dxa"/>
            <w:vMerge w:val="restar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tblHeader/>
          <w:jc w:val="center"/>
        </w:trPr>
        <w:tc>
          <w:tcPr>
            <w:tcW w:w="1481" w:type="dxa"/>
            <w:vMerge w:val="continue"/>
            <w:vAlign w:val="center"/>
          </w:tcPr>
          <w:p>
            <w:pPr>
              <w:pStyle w:val="118"/>
              <w:rPr>
                <w:color w:val="000000" w:themeColor="text1"/>
                <w:highlight w:val="none"/>
                <w14:textFill>
                  <w14:solidFill>
                    <w14:schemeClr w14:val="tx1"/>
                  </w14:solidFill>
                </w14:textFill>
              </w:rPr>
            </w:pPr>
          </w:p>
        </w:tc>
        <w:tc>
          <w:tcPr>
            <w:tcW w:w="176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取值时间</w:t>
            </w:r>
          </w:p>
        </w:tc>
        <w:tc>
          <w:tcPr>
            <w:tcW w:w="176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标准限值</w:t>
            </w:r>
          </w:p>
        </w:tc>
        <w:tc>
          <w:tcPr>
            <w:tcW w:w="3611" w:type="dxa"/>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PM</w:t>
            </w:r>
            <w:r>
              <w:rPr>
                <w:color w:val="000000" w:themeColor="text1"/>
                <w:highlight w:val="none"/>
                <w:vertAlign w:val="subscript"/>
                <w14:textFill>
                  <w14:solidFill>
                    <w14:schemeClr w14:val="tx1"/>
                  </w14:solidFill>
                </w14:textFill>
              </w:rPr>
              <w:t>10</w:t>
            </w:r>
          </w:p>
        </w:tc>
        <w:tc>
          <w:tcPr>
            <w:tcW w:w="176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年平均</w:t>
            </w:r>
          </w:p>
        </w:tc>
        <w:tc>
          <w:tcPr>
            <w:tcW w:w="176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70μg/m</w:t>
            </w:r>
            <w:r>
              <w:rPr>
                <w:color w:val="000000" w:themeColor="text1"/>
                <w:highlight w:val="none"/>
                <w:vertAlign w:val="superscript"/>
                <w14:textFill>
                  <w14:solidFill>
                    <w14:schemeClr w14:val="tx1"/>
                  </w14:solidFill>
                </w14:textFill>
              </w:rPr>
              <w:t>3</w:t>
            </w:r>
          </w:p>
        </w:tc>
        <w:tc>
          <w:tcPr>
            <w:tcW w:w="3611"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《环境空气质量标准》（GB3095-2012）二级标准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Merge w:val="continue"/>
            <w:vAlign w:val="center"/>
          </w:tcPr>
          <w:p>
            <w:pPr>
              <w:pStyle w:val="118"/>
              <w:rPr>
                <w:color w:val="000000" w:themeColor="text1"/>
                <w:highlight w:val="none"/>
                <w:vertAlign w:val="subscript"/>
                <w14:textFill>
                  <w14:solidFill>
                    <w14:schemeClr w14:val="tx1"/>
                  </w14:solidFill>
                </w14:textFill>
              </w:rPr>
            </w:pPr>
          </w:p>
        </w:tc>
        <w:tc>
          <w:tcPr>
            <w:tcW w:w="176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24小时平均</w:t>
            </w:r>
          </w:p>
        </w:tc>
        <w:tc>
          <w:tcPr>
            <w:tcW w:w="176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150μg/m</w:t>
            </w:r>
            <w:r>
              <w:rPr>
                <w:color w:val="000000" w:themeColor="text1"/>
                <w:highlight w:val="none"/>
                <w:vertAlign w:val="superscript"/>
                <w14:textFill>
                  <w14:solidFill>
                    <w14:schemeClr w14:val="tx1"/>
                  </w14:solidFill>
                </w14:textFill>
              </w:rPr>
              <w:t>3</w:t>
            </w:r>
          </w:p>
        </w:tc>
        <w:tc>
          <w:tcPr>
            <w:tcW w:w="3611" w:type="dxa"/>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PM</w:t>
            </w:r>
            <w:r>
              <w:rPr>
                <w:color w:val="000000" w:themeColor="text1"/>
                <w:highlight w:val="none"/>
                <w:vertAlign w:val="subscript"/>
                <w14:textFill>
                  <w14:solidFill>
                    <w14:schemeClr w14:val="tx1"/>
                  </w14:solidFill>
                </w14:textFill>
              </w:rPr>
              <w:t>2.5</w:t>
            </w:r>
          </w:p>
        </w:tc>
        <w:tc>
          <w:tcPr>
            <w:tcW w:w="176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年平均</w:t>
            </w:r>
          </w:p>
        </w:tc>
        <w:tc>
          <w:tcPr>
            <w:tcW w:w="176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35μg/m</w:t>
            </w:r>
            <w:r>
              <w:rPr>
                <w:color w:val="000000" w:themeColor="text1"/>
                <w:highlight w:val="none"/>
                <w:vertAlign w:val="superscript"/>
                <w14:textFill>
                  <w14:solidFill>
                    <w14:schemeClr w14:val="tx1"/>
                  </w14:solidFill>
                </w14:textFill>
              </w:rPr>
              <w:t>3</w:t>
            </w:r>
          </w:p>
        </w:tc>
        <w:tc>
          <w:tcPr>
            <w:tcW w:w="3611" w:type="dxa"/>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Merge w:val="continue"/>
            <w:vAlign w:val="center"/>
          </w:tcPr>
          <w:p>
            <w:pPr>
              <w:pStyle w:val="118"/>
              <w:rPr>
                <w:color w:val="000000" w:themeColor="text1"/>
                <w:highlight w:val="none"/>
                <w:vertAlign w:val="subscript"/>
                <w14:textFill>
                  <w14:solidFill>
                    <w14:schemeClr w14:val="tx1"/>
                  </w14:solidFill>
                </w14:textFill>
              </w:rPr>
            </w:pPr>
          </w:p>
        </w:tc>
        <w:tc>
          <w:tcPr>
            <w:tcW w:w="176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24小时平均</w:t>
            </w:r>
          </w:p>
        </w:tc>
        <w:tc>
          <w:tcPr>
            <w:tcW w:w="176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75μg/m</w:t>
            </w:r>
            <w:r>
              <w:rPr>
                <w:color w:val="000000" w:themeColor="text1"/>
                <w:highlight w:val="none"/>
                <w:vertAlign w:val="superscript"/>
                <w14:textFill>
                  <w14:solidFill>
                    <w14:schemeClr w14:val="tx1"/>
                  </w14:solidFill>
                </w14:textFill>
              </w:rPr>
              <w:t>3</w:t>
            </w:r>
          </w:p>
        </w:tc>
        <w:tc>
          <w:tcPr>
            <w:tcW w:w="3611" w:type="dxa"/>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Merge w:val="restart"/>
            <w:vAlign w:val="center"/>
          </w:tcPr>
          <w:p>
            <w:pPr>
              <w:pStyle w:val="118"/>
              <w:rPr>
                <w:color w:val="000000" w:themeColor="text1"/>
                <w:highlight w:val="none"/>
                <w:vertAlign w:val="subscript"/>
                <w14:textFill>
                  <w14:solidFill>
                    <w14:schemeClr w14:val="tx1"/>
                  </w14:solidFill>
                </w14:textFill>
              </w:rPr>
            </w:pPr>
            <w:r>
              <w:rPr>
                <w:color w:val="000000" w:themeColor="text1"/>
                <w:highlight w:val="none"/>
                <w14:textFill>
                  <w14:solidFill>
                    <w14:schemeClr w14:val="tx1"/>
                  </w14:solidFill>
                </w14:textFill>
              </w:rPr>
              <w:t>SO</w:t>
            </w:r>
            <w:r>
              <w:rPr>
                <w:color w:val="000000" w:themeColor="text1"/>
                <w:highlight w:val="none"/>
                <w:vertAlign w:val="subscript"/>
                <w14:textFill>
                  <w14:solidFill>
                    <w14:schemeClr w14:val="tx1"/>
                  </w14:solidFill>
                </w14:textFill>
              </w:rPr>
              <w:t>2</w:t>
            </w:r>
          </w:p>
        </w:tc>
        <w:tc>
          <w:tcPr>
            <w:tcW w:w="176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年平均</w:t>
            </w:r>
          </w:p>
        </w:tc>
        <w:tc>
          <w:tcPr>
            <w:tcW w:w="176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60μg/m</w:t>
            </w:r>
            <w:r>
              <w:rPr>
                <w:color w:val="000000" w:themeColor="text1"/>
                <w:highlight w:val="none"/>
                <w:vertAlign w:val="superscript"/>
                <w14:textFill>
                  <w14:solidFill>
                    <w14:schemeClr w14:val="tx1"/>
                  </w14:solidFill>
                </w14:textFill>
              </w:rPr>
              <w:t>3</w:t>
            </w:r>
          </w:p>
        </w:tc>
        <w:tc>
          <w:tcPr>
            <w:tcW w:w="3611" w:type="dxa"/>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 w:hRule="atLeast"/>
          <w:jc w:val="center"/>
        </w:trPr>
        <w:tc>
          <w:tcPr>
            <w:tcW w:w="1481" w:type="dxa"/>
            <w:vMerge w:val="continue"/>
            <w:vAlign w:val="center"/>
          </w:tcPr>
          <w:p>
            <w:pPr>
              <w:pStyle w:val="118"/>
              <w:rPr>
                <w:color w:val="000000" w:themeColor="text1"/>
                <w:highlight w:val="none"/>
                <w14:textFill>
                  <w14:solidFill>
                    <w14:schemeClr w14:val="tx1"/>
                  </w14:solidFill>
                </w14:textFill>
              </w:rPr>
            </w:pPr>
          </w:p>
        </w:tc>
        <w:tc>
          <w:tcPr>
            <w:tcW w:w="176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24小时平均</w:t>
            </w:r>
          </w:p>
        </w:tc>
        <w:tc>
          <w:tcPr>
            <w:tcW w:w="176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150μg/m</w:t>
            </w:r>
            <w:r>
              <w:rPr>
                <w:color w:val="000000" w:themeColor="text1"/>
                <w:highlight w:val="none"/>
                <w:vertAlign w:val="superscript"/>
                <w14:textFill>
                  <w14:solidFill>
                    <w14:schemeClr w14:val="tx1"/>
                  </w14:solidFill>
                </w14:textFill>
              </w:rPr>
              <w:t>3</w:t>
            </w:r>
          </w:p>
        </w:tc>
        <w:tc>
          <w:tcPr>
            <w:tcW w:w="3611" w:type="dxa"/>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 w:hRule="atLeast"/>
          <w:jc w:val="center"/>
        </w:trPr>
        <w:tc>
          <w:tcPr>
            <w:tcW w:w="1481" w:type="dxa"/>
            <w:vMerge w:val="continue"/>
            <w:vAlign w:val="center"/>
          </w:tcPr>
          <w:p>
            <w:pPr>
              <w:pStyle w:val="118"/>
              <w:rPr>
                <w:color w:val="000000" w:themeColor="text1"/>
                <w:highlight w:val="none"/>
                <w14:textFill>
                  <w14:solidFill>
                    <w14:schemeClr w14:val="tx1"/>
                  </w14:solidFill>
                </w14:textFill>
              </w:rPr>
            </w:pPr>
          </w:p>
        </w:tc>
        <w:tc>
          <w:tcPr>
            <w:tcW w:w="176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1小时平均</w:t>
            </w:r>
          </w:p>
        </w:tc>
        <w:tc>
          <w:tcPr>
            <w:tcW w:w="176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500μg/m</w:t>
            </w:r>
            <w:r>
              <w:rPr>
                <w:color w:val="000000" w:themeColor="text1"/>
                <w:highlight w:val="none"/>
                <w:vertAlign w:val="superscript"/>
                <w14:textFill>
                  <w14:solidFill>
                    <w14:schemeClr w14:val="tx1"/>
                  </w14:solidFill>
                </w14:textFill>
              </w:rPr>
              <w:t>3</w:t>
            </w:r>
          </w:p>
        </w:tc>
        <w:tc>
          <w:tcPr>
            <w:tcW w:w="3611" w:type="dxa"/>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NO</w:t>
            </w:r>
            <w:r>
              <w:rPr>
                <w:color w:val="000000" w:themeColor="text1"/>
                <w:highlight w:val="none"/>
                <w:vertAlign w:val="subscript"/>
                <w14:textFill>
                  <w14:solidFill>
                    <w14:schemeClr w14:val="tx1"/>
                  </w14:solidFill>
                </w14:textFill>
              </w:rPr>
              <w:t>2</w:t>
            </w:r>
          </w:p>
        </w:tc>
        <w:tc>
          <w:tcPr>
            <w:tcW w:w="176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年平均</w:t>
            </w:r>
          </w:p>
        </w:tc>
        <w:tc>
          <w:tcPr>
            <w:tcW w:w="176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40μg/m</w:t>
            </w:r>
            <w:r>
              <w:rPr>
                <w:color w:val="000000" w:themeColor="text1"/>
                <w:highlight w:val="none"/>
                <w:vertAlign w:val="superscript"/>
                <w14:textFill>
                  <w14:solidFill>
                    <w14:schemeClr w14:val="tx1"/>
                  </w14:solidFill>
                </w14:textFill>
              </w:rPr>
              <w:t>3</w:t>
            </w:r>
          </w:p>
        </w:tc>
        <w:tc>
          <w:tcPr>
            <w:tcW w:w="3611" w:type="dxa"/>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Merge w:val="continue"/>
            <w:vAlign w:val="center"/>
          </w:tcPr>
          <w:p>
            <w:pPr>
              <w:pStyle w:val="118"/>
              <w:rPr>
                <w:color w:val="000000" w:themeColor="text1"/>
                <w:highlight w:val="none"/>
                <w14:textFill>
                  <w14:solidFill>
                    <w14:schemeClr w14:val="tx1"/>
                  </w14:solidFill>
                </w14:textFill>
              </w:rPr>
            </w:pPr>
          </w:p>
        </w:tc>
        <w:tc>
          <w:tcPr>
            <w:tcW w:w="176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24小时平均</w:t>
            </w:r>
          </w:p>
        </w:tc>
        <w:tc>
          <w:tcPr>
            <w:tcW w:w="176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80μg/m</w:t>
            </w:r>
            <w:r>
              <w:rPr>
                <w:color w:val="000000" w:themeColor="text1"/>
                <w:highlight w:val="none"/>
                <w:vertAlign w:val="superscript"/>
                <w14:textFill>
                  <w14:solidFill>
                    <w14:schemeClr w14:val="tx1"/>
                  </w14:solidFill>
                </w14:textFill>
              </w:rPr>
              <w:t>3</w:t>
            </w:r>
          </w:p>
        </w:tc>
        <w:tc>
          <w:tcPr>
            <w:tcW w:w="3611" w:type="dxa"/>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Merge w:val="continue"/>
            <w:vAlign w:val="center"/>
          </w:tcPr>
          <w:p>
            <w:pPr>
              <w:pStyle w:val="118"/>
              <w:rPr>
                <w:color w:val="000000" w:themeColor="text1"/>
                <w:highlight w:val="none"/>
                <w14:textFill>
                  <w14:solidFill>
                    <w14:schemeClr w14:val="tx1"/>
                  </w14:solidFill>
                </w14:textFill>
              </w:rPr>
            </w:pPr>
          </w:p>
        </w:tc>
        <w:tc>
          <w:tcPr>
            <w:tcW w:w="176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1小时平均</w:t>
            </w:r>
          </w:p>
        </w:tc>
        <w:tc>
          <w:tcPr>
            <w:tcW w:w="176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200μg/m</w:t>
            </w:r>
            <w:r>
              <w:rPr>
                <w:color w:val="000000" w:themeColor="text1"/>
                <w:highlight w:val="none"/>
                <w:vertAlign w:val="superscript"/>
                <w14:textFill>
                  <w14:solidFill>
                    <w14:schemeClr w14:val="tx1"/>
                  </w14:solidFill>
                </w14:textFill>
              </w:rPr>
              <w:t>3</w:t>
            </w:r>
          </w:p>
        </w:tc>
        <w:tc>
          <w:tcPr>
            <w:tcW w:w="3611" w:type="dxa"/>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NO</w:t>
            </w:r>
            <w:r>
              <w:rPr>
                <w:color w:val="000000" w:themeColor="text1"/>
                <w:highlight w:val="none"/>
                <w:vertAlign w:val="subscript"/>
                <w14:textFill>
                  <w14:solidFill>
                    <w14:schemeClr w14:val="tx1"/>
                  </w14:solidFill>
                </w14:textFill>
              </w:rPr>
              <w:t>X</w:t>
            </w:r>
          </w:p>
        </w:tc>
        <w:tc>
          <w:tcPr>
            <w:tcW w:w="176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小时平均</w:t>
            </w:r>
          </w:p>
        </w:tc>
        <w:tc>
          <w:tcPr>
            <w:tcW w:w="176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250μg/m</w:t>
            </w:r>
            <w:r>
              <w:rPr>
                <w:color w:val="000000" w:themeColor="text1"/>
                <w:highlight w:val="none"/>
                <w:vertAlign w:val="superscript"/>
                <w14:textFill>
                  <w14:solidFill>
                    <w14:schemeClr w14:val="tx1"/>
                  </w14:solidFill>
                </w14:textFill>
              </w:rPr>
              <w:t>3</w:t>
            </w:r>
          </w:p>
        </w:tc>
        <w:tc>
          <w:tcPr>
            <w:tcW w:w="3611" w:type="dxa"/>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TSP</w:t>
            </w:r>
          </w:p>
        </w:tc>
        <w:tc>
          <w:tcPr>
            <w:tcW w:w="176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年平均</w:t>
            </w:r>
          </w:p>
        </w:tc>
        <w:tc>
          <w:tcPr>
            <w:tcW w:w="176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200μg/m</w:t>
            </w:r>
            <w:r>
              <w:rPr>
                <w:color w:val="000000" w:themeColor="text1"/>
                <w:highlight w:val="none"/>
                <w:vertAlign w:val="superscript"/>
                <w14:textFill>
                  <w14:solidFill>
                    <w14:schemeClr w14:val="tx1"/>
                  </w14:solidFill>
                </w14:textFill>
              </w:rPr>
              <w:t>3</w:t>
            </w:r>
          </w:p>
        </w:tc>
        <w:tc>
          <w:tcPr>
            <w:tcW w:w="3611" w:type="dxa"/>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Merge w:val="continue"/>
            <w:vAlign w:val="center"/>
          </w:tcPr>
          <w:p>
            <w:pPr>
              <w:pStyle w:val="118"/>
              <w:rPr>
                <w:color w:val="000000" w:themeColor="text1"/>
                <w:highlight w:val="none"/>
                <w14:textFill>
                  <w14:solidFill>
                    <w14:schemeClr w14:val="tx1"/>
                  </w14:solidFill>
                </w14:textFill>
              </w:rPr>
            </w:pPr>
          </w:p>
        </w:tc>
        <w:tc>
          <w:tcPr>
            <w:tcW w:w="176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24小时平均</w:t>
            </w:r>
          </w:p>
        </w:tc>
        <w:tc>
          <w:tcPr>
            <w:tcW w:w="176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300μg/m</w:t>
            </w:r>
            <w:r>
              <w:rPr>
                <w:color w:val="000000" w:themeColor="text1"/>
                <w:highlight w:val="none"/>
                <w:vertAlign w:val="superscript"/>
                <w14:textFill>
                  <w14:solidFill>
                    <w14:schemeClr w14:val="tx1"/>
                  </w14:solidFill>
                </w14:textFill>
              </w:rPr>
              <w:t>3</w:t>
            </w:r>
          </w:p>
        </w:tc>
        <w:tc>
          <w:tcPr>
            <w:tcW w:w="3611" w:type="dxa"/>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CO</w:t>
            </w:r>
          </w:p>
        </w:tc>
        <w:tc>
          <w:tcPr>
            <w:tcW w:w="176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24小时平均</w:t>
            </w:r>
          </w:p>
        </w:tc>
        <w:tc>
          <w:tcPr>
            <w:tcW w:w="176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4mg/m</w:t>
            </w:r>
            <w:r>
              <w:rPr>
                <w:color w:val="000000" w:themeColor="text1"/>
                <w:highlight w:val="none"/>
                <w:vertAlign w:val="superscript"/>
                <w14:textFill>
                  <w14:solidFill>
                    <w14:schemeClr w14:val="tx1"/>
                  </w14:solidFill>
                </w14:textFill>
              </w:rPr>
              <w:t>3</w:t>
            </w:r>
          </w:p>
        </w:tc>
        <w:tc>
          <w:tcPr>
            <w:tcW w:w="3611" w:type="dxa"/>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Merge w:val="continue"/>
            <w:vAlign w:val="center"/>
          </w:tcPr>
          <w:p>
            <w:pPr>
              <w:pStyle w:val="118"/>
              <w:rPr>
                <w:color w:val="000000" w:themeColor="text1"/>
                <w:highlight w:val="none"/>
                <w14:textFill>
                  <w14:solidFill>
                    <w14:schemeClr w14:val="tx1"/>
                  </w14:solidFill>
                </w14:textFill>
              </w:rPr>
            </w:pPr>
          </w:p>
        </w:tc>
        <w:tc>
          <w:tcPr>
            <w:tcW w:w="176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1小时平均</w:t>
            </w:r>
          </w:p>
        </w:tc>
        <w:tc>
          <w:tcPr>
            <w:tcW w:w="176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10mg/m</w:t>
            </w:r>
            <w:r>
              <w:rPr>
                <w:color w:val="000000" w:themeColor="text1"/>
                <w:highlight w:val="none"/>
                <w:vertAlign w:val="superscript"/>
                <w14:textFill>
                  <w14:solidFill>
                    <w14:schemeClr w14:val="tx1"/>
                  </w14:solidFill>
                </w14:textFill>
              </w:rPr>
              <w:t>3</w:t>
            </w:r>
          </w:p>
        </w:tc>
        <w:tc>
          <w:tcPr>
            <w:tcW w:w="3611" w:type="dxa"/>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O</w:t>
            </w:r>
            <w:r>
              <w:rPr>
                <w:color w:val="000000" w:themeColor="text1"/>
                <w:highlight w:val="none"/>
                <w:vertAlign w:val="subscript"/>
                <w14:textFill>
                  <w14:solidFill>
                    <w14:schemeClr w14:val="tx1"/>
                  </w14:solidFill>
                </w14:textFill>
              </w:rPr>
              <w:t>3</w:t>
            </w:r>
          </w:p>
        </w:tc>
        <w:tc>
          <w:tcPr>
            <w:tcW w:w="1763" w:type="dxa"/>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8小时平均</w:t>
            </w:r>
          </w:p>
        </w:tc>
        <w:tc>
          <w:tcPr>
            <w:tcW w:w="1763" w:type="dxa"/>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160μg/m</w:t>
            </w:r>
            <w:r>
              <w:rPr>
                <w:color w:val="000000" w:themeColor="text1"/>
                <w:highlight w:val="none"/>
                <w:vertAlign w:val="superscript"/>
                <w14:textFill>
                  <w14:solidFill>
                    <w14:schemeClr w14:val="tx1"/>
                  </w14:solidFill>
                </w14:textFill>
              </w:rPr>
              <w:t>3</w:t>
            </w:r>
          </w:p>
        </w:tc>
        <w:tc>
          <w:tcPr>
            <w:tcW w:w="3611" w:type="dxa"/>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Merge w:val="continue"/>
            <w:vAlign w:val="center"/>
          </w:tcPr>
          <w:p>
            <w:pPr>
              <w:pStyle w:val="118"/>
              <w:rPr>
                <w:color w:val="000000" w:themeColor="text1"/>
                <w:highlight w:val="none"/>
                <w14:textFill>
                  <w14:solidFill>
                    <w14:schemeClr w14:val="tx1"/>
                  </w14:solidFill>
                </w14:textFill>
              </w:rPr>
            </w:pPr>
          </w:p>
        </w:tc>
        <w:tc>
          <w:tcPr>
            <w:tcW w:w="1763" w:type="dxa"/>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1小时平均</w:t>
            </w:r>
          </w:p>
        </w:tc>
        <w:tc>
          <w:tcPr>
            <w:tcW w:w="1763" w:type="dxa"/>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200μg/m</w:t>
            </w:r>
            <w:r>
              <w:rPr>
                <w:color w:val="000000" w:themeColor="text1"/>
                <w:highlight w:val="none"/>
                <w:vertAlign w:val="superscript"/>
                <w14:textFill>
                  <w14:solidFill>
                    <w14:schemeClr w14:val="tx1"/>
                  </w14:solidFill>
                </w14:textFill>
              </w:rPr>
              <w:t>3</w:t>
            </w:r>
          </w:p>
        </w:tc>
        <w:tc>
          <w:tcPr>
            <w:tcW w:w="3611" w:type="dxa"/>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非甲烷总烃</w:t>
            </w:r>
          </w:p>
        </w:tc>
        <w:tc>
          <w:tcPr>
            <w:tcW w:w="176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1小时平均</w:t>
            </w:r>
          </w:p>
        </w:tc>
        <w:tc>
          <w:tcPr>
            <w:tcW w:w="176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2mg/m</w:t>
            </w:r>
            <w:r>
              <w:rPr>
                <w:color w:val="000000" w:themeColor="text1"/>
                <w:highlight w:val="none"/>
                <w:vertAlign w:val="superscript"/>
                <w14:textFill>
                  <w14:solidFill>
                    <w14:schemeClr w14:val="tx1"/>
                  </w14:solidFill>
                </w14:textFill>
              </w:rPr>
              <w:t>3</w:t>
            </w:r>
          </w:p>
        </w:tc>
        <w:tc>
          <w:tcPr>
            <w:tcW w:w="3611" w:type="dxa"/>
            <w:vAlign w:val="center"/>
          </w:tcPr>
          <w:p>
            <w:pPr>
              <w:pStyle w:val="118"/>
              <w:rPr>
                <w:color w:val="000000" w:themeColor="text1"/>
                <w:szCs w:val="21"/>
                <w:highlight w:val="none"/>
                <w14:textFill>
                  <w14:solidFill>
                    <w14:schemeClr w14:val="tx1"/>
                  </w14:solidFill>
                </w14:textFill>
              </w:rPr>
            </w:pPr>
            <w:r>
              <w:rPr>
                <w:color w:val="000000" w:themeColor="text1"/>
                <w:highlight w:val="none"/>
                <w14:textFill>
                  <w14:solidFill>
                    <w14:schemeClr w14:val="tx1"/>
                  </w14:solidFill>
                </w14:textFill>
              </w:rPr>
              <w:t>《大气污染物综合排放标准详解》</w:t>
            </w:r>
          </w:p>
        </w:tc>
      </w:tr>
    </w:tbl>
    <w:p>
      <w:pPr>
        <w:tabs>
          <w:tab w:val="left" w:pos="0"/>
        </w:tabs>
        <w:spacing w:before="120"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（4）声环境</w:t>
      </w:r>
    </w:p>
    <w:p>
      <w:pPr>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项目区域声环境执行《声环境质量标准》（GB3096-2008）2类功能区标准，标准限值见</w:t>
      </w:r>
      <w:r>
        <w:rPr>
          <w:bCs/>
          <w:color w:val="000000" w:themeColor="text1"/>
          <w:szCs w:val="24"/>
          <w:highlight w:val="none"/>
          <w14:textFill>
            <w14:solidFill>
              <w14:schemeClr w14:val="tx1"/>
            </w14:solidFill>
          </w14:textFill>
        </w:rPr>
        <w:fldChar w:fldCharType="begin"/>
      </w:r>
      <w:r>
        <w:rPr>
          <w:bCs/>
          <w:color w:val="000000" w:themeColor="text1"/>
          <w:szCs w:val="24"/>
          <w:highlight w:val="none"/>
          <w14:textFill>
            <w14:solidFill>
              <w14:schemeClr w14:val="tx1"/>
            </w14:solidFill>
          </w14:textFill>
        </w:rPr>
        <w:instrText xml:space="preserve"> REF _Ref143335009 \h  \* MERGEFORMAT </w:instrText>
      </w:r>
      <w:r>
        <w:rPr>
          <w:bCs/>
          <w:color w:val="000000" w:themeColor="text1"/>
          <w:szCs w:val="24"/>
          <w:highlight w:val="none"/>
          <w14:textFill>
            <w14:solidFill>
              <w14:schemeClr w14:val="tx1"/>
            </w14:solidFill>
          </w14:textFill>
        </w:rPr>
        <w:fldChar w:fldCharType="separate"/>
      </w:r>
      <w:r>
        <w:rPr>
          <w:rFonts w:hint="eastAsia"/>
          <w:bCs/>
          <w:color w:val="000000" w:themeColor="text1"/>
          <w:szCs w:val="24"/>
          <w:highlight w:val="none"/>
          <w14:textFill>
            <w14:solidFill>
              <w14:schemeClr w14:val="tx1"/>
            </w14:solidFill>
          </w14:textFill>
        </w:rPr>
        <w:t>表</w:t>
      </w:r>
      <w:r>
        <w:rPr>
          <w:bCs/>
          <w:color w:val="000000" w:themeColor="text1"/>
          <w:szCs w:val="24"/>
          <w:highlight w:val="none"/>
          <w14:textFill>
            <w14:solidFill>
              <w14:schemeClr w14:val="tx1"/>
            </w14:solidFill>
          </w14:textFill>
        </w:rPr>
        <w:t>2.5</w:t>
      </w:r>
      <w:r>
        <w:rPr>
          <w:bCs/>
          <w:color w:val="000000" w:themeColor="text1"/>
          <w:szCs w:val="24"/>
          <w:highlight w:val="none"/>
          <w14:textFill>
            <w14:solidFill>
              <w14:schemeClr w14:val="tx1"/>
            </w14:solidFill>
          </w14:textFill>
        </w:rPr>
        <w:noBreakHyphen/>
      </w:r>
      <w:r>
        <w:rPr>
          <w:bCs/>
          <w:color w:val="000000" w:themeColor="text1"/>
          <w:szCs w:val="24"/>
          <w:highlight w:val="none"/>
          <w14:textFill>
            <w14:solidFill>
              <w14:schemeClr w14:val="tx1"/>
            </w14:solidFill>
          </w14:textFill>
        </w:rPr>
        <w:t>4</w:t>
      </w:r>
      <w:r>
        <w:rPr>
          <w:bCs/>
          <w:color w:val="000000" w:themeColor="text1"/>
          <w:szCs w:val="24"/>
          <w:highlight w:val="none"/>
          <w14:textFill>
            <w14:solidFill>
              <w14:schemeClr w14:val="tx1"/>
            </w14:solidFill>
          </w14:textFill>
        </w:rPr>
        <w:fldChar w:fldCharType="end"/>
      </w:r>
      <w:r>
        <w:rPr>
          <w:bCs/>
          <w:color w:val="000000" w:themeColor="text1"/>
          <w:szCs w:val="24"/>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bookmarkStart w:id="67" w:name="_Ref143335009"/>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fldChar w:fldCharType="end"/>
      </w:r>
      <w:bookmarkEnd w:id="67"/>
      <w:r>
        <w:rPr>
          <w:rFonts w:hint="eastAsia"/>
          <w:color w:val="000000" w:themeColor="text1"/>
          <w:highlight w:val="none"/>
          <w14:textFill>
            <w14:solidFill>
              <w14:schemeClr w14:val="tx1"/>
            </w14:solidFill>
          </w14:textFill>
        </w:rPr>
        <w:t>声环境质量标准</w:t>
      </w:r>
      <w:r>
        <w:rPr>
          <w:color w:val="000000" w:themeColor="text1"/>
          <w:highlight w:val="none"/>
          <w14:textFill>
            <w14:solidFill>
              <w14:schemeClr w14:val="tx1"/>
            </w14:solidFill>
          </w14:textFill>
        </w:rPr>
        <w:t>单位：dB（A）</w:t>
      </w:r>
    </w:p>
    <w:tbl>
      <w:tblPr>
        <w:tblStyle w:val="41"/>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99"/>
        <w:gridCol w:w="3161"/>
        <w:gridCol w:w="31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9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类别</w:t>
            </w:r>
          </w:p>
        </w:tc>
        <w:tc>
          <w:tcPr>
            <w:tcW w:w="3161"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昼间</w:t>
            </w:r>
          </w:p>
        </w:tc>
        <w:tc>
          <w:tcPr>
            <w:tcW w:w="3162" w:type="dxa"/>
            <w:vAlign w:val="center"/>
          </w:tcPr>
          <w:p>
            <w:pPr>
              <w:pStyle w:val="118"/>
              <w:rPr>
                <w:b/>
                <w:bCs/>
                <w:color w:val="000000" w:themeColor="text1"/>
                <w:highlight w:val="none"/>
                <w14:textFill>
                  <w14:solidFill>
                    <w14:schemeClr w14:val="tx1"/>
                  </w14:solidFill>
                </w14:textFill>
              </w:rPr>
            </w:pPr>
            <w:bookmarkStart w:id="68" w:name="_Toc89099427"/>
            <w:bookmarkStart w:id="69" w:name="_Toc120173067"/>
            <w:bookmarkStart w:id="70" w:name="_Toc88465928"/>
            <w:bookmarkStart w:id="71" w:name="_Toc107494216"/>
            <w:r>
              <w:rPr>
                <w:b/>
                <w:bCs/>
                <w:color w:val="000000" w:themeColor="text1"/>
                <w:highlight w:val="none"/>
                <w14:textFill>
                  <w14:solidFill>
                    <w14:schemeClr w14:val="tx1"/>
                  </w14:solidFill>
                </w14:textFill>
              </w:rPr>
              <w:t>夜间</w:t>
            </w:r>
            <w:bookmarkEnd w:id="68"/>
            <w:bookmarkEnd w:id="69"/>
            <w:bookmarkEnd w:id="70"/>
            <w:bookmarkEnd w:id="71"/>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 w:hRule="atLeast"/>
          <w:jc w:val="center"/>
        </w:trPr>
        <w:tc>
          <w:tcPr>
            <w:tcW w:w="189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2类功能区</w:t>
            </w:r>
          </w:p>
        </w:tc>
        <w:tc>
          <w:tcPr>
            <w:tcW w:w="316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≤60</w:t>
            </w:r>
          </w:p>
        </w:tc>
        <w:tc>
          <w:tcPr>
            <w:tcW w:w="316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≤50</w:t>
            </w:r>
          </w:p>
        </w:tc>
      </w:tr>
    </w:tbl>
    <w:p>
      <w:pPr>
        <w:tabs>
          <w:tab w:val="left" w:pos="0"/>
        </w:tabs>
        <w:spacing w:before="120"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（5）土壤环境</w:t>
      </w:r>
    </w:p>
    <w:p>
      <w:pPr>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本项目所在区域用地范围内土壤环境质量标准执行《土壤环境质量建设用地土壤污染风险管控标准（试行）（GB36600—2018）》第二类用地筛选值</w:t>
      </w:r>
      <w:r>
        <w:rPr>
          <w:rFonts w:hint="eastAsia"/>
          <w:bCs/>
          <w:color w:val="000000" w:themeColor="text1"/>
          <w:szCs w:val="24"/>
          <w:highlight w:val="none"/>
          <w14:textFill>
            <w14:solidFill>
              <w14:schemeClr w14:val="tx1"/>
            </w14:solidFill>
          </w14:textFill>
        </w:rPr>
        <w:t>与《四川省建设用地土壤污染风险管控标准（DB51/2978-2023）》中相关标准限值</w:t>
      </w:r>
      <w:r>
        <w:rPr>
          <w:bCs/>
          <w:color w:val="000000" w:themeColor="text1"/>
          <w:szCs w:val="24"/>
          <w:highlight w:val="none"/>
          <w14:textFill>
            <w14:solidFill>
              <w14:schemeClr w14:val="tx1"/>
            </w14:solidFill>
          </w14:textFill>
        </w:rPr>
        <w:t>，项目周边耕地执行《土壤环境质量农用地土壤污染风险管控标准（试行）（GB15618—2018）》风险筛选值，具体筛选值见表2.5-5和表2.5-6。</w:t>
      </w:r>
    </w:p>
    <w:p>
      <w:pPr>
        <w:pStyle w:val="96"/>
        <w:spacing w:before="120"/>
        <w:rPr>
          <w:color w:val="000000" w:themeColor="text1"/>
          <w:highlight w:val="none"/>
          <w14:textFill>
            <w14:solidFill>
              <w14:schemeClr w14:val="tx1"/>
            </w14:solidFill>
          </w14:textFill>
        </w:rPr>
      </w:pPr>
      <w:bookmarkStart w:id="72" w:name="_Ref143334950"/>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fldChar w:fldCharType="end"/>
      </w:r>
      <w:bookmarkEnd w:id="72"/>
      <w:r>
        <w:rPr>
          <w:rFonts w:hint="eastAsia"/>
          <w:color w:val="000000" w:themeColor="text1"/>
          <w:highlight w:val="none"/>
          <w14:textFill>
            <w14:solidFill>
              <w14:schemeClr w14:val="tx1"/>
            </w14:solidFill>
          </w14:textFill>
        </w:rPr>
        <w:t>建设用地（第二类用地）土壤环境质量筛选值</w:t>
      </w:r>
      <w:r>
        <w:rPr>
          <w:color w:val="000000" w:themeColor="text1"/>
          <w:highlight w:val="none"/>
          <w14:textFill>
            <w14:solidFill>
              <w14:schemeClr w14:val="tx1"/>
            </w14:solidFill>
          </w14:textFill>
        </w:rPr>
        <w:t>单位：mg/kg</w:t>
      </w:r>
    </w:p>
    <w:tbl>
      <w:tblPr>
        <w:tblStyle w:val="41"/>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fixed"/>
        <w:tblCellMar>
          <w:top w:w="0" w:type="dxa"/>
          <w:left w:w="57" w:type="dxa"/>
          <w:bottom w:w="0" w:type="dxa"/>
          <w:right w:w="57" w:type="dxa"/>
        </w:tblCellMar>
      </w:tblPr>
      <w:tblGrid>
        <w:gridCol w:w="949"/>
        <w:gridCol w:w="992"/>
        <w:gridCol w:w="1276"/>
        <w:gridCol w:w="1134"/>
        <w:gridCol w:w="992"/>
        <w:gridCol w:w="984"/>
        <w:gridCol w:w="971"/>
        <w:gridCol w:w="9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57" w:type="dxa"/>
            <w:bottom w:w="0" w:type="dxa"/>
            <w:right w:w="57" w:type="dxa"/>
          </w:tblCellMar>
        </w:tblPrEx>
        <w:trPr>
          <w:jc w:val="center"/>
        </w:trPr>
        <w:tc>
          <w:tcPr>
            <w:tcW w:w="949" w:type="dxa"/>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污染物</w:t>
            </w:r>
          </w:p>
        </w:tc>
        <w:tc>
          <w:tcPr>
            <w:tcW w:w="992" w:type="dxa"/>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砷</w:t>
            </w:r>
          </w:p>
        </w:tc>
        <w:tc>
          <w:tcPr>
            <w:tcW w:w="1276" w:type="dxa"/>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镉</w:t>
            </w:r>
          </w:p>
        </w:tc>
        <w:tc>
          <w:tcPr>
            <w:tcW w:w="1134" w:type="dxa"/>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铬（6价）</w:t>
            </w:r>
          </w:p>
        </w:tc>
        <w:tc>
          <w:tcPr>
            <w:tcW w:w="992" w:type="dxa"/>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铜</w:t>
            </w:r>
          </w:p>
        </w:tc>
        <w:tc>
          <w:tcPr>
            <w:tcW w:w="984" w:type="dxa"/>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铅</w:t>
            </w:r>
          </w:p>
        </w:tc>
        <w:tc>
          <w:tcPr>
            <w:tcW w:w="971" w:type="dxa"/>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汞</w:t>
            </w:r>
          </w:p>
        </w:tc>
        <w:tc>
          <w:tcPr>
            <w:tcW w:w="924" w:type="dxa"/>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筛选值</w:t>
            </w:r>
          </w:p>
        </w:tc>
        <w:tc>
          <w:tcPr>
            <w:tcW w:w="992"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60</w:t>
            </w:r>
          </w:p>
        </w:tc>
        <w:tc>
          <w:tcPr>
            <w:tcW w:w="1276"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65</w:t>
            </w:r>
          </w:p>
        </w:tc>
        <w:tc>
          <w:tcPr>
            <w:tcW w:w="113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5.7</w:t>
            </w:r>
          </w:p>
        </w:tc>
        <w:tc>
          <w:tcPr>
            <w:tcW w:w="992"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18000</w:t>
            </w:r>
          </w:p>
        </w:tc>
        <w:tc>
          <w:tcPr>
            <w:tcW w:w="98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800</w:t>
            </w:r>
          </w:p>
        </w:tc>
        <w:tc>
          <w:tcPr>
            <w:tcW w:w="971"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38</w:t>
            </w:r>
          </w:p>
        </w:tc>
        <w:tc>
          <w:tcPr>
            <w:tcW w:w="92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污染物</w:t>
            </w:r>
          </w:p>
        </w:tc>
        <w:tc>
          <w:tcPr>
            <w:tcW w:w="992"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四氯化碳</w:t>
            </w:r>
          </w:p>
        </w:tc>
        <w:tc>
          <w:tcPr>
            <w:tcW w:w="1276"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氯仿</w:t>
            </w:r>
          </w:p>
        </w:tc>
        <w:tc>
          <w:tcPr>
            <w:tcW w:w="113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氯甲烷</w:t>
            </w:r>
          </w:p>
        </w:tc>
        <w:tc>
          <w:tcPr>
            <w:tcW w:w="992"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1,1-二氯乙烷</w:t>
            </w:r>
          </w:p>
        </w:tc>
        <w:tc>
          <w:tcPr>
            <w:tcW w:w="98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1,2-二氯乙烷</w:t>
            </w:r>
          </w:p>
        </w:tc>
        <w:tc>
          <w:tcPr>
            <w:tcW w:w="971"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1,1-二氯乙烯</w:t>
            </w:r>
          </w:p>
        </w:tc>
        <w:tc>
          <w:tcPr>
            <w:tcW w:w="92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顺-1,1-二氯乙烯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筛选值</w:t>
            </w:r>
          </w:p>
        </w:tc>
        <w:tc>
          <w:tcPr>
            <w:tcW w:w="992"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2.8</w:t>
            </w:r>
          </w:p>
        </w:tc>
        <w:tc>
          <w:tcPr>
            <w:tcW w:w="1276"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0.9</w:t>
            </w:r>
          </w:p>
        </w:tc>
        <w:tc>
          <w:tcPr>
            <w:tcW w:w="113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37</w:t>
            </w:r>
          </w:p>
        </w:tc>
        <w:tc>
          <w:tcPr>
            <w:tcW w:w="992"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w:t>
            </w:r>
          </w:p>
        </w:tc>
        <w:tc>
          <w:tcPr>
            <w:tcW w:w="98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c>
          <w:tcPr>
            <w:tcW w:w="971"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66</w:t>
            </w:r>
          </w:p>
        </w:tc>
        <w:tc>
          <w:tcPr>
            <w:tcW w:w="92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污染物</w:t>
            </w:r>
          </w:p>
        </w:tc>
        <w:tc>
          <w:tcPr>
            <w:tcW w:w="992" w:type="dxa"/>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反-1,1-二氯乙烯</w:t>
            </w:r>
          </w:p>
        </w:tc>
        <w:tc>
          <w:tcPr>
            <w:tcW w:w="1276" w:type="dxa"/>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二氯甲烷</w:t>
            </w:r>
          </w:p>
        </w:tc>
        <w:tc>
          <w:tcPr>
            <w:tcW w:w="1134" w:type="dxa"/>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1,2-二氯丙烷</w:t>
            </w:r>
          </w:p>
        </w:tc>
        <w:tc>
          <w:tcPr>
            <w:tcW w:w="992" w:type="dxa"/>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1,1，1,2-四氯乙烷</w:t>
            </w:r>
          </w:p>
        </w:tc>
        <w:tc>
          <w:tcPr>
            <w:tcW w:w="984" w:type="dxa"/>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1,1，2,2-四氯乙烷</w:t>
            </w:r>
          </w:p>
        </w:tc>
        <w:tc>
          <w:tcPr>
            <w:tcW w:w="971" w:type="dxa"/>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四氯乙烯</w:t>
            </w:r>
          </w:p>
        </w:tc>
        <w:tc>
          <w:tcPr>
            <w:tcW w:w="924" w:type="dxa"/>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1,1,1-三氯乙烷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筛选值</w:t>
            </w:r>
          </w:p>
        </w:tc>
        <w:tc>
          <w:tcPr>
            <w:tcW w:w="992"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54</w:t>
            </w:r>
          </w:p>
        </w:tc>
        <w:tc>
          <w:tcPr>
            <w:tcW w:w="1276"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616</w:t>
            </w:r>
          </w:p>
        </w:tc>
        <w:tc>
          <w:tcPr>
            <w:tcW w:w="113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c>
          <w:tcPr>
            <w:tcW w:w="992"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98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6.8</w:t>
            </w:r>
          </w:p>
        </w:tc>
        <w:tc>
          <w:tcPr>
            <w:tcW w:w="971"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53</w:t>
            </w:r>
          </w:p>
        </w:tc>
        <w:tc>
          <w:tcPr>
            <w:tcW w:w="92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污染物</w:t>
            </w:r>
          </w:p>
        </w:tc>
        <w:tc>
          <w:tcPr>
            <w:tcW w:w="992"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1,1,2-三氯乙烷</w:t>
            </w:r>
          </w:p>
        </w:tc>
        <w:tc>
          <w:tcPr>
            <w:tcW w:w="1276"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三氯乙烯</w:t>
            </w:r>
          </w:p>
        </w:tc>
        <w:tc>
          <w:tcPr>
            <w:tcW w:w="113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1,2,3-三氯乙丙烷</w:t>
            </w:r>
          </w:p>
        </w:tc>
        <w:tc>
          <w:tcPr>
            <w:tcW w:w="992"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氯乙烯</w:t>
            </w:r>
          </w:p>
        </w:tc>
        <w:tc>
          <w:tcPr>
            <w:tcW w:w="98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苯</w:t>
            </w:r>
          </w:p>
        </w:tc>
        <w:tc>
          <w:tcPr>
            <w:tcW w:w="971"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氯苯</w:t>
            </w:r>
          </w:p>
        </w:tc>
        <w:tc>
          <w:tcPr>
            <w:tcW w:w="92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1,2-二氯苯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筛选值</w:t>
            </w:r>
          </w:p>
        </w:tc>
        <w:tc>
          <w:tcPr>
            <w:tcW w:w="992"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2.8</w:t>
            </w:r>
          </w:p>
        </w:tc>
        <w:tc>
          <w:tcPr>
            <w:tcW w:w="1276"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2.8</w:t>
            </w:r>
          </w:p>
        </w:tc>
        <w:tc>
          <w:tcPr>
            <w:tcW w:w="113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0.5</w:t>
            </w:r>
          </w:p>
        </w:tc>
        <w:tc>
          <w:tcPr>
            <w:tcW w:w="992"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0.43</w:t>
            </w:r>
          </w:p>
        </w:tc>
        <w:tc>
          <w:tcPr>
            <w:tcW w:w="98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c>
          <w:tcPr>
            <w:tcW w:w="971"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270</w:t>
            </w:r>
          </w:p>
        </w:tc>
        <w:tc>
          <w:tcPr>
            <w:tcW w:w="92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污染物</w:t>
            </w:r>
          </w:p>
        </w:tc>
        <w:tc>
          <w:tcPr>
            <w:tcW w:w="992" w:type="dxa"/>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1,4-二氯苯</w:t>
            </w:r>
          </w:p>
        </w:tc>
        <w:tc>
          <w:tcPr>
            <w:tcW w:w="1276" w:type="dxa"/>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乙苯</w:t>
            </w:r>
          </w:p>
        </w:tc>
        <w:tc>
          <w:tcPr>
            <w:tcW w:w="1134" w:type="dxa"/>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苯乙烯</w:t>
            </w:r>
          </w:p>
        </w:tc>
        <w:tc>
          <w:tcPr>
            <w:tcW w:w="992" w:type="dxa"/>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甲苯</w:t>
            </w:r>
          </w:p>
        </w:tc>
        <w:tc>
          <w:tcPr>
            <w:tcW w:w="1955" w:type="dxa"/>
            <w:gridSpan w:val="2"/>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间二甲苯+对二甲苯</w:t>
            </w:r>
          </w:p>
        </w:tc>
        <w:tc>
          <w:tcPr>
            <w:tcW w:w="924" w:type="dxa"/>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邻二甲苯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筛选值</w:t>
            </w:r>
          </w:p>
        </w:tc>
        <w:tc>
          <w:tcPr>
            <w:tcW w:w="992"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w:t>
            </w:r>
          </w:p>
        </w:tc>
        <w:tc>
          <w:tcPr>
            <w:tcW w:w="1276"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28</w:t>
            </w:r>
          </w:p>
        </w:tc>
        <w:tc>
          <w:tcPr>
            <w:tcW w:w="113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1290</w:t>
            </w:r>
          </w:p>
        </w:tc>
        <w:tc>
          <w:tcPr>
            <w:tcW w:w="992"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1200</w:t>
            </w:r>
          </w:p>
        </w:tc>
        <w:tc>
          <w:tcPr>
            <w:tcW w:w="1955" w:type="dxa"/>
            <w:gridSpan w:val="2"/>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570</w:t>
            </w:r>
          </w:p>
        </w:tc>
        <w:tc>
          <w:tcPr>
            <w:tcW w:w="92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污染物</w:t>
            </w:r>
          </w:p>
        </w:tc>
        <w:tc>
          <w:tcPr>
            <w:tcW w:w="992" w:type="dxa"/>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硝基苯</w:t>
            </w:r>
          </w:p>
        </w:tc>
        <w:tc>
          <w:tcPr>
            <w:tcW w:w="1276" w:type="dxa"/>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苯胺</w:t>
            </w:r>
          </w:p>
        </w:tc>
        <w:tc>
          <w:tcPr>
            <w:tcW w:w="1134" w:type="dxa"/>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2-氯酚</w:t>
            </w:r>
          </w:p>
        </w:tc>
        <w:tc>
          <w:tcPr>
            <w:tcW w:w="992" w:type="dxa"/>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苯并〔a〕蒽</w:t>
            </w:r>
          </w:p>
        </w:tc>
        <w:tc>
          <w:tcPr>
            <w:tcW w:w="984" w:type="dxa"/>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苯并〔a〕芘</w:t>
            </w:r>
          </w:p>
        </w:tc>
        <w:tc>
          <w:tcPr>
            <w:tcW w:w="971" w:type="dxa"/>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苯并〔b〕荧蒽</w:t>
            </w:r>
          </w:p>
        </w:tc>
        <w:tc>
          <w:tcPr>
            <w:tcW w:w="924" w:type="dxa"/>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苯并〔k〕荧蒽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筛选值</w:t>
            </w:r>
          </w:p>
        </w:tc>
        <w:tc>
          <w:tcPr>
            <w:tcW w:w="992"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76</w:t>
            </w:r>
          </w:p>
        </w:tc>
        <w:tc>
          <w:tcPr>
            <w:tcW w:w="1276"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260</w:t>
            </w:r>
          </w:p>
        </w:tc>
        <w:tc>
          <w:tcPr>
            <w:tcW w:w="113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2256</w:t>
            </w:r>
          </w:p>
        </w:tc>
        <w:tc>
          <w:tcPr>
            <w:tcW w:w="992"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c>
          <w:tcPr>
            <w:tcW w:w="98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c>
          <w:tcPr>
            <w:tcW w:w="971"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c>
          <w:tcPr>
            <w:tcW w:w="92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污染物</w:t>
            </w:r>
          </w:p>
        </w:tc>
        <w:tc>
          <w:tcPr>
            <w:tcW w:w="992" w:type="dxa"/>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䓛</w:t>
            </w:r>
          </w:p>
        </w:tc>
        <w:tc>
          <w:tcPr>
            <w:tcW w:w="1276" w:type="dxa"/>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二苯并〔a,h〕蒽</w:t>
            </w:r>
          </w:p>
        </w:tc>
        <w:tc>
          <w:tcPr>
            <w:tcW w:w="2126" w:type="dxa"/>
            <w:gridSpan w:val="2"/>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茆并〔1,2,3-cd〕芘</w:t>
            </w:r>
          </w:p>
        </w:tc>
        <w:tc>
          <w:tcPr>
            <w:tcW w:w="984" w:type="dxa"/>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萘</w:t>
            </w:r>
          </w:p>
        </w:tc>
        <w:tc>
          <w:tcPr>
            <w:tcW w:w="1895" w:type="dxa"/>
            <w:gridSpan w:val="2"/>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石油烃（C</w:t>
            </w:r>
            <w:r>
              <w:rPr>
                <w:b/>
                <w:bCs/>
                <w:color w:val="000000" w:themeColor="text1"/>
                <w:highlight w:val="none"/>
                <w:vertAlign w:val="subscript"/>
                <w14:textFill>
                  <w14:solidFill>
                    <w14:schemeClr w14:val="tx1"/>
                  </w14:solidFill>
                </w14:textFill>
              </w:rPr>
              <w:t>10</w:t>
            </w:r>
            <w:r>
              <w:rPr>
                <w:b/>
                <w:bCs/>
                <w:color w:val="000000" w:themeColor="text1"/>
                <w:highlight w:val="none"/>
                <w14:textFill>
                  <w14:solidFill>
                    <w14:schemeClr w14:val="tx1"/>
                  </w14:solidFill>
                </w14:textFill>
              </w:rPr>
              <w:t>~C</w:t>
            </w:r>
            <w:r>
              <w:rPr>
                <w:b/>
                <w:bCs/>
                <w:color w:val="000000" w:themeColor="text1"/>
                <w:highlight w:val="none"/>
                <w:vertAlign w:val="subscript"/>
                <w14:textFill>
                  <w14:solidFill>
                    <w14:schemeClr w14:val="tx1"/>
                  </w14:solidFill>
                </w14:textFill>
              </w:rPr>
              <w:t>40</w:t>
            </w:r>
            <w:r>
              <w:rPr>
                <w:b/>
                <w:bCs/>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筛选值</w:t>
            </w:r>
          </w:p>
        </w:tc>
        <w:tc>
          <w:tcPr>
            <w:tcW w:w="992"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1293</w:t>
            </w:r>
          </w:p>
        </w:tc>
        <w:tc>
          <w:tcPr>
            <w:tcW w:w="1276"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c>
          <w:tcPr>
            <w:tcW w:w="2126" w:type="dxa"/>
            <w:gridSpan w:val="2"/>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c>
          <w:tcPr>
            <w:tcW w:w="98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70</w:t>
            </w:r>
          </w:p>
        </w:tc>
        <w:tc>
          <w:tcPr>
            <w:tcW w:w="1895" w:type="dxa"/>
            <w:gridSpan w:val="2"/>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4500</w:t>
            </w:r>
          </w:p>
        </w:tc>
      </w:tr>
    </w:tbl>
    <w:p>
      <w:pPr>
        <w:pStyle w:val="96"/>
        <w:spacing w:before="120"/>
        <w:rPr>
          <w:color w:val="000000" w:themeColor="text1"/>
          <w:highlight w:val="none"/>
          <w14:textFill>
            <w14:solidFill>
              <w14:schemeClr w14:val="tx1"/>
            </w14:solidFill>
          </w14:textFill>
        </w:rPr>
      </w:pPr>
      <w:bookmarkStart w:id="73" w:name="_Ref143334954"/>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fldChar w:fldCharType="end"/>
      </w:r>
      <w:bookmarkEnd w:id="73"/>
      <w:r>
        <w:rPr>
          <w:rFonts w:hint="eastAsia"/>
          <w:color w:val="000000" w:themeColor="text1"/>
          <w:highlight w:val="none"/>
          <w14:textFill>
            <w14:solidFill>
              <w14:schemeClr w14:val="tx1"/>
            </w14:solidFill>
          </w14:textFill>
        </w:rPr>
        <w:t>农用地（其他）土壤环境质量筛选值</w:t>
      </w:r>
      <w:r>
        <w:rPr>
          <w:color w:val="000000" w:themeColor="text1"/>
          <w:highlight w:val="none"/>
          <w14:textFill>
            <w14:solidFill>
              <w14:schemeClr w14:val="tx1"/>
            </w14:solidFill>
          </w14:textFill>
        </w:rPr>
        <w:t>单位：mg/kg</w:t>
      </w:r>
    </w:p>
    <w:tbl>
      <w:tblPr>
        <w:tblStyle w:val="41"/>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
      <w:tblGrid>
        <w:gridCol w:w="909"/>
        <w:gridCol w:w="914"/>
        <w:gridCol w:w="914"/>
        <w:gridCol w:w="914"/>
        <w:gridCol w:w="914"/>
        <w:gridCol w:w="914"/>
        <w:gridCol w:w="914"/>
        <w:gridCol w:w="914"/>
        <w:gridCol w:w="9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jc w:val="center"/>
        </w:trPr>
        <w:tc>
          <w:tcPr>
            <w:tcW w:w="909" w:type="dxa"/>
            <w:vMerge w:val="restart"/>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污染物</w:t>
            </w:r>
          </w:p>
        </w:tc>
        <w:tc>
          <w:tcPr>
            <w:tcW w:w="7313" w:type="dxa"/>
            <w:gridSpan w:val="8"/>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风险筛选值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vMerge w:val="continue"/>
            <w:shd w:val="clear" w:color="auto" w:fill="FFFFFF"/>
            <w:vAlign w:val="center"/>
          </w:tcPr>
          <w:p>
            <w:pPr>
              <w:pStyle w:val="118"/>
              <w:rPr>
                <w:b/>
                <w:bCs/>
                <w:color w:val="000000" w:themeColor="text1"/>
                <w:highlight w:val="none"/>
                <w14:textFill>
                  <w14:solidFill>
                    <w14:schemeClr w14:val="tx1"/>
                  </w14:solidFill>
                </w14:textFill>
              </w:rPr>
            </w:pPr>
          </w:p>
        </w:tc>
        <w:tc>
          <w:tcPr>
            <w:tcW w:w="1828" w:type="dxa"/>
            <w:gridSpan w:val="2"/>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pH≤5.5</w:t>
            </w:r>
          </w:p>
        </w:tc>
        <w:tc>
          <w:tcPr>
            <w:tcW w:w="1828" w:type="dxa"/>
            <w:gridSpan w:val="2"/>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5.5＜pH≤6.5</w:t>
            </w:r>
          </w:p>
        </w:tc>
        <w:tc>
          <w:tcPr>
            <w:tcW w:w="1828" w:type="dxa"/>
            <w:gridSpan w:val="2"/>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6.5＜pH≤7.5</w:t>
            </w:r>
          </w:p>
        </w:tc>
        <w:tc>
          <w:tcPr>
            <w:tcW w:w="1829" w:type="dxa"/>
            <w:gridSpan w:val="2"/>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pH＞7.5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vMerge w:val="continue"/>
            <w:shd w:val="clear" w:color="auto" w:fill="FFFFFF"/>
            <w:vAlign w:val="center"/>
          </w:tcPr>
          <w:p>
            <w:pPr>
              <w:pStyle w:val="118"/>
              <w:rPr>
                <w:b/>
                <w:bCs/>
                <w:color w:val="000000" w:themeColor="text1"/>
                <w:highlight w:val="none"/>
                <w14:textFill>
                  <w14:solidFill>
                    <w14:schemeClr w14:val="tx1"/>
                  </w14:solidFill>
                </w14:textFill>
              </w:rPr>
            </w:pPr>
          </w:p>
        </w:tc>
        <w:tc>
          <w:tcPr>
            <w:tcW w:w="914" w:type="dxa"/>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水田</w:t>
            </w:r>
          </w:p>
        </w:tc>
        <w:tc>
          <w:tcPr>
            <w:tcW w:w="914" w:type="dxa"/>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其他</w:t>
            </w:r>
          </w:p>
        </w:tc>
        <w:tc>
          <w:tcPr>
            <w:tcW w:w="914" w:type="dxa"/>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水田</w:t>
            </w:r>
          </w:p>
        </w:tc>
        <w:tc>
          <w:tcPr>
            <w:tcW w:w="914" w:type="dxa"/>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其他</w:t>
            </w:r>
          </w:p>
        </w:tc>
        <w:tc>
          <w:tcPr>
            <w:tcW w:w="914" w:type="dxa"/>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水田</w:t>
            </w:r>
          </w:p>
        </w:tc>
        <w:tc>
          <w:tcPr>
            <w:tcW w:w="914" w:type="dxa"/>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其他</w:t>
            </w:r>
          </w:p>
        </w:tc>
        <w:tc>
          <w:tcPr>
            <w:tcW w:w="914" w:type="dxa"/>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水田</w:t>
            </w:r>
          </w:p>
        </w:tc>
        <w:tc>
          <w:tcPr>
            <w:tcW w:w="915" w:type="dxa"/>
            <w:shd w:val="clear" w:color="auto" w:fill="FFFFFF"/>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镉</w:t>
            </w:r>
          </w:p>
        </w:tc>
        <w:tc>
          <w:tcPr>
            <w:tcW w:w="91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0.3</w:t>
            </w:r>
          </w:p>
        </w:tc>
        <w:tc>
          <w:tcPr>
            <w:tcW w:w="91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0.3</w:t>
            </w:r>
          </w:p>
        </w:tc>
        <w:tc>
          <w:tcPr>
            <w:tcW w:w="91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w:t>
            </w:r>
          </w:p>
        </w:tc>
        <w:tc>
          <w:tcPr>
            <w:tcW w:w="91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0.3</w:t>
            </w:r>
          </w:p>
        </w:tc>
        <w:tc>
          <w:tcPr>
            <w:tcW w:w="91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0.6</w:t>
            </w:r>
          </w:p>
        </w:tc>
        <w:tc>
          <w:tcPr>
            <w:tcW w:w="91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0.3</w:t>
            </w:r>
          </w:p>
        </w:tc>
        <w:tc>
          <w:tcPr>
            <w:tcW w:w="91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0.8</w:t>
            </w:r>
          </w:p>
        </w:tc>
        <w:tc>
          <w:tcPr>
            <w:tcW w:w="915"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汞</w:t>
            </w:r>
          </w:p>
        </w:tc>
        <w:tc>
          <w:tcPr>
            <w:tcW w:w="91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0.5</w:t>
            </w:r>
          </w:p>
        </w:tc>
        <w:tc>
          <w:tcPr>
            <w:tcW w:w="91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1.3</w:t>
            </w:r>
          </w:p>
        </w:tc>
        <w:tc>
          <w:tcPr>
            <w:tcW w:w="91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0.5</w:t>
            </w:r>
          </w:p>
        </w:tc>
        <w:tc>
          <w:tcPr>
            <w:tcW w:w="91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1.8</w:t>
            </w:r>
          </w:p>
        </w:tc>
        <w:tc>
          <w:tcPr>
            <w:tcW w:w="91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0.6</w:t>
            </w:r>
          </w:p>
        </w:tc>
        <w:tc>
          <w:tcPr>
            <w:tcW w:w="91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2.4</w:t>
            </w:r>
          </w:p>
        </w:tc>
        <w:tc>
          <w:tcPr>
            <w:tcW w:w="91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915"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砷</w:t>
            </w:r>
          </w:p>
        </w:tc>
        <w:tc>
          <w:tcPr>
            <w:tcW w:w="91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30</w:t>
            </w:r>
          </w:p>
        </w:tc>
        <w:tc>
          <w:tcPr>
            <w:tcW w:w="91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40</w:t>
            </w:r>
          </w:p>
        </w:tc>
        <w:tc>
          <w:tcPr>
            <w:tcW w:w="91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30</w:t>
            </w:r>
          </w:p>
        </w:tc>
        <w:tc>
          <w:tcPr>
            <w:tcW w:w="91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40</w:t>
            </w:r>
          </w:p>
        </w:tc>
        <w:tc>
          <w:tcPr>
            <w:tcW w:w="91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w:t>
            </w:r>
          </w:p>
        </w:tc>
        <w:tc>
          <w:tcPr>
            <w:tcW w:w="91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30</w:t>
            </w:r>
          </w:p>
        </w:tc>
        <w:tc>
          <w:tcPr>
            <w:tcW w:w="91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w:t>
            </w:r>
          </w:p>
        </w:tc>
        <w:tc>
          <w:tcPr>
            <w:tcW w:w="915"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铅</w:t>
            </w:r>
          </w:p>
        </w:tc>
        <w:tc>
          <w:tcPr>
            <w:tcW w:w="91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80</w:t>
            </w:r>
          </w:p>
        </w:tc>
        <w:tc>
          <w:tcPr>
            <w:tcW w:w="91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70</w:t>
            </w:r>
          </w:p>
        </w:tc>
        <w:tc>
          <w:tcPr>
            <w:tcW w:w="91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100</w:t>
            </w:r>
          </w:p>
        </w:tc>
        <w:tc>
          <w:tcPr>
            <w:tcW w:w="91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90</w:t>
            </w:r>
          </w:p>
        </w:tc>
        <w:tc>
          <w:tcPr>
            <w:tcW w:w="91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140</w:t>
            </w:r>
          </w:p>
        </w:tc>
        <w:tc>
          <w:tcPr>
            <w:tcW w:w="91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120</w:t>
            </w:r>
          </w:p>
        </w:tc>
        <w:tc>
          <w:tcPr>
            <w:tcW w:w="91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240</w:t>
            </w:r>
          </w:p>
        </w:tc>
        <w:tc>
          <w:tcPr>
            <w:tcW w:w="915"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铬</w:t>
            </w:r>
          </w:p>
        </w:tc>
        <w:tc>
          <w:tcPr>
            <w:tcW w:w="91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250</w:t>
            </w:r>
          </w:p>
        </w:tc>
        <w:tc>
          <w:tcPr>
            <w:tcW w:w="91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150</w:t>
            </w:r>
          </w:p>
        </w:tc>
        <w:tc>
          <w:tcPr>
            <w:tcW w:w="91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250</w:t>
            </w:r>
          </w:p>
        </w:tc>
        <w:tc>
          <w:tcPr>
            <w:tcW w:w="91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150</w:t>
            </w:r>
          </w:p>
        </w:tc>
        <w:tc>
          <w:tcPr>
            <w:tcW w:w="91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300</w:t>
            </w:r>
          </w:p>
        </w:tc>
        <w:tc>
          <w:tcPr>
            <w:tcW w:w="91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200</w:t>
            </w:r>
          </w:p>
        </w:tc>
        <w:tc>
          <w:tcPr>
            <w:tcW w:w="91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350</w:t>
            </w:r>
          </w:p>
        </w:tc>
        <w:tc>
          <w:tcPr>
            <w:tcW w:w="915"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铜</w:t>
            </w:r>
          </w:p>
        </w:tc>
        <w:tc>
          <w:tcPr>
            <w:tcW w:w="91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150</w:t>
            </w:r>
          </w:p>
        </w:tc>
        <w:tc>
          <w:tcPr>
            <w:tcW w:w="91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50</w:t>
            </w:r>
          </w:p>
        </w:tc>
        <w:tc>
          <w:tcPr>
            <w:tcW w:w="91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150</w:t>
            </w:r>
          </w:p>
        </w:tc>
        <w:tc>
          <w:tcPr>
            <w:tcW w:w="91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50</w:t>
            </w:r>
          </w:p>
        </w:tc>
        <w:tc>
          <w:tcPr>
            <w:tcW w:w="91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200</w:t>
            </w:r>
          </w:p>
        </w:tc>
        <w:tc>
          <w:tcPr>
            <w:tcW w:w="91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100</w:t>
            </w:r>
          </w:p>
        </w:tc>
        <w:tc>
          <w:tcPr>
            <w:tcW w:w="914"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200</w:t>
            </w:r>
          </w:p>
        </w:tc>
        <w:tc>
          <w:tcPr>
            <w:tcW w:w="915"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镍</w:t>
            </w:r>
          </w:p>
        </w:tc>
        <w:tc>
          <w:tcPr>
            <w:tcW w:w="1828" w:type="dxa"/>
            <w:gridSpan w:val="2"/>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60</w:t>
            </w:r>
          </w:p>
        </w:tc>
        <w:tc>
          <w:tcPr>
            <w:tcW w:w="1828" w:type="dxa"/>
            <w:gridSpan w:val="2"/>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70</w:t>
            </w:r>
          </w:p>
        </w:tc>
        <w:tc>
          <w:tcPr>
            <w:tcW w:w="1828" w:type="dxa"/>
            <w:gridSpan w:val="2"/>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100</w:t>
            </w:r>
          </w:p>
        </w:tc>
        <w:tc>
          <w:tcPr>
            <w:tcW w:w="1829" w:type="dxa"/>
            <w:gridSpan w:val="2"/>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锌</w:t>
            </w:r>
          </w:p>
        </w:tc>
        <w:tc>
          <w:tcPr>
            <w:tcW w:w="1828" w:type="dxa"/>
            <w:gridSpan w:val="2"/>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200</w:t>
            </w:r>
          </w:p>
        </w:tc>
        <w:tc>
          <w:tcPr>
            <w:tcW w:w="1828" w:type="dxa"/>
            <w:gridSpan w:val="2"/>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200</w:t>
            </w:r>
          </w:p>
        </w:tc>
        <w:tc>
          <w:tcPr>
            <w:tcW w:w="1828" w:type="dxa"/>
            <w:gridSpan w:val="2"/>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250</w:t>
            </w:r>
          </w:p>
        </w:tc>
        <w:tc>
          <w:tcPr>
            <w:tcW w:w="1829" w:type="dxa"/>
            <w:gridSpan w:val="2"/>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300</w:t>
            </w:r>
          </w:p>
        </w:tc>
      </w:tr>
    </w:tbl>
    <w:p>
      <w:pPr>
        <w:spacing w:before="120" w:beforeLines="50"/>
        <w:ind w:firstLine="480"/>
        <w:rPr>
          <w:bCs/>
          <w:color w:val="000000" w:themeColor="text1"/>
          <w:szCs w:val="24"/>
          <w:highlight w:val="none"/>
          <w14:textFill>
            <w14:solidFill>
              <w14:schemeClr w14:val="tx1"/>
            </w14:solidFill>
          </w14:textFill>
        </w:rPr>
      </w:pPr>
      <w:r>
        <w:rPr>
          <w:color w:val="000000" w:themeColor="text1"/>
          <w:highlight w:val="none"/>
          <w14:textFill>
            <w14:solidFill>
              <w14:schemeClr w14:val="tx1"/>
            </w14:solidFill>
          </w14:textFill>
        </w:rPr>
        <w:t>土壤环境监测指标中</w:t>
      </w:r>
      <w:r>
        <w:rPr>
          <w:rFonts w:hint="eastAsia"/>
          <w:color w:val="000000" w:themeColor="text1"/>
          <w:highlight w:val="none"/>
          <w14:textFill>
            <w14:solidFill>
              <w14:schemeClr w14:val="tx1"/>
            </w14:solidFill>
          </w14:textFill>
        </w:rPr>
        <w:t>工业用地钡参考《四川省建设用地土壤污染风险管控标准》（DB51/2978—2023）第二类用地筛选值</w:t>
      </w:r>
      <w:r>
        <w:rPr>
          <w:color w:val="000000" w:themeColor="text1"/>
          <w:highlight w:val="none"/>
          <w14:textFill>
            <w14:solidFill>
              <w14:schemeClr w14:val="tx1"/>
            </w14:solidFill>
          </w14:textFill>
        </w:rPr>
        <w:t>为8</w:t>
      </w:r>
      <w:r>
        <w:rPr>
          <w:rFonts w:hint="eastAsia"/>
          <w:color w:val="000000" w:themeColor="text1"/>
          <w:highlight w:val="none"/>
          <w14:textFill>
            <w14:solidFill>
              <w14:schemeClr w14:val="tx1"/>
            </w14:solidFill>
          </w14:textFill>
        </w:rPr>
        <w:t>660</w:t>
      </w:r>
      <w:r>
        <w:rPr>
          <w:color w:val="000000" w:themeColor="text1"/>
          <w:highlight w:val="none"/>
          <w14:textFill>
            <w14:solidFill>
              <w14:schemeClr w14:val="tx1"/>
            </w14:solidFill>
          </w14:textFill>
        </w:rPr>
        <w:t>mg/kg</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农用地石油烃参考第一类建设用地筛选值为826mg/kg</w:t>
      </w:r>
      <w:r>
        <w:rPr>
          <w:bCs/>
          <w:color w:val="000000" w:themeColor="text1"/>
          <w:szCs w:val="24"/>
          <w:highlight w:val="none"/>
          <w14:textFill>
            <w14:solidFill>
              <w14:schemeClr w14:val="tx1"/>
            </w14:solidFill>
          </w14:textFill>
        </w:rPr>
        <w:t>。</w:t>
      </w:r>
    </w:p>
    <w:p>
      <w:pPr>
        <w:pStyle w:val="5"/>
        <w:spacing w:before="120"/>
        <w:ind w:firstLine="480"/>
        <w:rPr>
          <w:b/>
          <w:color w:val="000000" w:themeColor="text1"/>
          <w:highlight w:val="none"/>
          <w:lang w:eastAsia="zh-CN"/>
          <w14:textFill>
            <w14:solidFill>
              <w14:schemeClr w14:val="tx1"/>
            </w14:solidFill>
          </w14:textFill>
        </w:rPr>
      </w:pPr>
      <w:bookmarkStart w:id="74" w:name="_Toc120173068"/>
      <w:r>
        <w:rPr>
          <w:color w:val="000000" w:themeColor="text1"/>
          <w:highlight w:val="none"/>
          <w:lang w:eastAsia="zh-CN"/>
          <w14:textFill>
            <w14:solidFill>
              <w14:schemeClr w14:val="tx1"/>
            </w14:solidFill>
          </w14:textFill>
        </w:rPr>
        <w:t>污染物排放标准</w:t>
      </w:r>
      <w:bookmarkEnd w:id="74"/>
    </w:p>
    <w:p>
      <w:pPr>
        <w:ind w:firstLine="480"/>
        <w:rPr>
          <w:bCs/>
          <w:color w:val="000000" w:themeColor="text1"/>
          <w:highlight w:val="none"/>
          <w14:textFill>
            <w14:solidFill>
              <w14:schemeClr w14:val="tx1"/>
            </w14:solidFill>
          </w14:textFill>
        </w:rPr>
      </w:pPr>
      <w:bookmarkStart w:id="75" w:name="_Hlk48749861"/>
      <w:bookmarkStart w:id="76" w:name="_Hlk48749841"/>
      <w:r>
        <w:rPr>
          <w:bCs/>
          <w:color w:val="000000" w:themeColor="text1"/>
          <w:highlight w:val="none"/>
          <w14:textFill>
            <w14:solidFill>
              <w14:schemeClr w14:val="tx1"/>
            </w14:solidFill>
          </w14:textFill>
        </w:rPr>
        <w:t>（1）废水</w:t>
      </w:r>
    </w:p>
    <w:bookmarkEnd w:id="75"/>
    <w:p>
      <w:pPr>
        <w:ind w:firstLine="480"/>
        <w:rPr>
          <w:bCs/>
          <w:color w:val="000000" w:themeColor="text1"/>
          <w:szCs w:val="24"/>
          <w:highlight w:val="none"/>
          <w14:textFill>
            <w14:solidFill>
              <w14:schemeClr w14:val="tx1"/>
            </w14:solidFill>
          </w14:textFill>
        </w:rPr>
      </w:pPr>
      <w:bookmarkStart w:id="77" w:name="_Hlk48749969"/>
      <w:r>
        <w:rPr>
          <w:rFonts w:hint="eastAsia"/>
          <w:bCs/>
          <w:color w:val="000000" w:themeColor="text1"/>
          <w:szCs w:val="24"/>
          <w:highlight w:val="none"/>
          <w14:textFill>
            <w14:solidFill>
              <w14:schemeClr w14:val="tx1"/>
            </w14:solidFill>
          </w14:textFill>
        </w:rPr>
        <w:t>本项目采用已完钻的雷页1井进行天然气试采，不涉及钻井施工。站场试采期间产生的气田水进入污水罐，然后通过密闭罐车拉运至赵家坝污水处理站处理达到《气田水回注方法》（SY/T 6596-2016）中注入水基本要求后管输至普光3井回注站回注处理，不外排；站场设置10人值守，开采期产生的生活污水经生态厕所收集后定期由密闭罐车拉运至周边生活污水处理厂处理</w:t>
      </w:r>
      <w:r>
        <w:rPr>
          <w:bCs/>
          <w:color w:val="000000" w:themeColor="text1"/>
          <w:szCs w:val="24"/>
          <w:highlight w:val="none"/>
          <w14:textFill>
            <w14:solidFill>
              <w14:schemeClr w14:val="tx1"/>
            </w14:solidFill>
          </w14:textFill>
        </w:rPr>
        <w:t>。</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（2）废气</w:t>
      </w:r>
    </w:p>
    <w:p>
      <w:pPr>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项目施工期间扬尘执行《四川省施工场地扬尘排放标准》（DB51/2682-2020）（2020年9月1日起）；试采期间水套加热炉燃烧废气排放执行《锅炉大气污染物排放标准》（GB13271-2014）</w:t>
      </w:r>
      <w:r>
        <w:rPr>
          <w:rFonts w:hint="eastAsia"/>
          <w:bCs/>
          <w:color w:val="000000" w:themeColor="text1"/>
          <w:szCs w:val="24"/>
          <w:highlight w:val="none"/>
          <w14:textFill>
            <w14:solidFill>
              <w14:schemeClr w14:val="tx1"/>
            </w14:solidFill>
          </w14:textFill>
        </w:rPr>
        <w:t>，</w:t>
      </w:r>
      <w:r>
        <w:rPr>
          <w:bCs/>
          <w:color w:val="000000" w:themeColor="text1"/>
          <w:szCs w:val="24"/>
          <w:highlight w:val="none"/>
          <w14:textFill>
            <w14:solidFill>
              <w14:schemeClr w14:val="tx1"/>
            </w14:solidFill>
          </w14:textFill>
        </w:rPr>
        <w:t>试采期挥发性有机物无组织排放与试采期间放</w:t>
      </w:r>
      <w:r>
        <w:rPr>
          <w:rFonts w:hint="eastAsia"/>
          <w:bCs/>
          <w:color w:val="000000" w:themeColor="text1"/>
          <w:szCs w:val="24"/>
          <w:highlight w:val="none"/>
          <w14:textFill>
            <w14:solidFill>
              <w14:schemeClr w14:val="tx1"/>
            </w14:solidFill>
          </w14:textFill>
        </w:rPr>
        <w:t>空</w:t>
      </w:r>
      <w:r>
        <w:rPr>
          <w:bCs/>
          <w:color w:val="000000" w:themeColor="text1"/>
          <w:szCs w:val="24"/>
          <w:highlight w:val="none"/>
          <w14:textFill>
            <w14:solidFill>
              <w14:schemeClr w14:val="tx1"/>
            </w14:solidFill>
          </w14:textFill>
        </w:rPr>
        <w:t>废气有组织排放执行《陆上石油天然气开采工业大气污染物排放标准》（GB39728-2020）。</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四川省施工场地扬尘排放标准</w:t>
      </w:r>
    </w:p>
    <w:tbl>
      <w:tblPr>
        <w:tblStyle w:val="41"/>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2"/>
        <w:gridCol w:w="3020"/>
        <w:gridCol w:w="1666"/>
        <w:gridCol w:w="1389"/>
        <w:gridCol w:w="9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2" w:type="dxa"/>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监测项目</w:t>
            </w:r>
          </w:p>
        </w:tc>
        <w:tc>
          <w:tcPr>
            <w:tcW w:w="3020" w:type="dxa"/>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区域</w:t>
            </w:r>
          </w:p>
        </w:tc>
        <w:tc>
          <w:tcPr>
            <w:tcW w:w="1666" w:type="dxa"/>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施工阶段</w:t>
            </w:r>
          </w:p>
        </w:tc>
        <w:tc>
          <w:tcPr>
            <w:tcW w:w="1389" w:type="dxa"/>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监测点排放限值（μg/m</w:t>
            </w:r>
            <w:r>
              <w:rPr>
                <w:b/>
                <w:bCs/>
                <w:color w:val="000000" w:themeColor="text1"/>
                <w:highlight w:val="none"/>
                <w:vertAlign w:val="superscript"/>
                <w14:textFill>
                  <w14:solidFill>
                    <w14:schemeClr w14:val="tx1"/>
                  </w14:solidFill>
                </w14:textFill>
              </w:rPr>
              <w:t>3</w:t>
            </w:r>
            <w:r>
              <w:rPr>
                <w:b/>
                <w:bCs/>
                <w:color w:val="000000" w:themeColor="text1"/>
                <w:highlight w:val="none"/>
                <w14:textFill>
                  <w14:solidFill>
                    <w14:schemeClr w14:val="tx1"/>
                  </w14:solidFill>
                </w14:textFill>
              </w:rPr>
              <w:t>）</w:t>
            </w:r>
          </w:p>
        </w:tc>
        <w:tc>
          <w:tcPr>
            <w:tcW w:w="935" w:type="dxa"/>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监测时间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2" w:type="dxa"/>
            <w:vMerge w:val="restar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总悬浮颗粒物（TSP）</w:t>
            </w:r>
          </w:p>
        </w:tc>
        <w:tc>
          <w:tcPr>
            <w:tcW w:w="3020" w:type="dxa"/>
            <w:vMerge w:val="restar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成都市、自贡市、泸州市、德阳市、绵阳市、广元市、遂宁市、内江市、乐山市、南充市、宜宾市、广安市、</w:t>
            </w:r>
            <w:r>
              <w:rPr>
                <w:b/>
                <w:bCs/>
                <w:color w:val="000000" w:themeColor="text1"/>
                <w:highlight w:val="none"/>
                <w14:textFill>
                  <w14:solidFill>
                    <w14:schemeClr w14:val="tx1"/>
                  </w14:solidFill>
                </w14:textFill>
              </w:rPr>
              <w:t>达州市</w:t>
            </w:r>
            <w:r>
              <w:rPr>
                <w:color w:val="000000" w:themeColor="text1"/>
                <w:highlight w:val="none"/>
                <w14:textFill>
                  <w14:solidFill>
                    <w14:schemeClr w14:val="tx1"/>
                  </w14:solidFill>
                </w14:textFill>
              </w:rPr>
              <w:t>、巴中市、雅安市、眉山市、资阳市</w:t>
            </w:r>
          </w:p>
        </w:tc>
        <w:tc>
          <w:tcPr>
            <w:tcW w:w="1666" w:type="dxa"/>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拆除工程/土方开挖/土方回填阶段</w:t>
            </w:r>
          </w:p>
        </w:tc>
        <w:tc>
          <w:tcPr>
            <w:tcW w:w="1389" w:type="dxa"/>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600</w:t>
            </w:r>
          </w:p>
        </w:tc>
        <w:tc>
          <w:tcPr>
            <w:tcW w:w="935" w:type="dxa"/>
            <w:vMerge w:val="restar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自监测起持续15分钟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2" w:type="dxa"/>
            <w:vMerge w:val="continue"/>
            <w:shd w:val="clear" w:color="auto" w:fill="auto"/>
            <w:vAlign w:val="center"/>
          </w:tcPr>
          <w:p>
            <w:pPr>
              <w:pStyle w:val="118"/>
              <w:rPr>
                <w:color w:val="000000" w:themeColor="text1"/>
                <w:highlight w:val="none"/>
                <w14:textFill>
                  <w14:solidFill>
                    <w14:schemeClr w14:val="tx1"/>
                  </w14:solidFill>
                </w14:textFill>
              </w:rPr>
            </w:pPr>
          </w:p>
        </w:tc>
        <w:tc>
          <w:tcPr>
            <w:tcW w:w="3020" w:type="dxa"/>
            <w:vMerge w:val="continue"/>
            <w:shd w:val="clear" w:color="auto" w:fill="auto"/>
            <w:vAlign w:val="center"/>
          </w:tcPr>
          <w:p>
            <w:pPr>
              <w:pStyle w:val="118"/>
              <w:rPr>
                <w:color w:val="000000" w:themeColor="text1"/>
                <w:highlight w:val="none"/>
                <w14:textFill>
                  <w14:solidFill>
                    <w14:schemeClr w14:val="tx1"/>
                  </w14:solidFill>
                </w14:textFill>
              </w:rPr>
            </w:pPr>
          </w:p>
        </w:tc>
        <w:tc>
          <w:tcPr>
            <w:tcW w:w="1666" w:type="dxa"/>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其他工程阶段</w:t>
            </w:r>
          </w:p>
        </w:tc>
        <w:tc>
          <w:tcPr>
            <w:tcW w:w="1389" w:type="dxa"/>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250</w:t>
            </w:r>
          </w:p>
        </w:tc>
        <w:tc>
          <w:tcPr>
            <w:tcW w:w="935" w:type="dxa"/>
            <w:vMerge w:val="continue"/>
            <w:shd w:val="clear" w:color="auto" w:fill="auto"/>
            <w:vAlign w:val="center"/>
          </w:tcPr>
          <w:p>
            <w:pPr>
              <w:pStyle w:val="118"/>
              <w:rPr>
                <w:color w:val="000000" w:themeColor="text1"/>
                <w:highlight w:val="none"/>
                <w14:textFill>
                  <w14:solidFill>
                    <w14:schemeClr w14:val="tx1"/>
                  </w14:solidFill>
                </w14:textFill>
              </w:rPr>
            </w:pPr>
          </w:p>
        </w:tc>
      </w:tr>
    </w:tbl>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锅炉大气污染物排放标准</w:t>
      </w:r>
      <w:r>
        <w:rPr>
          <w:color w:val="000000" w:themeColor="text1"/>
          <w:highlight w:val="none"/>
          <w14:textFill>
            <w14:solidFill>
              <w14:schemeClr w14:val="tx1"/>
            </w14:solidFill>
          </w14:textFill>
        </w:rPr>
        <w:t>单位：mg/m</w:t>
      </w:r>
      <w:r>
        <w:rPr>
          <w:color w:val="000000" w:themeColor="text1"/>
          <w:highlight w:val="none"/>
          <w:vertAlign w:val="superscript"/>
          <w14:textFill>
            <w14:solidFill>
              <w14:schemeClr w14:val="tx1"/>
            </w14:solidFill>
          </w14:textFill>
        </w:rPr>
        <w:t>3</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3517"/>
        <w:gridCol w:w="3468"/>
        <w:gridCol w:w="14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blHeader/>
          <w:jc w:val="center"/>
        </w:trPr>
        <w:tc>
          <w:tcPr>
            <w:tcW w:w="0" w:type="auto"/>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lang w:bidi="ar"/>
                <w14:textFill>
                  <w14:solidFill>
                    <w14:schemeClr w14:val="tx1"/>
                  </w14:solidFill>
                </w14:textFill>
              </w:rPr>
              <w:t>污染物</w:t>
            </w:r>
          </w:p>
        </w:tc>
        <w:tc>
          <w:tcPr>
            <w:tcW w:w="0" w:type="auto"/>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lang w:bidi="ar"/>
                <w14:textFill>
                  <w14:solidFill>
                    <w14:schemeClr w14:val="tx1"/>
                  </w14:solidFill>
                </w14:textFill>
              </w:rPr>
              <w:t>最高允许排放浓度（mg/m</w:t>
            </w:r>
            <w:r>
              <w:rPr>
                <w:b/>
                <w:bCs/>
                <w:color w:val="000000" w:themeColor="text1"/>
                <w:highlight w:val="none"/>
                <w:vertAlign w:val="superscript"/>
                <w:lang w:bidi="ar"/>
                <w14:textFill>
                  <w14:solidFill>
                    <w14:schemeClr w14:val="tx1"/>
                  </w14:solidFill>
                </w14:textFill>
              </w:rPr>
              <w:t>3</w:t>
            </w:r>
            <w:r>
              <w:rPr>
                <w:b/>
                <w:bCs/>
                <w:color w:val="000000" w:themeColor="text1"/>
                <w:highlight w:val="none"/>
                <w:lang w:bidi="ar"/>
                <w14:textFill>
                  <w14:solidFill>
                    <w14:schemeClr w14:val="tx1"/>
                  </w14:solidFill>
                </w14:textFill>
              </w:rPr>
              <w:t>）</w:t>
            </w:r>
          </w:p>
        </w:tc>
        <w:tc>
          <w:tcPr>
            <w:tcW w:w="0" w:type="auto"/>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lang w:bidi="ar"/>
                <w14:textFill>
                  <w14:solidFill>
                    <w14:schemeClr w14:val="tx1"/>
                  </w14:solidFill>
                </w14:textFill>
              </w:rPr>
              <w:t>监控位置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0" w:type="auto"/>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lang w:bidi="ar"/>
                <w14:textFill>
                  <w14:solidFill>
                    <w14:schemeClr w14:val="tx1"/>
                  </w14:solidFill>
                </w14:textFill>
              </w:rPr>
              <w:t>NO</w:t>
            </w:r>
            <w:r>
              <w:rPr>
                <w:color w:val="000000" w:themeColor="text1"/>
                <w:highlight w:val="none"/>
                <w:vertAlign w:val="subscript"/>
                <w:lang w:bidi="ar"/>
                <w14:textFill>
                  <w14:solidFill>
                    <w14:schemeClr w14:val="tx1"/>
                  </w14:solidFill>
                </w14:textFill>
              </w:rPr>
              <w:t>x</w:t>
            </w:r>
          </w:p>
        </w:tc>
        <w:tc>
          <w:tcPr>
            <w:tcW w:w="0" w:type="auto"/>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lang w:bidi="ar"/>
                <w14:textFill>
                  <w14:solidFill>
                    <w14:schemeClr w14:val="tx1"/>
                  </w14:solidFill>
                </w14:textFill>
              </w:rPr>
              <w:t>200</w:t>
            </w:r>
          </w:p>
        </w:tc>
        <w:tc>
          <w:tcPr>
            <w:tcW w:w="0" w:type="auto"/>
            <w:vMerge w:val="restar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lang w:bidi="ar"/>
                <w14:textFill>
                  <w14:solidFill>
                    <w14:schemeClr w14:val="tx1"/>
                  </w14:solidFill>
                </w14:textFill>
              </w:rPr>
              <w:t>烟囱或烟道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0" w:type="auto"/>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lang w:bidi="ar"/>
                <w14:textFill>
                  <w14:solidFill>
                    <w14:schemeClr w14:val="tx1"/>
                  </w14:solidFill>
                </w14:textFill>
              </w:rPr>
              <w:t>颗粒物</w:t>
            </w:r>
          </w:p>
        </w:tc>
        <w:tc>
          <w:tcPr>
            <w:tcW w:w="0" w:type="auto"/>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lang w:bidi="ar"/>
                <w14:textFill>
                  <w14:solidFill>
                    <w14:schemeClr w14:val="tx1"/>
                  </w14:solidFill>
                </w14:textFill>
              </w:rPr>
              <w:t>20</w:t>
            </w:r>
          </w:p>
        </w:tc>
        <w:tc>
          <w:tcPr>
            <w:tcW w:w="0" w:type="auto"/>
            <w:vMerge w:val="continue"/>
            <w:shd w:val="clear" w:color="auto" w:fill="auto"/>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0" w:type="auto"/>
            <w:shd w:val="clear" w:color="auto" w:fill="auto"/>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烟气黑度（林格曼黑度，级）</w:t>
            </w:r>
          </w:p>
        </w:tc>
        <w:tc>
          <w:tcPr>
            <w:tcW w:w="0" w:type="auto"/>
            <w:shd w:val="clear" w:color="auto" w:fill="auto"/>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≤1</w:t>
            </w:r>
          </w:p>
        </w:tc>
        <w:tc>
          <w:tcPr>
            <w:tcW w:w="0" w:type="auto"/>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烟囱排放口</w:t>
            </w:r>
          </w:p>
        </w:tc>
      </w:tr>
    </w:tbl>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陆上石油天然气开采工业大气污染物排放标准</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9"/>
        <w:gridCol w:w="1605"/>
        <w:gridCol w:w="57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4" w:hRule="atLeast"/>
          <w:jc w:val="center"/>
        </w:trPr>
        <w:tc>
          <w:tcPr>
            <w:tcW w:w="680" w:type="pct"/>
            <w:vMerge w:val="restar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污染物</w:t>
            </w:r>
          </w:p>
        </w:tc>
        <w:tc>
          <w:tcPr>
            <w:tcW w:w="941" w:type="pct"/>
            <w:vMerge w:val="restar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无组织排放（周界外浓度最高点）/（mg/m</w:t>
            </w:r>
            <w:r>
              <w:rPr>
                <w:b/>
                <w:bCs/>
                <w:color w:val="000000" w:themeColor="text1"/>
                <w:highlight w:val="none"/>
                <w:vertAlign w:val="superscript"/>
                <w14:textFill>
                  <w14:solidFill>
                    <w14:schemeClr w14:val="tx1"/>
                  </w14:solidFill>
                </w14:textFill>
              </w:rPr>
              <w:t>3</w:t>
            </w:r>
            <w:r>
              <w:rPr>
                <w:b/>
                <w:bCs/>
                <w:color w:val="000000" w:themeColor="text1"/>
                <w:highlight w:val="none"/>
                <w14:textFill>
                  <w14:solidFill>
                    <w14:schemeClr w14:val="tx1"/>
                  </w14:solidFill>
                </w14:textFill>
              </w:rPr>
              <w:t>）</w:t>
            </w:r>
          </w:p>
        </w:tc>
        <w:tc>
          <w:tcPr>
            <w:tcW w:w="3379"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有组织排放标准要求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1" w:hRule="atLeast"/>
          <w:jc w:val="center"/>
        </w:trPr>
        <w:tc>
          <w:tcPr>
            <w:tcW w:w="680" w:type="pct"/>
            <w:vMerge w:val="continue"/>
            <w:vAlign w:val="center"/>
          </w:tcPr>
          <w:p>
            <w:pPr>
              <w:pStyle w:val="118"/>
              <w:rPr>
                <w:color w:val="000000" w:themeColor="text1"/>
                <w:highlight w:val="none"/>
                <w14:textFill>
                  <w14:solidFill>
                    <w14:schemeClr w14:val="tx1"/>
                  </w14:solidFill>
                </w14:textFill>
              </w:rPr>
            </w:pPr>
          </w:p>
        </w:tc>
        <w:tc>
          <w:tcPr>
            <w:tcW w:w="941" w:type="pct"/>
            <w:vMerge w:val="continue"/>
            <w:vAlign w:val="center"/>
          </w:tcPr>
          <w:p>
            <w:pPr>
              <w:pStyle w:val="118"/>
              <w:rPr>
                <w:color w:val="000000" w:themeColor="text1"/>
                <w:highlight w:val="none"/>
                <w14:textFill>
                  <w14:solidFill>
                    <w14:schemeClr w14:val="tx1"/>
                  </w14:solidFill>
                </w14:textFill>
              </w:rPr>
            </w:pPr>
          </w:p>
        </w:tc>
        <w:tc>
          <w:tcPr>
            <w:tcW w:w="3379" w:type="pct"/>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a）非甲烷总烃排放浓度不超过120mg/m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w:t>
            </w:r>
          </w:p>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b）生产装置和设施排气中非甲烷总烃初始排放速率≥3kg/h的，废气处理设施非甲烷总烃去除效率不低于80%。重点地区生产装置和设施排气中非甲烷总烃初始排放速率≥2kg/h的，废气处理设施非甲烷总烃去除效率不低于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0"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NMHC</w:t>
            </w:r>
          </w:p>
        </w:tc>
        <w:tc>
          <w:tcPr>
            <w:tcW w:w="941"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4.0</w:t>
            </w:r>
          </w:p>
        </w:tc>
        <w:tc>
          <w:tcPr>
            <w:tcW w:w="3379" w:type="pct"/>
            <w:vMerge w:val="continue"/>
            <w:vAlign w:val="center"/>
          </w:tcPr>
          <w:p>
            <w:pPr>
              <w:pStyle w:val="118"/>
              <w:rPr>
                <w:color w:val="000000" w:themeColor="text1"/>
                <w:highlight w:val="none"/>
                <w14:textFill>
                  <w14:solidFill>
                    <w14:schemeClr w14:val="tx1"/>
                  </w14:solidFill>
                </w14:textFill>
              </w:rPr>
            </w:pPr>
          </w:p>
        </w:tc>
      </w:tr>
    </w:tbl>
    <w:p>
      <w:pPr>
        <w:tabs>
          <w:tab w:val="left" w:pos="0"/>
        </w:tabs>
        <w:spacing w:before="120"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（3）噪声</w:t>
      </w:r>
    </w:p>
    <w:bookmarkEnd w:id="76"/>
    <w:p>
      <w:pPr>
        <w:ind w:firstLine="480"/>
        <w:rPr>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项目施工期噪声执行《建筑施工场界环境噪声排放标准》（GB12523-2011），</w:t>
      </w:r>
      <w:r>
        <w:rPr>
          <w:color w:val="000000" w:themeColor="text1"/>
          <w:szCs w:val="24"/>
          <w:highlight w:val="none"/>
          <w14:textFill>
            <w14:solidFill>
              <w14:schemeClr w14:val="tx1"/>
            </w14:solidFill>
          </w14:textFill>
        </w:rPr>
        <w:t>试采期</w:t>
      </w:r>
      <w:r>
        <w:rPr>
          <w:bCs/>
          <w:snapToGrid w:val="0"/>
          <w:color w:val="000000" w:themeColor="text1"/>
          <w:szCs w:val="24"/>
          <w:highlight w:val="none"/>
          <w14:textFill>
            <w14:solidFill>
              <w14:schemeClr w14:val="tx1"/>
            </w14:solidFill>
          </w14:textFill>
        </w:rPr>
        <w:t>执</w:t>
      </w:r>
      <w:r>
        <w:rPr>
          <w:color w:val="000000" w:themeColor="text1"/>
          <w:szCs w:val="24"/>
          <w:highlight w:val="none"/>
          <w14:textFill>
            <w14:solidFill>
              <w14:schemeClr w14:val="tx1"/>
            </w14:solidFill>
          </w14:textFill>
        </w:rPr>
        <w:t>行《工业企业厂界环境噪声排放标准》（GB12348-2008</w:t>
      </w:r>
      <w:r>
        <w:rPr>
          <w:bCs/>
          <w:snapToGrid w:val="0"/>
          <w:color w:val="000000" w:themeColor="text1"/>
          <w:szCs w:val="24"/>
          <w:highlight w:val="none"/>
          <w14:textFill>
            <w14:solidFill>
              <w14:schemeClr w14:val="tx1"/>
            </w14:solidFill>
          </w14:textFill>
        </w:rPr>
        <w:t>）2类功能区标准，见</w:t>
      </w:r>
      <w:r>
        <w:rPr>
          <w:color w:val="000000" w:themeColor="text1"/>
          <w:szCs w:val="24"/>
          <w:highlight w:val="none"/>
          <w14:textFill>
            <w14:solidFill>
              <w14:schemeClr w14:val="tx1"/>
            </w14:solidFill>
          </w14:textFill>
        </w:rPr>
        <w:fldChar w:fldCharType="begin"/>
      </w:r>
      <w:r>
        <w:rPr>
          <w:color w:val="000000" w:themeColor="text1"/>
          <w:szCs w:val="24"/>
          <w:highlight w:val="none"/>
          <w14:textFill>
            <w14:solidFill>
              <w14:schemeClr w14:val="tx1"/>
            </w14:solidFill>
          </w14:textFill>
        </w:rPr>
        <w:instrText xml:space="preserve"> REF _Ref143335153 \h  \* MERGEFORMAT </w:instrText>
      </w:r>
      <w:r>
        <w:rPr>
          <w:color w:val="000000" w:themeColor="text1"/>
          <w:szCs w:val="24"/>
          <w:highlight w:val="none"/>
          <w14:textFill>
            <w14:solidFill>
              <w14:schemeClr w14:val="tx1"/>
            </w14:solidFill>
          </w14:textFill>
        </w:rPr>
        <w:fldChar w:fldCharType="separate"/>
      </w:r>
      <w:r>
        <w:rPr>
          <w:rFonts w:hint="eastAsia"/>
          <w:color w:val="000000" w:themeColor="text1"/>
          <w:szCs w:val="24"/>
          <w:highlight w:val="none"/>
          <w14:textFill>
            <w14:solidFill>
              <w14:schemeClr w14:val="tx1"/>
            </w14:solidFill>
          </w14:textFill>
        </w:rPr>
        <w:t>表</w:t>
      </w:r>
      <w:r>
        <w:rPr>
          <w:color w:val="000000" w:themeColor="text1"/>
          <w:szCs w:val="24"/>
          <w:highlight w:val="none"/>
          <w14:textFill>
            <w14:solidFill>
              <w14:schemeClr w14:val="tx1"/>
            </w14:solidFill>
          </w14:textFill>
        </w:rPr>
        <w:t>2.5</w:t>
      </w:r>
      <w:r>
        <w:rPr>
          <w:color w:val="000000" w:themeColor="text1"/>
          <w:szCs w:val="24"/>
          <w:highlight w:val="none"/>
          <w14:textFill>
            <w14:solidFill>
              <w14:schemeClr w14:val="tx1"/>
            </w14:solidFill>
          </w14:textFill>
        </w:rPr>
        <w:noBreakHyphen/>
      </w:r>
      <w:r>
        <w:rPr>
          <w:color w:val="000000" w:themeColor="text1"/>
          <w:szCs w:val="24"/>
          <w:highlight w:val="none"/>
          <w14:textFill>
            <w14:solidFill>
              <w14:schemeClr w14:val="tx1"/>
            </w14:solidFill>
          </w14:textFill>
        </w:rPr>
        <w:t>10</w:t>
      </w:r>
      <w:r>
        <w:rPr>
          <w:color w:val="000000" w:themeColor="text1"/>
          <w:szCs w:val="24"/>
          <w:highlight w:val="none"/>
          <w14:textFill>
            <w14:solidFill>
              <w14:schemeClr w14:val="tx1"/>
            </w14:solidFill>
          </w14:textFill>
        </w:rPr>
        <w:fldChar w:fldCharType="end"/>
      </w:r>
      <w:r>
        <w:rPr>
          <w:color w:val="000000" w:themeColor="text1"/>
          <w:szCs w:val="24"/>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bookmarkStart w:id="78" w:name="_Ref143335153"/>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10</w:t>
      </w:r>
      <w:r>
        <w:rPr>
          <w:color w:val="000000" w:themeColor="text1"/>
          <w:highlight w:val="none"/>
          <w14:textFill>
            <w14:solidFill>
              <w14:schemeClr w14:val="tx1"/>
            </w14:solidFill>
          </w14:textFill>
        </w:rPr>
        <w:fldChar w:fldCharType="end"/>
      </w:r>
      <w:bookmarkEnd w:id="78"/>
      <w:r>
        <w:rPr>
          <w:rFonts w:hint="eastAsia"/>
          <w:color w:val="000000" w:themeColor="text1"/>
          <w:highlight w:val="none"/>
          <w14:textFill>
            <w14:solidFill>
              <w14:schemeClr w14:val="tx1"/>
            </w14:solidFill>
          </w14:textFill>
        </w:rPr>
        <w:t>噪声污染物排放标准</w:t>
      </w:r>
      <w:r>
        <w:rPr>
          <w:color w:val="000000" w:themeColor="text1"/>
          <w:highlight w:val="none"/>
          <w14:textFill>
            <w14:solidFill>
              <w14:schemeClr w14:val="tx1"/>
            </w14:solidFill>
          </w14:textFill>
        </w:rPr>
        <w:t>单位：dB（A）</w:t>
      </w:r>
    </w:p>
    <w:tbl>
      <w:tblPr>
        <w:tblStyle w:val="41"/>
        <w:tblW w:w="8222"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232"/>
        <w:gridCol w:w="3686"/>
        <w:gridCol w:w="992"/>
        <w:gridCol w:w="1134"/>
        <w:gridCol w:w="117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232"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时段</w:t>
            </w:r>
          </w:p>
        </w:tc>
        <w:tc>
          <w:tcPr>
            <w:tcW w:w="3686"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标准名称及级（类）别</w:t>
            </w:r>
          </w:p>
        </w:tc>
        <w:tc>
          <w:tcPr>
            <w:tcW w:w="3304" w:type="dxa"/>
            <w:gridSpan w:val="3"/>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标准值（单位：dB（A））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232"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w:t>
            </w:r>
          </w:p>
        </w:tc>
        <w:tc>
          <w:tcPr>
            <w:tcW w:w="3686"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《建筑施工场界环境噪声排放标准》（GB12523-2011）</w:t>
            </w:r>
          </w:p>
        </w:tc>
        <w:tc>
          <w:tcPr>
            <w:tcW w:w="992"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场界</w:t>
            </w:r>
          </w:p>
        </w:tc>
        <w:tc>
          <w:tcPr>
            <w:tcW w:w="1134"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昼间</w:t>
            </w:r>
          </w:p>
        </w:tc>
        <w:tc>
          <w:tcPr>
            <w:tcW w:w="117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232" w:type="dxa"/>
            <w:vMerge w:val="continue"/>
            <w:tcBorders>
              <w:bottom w:val="single" w:color="auto" w:sz="6" w:space="0"/>
            </w:tcBorders>
            <w:vAlign w:val="center"/>
          </w:tcPr>
          <w:p>
            <w:pPr>
              <w:pStyle w:val="118"/>
              <w:rPr>
                <w:color w:val="000000" w:themeColor="text1"/>
                <w:highlight w:val="none"/>
                <w14:textFill>
                  <w14:solidFill>
                    <w14:schemeClr w14:val="tx1"/>
                  </w14:solidFill>
                </w14:textFill>
              </w:rPr>
            </w:pPr>
          </w:p>
        </w:tc>
        <w:tc>
          <w:tcPr>
            <w:tcW w:w="3686" w:type="dxa"/>
            <w:vMerge w:val="continue"/>
            <w:tcBorders>
              <w:bottom w:val="single" w:color="auto" w:sz="6" w:space="0"/>
            </w:tcBorders>
            <w:vAlign w:val="center"/>
          </w:tcPr>
          <w:p>
            <w:pPr>
              <w:pStyle w:val="118"/>
              <w:rPr>
                <w:color w:val="000000" w:themeColor="text1"/>
                <w:highlight w:val="none"/>
                <w14:textFill>
                  <w14:solidFill>
                    <w14:schemeClr w14:val="tx1"/>
                  </w14:solidFill>
                </w14:textFill>
              </w:rPr>
            </w:pPr>
          </w:p>
        </w:tc>
        <w:tc>
          <w:tcPr>
            <w:tcW w:w="992" w:type="dxa"/>
            <w:vMerge w:val="continue"/>
            <w:tcBorders>
              <w:bottom w:val="single" w:color="auto" w:sz="6" w:space="0"/>
            </w:tcBorders>
            <w:vAlign w:val="center"/>
          </w:tcPr>
          <w:p>
            <w:pPr>
              <w:pStyle w:val="118"/>
              <w:rPr>
                <w:color w:val="000000" w:themeColor="text1"/>
                <w:highlight w:val="none"/>
                <w14:textFill>
                  <w14:solidFill>
                    <w14:schemeClr w14:val="tx1"/>
                  </w14:solidFill>
                </w14:textFill>
              </w:rPr>
            </w:pPr>
          </w:p>
        </w:tc>
        <w:tc>
          <w:tcPr>
            <w:tcW w:w="1134"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夜间</w:t>
            </w:r>
          </w:p>
        </w:tc>
        <w:tc>
          <w:tcPr>
            <w:tcW w:w="117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232" w:type="dxa"/>
            <w:vMerge w:val="restart"/>
            <w:tcBorders>
              <w:bottom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试采期</w:t>
            </w:r>
          </w:p>
        </w:tc>
        <w:tc>
          <w:tcPr>
            <w:tcW w:w="3686" w:type="dxa"/>
            <w:vMerge w:val="restart"/>
            <w:tcBorders>
              <w:bottom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《工业企业厂界环境噪声排放标准》（GB12348-2008</w:t>
            </w:r>
            <w:r>
              <w:rPr>
                <w:bCs/>
                <w:color w:val="000000" w:themeColor="text1"/>
                <w:highlight w:val="none"/>
                <w14:textFill>
                  <w14:solidFill>
                    <w14:schemeClr w14:val="tx1"/>
                  </w14:solidFill>
                </w14:textFill>
              </w:rPr>
              <w:t>）2类标准</w:t>
            </w:r>
          </w:p>
        </w:tc>
        <w:tc>
          <w:tcPr>
            <w:tcW w:w="992" w:type="dxa"/>
            <w:vMerge w:val="restart"/>
            <w:tcBorders>
              <w:bottom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场界</w:t>
            </w:r>
          </w:p>
        </w:tc>
        <w:tc>
          <w:tcPr>
            <w:tcW w:w="1134"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昼间</w:t>
            </w:r>
          </w:p>
        </w:tc>
        <w:tc>
          <w:tcPr>
            <w:tcW w:w="117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232" w:type="dxa"/>
            <w:vMerge w:val="continue"/>
            <w:tcBorders>
              <w:bottom w:val="single" w:color="auto" w:sz="4" w:space="0"/>
            </w:tcBorders>
            <w:vAlign w:val="center"/>
          </w:tcPr>
          <w:p>
            <w:pPr>
              <w:pStyle w:val="118"/>
              <w:rPr>
                <w:color w:val="000000" w:themeColor="text1"/>
                <w:highlight w:val="none"/>
                <w14:textFill>
                  <w14:solidFill>
                    <w14:schemeClr w14:val="tx1"/>
                  </w14:solidFill>
                </w14:textFill>
              </w:rPr>
            </w:pPr>
          </w:p>
        </w:tc>
        <w:tc>
          <w:tcPr>
            <w:tcW w:w="3686" w:type="dxa"/>
            <w:vMerge w:val="continue"/>
            <w:tcBorders>
              <w:bottom w:val="single" w:color="auto" w:sz="4" w:space="0"/>
            </w:tcBorders>
            <w:vAlign w:val="center"/>
          </w:tcPr>
          <w:p>
            <w:pPr>
              <w:pStyle w:val="118"/>
              <w:rPr>
                <w:color w:val="000000" w:themeColor="text1"/>
                <w:highlight w:val="none"/>
                <w14:textFill>
                  <w14:solidFill>
                    <w14:schemeClr w14:val="tx1"/>
                  </w14:solidFill>
                </w14:textFill>
              </w:rPr>
            </w:pPr>
          </w:p>
        </w:tc>
        <w:tc>
          <w:tcPr>
            <w:tcW w:w="992" w:type="dxa"/>
            <w:vMerge w:val="continue"/>
            <w:tcBorders>
              <w:bottom w:val="single" w:color="auto" w:sz="4" w:space="0"/>
            </w:tcBorders>
            <w:vAlign w:val="center"/>
          </w:tcPr>
          <w:p>
            <w:pPr>
              <w:pStyle w:val="118"/>
              <w:rPr>
                <w:color w:val="000000" w:themeColor="text1"/>
                <w:highlight w:val="none"/>
                <w14:textFill>
                  <w14:solidFill>
                    <w14:schemeClr w14:val="tx1"/>
                  </w14:solidFill>
                </w14:textFill>
              </w:rPr>
            </w:pPr>
          </w:p>
        </w:tc>
        <w:tc>
          <w:tcPr>
            <w:tcW w:w="1134"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夜间</w:t>
            </w:r>
          </w:p>
        </w:tc>
        <w:tc>
          <w:tcPr>
            <w:tcW w:w="117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50</w:t>
            </w:r>
          </w:p>
        </w:tc>
      </w:tr>
    </w:tbl>
    <w:p>
      <w:pPr>
        <w:tabs>
          <w:tab w:val="left" w:pos="0"/>
        </w:tabs>
        <w:spacing w:before="120"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（4）固废</w:t>
      </w:r>
    </w:p>
    <w:bookmarkEnd w:id="77"/>
    <w:p>
      <w:pPr>
        <w:tabs>
          <w:tab w:val="left" w:pos="0"/>
        </w:tabs>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本项目产生的一般固体废物暂存按《一般工业固体废物贮存和填埋污染控制标准》（GB18599-2020）进行控制</w:t>
      </w:r>
      <w:r>
        <w:rPr>
          <w:rFonts w:cs="Times New Roman"/>
          <w:bCs/>
          <w:color w:val="000000" w:themeColor="text1"/>
          <w:szCs w:val="24"/>
          <w:highlight w:val="none"/>
          <w14:textFill>
            <w14:solidFill>
              <w14:schemeClr w14:val="tx1"/>
            </w14:solidFill>
          </w14:textFill>
        </w:rPr>
        <w:t>；危险废物执行《危险废物贮存污染控制标准》（GB18597-2023）和《危险废物环境管理指南陆上石油天然气开采》。</w:t>
      </w:r>
    </w:p>
    <w:p>
      <w:pPr>
        <w:pStyle w:val="4"/>
        <w:spacing w:before="120"/>
        <w:rPr>
          <w:color w:val="000000" w:themeColor="text1"/>
          <w:highlight w:val="none"/>
          <w:lang w:eastAsia="zh-CN"/>
          <w14:textFill>
            <w14:solidFill>
              <w14:schemeClr w14:val="tx1"/>
            </w14:solidFill>
          </w14:textFill>
        </w:rPr>
      </w:pPr>
      <w:bookmarkStart w:id="79" w:name="_Toc6112"/>
      <w:r>
        <w:rPr>
          <w:color w:val="000000" w:themeColor="text1"/>
          <w:highlight w:val="none"/>
          <w:lang w:eastAsia="zh-CN"/>
          <w14:textFill>
            <w14:solidFill>
              <w14:schemeClr w14:val="tx1"/>
            </w14:solidFill>
          </w14:textFill>
        </w:rPr>
        <w:t>评价工作等级和评价范围</w:t>
      </w:r>
      <w:bookmarkEnd w:id="79"/>
    </w:p>
    <w:p>
      <w:pPr>
        <w:pStyle w:val="5"/>
        <w:spacing w:before="120"/>
        <w:ind w:firstLine="480"/>
        <w:rPr>
          <w:b/>
          <w:color w:val="000000" w:themeColor="text1"/>
          <w:highlight w:val="none"/>
          <w:lang w:eastAsia="zh-CN"/>
          <w14:textFill>
            <w14:solidFill>
              <w14:schemeClr w14:val="tx1"/>
            </w14:solidFill>
          </w14:textFill>
        </w:rPr>
      </w:pPr>
      <w:bookmarkStart w:id="80" w:name="_Toc120173070"/>
      <w:r>
        <w:rPr>
          <w:color w:val="000000" w:themeColor="text1"/>
          <w:highlight w:val="none"/>
          <w:lang w:eastAsia="zh-CN"/>
          <w14:textFill>
            <w14:solidFill>
              <w14:schemeClr w14:val="tx1"/>
            </w14:solidFill>
          </w14:textFill>
        </w:rPr>
        <w:t>地表水环境</w:t>
      </w:r>
      <w:bookmarkEnd w:id="80"/>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（1）评价工作等级</w:t>
      </w:r>
    </w:p>
    <w:p>
      <w:pPr>
        <w:ind w:firstLine="480"/>
        <w:rPr>
          <w:bCs/>
          <w:color w:val="000000" w:themeColor="text1"/>
          <w:szCs w:val="24"/>
          <w:highlight w:val="none"/>
          <w14:textFill>
            <w14:solidFill>
              <w14:schemeClr w14:val="tx1"/>
            </w14:solidFill>
          </w14:textFill>
        </w:rPr>
      </w:pPr>
      <w:r>
        <w:rPr>
          <w:color w:val="000000" w:themeColor="text1"/>
          <w:highlight w:val="none"/>
          <w14:textFill>
            <w14:solidFill>
              <w14:schemeClr w14:val="tx1"/>
            </w14:solidFill>
          </w14:textFill>
        </w:rPr>
        <w:t>根据《环境影响评价技术导则地表水环境》（HJ2.3-2018）中关于项目评价等级与评价范围的规定及工程分析</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本项目</w:t>
      </w:r>
      <w:r>
        <w:rPr>
          <w:rFonts w:hint="eastAsia"/>
          <w:color w:val="000000" w:themeColor="text1"/>
          <w:highlight w:val="none"/>
          <w14:textFill>
            <w14:solidFill>
              <w14:schemeClr w14:val="tx1"/>
            </w14:solidFill>
          </w14:textFill>
        </w:rPr>
        <w:t>施工期施工队伍就近租住居民房屋，现场不单独设置施工营地。施工人员生活污水依托当地现有的生活污水处理系统</w:t>
      </w:r>
      <w:r>
        <w:rPr>
          <w:bCs/>
          <w:color w:val="000000" w:themeColor="text1"/>
          <w:szCs w:val="24"/>
          <w:highlight w:val="none"/>
          <w14:textFill>
            <w14:solidFill>
              <w14:schemeClr w14:val="tx1"/>
            </w14:solidFill>
          </w14:textFill>
        </w:rPr>
        <w:t>。</w:t>
      </w:r>
      <w:r>
        <w:rPr>
          <w:rFonts w:hint="eastAsia"/>
          <w:color w:val="000000" w:themeColor="text1"/>
          <w:highlight w:val="none"/>
          <w14:textFill>
            <w14:solidFill>
              <w14:schemeClr w14:val="tx1"/>
            </w14:solidFill>
          </w14:textFill>
        </w:rPr>
        <w:t>试采站</w:t>
      </w:r>
      <w:r>
        <w:rPr>
          <w:color w:val="000000" w:themeColor="text1"/>
          <w:highlight w:val="none"/>
          <w14:textFill>
            <w14:solidFill>
              <w14:schemeClr w14:val="tx1"/>
            </w14:solidFill>
          </w14:textFill>
        </w:rPr>
        <w:t>试采期</w:t>
      </w:r>
      <w:r>
        <w:rPr>
          <w:rFonts w:hint="eastAsia"/>
          <w:color w:val="000000" w:themeColor="text1"/>
          <w:highlight w:val="none"/>
          <w14:textFill>
            <w14:solidFill>
              <w14:schemeClr w14:val="tx1"/>
            </w14:solidFill>
          </w14:textFill>
        </w:rPr>
        <w:t>间气田水进入污水罐，然后通过密闭罐车拉运至赵家坝污水处理站处理达到《气田水回注方法》（SY/T 6596-2016）中注入水基本要求后管输至普光3井回注站回注处理，不外排</w:t>
      </w:r>
      <w:r>
        <w:rPr>
          <w:bCs/>
          <w:color w:val="000000" w:themeColor="text1"/>
          <w:szCs w:val="24"/>
          <w:highlight w:val="none"/>
          <w14:textFill>
            <w14:solidFill>
              <w14:schemeClr w14:val="tx1"/>
            </w14:solidFill>
          </w14:textFill>
        </w:rPr>
        <w:t>；试采期工作人员生活污水经</w:t>
      </w:r>
      <w:r>
        <w:rPr>
          <w:rFonts w:hint="eastAsia"/>
          <w:bCs/>
          <w:color w:val="000000" w:themeColor="text1"/>
          <w:szCs w:val="24"/>
          <w:highlight w:val="none"/>
          <w14:textFill>
            <w14:solidFill>
              <w14:schemeClr w14:val="tx1"/>
            </w14:solidFill>
          </w14:textFill>
        </w:rPr>
        <w:t>生态厕所</w:t>
      </w:r>
      <w:r>
        <w:rPr>
          <w:bCs/>
          <w:color w:val="000000" w:themeColor="text1"/>
          <w:szCs w:val="24"/>
          <w:highlight w:val="none"/>
          <w14:textFill>
            <w14:solidFill>
              <w14:schemeClr w14:val="tx1"/>
            </w14:solidFill>
          </w14:textFill>
        </w:rPr>
        <w:t>处理后定期由密闭罐车拉运至周边生活污水处理厂处理</w:t>
      </w:r>
      <w:r>
        <w:rPr>
          <w:rFonts w:hint="eastAsia"/>
          <w:bCs/>
          <w:color w:val="000000" w:themeColor="text1"/>
          <w:szCs w:val="24"/>
          <w:highlight w:val="none"/>
          <w14:textFill>
            <w14:solidFill>
              <w14:schemeClr w14:val="tx1"/>
            </w14:solidFill>
          </w14:textFill>
        </w:rPr>
        <w:t>。</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因此，本项目废水均不直接外排，根据《环境影响评价技术导则地表水环境》（HJ2.3-2018）判定地表水评价等级为三级B。</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地表水水污染型建设项目评价工作等级分级</w:t>
      </w:r>
    </w:p>
    <w:tbl>
      <w:tblPr>
        <w:tblStyle w:val="41"/>
        <w:tblW w:w="822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742"/>
        <w:gridCol w:w="2356"/>
        <w:gridCol w:w="312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742" w:type="dxa"/>
            <w:vMerge w:val="restart"/>
            <w:tcBorders>
              <w:top w:val="single" w:color="auto" w:sz="4" w:space="0"/>
              <w:left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评价等级</w:t>
            </w:r>
          </w:p>
        </w:tc>
        <w:tc>
          <w:tcPr>
            <w:tcW w:w="5480" w:type="dxa"/>
            <w:gridSpan w:val="2"/>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判定依据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742" w:type="dxa"/>
            <w:vMerge w:val="continue"/>
            <w:tcBorders>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p>
        </w:tc>
        <w:tc>
          <w:tcPr>
            <w:tcW w:w="2356" w:type="dxa"/>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排放方式</w:t>
            </w:r>
          </w:p>
        </w:tc>
        <w:tc>
          <w:tcPr>
            <w:tcW w:w="3124" w:type="dxa"/>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shd w:val="pct10" w:color="auto" w:fill="FFFFFF"/>
                <w14:textFill>
                  <w14:solidFill>
                    <w14:schemeClr w14:val="tx1"/>
                  </w14:solidFill>
                </w14:textFill>
              </w:rPr>
            </w:pPr>
            <w:r>
              <w:rPr>
                <w:b/>
                <w:bCs/>
                <w:color w:val="000000" w:themeColor="text1"/>
                <w:highlight w:val="none"/>
                <w14:textFill>
                  <w14:solidFill>
                    <w14:schemeClr w14:val="tx1"/>
                  </w14:solidFill>
                </w14:textFill>
              </w:rPr>
              <w:t>废水排放量Q/（m</w:t>
            </w:r>
            <w:r>
              <w:rPr>
                <w:b/>
                <w:bCs/>
                <w:color w:val="000000" w:themeColor="text1"/>
                <w:highlight w:val="none"/>
                <w:vertAlign w:val="superscript"/>
                <w14:textFill>
                  <w14:solidFill>
                    <w14:schemeClr w14:val="tx1"/>
                  </w14:solidFill>
                </w14:textFill>
              </w:rPr>
              <w:t>3</w:t>
            </w:r>
            <w:r>
              <w:rPr>
                <w:b/>
                <w:bCs/>
                <w:color w:val="000000" w:themeColor="text1"/>
                <w:highlight w:val="none"/>
                <w14:textFill>
                  <w14:solidFill>
                    <w14:schemeClr w14:val="tx1"/>
                  </w14:solidFill>
                </w14:textFill>
              </w:rPr>
              <w:t>/d）；水污染物当量W/（无量纲）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742"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一级</w:t>
            </w:r>
          </w:p>
        </w:tc>
        <w:tc>
          <w:tcPr>
            <w:tcW w:w="2356"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直接排放</w:t>
            </w:r>
          </w:p>
        </w:tc>
        <w:tc>
          <w:tcPr>
            <w:tcW w:w="3124"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Q≥20000或W≥600000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742"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c>
          <w:tcPr>
            <w:tcW w:w="2356"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直接排放</w:t>
            </w:r>
          </w:p>
        </w:tc>
        <w:tc>
          <w:tcPr>
            <w:tcW w:w="3124"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其他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742"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三级A</w:t>
            </w:r>
          </w:p>
        </w:tc>
        <w:tc>
          <w:tcPr>
            <w:tcW w:w="2356"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直接排放</w:t>
            </w:r>
          </w:p>
        </w:tc>
        <w:tc>
          <w:tcPr>
            <w:tcW w:w="3124"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Q＜200或W＜6000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742"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三级B</w:t>
            </w:r>
          </w:p>
        </w:tc>
        <w:tc>
          <w:tcPr>
            <w:tcW w:w="2356"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间接排放</w:t>
            </w:r>
          </w:p>
        </w:tc>
        <w:tc>
          <w:tcPr>
            <w:tcW w:w="3124"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bl>
    <w:p>
      <w:pPr>
        <w:tabs>
          <w:tab w:val="left" w:pos="0"/>
        </w:tabs>
        <w:ind w:firstLine="480"/>
        <w:rPr>
          <w:rFonts w:hint="default" w:eastAsia="宋体" w:cs="Times New Roman"/>
          <w:bCs/>
          <w:color w:val="000000" w:themeColor="text1"/>
          <w:szCs w:val="24"/>
          <w:highlight w:val="none"/>
          <w:lang w:val="en-US" w:eastAsia="zh-CN"/>
          <w14:textFill>
            <w14:solidFill>
              <w14:schemeClr w14:val="tx1"/>
            </w14:solidFill>
          </w14:textFill>
        </w:rPr>
      </w:pPr>
      <w:r>
        <w:rPr>
          <w:rFonts w:hint="eastAsia" w:cs="Times New Roman"/>
          <w:bCs/>
          <w:color w:val="000000" w:themeColor="text1"/>
          <w:szCs w:val="24"/>
          <w:highlight w:val="none"/>
          <w:lang w:val="en-US" w:eastAsia="zh-CN"/>
          <w14:textFill>
            <w14:solidFill>
              <w14:schemeClr w14:val="tx1"/>
            </w14:solidFill>
          </w14:textFill>
        </w:rPr>
        <w:t>此外，本项目输气管道施工期穿越</w:t>
      </w:r>
      <w:r>
        <w:rPr>
          <w:rFonts w:hint="eastAsia"/>
          <w:color w:val="000000" w:themeColor="text1"/>
          <w:highlight w:val="none"/>
          <w14:textFill>
            <w14:solidFill>
              <w14:schemeClr w14:val="tx1"/>
            </w14:solidFill>
          </w14:textFill>
        </w:rPr>
        <w:t>三溪河</w:t>
      </w:r>
      <w:r>
        <w:rPr>
          <w:rFonts w:hint="eastAsia"/>
          <w:color w:val="000000" w:themeColor="text1"/>
          <w:highlight w:val="none"/>
          <w:lang w:val="en-US" w:eastAsia="zh-CN"/>
          <w14:textFill>
            <w14:solidFill>
              <w14:schemeClr w14:val="tx1"/>
            </w14:solidFill>
          </w14:textFill>
        </w:rPr>
        <w:t>时采用定向钻穿越，不涉及地表水体水文情势改变；其他小型沟渠（主要为农村小沟渠）穿越在穿越施工时虽开挖埋管施工会对沟渠造成一定扰动，但施工量小，短期即可恢复，因此不会改变其水文情势。运营期管道正常输气均在河流、沟渠河床下，不会对水体水文情势造成影响。综上所述，本项目不属于水文要素影响型项目。</w:t>
      </w:r>
    </w:p>
    <w:p>
      <w:pPr>
        <w:tabs>
          <w:tab w:val="left" w:pos="0"/>
        </w:tabs>
        <w:spacing w:before="120"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（2）评价范围</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根据《环境影响评价技术导则地表水环境》（HJ2.3-2018）中第5.3.2.2条规定，并结合项目实际情况，本次环评地表水环境影响评价不作预测评价，仅对</w:t>
      </w:r>
      <w:r>
        <w:rPr>
          <w:rFonts w:hint="eastAsia" w:cs="Times New Roman"/>
          <w:bCs/>
          <w:color w:val="000000" w:themeColor="text1"/>
          <w:szCs w:val="24"/>
          <w:highlight w:val="none"/>
          <w14:textFill>
            <w14:solidFill>
              <w14:schemeClr w14:val="tx1"/>
            </w14:solidFill>
          </w14:textFill>
        </w:rPr>
        <w:t>污水</w:t>
      </w:r>
      <w:r>
        <w:rPr>
          <w:rFonts w:cs="Times New Roman"/>
          <w:bCs/>
          <w:color w:val="000000" w:themeColor="text1"/>
          <w:szCs w:val="24"/>
          <w:highlight w:val="none"/>
          <w14:textFill>
            <w14:solidFill>
              <w14:schemeClr w14:val="tx1"/>
            </w14:solidFill>
          </w14:textFill>
        </w:rPr>
        <w:t>、废水的产生情况和气田水依托可行性等进行说明，并进行简单的环境影响分析。</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因此，本项目不设地表水评价范围。</w:t>
      </w:r>
    </w:p>
    <w:p>
      <w:pPr>
        <w:pStyle w:val="5"/>
        <w:spacing w:before="120"/>
        <w:ind w:firstLine="480"/>
        <w:rPr>
          <w:b/>
          <w:color w:val="000000" w:themeColor="text1"/>
          <w:highlight w:val="none"/>
          <w:lang w:eastAsia="zh-CN"/>
          <w14:textFill>
            <w14:solidFill>
              <w14:schemeClr w14:val="tx1"/>
            </w14:solidFill>
          </w14:textFill>
        </w:rPr>
      </w:pPr>
      <w:bookmarkStart w:id="81" w:name="_Toc120173071"/>
      <w:r>
        <w:rPr>
          <w:color w:val="000000" w:themeColor="text1"/>
          <w:highlight w:val="none"/>
          <w:lang w:eastAsia="zh-CN"/>
          <w14:textFill>
            <w14:solidFill>
              <w14:schemeClr w14:val="tx1"/>
            </w14:solidFill>
          </w14:textFill>
        </w:rPr>
        <w:t>地下水环境</w:t>
      </w:r>
      <w:bookmarkEnd w:id="81"/>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（1）评价工作等级</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根据《环境影响评价导则-地下水环境》（HJ610-2016），评价工作等级的划分应依据建设项目行业分类和地下水环境敏感程度分级进行判定，具体如下：</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1）建设项目行业分类</w:t>
      </w:r>
    </w:p>
    <w:p>
      <w:pPr>
        <w:ind w:firstLine="480"/>
        <w:textAlignment w:val="baseline"/>
        <w:rPr>
          <w:rFonts w:cs="Times New Roman"/>
          <w:color w:val="000000" w:themeColor="text1"/>
          <w:kern w:val="0"/>
          <w:szCs w:val="20"/>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根据《环境影响评价技术导则地下水环境》（HJ610-2016）中附录A“地下水环境影响评价行业分类表”，</w:t>
      </w:r>
      <w:r>
        <w:rPr>
          <w:rFonts w:hint="eastAsia" w:cs="Times New Roman"/>
          <w:color w:val="000000" w:themeColor="text1"/>
          <w:kern w:val="0"/>
          <w:szCs w:val="20"/>
          <w:highlight w:val="none"/>
          <w14:textFill>
            <w14:solidFill>
              <w14:schemeClr w14:val="tx1"/>
            </w14:solidFill>
          </w14:textFill>
        </w:rPr>
        <w:t>本项目雷页1井试采地面工程属于“</w:t>
      </w:r>
      <w:r>
        <w:rPr>
          <w:rFonts w:cs="Times New Roman"/>
          <w:color w:val="000000" w:themeColor="text1"/>
          <w:kern w:val="0"/>
          <w:szCs w:val="20"/>
          <w:highlight w:val="none"/>
          <w14:textFill>
            <w14:solidFill>
              <w14:schemeClr w14:val="tx1"/>
            </w14:solidFill>
          </w14:textFill>
        </w:rPr>
        <w:t>天然气、页岩气开采（含净化）</w:t>
      </w:r>
      <w:r>
        <w:rPr>
          <w:rFonts w:hint="eastAsia" w:cs="Times New Roman"/>
          <w:color w:val="000000" w:themeColor="text1"/>
          <w:kern w:val="0"/>
          <w:szCs w:val="20"/>
          <w:highlight w:val="none"/>
          <w14:textFill>
            <w14:solidFill>
              <w14:schemeClr w14:val="tx1"/>
            </w14:solidFill>
          </w14:textFill>
        </w:rPr>
        <w:t>”</w:t>
      </w:r>
      <w:r>
        <w:rPr>
          <w:rFonts w:cs="Times New Roman"/>
          <w:color w:val="000000" w:themeColor="text1"/>
          <w:kern w:val="0"/>
          <w:szCs w:val="20"/>
          <w:highlight w:val="none"/>
          <w14:textFill>
            <w14:solidFill>
              <w14:schemeClr w14:val="tx1"/>
            </w14:solidFill>
          </w14:textFill>
        </w:rPr>
        <w:t>编制报告书的项目。</w:t>
      </w:r>
    </w:p>
    <w:p>
      <w:pPr>
        <w:tabs>
          <w:tab w:val="left" w:pos="0"/>
        </w:tabs>
        <w:ind w:firstLine="480"/>
        <w:rPr>
          <w:rFonts w:cs="Times New Roman"/>
          <w:color w:val="000000" w:themeColor="text1"/>
          <w:kern w:val="0"/>
          <w:szCs w:val="20"/>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根据《环境影响评价技术导则陆地石油天然气开发建设项目》（HJ349-2023），常规天然气和页岩气、致密气等非常规天然气开采井场、站场（含净化厂）等工程，油类和废水等输送管道，按照</w:t>
      </w:r>
      <w:r>
        <w:rPr>
          <w:rFonts w:cs="Times New Roman"/>
          <w:bCs/>
          <w:color w:val="000000" w:themeColor="text1"/>
          <w:szCs w:val="24"/>
          <w:highlight w:val="none"/>
          <w14:textFill>
            <w14:solidFill>
              <w14:schemeClr w14:val="tx1"/>
            </w14:solidFill>
          </w14:textFill>
        </w:rPr>
        <w:t>Ⅱ</w:t>
      </w:r>
      <w:r>
        <w:rPr>
          <w:rFonts w:hint="eastAsia" w:cs="Times New Roman"/>
          <w:bCs/>
          <w:color w:val="000000" w:themeColor="text1"/>
          <w:szCs w:val="24"/>
          <w:highlight w:val="none"/>
          <w14:textFill>
            <w14:solidFill>
              <w14:schemeClr w14:val="tx1"/>
            </w14:solidFill>
          </w14:textFill>
        </w:rPr>
        <w:t>类建设项目开展地下水环境影响评价。本项目为常规天然气试采工程，</w:t>
      </w:r>
      <w:r>
        <w:rPr>
          <w:rFonts w:hint="eastAsia" w:cs="Times New Roman"/>
          <w:color w:val="000000" w:themeColor="text1"/>
          <w:kern w:val="0"/>
          <w:szCs w:val="20"/>
          <w:highlight w:val="none"/>
          <w14:textFill>
            <w14:solidFill>
              <w14:schemeClr w14:val="tx1"/>
            </w14:solidFill>
          </w14:textFill>
        </w:rPr>
        <w:t>试采站场</w:t>
      </w:r>
      <w:r>
        <w:rPr>
          <w:rFonts w:cs="Times New Roman"/>
          <w:color w:val="000000" w:themeColor="text1"/>
          <w:kern w:val="0"/>
          <w:szCs w:val="20"/>
          <w:highlight w:val="none"/>
          <w14:textFill>
            <w14:solidFill>
              <w14:schemeClr w14:val="tx1"/>
            </w14:solidFill>
          </w14:textFill>
        </w:rPr>
        <w:t>地下水环境影响评价项目类别为II类</w:t>
      </w:r>
      <w:r>
        <w:rPr>
          <w:rFonts w:hint="eastAsia" w:cs="Times New Roman"/>
          <w:color w:val="000000" w:themeColor="text1"/>
          <w:kern w:val="0"/>
          <w:szCs w:val="20"/>
          <w:highlight w:val="none"/>
          <w14:textFill>
            <w14:solidFill>
              <w14:schemeClr w14:val="tx1"/>
            </w14:solidFill>
          </w14:textFill>
        </w:rPr>
        <w:t>。</w:t>
      </w:r>
    </w:p>
    <w:p>
      <w:pPr>
        <w:tabs>
          <w:tab w:val="left" w:pos="0"/>
        </w:tabs>
        <w:ind w:firstLine="480"/>
        <w:rPr>
          <w:rFonts w:cs="Times New Roman"/>
          <w:bCs/>
          <w:color w:val="000000" w:themeColor="text1"/>
          <w:szCs w:val="24"/>
          <w:highlight w:val="none"/>
          <w14:textFill>
            <w14:solidFill>
              <w14:schemeClr w14:val="tx1"/>
            </w14:solidFill>
          </w14:textFill>
        </w:rPr>
      </w:pPr>
      <w:r>
        <w:rPr>
          <w:rFonts w:hint="eastAsia" w:cs="Times New Roman"/>
          <w:color w:val="000000" w:themeColor="text1"/>
          <w:kern w:val="0"/>
          <w:szCs w:val="20"/>
          <w:highlight w:val="none"/>
          <w14:textFill>
            <w14:solidFill>
              <w14:schemeClr w14:val="tx1"/>
            </w14:solidFill>
          </w14:textFill>
        </w:rPr>
        <w:t>本项目管线属于天然气集输管线，天然气管道按照</w:t>
      </w:r>
      <w:r>
        <w:rPr>
          <w:rFonts w:cs="Times New Roman"/>
          <w:color w:val="000000" w:themeColor="text1"/>
          <w:kern w:val="0"/>
          <w:szCs w:val="20"/>
          <w:highlight w:val="none"/>
          <w14:textFill>
            <w14:solidFill>
              <w14:schemeClr w14:val="tx1"/>
            </w14:solidFill>
          </w14:textFill>
        </w:rPr>
        <w:t>Ⅲ</w:t>
      </w:r>
      <w:r>
        <w:rPr>
          <w:rFonts w:hint="eastAsia" w:cs="Times New Roman"/>
          <w:color w:val="000000" w:themeColor="text1"/>
          <w:kern w:val="0"/>
          <w:szCs w:val="20"/>
          <w:highlight w:val="none"/>
          <w14:textFill>
            <w14:solidFill>
              <w14:schemeClr w14:val="tx1"/>
            </w14:solidFill>
          </w14:textFill>
        </w:rPr>
        <w:t>类建设项目开展地下水环境影响评价，项目管线地下水环境影响评价项目类别为“</w:t>
      </w:r>
      <w:r>
        <w:rPr>
          <w:rFonts w:cs="Times New Roman"/>
          <w:color w:val="000000" w:themeColor="text1"/>
          <w:kern w:val="0"/>
          <w:szCs w:val="20"/>
          <w:highlight w:val="none"/>
          <w14:textFill>
            <w14:solidFill>
              <w14:schemeClr w14:val="tx1"/>
            </w14:solidFill>
          </w14:textFill>
        </w:rPr>
        <w:t>Ⅲ</w:t>
      </w:r>
      <w:r>
        <w:rPr>
          <w:rFonts w:hint="eastAsia" w:cs="Times New Roman"/>
          <w:color w:val="000000" w:themeColor="text1"/>
          <w:kern w:val="0"/>
          <w:szCs w:val="20"/>
          <w:highlight w:val="none"/>
          <w14:textFill>
            <w14:solidFill>
              <w14:schemeClr w14:val="tx1"/>
            </w14:solidFill>
          </w14:textFill>
        </w:rPr>
        <w:t>类”</w:t>
      </w:r>
      <w:r>
        <w:rPr>
          <w:rFonts w:cs="Times New Roman"/>
          <w:bCs/>
          <w:color w:val="000000" w:themeColor="text1"/>
          <w:szCs w:val="24"/>
          <w:highlight w:val="none"/>
          <w14:textFill>
            <w14:solidFill>
              <w14:schemeClr w14:val="tx1"/>
            </w14:solidFill>
          </w14:textFill>
        </w:rPr>
        <w:t>。</w:t>
      </w:r>
    </w:p>
    <w:p>
      <w:pPr>
        <w:pStyle w:val="14"/>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地下水环境影响评价行业分类表</w:t>
      </w:r>
    </w:p>
    <w:tbl>
      <w:tblPr>
        <w:tblStyle w:val="4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54"/>
        <w:gridCol w:w="1033"/>
        <w:gridCol w:w="961"/>
        <w:gridCol w:w="1977"/>
        <w:gridCol w:w="10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254" w:type="dxa"/>
            <w:vMerge w:val="restart"/>
            <w:vAlign w:val="center"/>
          </w:tcPr>
          <w:p>
            <w:pPr>
              <w:autoSpaceDE w:val="0"/>
              <w:autoSpaceDN w:val="0"/>
              <w:spacing w:line="240" w:lineRule="auto"/>
              <w:ind w:firstLine="0" w:firstLineChars="0"/>
              <w:jc w:val="center"/>
              <w:textAlignment w:val="baseline"/>
              <w:rPr>
                <w:rFonts w:cs="Times New Roman"/>
                <w:b/>
                <w:bCs/>
                <w:color w:val="000000" w:themeColor="text1"/>
                <w:kern w:val="0"/>
                <w:sz w:val="21"/>
                <w:szCs w:val="21"/>
                <w:highlight w:val="none"/>
                <w:lang w:eastAsia="en-US"/>
                <w14:textFill>
                  <w14:solidFill>
                    <w14:schemeClr w14:val="tx1"/>
                  </w14:solidFill>
                </w14:textFill>
              </w:rPr>
            </w:pPr>
            <w:r>
              <w:rPr>
                <w:rFonts w:cs="Times New Roman"/>
                <w:b/>
                <w:bCs/>
                <w:color w:val="000000" w:themeColor="text1"/>
                <w:kern w:val="0"/>
                <w:sz w:val="21"/>
                <w:szCs w:val="21"/>
                <w:highlight w:val="none"/>
                <w:lang w:eastAsia="en-US"/>
                <w14:textFill>
                  <w14:solidFill>
                    <w14:schemeClr w14:val="tx1"/>
                  </w14:solidFill>
                </w14:textFill>
              </w:rPr>
              <w:t>行业类别</w:t>
            </w:r>
          </w:p>
          <w:p>
            <w:pPr>
              <w:autoSpaceDE w:val="0"/>
              <w:autoSpaceDN w:val="0"/>
              <w:spacing w:line="240" w:lineRule="auto"/>
              <w:ind w:firstLine="0" w:firstLineChars="0"/>
              <w:jc w:val="center"/>
              <w:textAlignment w:val="baseline"/>
              <w:rPr>
                <w:rFonts w:cs="Times New Roman"/>
                <w:b/>
                <w:bCs/>
                <w:color w:val="000000" w:themeColor="text1"/>
                <w:kern w:val="0"/>
                <w:sz w:val="21"/>
                <w:szCs w:val="21"/>
                <w:highlight w:val="none"/>
                <w14:textFill>
                  <w14:solidFill>
                    <w14:schemeClr w14:val="tx1"/>
                  </w14:solidFill>
                </w14:textFill>
              </w:rPr>
            </w:pPr>
            <w:r>
              <w:rPr>
                <w:rFonts w:hint="eastAsia" w:cs="Times New Roman"/>
                <w:b/>
                <w:bCs/>
                <w:color w:val="000000" w:themeColor="text1"/>
                <w:kern w:val="0"/>
                <w:sz w:val="21"/>
                <w:szCs w:val="21"/>
                <w:highlight w:val="none"/>
                <w14:textFill>
                  <w14:solidFill>
                    <w14:schemeClr w14:val="tx1"/>
                  </w14:solidFill>
                </w14:textFill>
              </w:rPr>
              <w:t>环评类别</w:t>
            </w:r>
          </w:p>
        </w:tc>
        <w:tc>
          <w:tcPr>
            <w:tcW w:w="1033" w:type="dxa"/>
            <w:vMerge w:val="restart"/>
            <w:vAlign w:val="center"/>
          </w:tcPr>
          <w:p>
            <w:pPr>
              <w:autoSpaceDE w:val="0"/>
              <w:autoSpaceDN w:val="0"/>
              <w:snapToGrid/>
              <w:spacing w:line="315" w:lineRule="atLeast"/>
              <w:ind w:firstLine="0" w:firstLineChars="0"/>
              <w:jc w:val="center"/>
              <w:textAlignment w:val="baseline"/>
              <w:rPr>
                <w:rFonts w:cs="Times New Roman"/>
                <w:b/>
                <w:bCs/>
                <w:color w:val="000000" w:themeColor="text1"/>
                <w:kern w:val="0"/>
                <w:sz w:val="21"/>
                <w:szCs w:val="21"/>
                <w:highlight w:val="none"/>
                <w:lang w:eastAsia="en-US"/>
                <w14:textFill>
                  <w14:solidFill>
                    <w14:schemeClr w14:val="tx1"/>
                  </w14:solidFill>
                </w14:textFill>
              </w:rPr>
            </w:pPr>
            <w:r>
              <w:rPr>
                <w:rFonts w:cs="Times New Roman"/>
                <w:b/>
                <w:bCs/>
                <w:color w:val="000000" w:themeColor="text1"/>
                <w:kern w:val="0"/>
                <w:sz w:val="21"/>
                <w:szCs w:val="21"/>
                <w:highlight w:val="none"/>
                <w:lang w:eastAsia="en-US"/>
                <w14:textFill>
                  <w14:solidFill>
                    <w14:schemeClr w14:val="tx1"/>
                  </w14:solidFill>
                </w14:textFill>
              </w:rPr>
              <w:t>报告书</w:t>
            </w:r>
          </w:p>
        </w:tc>
        <w:tc>
          <w:tcPr>
            <w:tcW w:w="961" w:type="dxa"/>
            <w:vMerge w:val="restart"/>
            <w:vAlign w:val="center"/>
          </w:tcPr>
          <w:p>
            <w:pPr>
              <w:autoSpaceDE w:val="0"/>
              <w:autoSpaceDN w:val="0"/>
              <w:snapToGrid/>
              <w:spacing w:line="315" w:lineRule="atLeast"/>
              <w:ind w:firstLine="0" w:firstLineChars="0"/>
              <w:jc w:val="center"/>
              <w:textAlignment w:val="baseline"/>
              <w:rPr>
                <w:rFonts w:cs="Times New Roman"/>
                <w:b/>
                <w:bCs/>
                <w:color w:val="000000" w:themeColor="text1"/>
                <w:kern w:val="0"/>
                <w:sz w:val="21"/>
                <w:szCs w:val="21"/>
                <w:highlight w:val="none"/>
                <w:lang w:eastAsia="en-US"/>
                <w14:textFill>
                  <w14:solidFill>
                    <w14:schemeClr w14:val="tx1"/>
                  </w14:solidFill>
                </w14:textFill>
              </w:rPr>
            </w:pPr>
            <w:r>
              <w:rPr>
                <w:rFonts w:cs="Times New Roman"/>
                <w:b/>
                <w:bCs/>
                <w:color w:val="000000" w:themeColor="text1"/>
                <w:kern w:val="0"/>
                <w:sz w:val="21"/>
                <w:szCs w:val="21"/>
                <w:highlight w:val="none"/>
                <w:lang w:eastAsia="en-US"/>
                <w14:textFill>
                  <w14:solidFill>
                    <w14:schemeClr w14:val="tx1"/>
                  </w14:solidFill>
                </w14:textFill>
              </w:rPr>
              <w:t>报告表</w:t>
            </w:r>
          </w:p>
        </w:tc>
        <w:tc>
          <w:tcPr>
            <w:tcW w:w="3048" w:type="dxa"/>
            <w:gridSpan w:val="2"/>
            <w:vAlign w:val="center"/>
          </w:tcPr>
          <w:p>
            <w:pPr>
              <w:autoSpaceDE w:val="0"/>
              <w:autoSpaceDN w:val="0"/>
              <w:snapToGrid/>
              <w:spacing w:line="315" w:lineRule="atLeast"/>
              <w:ind w:firstLine="0" w:firstLineChars="0"/>
              <w:jc w:val="center"/>
              <w:textAlignment w:val="baseline"/>
              <w:rPr>
                <w:rFonts w:cs="Times New Roman"/>
                <w:b/>
                <w:bCs/>
                <w:color w:val="000000" w:themeColor="text1"/>
                <w:kern w:val="0"/>
                <w:sz w:val="21"/>
                <w:szCs w:val="21"/>
                <w:highlight w:val="none"/>
                <w14:textFill>
                  <w14:solidFill>
                    <w14:schemeClr w14:val="tx1"/>
                  </w14:solidFill>
                </w14:textFill>
              </w:rPr>
            </w:pPr>
            <w:r>
              <w:rPr>
                <w:rFonts w:cs="Times New Roman"/>
                <w:b/>
                <w:bCs/>
                <w:color w:val="000000" w:themeColor="text1"/>
                <w:kern w:val="0"/>
                <w:sz w:val="21"/>
                <w:szCs w:val="21"/>
                <w:highlight w:val="none"/>
                <w14:textFill>
                  <w14:solidFill>
                    <w14:schemeClr w14:val="tx1"/>
                  </w14:solidFill>
                </w14:textFill>
              </w:rPr>
              <w:t>地下水环境影响评价项目类别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254" w:type="dxa"/>
            <w:vMerge w:val="continue"/>
            <w:vAlign w:val="center"/>
          </w:tcPr>
          <w:p>
            <w:pPr>
              <w:autoSpaceDE w:val="0"/>
              <w:autoSpaceDN w:val="0"/>
              <w:snapToGrid/>
              <w:spacing w:line="315" w:lineRule="atLeast"/>
              <w:ind w:firstLine="0" w:firstLineChars="0"/>
              <w:jc w:val="center"/>
              <w:textAlignment w:val="baseline"/>
              <w:rPr>
                <w:rFonts w:cs="Times New Roman"/>
                <w:b/>
                <w:bCs/>
                <w:color w:val="000000" w:themeColor="text1"/>
                <w:kern w:val="0"/>
                <w:sz w:val="21"/>
                <w:szCs w:val="21"/>
                <w:highlight w:val="none"/>
                <w14:textFill>
                  <w14:solidFill>
                    <w14:schemeClr w14:val="tx1"/>
                  </w14:solidFill>
                </w14:textFill>
              </w:rPr>
            </w:pPr>
          </w:p>
        </w:tc>
        <w:tc>
          <w:tcPr>
            <w:tcW w:w="1033" w:type="dxa"/>
            <w:vMerge w:val="continue"/>
            <w:vAlign w:val="center"/>
          </w:tcPr>
          <w:p>
            <w:pPr>
              <w:autoSpaceDE w:val="0"/>
              <w:autoSpaceDN w:val="0"/>
              <w:snapToGrid/>
              <w:spacing w:line="315" w:lineRule="atLeast"/>
              <w:ind w:firstLine="0" w:firstLineChars="0"/>
              <w:jc w:val="center"/>
              <w:textAlignment w:val="baseline"/>
              <w:rPr>
                <w:rFonts w:cs="Times New Roman"/>
                <w:b/>
                <w:bCs/>
                <w:color w:val="000000" w:themeColor="text1"/>
                <w:kern w:val="0"/>
                <w:sz w:val="21"/>
                <w:szCs w:val="21"/>
                <w:highlight w:val="none"/>
                <w14:textFill>
                  <w14:solidFill>
                    <w14:schemeClr w14:val="tx1"/>
                  </w14:solidFill>
                </w14:textFill>
              </w:rPr>
            </w:pPr>
          </w:p>
        </w:tc>
        <w:tc>
          <w:tcPr>
            <w:tcW w:w="961" w:type="dxa"/>
            <w:vMerge w:val="continue"/>
            <w:vAlign w:val="center"/>
          </w:tcPr>
          <w:p>
            <w:pPr>
              <w:autoSpaceDE w:val="0"/>
              <w:autoSpaceDN w:val="0"/>
              <w:snapToGrid/>
              <w:spacing w:line="315" w:lineRule="atLeast"/>
              <w:ind w:firstLine="0" w:firstLineChars="0"/>
              <w:jc w:val="center"/>
              <w:textAlignment w:val="baseline"/>
              <w:rPr>
                <w:rFonts w:cs="Times New Roman"/>
                <w:b/>
                <w:bCs/>
                <w:color w:val="000000" w:themeColor="text1"/>
                <w:kern w:val="0"/>
                <w:sz w:val="21"/>
                <w:szCs w:val="21"/>
                <w:highlight w:val="none"/>
                <w14:textFill>
                  <w14:solidFill>
                    <w14:schemeClr w14:val="tx1"/>
                  </w14:solidFill>
                </w14:textFill>
              </w:rPr>
            </w:pPr>
          </w:p>
        </w:tc>
        <w:tc>
          <w:tcPr>
            <w:tcW w:w="1977" w:type="dxa"/>
            <w:vAlign w:val="center"/>
          </w:tcPr>
          <w:p>
            <w:pPr>
              <w:autoSpaceDE w:val="0"/>
              <w:autoSpaceDN w:val="0"/>
              <w:snapToGrid/>
              <w:spacing w:line="315" w:lineRule="atLeast"/>
              <w:ind w:firstLine="0" w:firstLineChars="0"/>
              <w:jc w:val="center"/>
              <w:textAlignment w:val="baseline"/>
              <w:rPr>
                <w:rFonts w:cs="Times New Roman"/>
                <w:b/>
                <w:bCs/>
                <w:color w:val="000000" w:themeColor="text1"/>
                <w:kern w:val="0"/>
                <w:sz w:val="21"/>
                <w:szCs w:val="21"/>
                <w:highlight w:val="none"/>
                <w:lang w:eastAsia="en-US"/>
                <w14:textFill>
                  <w14:solidFill>
                    <w14:schemeClr w14:val="tx1"/>
                  </w14:solidFill>
                </w14:textFill>
              </w:rPr>
            </w:pPr>
            <w:r>
              <w:rPr>
                <w:rFonts w:cs="Times New Roman"/>
                <w:b/>
                <w:bCs/>
                <w:color w:val="000000" w:themeColor="text1"/>
                <w:kern w:val="0"/>
                <w:sz w:val="21"/>
                <w:szCs w:val="21"/>
                <w:highlight w:val="none"/>
                <w:lang w:eastAsia="en-US"/>
                <w14:textFill>
                  <w14:solidFill>
                    <w14:schemeClr w14:val="tx1"/>
                  </w14:solidFill>
                </w14:textFill>
              </w:rPr>
              <w:t>报告书</w:t>
            </w:r>
          </w:p>
        </w:tc>
        <w:tc>
          <w:tcPr>
            <w:tcW w:w="1071" w:type="dxa"/>
            <w:vAlign w:val="center"/>
          </w:tcPr>
          <w:p>
            <w:pPr>
              <w:autoSpaceDE w:val="0"/>
              <w:autoSpaceDN w:val="0"/>
              <w:snapToGrid/>
              <w:spacing w:line="315" w:lineRule="atLeast"/>
              <w:ind w:firstLine="0" w:firstLineChars="0"/>
              <w:jc w:val="center"/>
              <w:textAlignment w:val="baseline"/>
              <w:rPr>
                <w:rFonts w:cs="Times New Roman"/>
                <w:b/>
                <w:bCs/>
                <w:color w:val="000000" w:themeColor="text1"/>
                <w:kern w:val="0"/>
                <w:sz w:val="21"/>
                <w:szCs w:val="21"/>
                <w:highlight w:val="none"/>
                <w:lang w:eastAsia="en-US"/>
                <w14:textFill>
                  <w14:solidFill>
                    <w14:schemeClr w14:val="tx1"/>
                  </w14:solidFill>
                </w14:textFill>
              </w:rPr>
            </w:pPr>
            <w:r>
              <w:rPr>
                <w:rFonts w:cs="Times New Roman"/>
                <w:b/>
                <w:bCs/>
                <w:color w:val="000000" w:themeColor="text1"/>
                <w:kern w:val="0"/>
                <w:sz w:val="21"/>
                <w:szCs w:val="21"/>
                <w:highlight w:val="none"/>
                <w:lang w:eastAsia="en-US"/>
                <w14:textFill>
                  <w14:solidFill>
                    <w14:schemeClr w14:val="tx1"/>
                  </w14:solidFill>
                </w14:textFill>
              </w:rPr>
              <w:t>报告表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54" w:type="dxa"/>
            <w:vAlign w:val="center"/>
          </w:tcPr>
          <w:p>
            <w:pPr>
              <w:autoSpaceDE w:val="0"/>
              <w:autoSpaceDN w:val="0"/>
              <w:snapToGrid/>
              <w:spacing w:line="315" w:lineRule="atLeast"/>
              <w:ind w:firstLine="0" w:firstLineChars="0"/>
              <w:jc w:val="center"/>
              <w:textAlignment w:val="baseline"/>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天然气、页岩气开采（含净化）</w:t>
            </w:r>
          </w:p>
        </w:tc>
        <w:tc>
          <w:tcPr>
            <w:tcW w:w="1033" w:type="dxa"/>
            <w:vAlign w:val="center"/>
          </w:tcPr>
          <w:p>
            <w:pPr>
              <w:autoSpaceDE w:val="0"/>
              <w:autoSpaceDN w:val="0"/>
              <w:snapToGrid/>
              <w:spacing w:line="315" w:lineRule="atLeast"/>
              <w:ind w:firstLine="0" w:firstLineChars="0"/>
              <w:jc w:val="center"/>
              <w:textAlignment w:val="baseline"/>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全部</w:t>
            </w:r>
          </w:p>
        </w:tc>
        <w:tc>
          <w:tcPr>
            <w:tcW w:w="961" w:type="dxa"/>
            <w:vAlign w:val="center"/>
          </w:tcPr>
          <w:p>
            <w:pPr>
              <w:autoSpaceDE w:val="0"/>
              <w:autoSpaceDN w:val="0"/>
              <w:snapToGrid/>
              <w:spacing w:line="315" w:lineRule="atLeast"/>
              <w:ind w:firstLine="0" w:firstLineChars="0"/>
              <w:jc w:val="center"/>
              <w:textAlignment w:val="baseline"/>
              <w:rPr>
                <w:rFonts w:cs="Times New Roman"/>
                <w:color w:val="000000" w:themeColor="text1"/>
                <w:kern w:val="0"/>
                <w:sz w:val="21"/>
                <w:szCs w:val="21"/>
                <w:highlight w:val="none"/>
                <w:lang w:eastAsia="en-US"/>
                <w14:textFill>
                  <w14:solidFill>
                    <w14:schemeClr w14:val="tx1"/>
                  </w14:solidFill>
                </w14:textFill>
              </w:rPr>
            </w:pPr>
            <w:r>
              <w:rPr>
                <w:rFonts w:hint="eastAsia" w:cs="Times New Roman"/>
                <w:color w:val="000000" w:themeColor="text1"/>
                <w:kern w:val="0"/>
                <w:sz w:val="21"/>
                <w:szCs w:val="21"/>
                <w:highlight w:val="none"/>
                <w:lang w:eastAsia="en-US"/>
                <w14:textFill>
                  <w14:solidFill>
                    <w14:schemeClr w14:val="tx1"/>
                  </w14:solidFill>
                </w14:textFill>
              </w:rPr>
              <w:t>—</w:t>
            </w:r>
          </w:p>
        </w:tc>
        <w:tc>
          <w:tcPr>
            <w:tcW w:w="1977" w:type="dxa"/>
            <w:vAlign w:val="center"/>
          </w:tcPr>
          <w:p>
            <w:pPr>
              <w:autoSpaceDE w:val="0"/>
              <w:autoSpaceDN w:val="0"/>
              <w:snapToGrid/>
              <w:spacing w:line="315" w:lineRule="atLeast"/>
              <w:ind w:firstLine="0" w:firstLineChars="0"/>
              <w:jc w:val="center"/>
              <w:textAlignment w:val="baseline"/>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II类</w:t>
            </w:r>
            <w:r>
              <w:rPr>
                <w:rFonts w:hint="eastAsia" w:cs="Times New Roman"/>
                <w:color w:val="000000" w:themeColor="text1"/>
                <w:kern w:val="0"/>
                <w:sz w:val="21"/>
                <w:szCs w:val="21"/>
                <w:highlight w:val="none"/>
                <w:lang w:eastAsia="en-US"/>
                <w14:textFill>
                  <w14:solidFill>
                    <w14:schemeClr w14:val="tx1"/>
                  </w14:solidFill>
                </w14:textFill>
              </w:rPr>
              <w:t>（</w:t>
            </w:r>
            <w:r>
              <w:rPr>
                <w:rFonts w:hint="eastAsia" w:cs="Times New Roman"/>
                <w:color w:val="000000" w:themeColor="text1"/>
                <w:kern w:val="0"/>
                <w:sz w:val="21"/>
                <w:szCs w:val="21"/>
                <w:highlight w:val="none"/>
                <w14:textFill>
                  <w14:solidFill>
                    <w14:schemeClr w14:val="tx1"/>
                  </w14:solidFill>
                </w14:textFill>
              </w:rPr>
              <w:t>试采</w:t>
            </w:r>
            <w:r>
              <w:rPr>
                <w:rFonts w:hint="eastAsia" w:cs="Times New Roman"/>
                <w:color w:val="000000" w:themeColor="text1"/>
                <w:kern w:val="0"/>
                <w:sz w:val="21"/>
                <w:szCs w:val="21"/>
                <w:highlight w:val="none"/>
                <w:lang w:eastAsia="en-US"/>
                <w14:textFill>
                  <w14:solidFill>
                    <w14:schemeClr w14:val="tx1"/>
                  </w14:solidFill>
                </w14:textFill>
              </w:rPr>
              <w:t>站√）</w:t>
            </w:r>
          </w:p>
        </w:tc>
        <w:tc>
          <w:tcPr>
            <w:tcW w:w="1071" w:type="dxa"/>
            <w:vAlign w:val="center"/>
          </w:tcPr>
          <w:p>
            <w:pPr>
              <w:autoSpaceDE w:val="0"/>
              <w:autoSpaceDN w:val="0"/>
              <w:snapToGrid/>
              <w:spacing w:line="315" w:lineRule="atLeast"/>
              <w:ind w:firstLine="0" w:firstLineChars="0"/>
              <w:jc w:val="center"/>
              <w:textAlignment w:val="baseline"/>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1"/>
                <w:szCs w:val="21"/>
                <w:highlight w:val="none"/>
                <w:lang w:eastAsia="en-US"/>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54" w:type="dxa"/>
            <w:vAlign w:val="center"/>
          </w:tcPr>
          <w:p>
            <w:pPr>
              <w:autoSpaceDE w:val="0"/>
              <w:autoSpaceDN w:val="0"/>
              <w:snapToGrid/>
              <w:spacing w:line="315" w:lineRule="atLeast"/>
              <w:ind w:firstLine="0" w:firstLineChars="0"/>
              <w:jc w:val="center"/>
              <w:textAlignment w:val="baseline"/>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石油、天然气、成品油管线（不含城市天然气管线）</w:t>
            </w:r>
          </w:p>
        </w:tc>
        <w:tc>
          <w:tcPr>
            <w:tcW w:w="1033" w:type="dxa"/>
            <w:vAlign w:val="center"/>
          </w:tcPr>
          <w:p>
            <w:pPr>
              <w:autoSpaceDE w:val="0"/>
              <w:autoSpaceDN w:val="0"/>
              <w:snapToGrid/>
              <w:spacing w:line="315" w:lineRule="atLeast"/>
              <w:ind w:firstLine="0" w:firstLineChars="0"/>
              <w:jc w:val="center"/>
              <w:textAlignment w:val="baseline"/>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1"/>
                <w:szCs w:val="21"/>
                <w:highlight w:val="none"/>
                <w14:textFill>
                  <w14:solidFill>
                    <w14:schemeClr w14:val="tx1"/>
                  </w14:solidFill>
                </w14:textFill>
              </w:rPr>
              <w:t>油II类，气III类</w:t>
            </w:r>
          </w:p>
        </w:tc>
        <w:tc>
          <w:tcPr>
            <w:tcW w:w="961" w:type="dxa"/>
            <w:vAlign w:val="center"/>
          </w:tcPr>
          <w:p>
            <w:pPr>
              <w:autoSpaceDE w:val="0"/>
              <w:autoSpaceDN w:val="0"/>
              <w:snapToGrid/>
              <w:spacing w:line="315" w:lineRule="atLeast"/>
              <w:ind w:firstLine="0" w:firstLineChars="0"/>
              <w:jc w:val="center"/>
              <w:textAlignment w:val="baseline"/>
              <w:rPr>
                <w:rFonts w:cs="Times New Roman"/>
                <w:color w:val="000000" w:themeColor="text1"/>
                <w:kern w:val="0"/>
                <w:sz w:val="21"/>
                <w:szCs w:val="21"/>
                <w:highlight w:val="none"/>
                <w:lang w:eastAsia="en-US"/>
                <w14:textFill>
                  <w14:solidFill>
                    <w14:schemeClr w14:val="tx1"/>
                  </w14:solidFill>
                </w14:textFill>
              </w:rPr>
            </w:pPr>
            <w:r>
              <w:rPr>
                <w:rFonts w:hint="eastAsia" w:cs="Times New Roman"/>
                <w:color w:val="000000" w:themeColor="text1"/>
                <w:kern w:val="0"/>
                <w:sz w:val="21"/>
                <w:szCs w:val="21"/>
                <w:highlight w:val="none"/>
                <w:lang w:eastAsia="en-US"/>
                <w14:textFill>
                  <w14:solidFill>
                    <w14:schemeClr w14:val="tx1"/>
                  </w14:solidFill>
                </w14:textFill>
              </w:rPr>
              <w:t>油II类，气</w:t>
            </w:r>
            <w:r>
              <w:rPr>
                <w:rFonts w:hint="eastAsia" w:cs="Times New Roman"/>
                <w:color w:val="000000" w:themeColor="text1"/>
                <w:kern w:val="0"/>
                <w:sz w:val="21"/>
                <w:szCs w:val="21"/>
                <w:highlight w:val="none"/>
                <w14:textFill>
                  <w14:solidFill>
                    <w14:schemeClr w14:val="tx1"/>
                  </w14:solidFill>
                </w14:textFill>
              </w:rPr>
              <w:t>Ⅳ类</w:t>
            </w:r>
          </w:p>
        </w:tc>
        <w:tc>
          <w:tcPr>
            <w:tcW w:w="1977" w:type="dxa"/>
            <w:vAlign w:val="center"/>
          </w:tcPr>
          <w:p>
            <w:pPr>
              <w:autoSpaceDE w:val="0"/>
              <w:autoSpaceDN w:val="0"/>
              <w:snapToGrid/>
              <w:spacing w:line="315" w:lineRule="atLeast"/>
              <w:ind w:firstLine="0" w:firstLineChars="0"/>
              <w:jc w:val="center"/>
              <w:textAlignment w:val="baseline"/>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II</w:t>
            </w:r>
            <w:r>
              <w:rPr>
                <w:rFonts w:hint="eastAsia" w:cs="Times New Roman"/>
                <w:color w:val="000000" w:themeColor="text1"/>
                <w:kern w:val="0"/>
                <w:sz w:val="21"/>
                <w:szCs w:val="21"/>
                <w:highlight w:val="none"/>
                <w:lang w:eastAsia="en-US"/>
                <w14:textFill>
                  <w14:solidFill>
                    <w14:schemeClr w14:val="tx1"/>
                  </w14:solidFill>
                </w14:textFill>
              </w:rPr>
              <w:t>I</w:t>
            </w:r>
            <w:r>
              <w:rPr>
                <w:rFonts w:cs="Times New Roman"/>
                <w:color w:val="000000" w:themeColor="text1"/>
                <w:kern w:val="0"/>
                <w:sz w:val="21"/>
                <w:szCs w:val="21"/>
                <w:highlight w:val="none"/>
                <w:lang w:eastAsia="en-US"/>
                <w14:textFill>
                  <w14:solidFill>
                    <w14:schemeClr w14:val="tx1"/>
                  </w14:solidFill>
                </w14:textFill>
              </w:rPr>
              <w:t>类</w:t>
            </w:r>
            <w:r>
              <w:rPr>
                <w:rFonts w:hint="eastAsia" w:cs="Times New Roman"/>
                <w:color w:val="000000" w:themeColor="text1"/>
                <w:kern w:val="0"/>
                <w:sz w:val="21"/>
                <w:szCs w:val="21"/>
                <w:highlight w:val="none"/>
                <w:lang w:eastAsia="en-US"/>
                <w14:textFill>
                  <w14:solidFill>
                    <w14:schemeClr w14:val="tx1"/>
                  </w14:solidFill>
                </w14:textFill>
              </w:rPr>
              <w:t>（管线√）</w:t>
            </w:r>
          </w:p>
        </w:tc>
        <w:tc>
          <w:tcPr>
            <w:tcW w:w="1071" w:type="dxa"/>
            <w:vAlign w:val="center"/>
          </w:tcPr>
          <w:p>
            <w:pPr>
              <w:autoSpaceDE w:val="0"/>
              <w:autoSpaceDN w:val="0"/>
              <w:snapToGrid/>
              <w:spacing w:line="315" w:lineRule="atLeast"/>
              <w:ind w:firstLine="0" w:firstLineChars="0"/>
              <w:jc w:val="center"/>
              <w:textAlignment w:val="baseline"/>
              <w:rPr>
                <w:rFonts w:cs="Times New Roman"/>
                <w:color w:val="000000" w:themeColor="text1"/>
                <w:kern w:val="0"/>
                <w:sz w:val="21"/>
                <w:szCs w:val="21"/>
                <w:highlight w:val="none"/>
                <w:lang w:eastAsia="en-US"/>
                <w14:textFill>
                  <w14:solidFill>
                    <w14:schemeClr w14:val="tx1"/>
                  </w14:solidFill>
                </w14:textFill>
              </w:rPr>
            </w:pPr>
            <w:r>
              <w:rPr>
                <w:rFonts w:hint="eastAsia" w:cs="Times New Roman"/>
                <w:color w:val="000000" w:themeColor="text1"/>
                <w:kern w:val="0"/>
                <w:sz w:val="21"/>
                <w:szCs w:val="21"/>
                <w:highlight w:val="none"/>
                <w:lang w:eastAsia="en-US"/>
                <w14:textFill>
                  <w14:solidFill>
                    <w14:schemeClr w14:val="tx1"/>
                  </w14:solidFill>
                </w14:textFill>
              </w:rPr>
              <w:t>—</w:t>
            </w:r>
          </w:p>
        </w:tc>
      </w:tr>
    </w:tbl>
    <w:p>
      <w:pPr>
        <w:tabs>
          <w:tab w:val="left" w:pos="0"/>
        </w:tabs>
        <w:spacing w:before="120"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2）建设项目地下水环境敏感程度</w:t>
      </w:r>
    </w:p>
    <w:p>
      <w:pPr>
        <w:tabs>
          <w:tab w:val="left" w:pos="0"/>
        </w:tabs>
        <w:ind w:firstLine="480"/>
        <w:rPr>
          <w:rFonts w:cs="Times New Roman"/>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建设项目地下水环境敏感程度可分为敏感、较敏感、不敏感三级，分级原则见表2.6-3。</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地下水环境敏感程度分级</w:t>
      </w:r>
    </w:p>
    <w:tbl>
      <w:tblPr>
        <w:tblStyle w:val="41"/>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1"/>
        <w:gridCol w:w="4231"/>
        <w:gridCol w:w="28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151"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分级</w:t>
            </w:r>
          </w:p>
        </w:tc>
        <w:tc>
          <w:tcPr>
            <w:tcW w:w="4231"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项目场地的地下水环境敏感特征</w:t>
            </w:r>
          </w:p>
        </w:tc>
        <w:tc>
          <w:tcPr>
            <w:tcW w:w="2840"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本工程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5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敏感</w:t>
            </w:r>
          </w:p>
        </w:tc>
        <w:tc>
          <w:tcPr>
            <w:tcW w:w="423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集中式饮用水源地（包括已建成的在用、备用、应急水源地，在建和规划的水源地）准保护区；除集中式饮用水源地以外的国家或地方政府设定的与地下水环境相关的其它保护区，如热水、矿泉水、温泉等特殊地下水资源保护区</w:t>
            </w:r>
          </w:p>
        </w:tc>
        <w:tc>
          <w:tcPr>
            <w:tcW w:w="2840"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根据调查，本项目未位于集中式饮用水源保护区和补给径流区内，也不涉及地下水环境相关的其它保护区和分布区；根据现场</w:t>
            </w:r>
            <w:r>
              <w:rPr>
                <w:rFonts w:hint="eastAsia"/>
                <w:color w:val="000000" w:themeColor="text1"/>
                <w:highlight w:val="none"/>
                <w14:textFill>
                  <w14:solidFill>
                    <w14:schemeClr w14:val="tx1"/>
                  </w14:solidFill>
                </w14:textFill>
              </w:rPr>
              <w:t>调查</w:t>
            </w:r>
            <w:r>
              <w:rPr>
                <w:color w:val="000000" w:themeColor="text1"/>
                <w:highlight w:val="none"/>
                <w14:textFill>
                  <w14:solidFill>
                    <w14:schemeClr w14:val="tx1"/>
                  </w14:solidFill>
                </w14:textFill>
              </w:rPr>
              <w:t>，评价范围内</w:t>
            </w:r>
            <w:r>
              <w:rPr>
                <w:rFonts w:hint="eastAsia"/>
                <w:color w:val="000000" w:themeColor="text1"/>
                <w:highlight w:val="none"/>
                <w14:textFill>
                  <w14:solidFill>
                    <w14:schemeClr w14:val="tx1"/>
                  </w14:solidFill>
                </w14:textFill>
              </w:rPr>
              <w:t>有分散式泉点和水井，作为周边农户的</w:t>
            </w:r>
            <w:r>
              <w:rPr>
                <w:color w:val="000000" w:themeColor="text1"/>
                <w:highlight w:val="none"/>
                <w14:textFill>
                  <w14:solidFill>
                    <w14:schemeClr w14:val="tx1"/>
                  </w14:solidFill>
                </w14:textFill>
              </w:rPr>
              <w:t>饮水</w:t>
            </w:r>
            <w:r>
              <w:rPr>
                <w:rFonts w:hint="eastAsia"/>
                <w:color w:val="000000" w:themeColor="text1"/>
                <w:highlight w:val="none"/>
                <w14:textFill>
                  <w14:solidFill>
                    <w14:schemeClr w14:val="tx1"/>
                  </w14:solidFill>
                </w14:textFill>
              </w:rPr>
              <w:t>源</w:t>
            </w:r>
            <w:r>
              <w:rPr>
                <w:color w:val="000000" w:themeColor="text1"/>
                <w:highlight w:val="none"/>
                <w14:textFill>
                  <w14:solidFill>
                    <w14:schemeClr w14:val="tx1"/>
                  </w14:solidFill>
                </w14:textFill>
              </w:rPr>
              <w:t>。因此，评价区地下水环境敏感程度可定为</w:t>
            </w:r>
            <w:r>
              <w:rPr>
                <w:rFonts w:hint="eastAsia"/>
                <w:b/>
                <w:bCs/>
                <w:color w:val="000000" w:themeColor="text1"/>
                <w:highlight w:val="none"/>
                <w14:textFill>
                  <w14:solidFill>
                    <w14:schemeClr w14:val="tx1"/>
                  </w14:solidFill>
                </w14:textFill>
              </w:rPr>
              <w:t>“</w:t>
            </w:r>
            <w:r>
              <w:rPr>
                <w:b/>
                <w:bCs/>
                <w:color w:val="000000" w:themeColor="text1"/>
                <w:highlight w:val="none"/>
                <w14:textFill>
                  <w14:solidFill>
                    <w14:schemeClr w14:val="tx1"/>
                  </w14:solidFill>
                </w14:textFill>
              </w:rPr>
              <w:t>较敏感</w:t>
            </w:r>
            <w:r>
              <w:rPr>
                <w:rFonts w:hint="eastAsia"/>
                <w:b/>
                <w:bCs/>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5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较敏感（√）</w:t>
            </w:r>
          </w:p>
        </w:tc>
        <w:tc>
          <w:tcPr>
            <w:tcW w:w="423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集中式饮用水源地（包括已建成的在用、备用、应急水源地，在建和规划的水源地）准保护区以外的补给径流区；</w:t>
            </w:r>
            <w:r>
              <w:rPr>
                <w:bCs/>
                <w:color w:val="000000" w:themeColor="text1"/>
                <w:highlight w:val="none"/>
                <w14:textFill>
                  <w14:solidFill>
                    <w14:schemeClr w14:val="tx1"/>
                  </w14:solidFill>
                </w14:textFill>
              </w:rPr>
              <w:t>未划定准保护区的集中式饮用水源地，</w:t>
            </w:r>
            <w:r>
              <w:rPr>
                <w:color w:val="000000" w:themeColor="text1"/>
                <w:highlight w:val="none"/>
                <w14:textFill>
                  <w14:solidFill>
                    <w14:schemeClr w14:val="tx1"/>
                  </w14:solidFill>
                </w14:textFill>
              </w:rPr>
              <w:t>其保护区以外的补给径流区；</w:t>
            </w:r>
            <w:r>
              <w:rPr>
                <w:b/>
                <w:bCs/>
                <w:color w:val="000000" w:themeColor="text1"/>
                <w:highlight w:val="none"/>
                <w14:textFill>
                  <w14:solidFill>
                    <w14:schemeClr w14:val="tx1"/>
                  </w14:solidFill>
                </w14:textFill>
              </w:rPr>
              <w:t>分散式饮用水源地</w:t>
            </w:r>
            <w:r>
              <w:rPr>
                <w:color w:val="000000" w:themeColor="text1"/>
                <w:highlight w:val="none"/>
                <w14:textFill>
                  <w14:solidFill>
                    <w14:schemeClr w14:val="tx1"/>
                  </w14:solidFill>
                </w14:textFill>
              </w:rPr>
              <w:t>；特殊地下水资源（如矿泉水、温泉等）保护区以外的分布区以及分散居民饮用水源等其它未列入上述敏感分级的环境敏感区</w:t>
            </w:r>
          </w:p>
        </w:tc>
        <w:tc>
          <w:tcPr>
            <w:tcW w:w="2840" w:type="dxa"/>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51" w:type="dxa"/>
            <w:vAlign w:val="center"/>
          </w:tcPr>
          <w:p>
            <w:pPr>
              <w:pStyle w:val="118"/>
              <w:rPr>
                <w:color w:val="000000" w:themeColor="text1"/>
                <w:highlight w:val="none"/>
                <w:u w:val="single"/>
                <w14:textFill>
                  <w14:solidFill>
                    <w14:schemeClr w14:val="tx1"/>
                  </w14:solidFill>
                </w14:textFill>
              </w:rPr>
            </w:pPr>
            <w:r>
              <w:rPr>
                <w:color w:val="000000" w:themeColor="text1"/>
                <w:highlight w:val="none"/>
                <w14:textFill>
                  <w14:solidFill>
                    <w14:schemeClr w14:val="tx1"/>
                  </w14:solidFill>
                </w14:textFill>
              </w:rPr>
              <w:t>不敏感</w:t>
            </w:r>
          </w:p>
        </w:tc>
        <w:tc>
          <w:tcPr>
            <w:tcW w:w="423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上述地区之外的其它地区</w:t>
            </w:r>
          </w:p>
        </w:tc>
        <w:tc>
          <w:tcPr>
            <w:tcW w:w="2840" w:type="dxa"/>
            <w:vMerge w:val="continue"/>
            <w:vAlign w:val="center"/>
          </w:tcPr>
          <w:p>
            <w:pPr>
              <w:pStyle w:val="118"/>
              <w:rPr>
                <w:color w:val="000000" w:themeColor="text1"/>
                <w:highlight w:val="none"/>
                <w14:textFill>
                  <w14:solidFill>
                    <w14:schemeClr w14:val="tx1"/>
                  </w14:solidFill>
                </w14:textFill>
              </w:rPr>
            </w:pPr>
          </w:p>
        </w:tc>
      </w:tr>
    </w:tbl>
    <w:p>
      <w:pPr>
        <w:tabs>
          <w:tab w:val="left" w:pos="0"/>
        </w:tabs>
        <w:spacing w:before="120" w:beforeLines="50"/>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3）地下水评价等级确定</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地下水评价工作等级分级</w:t>
      </w:r>
    </w:p>
    <w:tbl>
      <w:tblPr>
        <w:tblStyle w:val="41"/>
        <w:tblW w:w="822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405"/>
        <w:gridCol w:w="1939"/>
        <w:gridCol w:w="1939"/>
        <w:gridCol w:w="193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405" w:type="dxa"/>
            <w:tcBorders>
              <w:top w:val="single" w:color="auto" w:sz="4" w:space="0"/>
              <w:left w:val="single" w:color="auto" w:sz="4" w:space="0"/>
              <w:bottom w:val="single" w:color="auto" w:sz="4" w:space="0"/>
              <w:right w:val="single" w:color="auto" w:sz="4" w:space="0"/>
              <w:tl2br w:val="single" w:color="auto" w:sz="4" w:space="0"/>
            </w:tcBorders>
            <w:vAlign w:val="center"/>
          </w:tcPr>
          <w:p>
            <w:pPr>
              <w:pStyle w:val="118"/>
              <w:jc w:val="right"/>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项目类别</w:t>
            </w:r>
          </w:p>
          <w:p>
            <w:pPr>
              <w:pStyle w:val="118"/>
              <w:jc w:val="left"/>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环境敏感程度</w:t>
            </w:r>
          </w:p>
        </w:tc>
        <w:tc>
          <w:tcPr>
            <w:tcW w:w="1939" w:type="dxa"/>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fldChar w:fldCharType="begin"/>
            </w:r>
            <w:r>
              <w:rPr>
                <w:b/>
                <w:bCs/>
                <w:color w:val="000000" w:themeColor="text1"/>
                <w:highlight w:val="none"/>
                <w14:textFill>
                  <w14:solidFill>
                    <w14:schemeClr w14:val="tx1"/>
                  </w14:solidFill>
                </w14:textFill>
              </w:rPr>
              <w:instrText xml:space="preserve"> = 1 \* ROMAN </w:instrText>
            </w:r>
            <w:r>
              <w:rPr>
                <w:b/>
                <w:bCs/>
                <w:color w:val="000000" w:themeColor="text1"/>
                <w:highlight w:val="none"/>
                <w14:textFill>
                  <w14:solidFill>
                    <w14:schemeClr w14:val="tx1"/>
                  </w14:solidFill>
                </w14:textFill>
              </w:rPr>
              <w:fldChar w:fldCharType="separate"/>
            </w:r>
            <w:r>
              <w:rPr>
                <w:b/>
                <w:bCs/>
                <w:color w:val="000000" w:themeColor="text1"/>
                <w:highlight w:val="none"/>
                <w14:textFill>
                  <w14:solidFill>
                    <w14:schemeClr w14:val="tx1"/>
                  </w14:solidFill>
                </w14:textFill>
              </w:rPr>
              <w:t>I</w:t>
            </w:r>
            <w:r>
              <w:rPr>
                <w:b/>
                <w:bCs/>
                <w:color w:val="000000" w:themeColor="text1"/>
                <w:highlight w:val="none"/>
                <w14:textFill>
                  <w14:solidFill>
                    <w14:schemeClr w14:val="tx1"/>
                  </w14:solidFill>
                </w14:textFill>
              </w:rPr>
              <w:fldChar w:fldCharType="end"/>
            </w:r>
            <w:r>
              <w:rPr>
                <w:b/>
                <w:bCs/>
                <w:color w:val="000000" w:themeColor="text1"/>
                <w:highlight w:val="none"/>
                <w14:textFill>
                  <w14:solidFill>
                    <w14:schemeClr w14:val="tx1"/>
                  </w14:solidFill>
                </w14:textFill>
              </w:rPr>
              <w:t>类项目</w:t>
            </w:r>
          </w:p>
        </w:tc>
        <w:tc>
          <w:tcPr>
            <w:tcW w:w="1939" w:type="dxa"/>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fldChar w:fldCharType="begin"/>
            </w:r>
            <w:r>
              <w:rPr>
                <w:b/>
                <w:bCs/>
                <w:color w:val="000000" w:themeColor="text1"/>
                <w:highlight w:val="none"/>
                <w14:textFill>
                  <w14:solidFill>
                    <w14:schemeClr w14:val="tx1"/>
                  </w14:solidFill>
                </w14:textFill>
              </w:rPr>
              <w:instrText xml:space="preserve"> = 2 \* ROMAN </w:instrText>
            </w:r>
            <w:r>
              <w:rPr>
                <w:b/>
                <w:bCs/>
                <w:color w:val="000000" w:themeColor="text1"/>
                <w:highlight w:val="none"/>
                <w14:textFill>
                  <w14:solidFill>
                    <w14:schemeClr w14:val="tx1"/>
                  </w14:solidFill>
                </w14:textFill>
              </w:rPr>
              <w:fldChar w:fldCharType="separate"/>
            </w:r>
            <w:r>
              <w:rPr>
                <w:b/>
                <w:bCs/>
                <w:color w:val="000000" w:themeColor="text1"/>
                <w:highlight w:val="none"/>
                <w14:textFill>
                  <w14:solidFill>
                    <w14:schemeClr w14:val="tx1"/>
                  </w14:solidFill>
                </w14:textFill>
              </w:rPr>
              <w:t>II</w:t>
            </w:r>
            <w:r>
              <w:rPr>
                <w:b/>
                <w:bCs/>
                <w:color w:val="000000" w:themeColor="text1"/>
                <w:highlight w:val="none"/>
                <w14:textFill>
                  <w14:solidFill>
                    <w14:schemeClr w14:val="tx1"/>
                  </w14:solidFill>
                </w14:textFill>
              </w:rPr>
              <w:fldChar w:fldCharType="end"/>
            </w:r>
            <w:r>
              <w:rPr>
                <w:b/>
                <w:bCs/>
                <w:color w:val="000000" w:themeColor="text1"/>
                <w:highlight w:val="none"/>
                <w14:textFill>
                  <w14:solidFill>
                    <w14:schemeClr w14:val="tx1"/>
                  </w14:solidFill>
                </w14:textFill>
              </w:rPr>
              <w:t>类项目</w:t>
            </w:r>
          </w:p>
        </w:tc>
        <w:tc>
          <w:tcPr>
            <w:tcW w:w="1939" w:type="dxa"/>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fldChar w:fldCharType="begin"/>
            </w:r>
            <w:r>
              <w:rPr>
                <w:b/>
                <w:bCs/>
                <w:color w:val="000000" w:themeColor="text1"/>
                <w:highlight w:val="none"/>
                <w14:textFill>
                  <w14:solidFill>
                    <w14:schemeClr w14:val="tx1"/>
                  </w14:solidFill>
                </w14:textFill>
              </w:rPr>
              <w:instrText xml:space="preserve"> = 3 \* ROMAN </w:instrText>
            </w:r>
            <w:r>
              <w:rPr>
                <w:b/>
                <w:bCs/>
                <w:color w:val="000000" w:themeColor="text1"/>
                <w:highlight w:val="none"/>
                <w14:textFill>
                  <w14:solidFill>
                    <w14:schemeClr w14:val="tx1"/>
                  </w14:solidFill>
                </w14:textFill>
              </w:rPr>
              <w:fldChar w:fldCharType="separate"/>
            </w:r>
            <w:r>
              <w:rPr>
                <w:b/>
                <w:bCs/>
                <w:color w:val="000000" w:themeColor="text1"/>
                <w:highlight w:val="none"/>
                <w14:textFill>
                  <w14:solidFill>
                    <w14:schemeClr w14:val="tx1"/>
                  </w14:solidFill>
                </w14:textFill>
              </w:rPr>
              <w:t>III</w:t>
            </w:r>
            <w:r>
              <w:rPr>
                <w:b/>
                <w:bCs/>
                <w:color w:val="000000" w:themeColor="text1"/>
                <w:highlight w:val="none"/>
                <w14:textFill>
                  <w14:solidFill>
                    <w14:schemeClr w14:val="tx1"/>
                  </w14:solidFill>
                </w14:textFill>
              </w:rPr>
              <w:fldChar w:fldCharType="end"/>
            </w:r>
            <w:r>
              <w:rPr>
                <w:b/>
                <w:bCs/>
                <w:color w:val="000000" w:themeColor="text1"/>
                <w:highlight w:val="none"/>
                <w14:textFill>
                  <w14:solidFill>
                    <w14:schemeClr w14:val="tx1"/>
                  </w14:solidFill>
                </w14:textFill>
              </w:rPr>
              <w:t>类项目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405"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敏感</w:t>
            </w:r>
          </w:p>
        </w:tc>
        <w:tc>
          <w:tcPr>
            <w:tcW w:w="1939"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w:t>
            </w:r>
          </w:p>
        </w:tc>
        <w:tc>
          <w:tcPr>
            <w:tcW w:w="1939"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w:t>
            </w:r>
          </w:p>
        </w:tc>
        <w:tc>
          <w:tcPr>
            <w:tcW w:w="1939"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405"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较敏感</w:t>
            </w:r>
          </w:p>
        </w:tc>
        <w:tc>
          <w:tcPr>
            <w:tcW w:w="1939"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w:t>
            </w:r>
          </w:p>
        </w:tc>
        <w:tc>
          <w:tcPr>
            <w:tcW w:w="1939"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w:t>
            </w:r>
            <w:r>
              <w:rPr>
                <w:rFonts w:hint="eastAsia"/>
                <w:color w:val="000000" w:themeColor="text1"/>
                <w:highlight w:val="none"/>
                <w14:textFill>
                  <w14:solidFill>
                    <w14:schemeClr w14:val="tx1"/>
                  </w14:solidFill>
                </w14:textFill>
              </w:rPr>
              <w:t>（试采站）</w:t>
            </w:r>
          </w:p>
        </w:tc>
        <w:tc>
          <w:tcPr>
            <w:tcW w:w="1939"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w:t>
            </w:r>
            <w:r>
              <w:rPr>
                <w:rFonts w:hint="eastAsia"/>
                <w:color w:val="000000" w:themeColor="text1"/>
                <w:highlight w:val="none"/>
                <w14:textFill>
                  <w14:solidFill>
                    <w14:schemeClr w14:val="tx1"/>
                  </w14:solidFill>
                </w14:textFill>
              </w:rPr>
              <w:t>（外输管线）</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405"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不敏感</w:t>
            </w:r>
          </w:p>
        </w:tc>
        <w:tc>
          <w:tcPr>
            <w:tcW w:w="1939"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w:t>
            </w:r>
          </w:p>
        </w:tc>
        <w:tc>
          <w:tcPr>
            <w:tcW w:w="1939"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w:t>
            </w:r>
          </w:p>
        </w:tc>
        <w:tc>
          <w:tcPr>
            <w:tcW w:w="1939"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w:t>
            </w:r>
          </w:p>
        </w:tc>
      </w:tr>
    </w:tbl>
    <w:p>
      <w:pPr>
        <w:tabs>
          <w:tab w:val="left" w:pos="0"/>
        </w:tabs>
        <w:spacing w:before="120" w:beforeLines="50"/>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综上所述，根据《环境影响评价技术导则—地下水环境》（HJ610-2016）规定，</w:t>
      </w:r>
      <w:r>
        <w:rPr>
          <w:rFonts w:hint="eastAsia" w:cs="Times New Roman"/>
          <w:color w:val="000000" w:themeColor="text1"/>
          <w:szCs w:val="24"/>
          <w:highlight w:val="none"/>
          <w14:textFill>
            <w14:solidFill>
              <w14:schemeClr w14:val="tx1"/>
            </w14:solidFill>
          </w14:textFill>
        </w:rPr>
        <w:t>本项目试采站地下水环境影响评价等级为二级，外输管线地下水评价等级为三级</w:t>
      </w:r>
      <w:r>
        <w:rPr>
          <w:rFonts w:cs="Times New Roman"/>
          <w:color w:val="000000" w:themeColor="text1"/>
          <w:szCs w:val="24"/>
          <w:highlight w:val="none"/>
          <w14:textFill>
            <w14:solidFill>
              <w14:schemeClr w14:val="tx1"/>
            </w14:solidFill>
          </w14:textFill>
        </w:rPr>
        <w:t>。</w:t>
      </w:r>
    </w:p>
    <w:p>
      <w:pPr>
        <w:tabs>
          <w:tab w:val="left" w:pos="0"/>
        </w:tabs>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（2）评价范围</w:t>
      </w:r>
    </w:p>
    <w:p>
      <w:pPr>
        <w:tabs>
          <w:tab w:val="left" w:pos="0"/>
        </w:tabs>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根据《环境影响评价技术导则—地下水环境》（HJ610-2016）规定，地下水环境现状调查与评价的范围应包括相关的地下水环境保护目标，以能说明地下水环境的现状，反映调查评价区地下水基本流场特征，满足地下水环境影响预测和评价为基本原则。评价范围确定方法可采用公式法、查表法和自定义法确定，当计算或查表范围超出水文地质单元边界时，应以水文地质单元边界为宜。</w:t>
      </w:r>
    </w:p>
    <w:p>
      <w:pPr>
        <w:tabs>
          <w:tab w:val="left" w:pos="0"/>
        </w:tabs>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①试采站</w:t>
      </w:r>
    </w:p>
    <w:p>
      <w:pPr>
        <w:tabs>
          <w:tab w:val="left" w:pos="0"/>
        </w:tabs>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结合本项目周边的区域地质条件、地下水补给径流排泄条件、地形地貌特征、地下水开发利用情况和环境保护目标分布，本次评价采用自定义法。通过区域水文地质资料分析，结合项目所处地地形地貌、地层岩性、构造、地表水文及水文地质条件，本项目场井附近水文地质边界明显，故使用自定义法确定评价范围边界。项目区地下水从北西往南东流，最终汇入州河。项目北西侧、北侧、南侧均以山脊</w:t>
      </w:r>
      <w:r>
        <w:rPr>
          <w:rFonts w:hint="eastAsia" w:cs="Times New Roman"/>
          <w:color w:val="000000" w:themeColor="text1"/>
          <w:szCs w:val="24"/>
          <w:highlight w:val="none"/>
          <w:lang w:eastAsia="zh-CN"/>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为边界，东侧及南东侧以州河支流及州河为排泄边界，构成一个相对独立的水文地质单元。本项目地下水环境影响评价范围共计1.35km</w:t>
      </w:r>
      <w:r>
        <w:rPr>
          <w:rFonts w:hint="eastAsia" w:cs="Times New Roman"/>
          <w:color w:val="000000" w:themeColor="text1"/>
          <w:szCs w:val="24"/>
          <w:highlight w:val="none"/>
          <w:vertAlign w:val="superscript"/>
          <w14:textFill>
            <w14:solidFill>
              <w14:schemeClr w14:val="tx1"/>
            </w14:solidFill>
          </w14:textFill>
        </w:rPr>
        <w:t>2</w:t>
      </w:r>
      <w:r>
        <w:rPr>
          <w:rFonts w:cs="Times New Roman"/>
          <w:color w:val="000000" w:themeColor="text1"/>
          <w:szCs w:val="24"/>
          <w:highlight w:val="none"/>
          <w14:textFill>
            <w14:solidFill>
              <w14:schemeClr w14:val="tx1"/>
            </w14:solidFill>
          </w14:textFill>
        </w:rPr>
        <w:t>。</w:t>
      </w:r>
    </w:p>
    <w:p>
      <w:pPr>
        <w:pStyle w:val="6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667456" behindDoc="0" locked="0" layoutInCell="1" allowOverlap="1">
                <wp:simplePos x="0" y="0"/>
                <wp:positionH relativeFrom="column">
                  <wp:posOffset>3200400</wp:posOffset>
                </wp:positionH>
                <wp:positionV relativeFrom="paragraph">
                  <wp:posOffset>4037965</wp:posOffset>
                </wp:positionV>
                <wp:extent cx="808990" cy="352425"/>
                <wp:effectExtent l="0" t="0" r="0" b="0"/>
                <wp:wrapNone/>
                <wp:docPr id="513755235" name="文本框 2"/>
                <wp:cNvGraphicFramePr/>
                <a:graphic xmlns:a="http://schemas.openxmlformats.org/drawingml/2006/main">
                  <a:graphicData uri="http://schemas.microsoft.com/office/word/2010/wordprocessingShape">
                    <wps:wsp>
                      <wps:cNvSpPr txBox="1"/>
                      <wps:spPr bwMode="auto">
                        <a:xfrm>
                          <a:off x="0" y="0"/>
                          <a:ext cx="808990" cy="352425"/>
                        </a:xfrm>
                        <a:prstGeom prst="rect">
                          <a:avLst/>
                        </a:prstGeom>
                        <a:noFill/>
                        <a:ln w="9525">
                          <a:noFill/>
                          <a:miter lim="800000"/>
                        </a:ln>
                      </wps:spPr>
                      <wps:txbx>
                        <w:txbxContent>
                          <w:p>
                            <w:pPr>
                              <w:spacing w:line="240" w:lineRule="auto"/>
                              <w:ind w:firstLine="0" w:firstLineChars="0"/>
                              <w:rPr>
                                <w:b/>
                                <w:bCs/>
                                <w:color w:val="FF0000"/>
                                <w:sz w:val="21"/>
                                <w:szCs w:val="21"/>
                              </w:rPr>
                            </w:pPr>
                            <w:r>
                              <w:rPr>
                                <w:rFonts w:hint="eastAsia"/>
                                <w:b/>
                                <w:bCs/>
                                <w:color w:val="FF0000"/>
                                <w:sz w:val="21"/>
                                <w:szCs w:val="21"/>
                              </w:rPr>
                              <w:t>州河</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文本框 2" o:spid="_x0000_s1026" o:spt="202" type="#_x0000_t202" style="position:absolute;left:0pt;margin-left:252pt;margin-top:317.95pt;height:27.75pt;width:63.7pt;z-index:251667456;mso-width-relative:page;mso-height-relative:page;" filled="f" stroked="f" coordsize="21600,21600" o:gfxdata="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fjXi&#10;2dcAAAALAQAADwAAAAAAAAABACAAAAAiAAAAZHJzL2Rvd25yZXYueG1sUEsBAhQAFAAAAAgAh07i&#10;QEIL4RZcAgAAngQAAA4AAAAAAAAAAQAgAAAAJgEAAGRycy9lMm9Eb2MueG1sUEsFBgAAAAAGAAYA&#10;WQEAAPQFAAAAAA==&#10;">
                <v:fill on="f" focussize="0,0"/>
                <v:stroke on="f" miterlimit="8" joinstyle="miter"/>
                <v:imagedata o:title=""/>
                <o:lock v:ext="edit" aspectratio="f"/>
                <v:textbox>
                  <w:txbxContent>
                    <w:p>
                      <w:pPr>
                        <w:spacing w:line="240" w:lineRule="auto"/>
                        <w:ind w:firstLine="0" w:firstLineChars="0"/>
                        <w:rPr>
                          <w:b/>
                          <w:bCs/>
                          <w:color w:val="FF0000"/>
                          <w:sz w:val="21"/>
                          <w:szCs w:val="21"/>
                        </w:rPr>
                      </w:pPr>
                      <w:r>
                        <w:rPr>
                          <w:rFonts w:hint="eastAsia"/>
                          <w:b/>
                          <w:bCs/>
                          <w:color w:val="FF0000"/>
                          <w:sz w:val="21"/>
                          <w:szCs w:val="21"/>
                        </w:rPr>
                        <w:t>州河</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70528" behindDoc="0" locked="0" layoutInCell="1" allowOverlap="1">
                <wp:simplePos x="0" y="0"/>
                <wp:positionH relativeFrom="column">
                  <wp:posOffset>2720340</wp:posOffset>
                </wp:positionH>
                <wp:positionV relativeFrom="paragraph">
                  <wp:posOffset>2233930</wp:posOffset>
                </wp:positionV>
                <wp:extent cx="297180" cy="99060"/>
                <wp:effectExtent l="41910" t="15240" r="49530" b="11430"/>
                <wp:wrapNone/>
                <wp:docPr id="195996795" name="箭头: 右 195996795"/>
                <wp:cNvGraphicFramePr/>
                <a:graphic xmlns:a="http://schemas.openxmlformats.org/drawingml/2006/main">
                  <a:graphicData uri="http://schemas.microsoft.com/office/word/2010/wordprocessingShape">
                    <wps:wsp>
                      <wps:cNvSpPr/>
                      <wps:spPr>
                        <a:xfrm rot="4199335">
                          <a:off x="0" y="0"/>
                          <a:ext cx="297180" cy="99060"/>
                        </a:xfrm>
                        <a:prstGeom prst="rightArrow">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箭头: 右 195996795" o:spid="_x0000_s1026" o:spt="13" type="#_x0000_t13" style="position:absolute;left:0pt;margin-left:214.2pt;margin-top:175.9pt;height:7.8pt;width:23.4pt;rotation:4586794f;z-index:251670528;v-text-anchor:middle;mso-width-relative:page;mso-height-relative:page;" fillcolor="#00B0F0" filled="t" stroked="t" coordsize="21600,21600" o:gfxdata="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5Y5XWdgAAAALAQAADwAA&#10;AAAAAAABACAAAAAiAAAAZHJzL2Rvd25yZXYueG1sUEsBAhQAFAAAAAgAh07iQIdUPGOIAgAAGwUA&#10;AA4AAAAAAAAAAQAgAAAAJwEAAGRycy9lMm9Eb2MueG1sUEsFBgAAAAAGAAYAWQEAACEGAAAAAA==&#10;" adj="18000,5400">
                <v:fill on="t" focussize="0,0"/>
                <v:stroke weight="1pt" color="#00B0F0 [3204]" miterlimit="8" joinstyle="miter"/>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77696" behindDoc="0" locked="0" layoutInCell="1" allowOverlap="1">
                <wp:simplePos x="0" y="0"/>
                <wp:positionH relativeFrom="column">
                  <wp:posOffset>2840355</wp:posOffset>
                </wp:positionH>
                <wp:positionV relativeFrom="paragraph">
                  <wp:posOffset>3500120</wp:posOffset>
                </wp:positionV>
                <wp:extent cx="297180" cy="121285"/>
                <wp:effectExtent l="50165" t="6985" r="57785" b="635"/>
                <wp:wrapNone/>
                <wp:docPr id="975253627" name="箭头: 右 975253627"/>
                <wp:cNvGraphicFramePr/>
                <a:graphic xmlns:a="http://schemas.openxmlformats.org/drawingml/2006/main">
                  <a:graphicData uri="http://schemas.microsoft.com/office/word/2010/wordprocessingShape">
                    <wps:wsp>
                      <wps:cNvSpPr/>
                      <wps:spPr>
                        <a:xfrm rot="3248362">
                          <a:off x="0" y="0"/>
                          <a:ext cx="297180" cy="121080"/>
                        </a:xfrm>
                        <a:prstGeom prst="rightArrow">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箭头: 右 975253627" o:spid="_x0000_s1026" o:spt="13" type="#_x0000_t13" style="position:absolute;left:0pt;margin-left:223.65pt;margin-top:275.6pt;height:9.55pt;width:23.4pt;rotation:3548078f;z-index:251677696;v-text-anchor:middle;mso-width-relative:page;mso-height-relative:page;" fillcolor="#00B0F0" filled="t" stroked="t" coordsize="21600,21600" o:gfxdata="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O6Cv1raAAAACwEAAA8AAAAA&#10;AAAAAQAgAAAAIgAAAGRycy9kb3ducmV2LnhtbFBLAQIUABQAAAAIAIdO4kAbopWzhAIAABwFAAAO&#10;AAAAAAAAAAEAIAAAACkBAABkcnMvZTJvRG9jLnhtbFBLBQYAAAAABgAGAFkBAAAfBgAAAAA=&#10;" adj="17200,5400">
                <v:fill on="t" focussize="0,0"/>
                <v:stroke weight="1pt" color="#00B0F0 [3204]" miterlimit="8" joinstyle="miter"/>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76672" behindDoc="0" locked="0" layoutInCell="1" allowOverlap="1">
                <wp:simplePos x="0" y="0"/>
                <wp:positionH relativeFrom="column">
                  <wp:posOffset>3724275</wp:posOffset>
                </wp:positionH>
                <wp:positionV relativeFrom="paragraph">
                  <wp:posOffset>3011805</wp:posOffset>
                </wp:positionV>
                <wp:extent cx="1352550" cy="327660"/>
                <wp:effectExtent l="209550" t="514350" r="19050" b="15240"/>
                <wp:wrapNone/>
                <wp:docPr id="1840" name="对话气泡: 矩形 1840"/>
                <wp:cNvGraphicFramePr/>
                <a:graphic xmlns:a="http://schemas.openxmlformats.org/drawingml/2006/main">
                  <a:graphicData uri="http://schemas.microsoft.com/office/word/2010/wordprocessingShape">
                    <wps:wsp>
                      <wps:cNvSpPr/>
                      <wps:spPr>
                        <a:xfrm>
                          <a:off x="0" y="0"/>
                          <a:ext cx="1352550" cy="327660"/>
                        </a:xfrm>
                        <a:prstGeom prst="wedgeRectCallout">
                          <a:avLst>
                            <a:gd name="adj1" fmla="val -62666"/>
                            <a:gd name="adj2" fmla="val -193569"/>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spacing w:line="240" w:lineRule="auto"/>
                              <w:ind w:firstLine="0" w:firstLineChars="0"/>
                              <w:jc w:val="center"/>
                              <w:rPr>
                                <w:b/>
                                <w:bCs/>
                              </w:rPr>
                            </w:pPr>
                            <w:r>
                              <w:rPr>
                                <w:rFonts w:hint="eastAsia"/>
                                <w:b/>
                                <w:bCs/>
                              </w:rPr>
                              <w:t>地下水评价范围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840" o:spid="_x0000_s1026" o:spt="61" type="#_x0000_t61" style="position:absolute;left:0pt;margin-left:293.25pt;margin-top:237.15pt;height:25.8pt;width:106.5pt;z-index:251676672;v-text-anchor:middle;mso-width-relative:page;mso-height-relative:page;" fillcolor="#4472C4 [3204]" filled="t" stroked="t" coordsize="21600,21600" o:gfxdata="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" adj="-2736,-31011">
                <v:fill on="t" focussize="0,0"/>
                <v:stroke weight="1pt" color="#2F528F [3204]" miterlimit="8" joinstyle="miter"/>
                <v:imagedata o:title=""/>
                <o:lock v:ext="edit" aspectratio="f"/>
                <v:textbox>
                  <w:txbxContent>
                    <w:p>
                      <w:pPr>
                        <w:spacing w:line="240" w:lineRule="auto"/>
                        <w:ind w:firstLine="0" w:firstLineChars="0"/>
                        <w:jc w:val="center"/>
                        <w:rPr>
                          <w:b/>
                          <w:bCs/>
                        </w:rPr>
                      </w:pPr>
                      <w:r>
                        <w:rPr>
                          <w:rFonts w:hint="eastAsia"/>
                          <w:b/>
                          <w:bCs/>
                        </w:rPr>
                        <w:t>地下水评价范围</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75648" behindDoc="0" locked="0" layoutInCell="1" allowOverlap="1">
                <wp:simplePos x="0" y="0"/>
                <wp:positionH relativeFrom="column">
                  <wp:posOffset>2107565</wp:posOffset>
                </wp:positionH>
                <wp:positionV relativeFrom="paragraph">
                  <wp:posOffset>2542540</wp:posOffset>
                </wp:positionV>
                <wp:extent cx="297180" cy="99060"/>
                <wp:effectExtent l="60960" t="15240" r="68580" b="0"/>
                <wp:wrapNone/>
                <wp:docPr id="1636092139" name="箭头: 右 1636092139"/>
                <wp:cNvGraphicFramePr/>
                <a:graphic xmlns:a="http://schemas.openxmlformats.org/drawingml/2006/main">
                  <a:graphicData uri="http://schemas.microsoft.com/office/word/2010/wordprocessingShape">
                    <wps:wsp>
                      <wps:cNvSpPr/>
                      <wps:spPr>
                        <a:xfrm rot="3440229">
                          <a:off x="0" y="0"/>
                          <a:ext cx="297180" cy="99060"/>
                        </a:xfrm>
                        <a:prstGeom prst="rightArrow">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箭头: 右 1636092139" o:spid="_x0000_s1026" o:spt="13" type="#_x0000_t13" style="position:absolute;left:0pt;margin-left:165.95pt;margin-top:200.2pt;height:7.8pt;width:23.4pt;rotation:3757647f;z-index:251675648;v-text-anchor:middle;mso-width-relative:page;mso-height-relative:page;" fillcolor="#00B0F0" filled="t" stroked="t" coordsize="21600,21600" o:gfxdata="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B5fRdE3AAAAAsB&#10;AAAPAAAAAAAAAAEAIAAAACIAAABkcnMvZG93bnJldi54bWxQSwECFAAUAAAACACHTuJAKqhWFokC&#10;AAAdBQAADgAAAAAAAAABACAAAAArAQAAZHJzL2Uyb0RvYy54bWxQSwUGAAAAAAYABgBZAQAAJgYA&#10;AAAA&#10;" adj="18000,5400">
                <v:fill on="t" focussize="0,0"/>
                <v:stroke weight="1pt" color="#00B0F0 [3204]" miterlimit="8" joinstyle="miter"/>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74624" behindDoc="0" locked="0" layoutInCell="1" allowOverlap="1">
                <wp:simplePos x="0" y="0"/>
                <wp:positionH relativeFrom="margin">
                  <wp:posOffset>1694815</wp:posOffset>
                </wp:positionH>
                <wp:positionV relativeFrom="paragraph">
                  <wp:posOffset>2820670</wp:posOffset>
                </wp:positionV>
                <wp:extent cx="1539875" cy="327660"/>
                <wp:effectExtent l="0" t="0" r="0" b="0"/>
                <wp:wrapNone/>
                <wp:docPr id="3778" name="文本框 3778"/>
                <wp:cNvGraphicFramePr/>
                <a:graphic xmlns:a="http://schemas.openxmlformats.org/drawingml/2006/main">
                  <a:graphicData uri="http://schemas.microsoft.com/office/word/2010/wordprocessingShape">
                    <wps:wsp>
                      <wps:cNvSpPr txBox="1"/>
                      <wps:spPr bwMode="auto">
                        <a:xfrm>
                          <a:off x="0" y="0"/>
                          <a:ext cx="1540151" cy="327660"/>
                        </a:xfrm>
                        <a:prstGeom prst="rect">
                          <a:avLst/>
                        </a:prstGeom>
                        <a:noFill/>
                        <a:ln w="9525">
                          <a:noFill/>
                          <a:miter lim="800000"/>
                        </a:ln>
                      </wps:spPr>
                      <wps:txbx>
                        <w:txbxContent>
                          <w:p>
                            <w:pPr>
                              <w:ind w:firstLine="482"/>
                              <w:rPr>
                                <w:b/>
                                <w:bCs/>
                                <w:color w:val="FF0000"/>
                              </w:rPr>
                            </w:pPr>
                            <w:r>
                              <w:rPr>
                                <w:rFonts w:hint="eastAsia"/>
                                <w:b/>
                                <w:bCs/>
                                <w:color w:val="FF0000"/>
                              </w:rPr>
                              <w:t>项目所在地</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33.45pt;margin-top:222.1pt;height:25.8pt;width:121.25pt;mso-position-horizontal-relative:margin;z-index:251674624;mso-width-relative:page;mso-height-relative:page;" filled="f" stroked="f" coordsize="21600,21600" o:gfxdata="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U&#10;UeFu2AAAAAsBAAAPAAAAAAAAAAEAIAAAACIAAABkcnMvZG93bnJldi54bWxQSwECFAAUAAAACACH&#10;TuJAwlpweF0CAACdBAAADgAAAAAAAAABACAAAAAnAQAAZHJzL2Uyb0RvYy54bWxQSwUGAAAAAAYA&#10;BgBZAQAA9gUAAAAA&#10;">
                <v:fill on="f" focussize="0,0"/>
                <v:stroke on="f" miterlimit="8" joinstyle="miter"/>
                <v:imagedata o:title=""/>
                <o:lock v:ext="edit" aspectratio="f"/>
                <v:textbox>
                  <w:txbxContent>
                    <w:p>
                      <w:pPr>
                        <w:ind w:firstLine="482"/>
                        <w:rPr>
                          <w:b/>
                          <w:bCs/>
                          <w:color w:val="FF0000"/>
                        </w:rPr>
                      </w:pPr>
                      <w:r>
                        <w:rPr>
                          <w:rFonts w:hint="eastAsia"/>
                          <w:b/>
                          <w:bCs/>
                          <w:color w:val="FF0000"/>
                        </w:rPr>
                        <w:t>项目所在地</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73600" behindDoc="0" locked="0" layoutInCell="1" allowOverlap="1">
                <wp:simplePos x="0" y="0"/>
                <wp:positionH relativeFrom="column">
                  <wp:posOffset>1601470</wp:posOffset>
                </wp:positionH>
                <wp:positionV relativeFrom="paragraph">
                  <wp:posOffset>3375660</wp:posOffset>
                </wp:positionV>
                <wp:extent cx="297180" cy="99060"/>
                <wp:effectExtent l="19050" t="38100" r="26670" b="53340"/>
                <wp:wrapNone/>
                <wp:docPr id="161" name="箭头: 右 161"/>
                <wp:cNvGraphicFramePr/>
                <a:graphic xmlns:a="http://schemas.openxmlformats.org/drawingml/2006/main">
                  <a:graphicData uri="http://schemas.microsoft.com/office/word/2010/wordprocessingShape">
                    <wps:wsp>
                      <wps:cNvSpPr/>
                      <wps:spPr>
                        <a:xfrm rot="774551">
                          <a:off x="0" y="0"/>
                          <a:ext cx="297180" cy="99060"/>
                        </a:xfrm>
                        <a:prstGeom prst="rightArrow">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箭头: 右 161" o:spid="_x0000_s1026" o:spt="13" type="#_x0000_t13" style="position:absolute;left:0pt;margin-left:126.1pt;margin-top:265.8pt;height:7.8pt;width:23.4pt;rotation:846016f;z-index:251673600;v-text-anchor:middle;mso-width-relative:page;mso-height-relative:page;" fillcolor="#00B0F0" filled="t" stroked="t" coordsize="21600,21600" o:gfxdata="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0BXb8toAAAALAQAADwAAAAAAAAAB&#10;ACAAAAAiAAAAZHJzL2Rvd25yZXYueG1sUEsBAhQAFAAAAAgAh07iQAUraIiAAgAADgUAAA4AAAAA&#10;AAAAAQAgAAAAKQEAAGRycy9lMm9Eb2MueG1sUEsFBgAAAAAGAAYAWQEAABsGAAAAAA==&#10;" adj="18000,5400">
                <v:fill on="t" focussize="0,0"/>
                <v:stroke weight="1pt" color="#00B0F0 [3204]" miterlimit="8" joinstyle="miter"/>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69504" behindDoc="0" locked="0" layoutInCell="1" allowOverlap="1">
                <wp:simplePos x="0" y="0"/>
                <wp:positionH relativeFrom="column">
                  <wp:posOffset>2033270</wp:posOffset>
                </wp:positionH>
                <wp:positionV relativeFrom="paragraph">
                  <wp:posOffset>1637665</wp:posOffset>
                </wp:positionV>
                <wp:extent cx="297180" cy="88265"/>
                <wp:effectExtent l="28257" t="28893" r="16828" b="16827"/>
                <wp:wrapNone/>
                <wp:docPr id="1272313792" name="箭头: 右 1272313792"/>
                <wp:cNvGraphicFramePr/>
                <a:graphic xmlns:a="http://schemas.openxmlformats.org/drawingml/2006/main">
                  <a:graphicData uri="http://schemas.microsoft.com/office/word/2010/wordprocessingShape">
                    <wps:wsp>
                      <wps:cNvSpPr/>
                      <wps:spPr>
                        <a:xfrm rot="5704145" flipV="1">
                          <a:off x="0" y="0"/>
                          <a:ext cx="297180" cy="88359"/>
                        </a:xfrm>
                        <a:prstGeom prst="rightArrow">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箭头: 右 1272313792" o:spid="_x0000_s1026" o:spt="13" type="#_x0000_t13" style="position:absolute;left:0pt;flip:y;margin-left:160.1pt;margin-top:128.95pt;height:6.95pt;width:23.4pt;rotation:-6230447f;z-index:251669504;v-text-anchor:middle;mso-width-relative:page;mso-height-relative:page;" fillcolor="#00B0F0" filled="t" stroked="t" coordsize="21600,21600" o:gfxdata="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C58al72wAA&#10;AAsBAAAPAAAAAAAAAAEAIAAAACIAAABkcnMvZG93bnJldi54bWxQSwECFAAUAAAACACHTuJAKu5S&#10;fI0CAAAnBQAADgAAAAAAAAABACAAAAAqAQAAZHJzL2Uyb0RvYy54bWxQSwUGAAAAAAYABgBZAQAA&#10;KQYAAAAA&#10;" adj="18389,5400">
                <v:fill on="t" focussize="0,0"/>
                <v:stroke weight="1pt" color="#00B0F0 [3204]" miterlimit="8" joinstyle="miter"/>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71552" behindDoc="0" locked="0" layoutInCell="1" allowOverlap="1">
                <wp:simplePos x="0" y="0"/>
                <wp:positionH relativeFrom="column">
                  <wp:posOffset>3148965</wp:posOffset>
                </wp:positionH>
                <wp:positionV relativeFrom="paragraph">
                  <wp:posOffset>1648460</wp:posOffset>
                </wp:positionV>
                <wp:extent cx="297180" cy="99060"/>
                <wp:effectExtent l="41910" t="15240" r="49530" b="11430"/>
                <wp:wrapNone/>
                <wp:docPr id="2077587271" name="箭头: 右 2077587271"/>
                <wp:cNvGraphicFramePr/>
                <a:graphic xmlns:a="http://schemas.openxmlformats.org/drawingml/2006/main">
                  <a:graphicData uri="http://schemas.microsoft.com/office/word/2010/wordprocessingShape">
                    <wps:wsp>
                      <wps:cNvSpPr/>
                      <wps:spPr>
                        <a:xfrm rot="4199335">
                          <a:off x="0" y="0"/>
                          <a:ext cx="297180" cy="99060"/>
                        </a:xfrm>
                        <a:prstGeom prst="rightArrow">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箭头: 右 2077587271" o:spid="_x0000_s1026" o:spt="13" type="#_x0000_t13" style="position:absolute;left:0pt;margin-left:247.95pt;margin-top:129.8pt;height:7.8pt;width:23.4pt;rotation:4586794f;z-index:251671552;v-text-anchor:middle;mso-width-relative:page;mso-height-relative:page;" fillcolor="#00B0F0" filled="t" stroked="t" coordsize="21600,21600" o:gfxdata="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A1jbsDZAAAACwEA&#10;AA8AAAAAAAAAAQAgAAAAIgAAAGRycy9kb3ducmV2LnhtbFBLAQIUABQAAAAIAIdO4kAFi7RriwIA&#10;AB0FAAAOAAAAAAAAAAEAIAAAACgBAABkcnMvZTJvRG9jLnhtbFBLBQYAAAAABgAGAFkBAAAlBgAA&#10;AAA=&#10;" adj="18000,5400">
                <v:fill on="t" focussize="0,0"/>
                <v:stroke weight="1pt" color="#00B0F0 [3204]" miterlimit="8" joinstyle="miter"/>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72576" behindDoc="0" locked="0" layoutInCell="1" allowOverlap="1">
                <wp:simplePos x="0" y="0"/>
                <wp:positionH relativeFrom="column">
                  <wp:posOffset>2431415</wp:posOffset>
                </wp:positionH>
                <wp:positionV relativeFrom="paragraph">
                  <wp:posOffset>1099185</wp:posOffset>
                </wp:positionV>
                <wp:extent cx="297180" cy="89535"/>
                <wp:effectExtent l="46672" t="29528" r="54293" b="16192"/>
                <wp:wrapNone/>
                <wp:docPr id="2134539438" name="箭头: 右 2134539438"/>
                <wp:cNvGraphicFramePr/>
                <a:graphic xmlns:a="http://schemas.openxmlformats.org/drawingml/2006/main">
                  <a:graphicData uri="http://schemas.microsoft.com/office/word/2010/wordprocessingShape">
                    <wps:wsp>
                      <wps:cNvSpPr/>
                      <wps:spPr>
                        <a:xfrm rot="4199335">
                          <a:off x="0" y="0"/>
                          <a:ext cx="297180" cy="89829"/>
                        </a:xfrm>
                        <a:prstGeom prst="rightArrow">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箭头: 右 2134539438" o:spid="_x0000_s1026" o:spt="13" type="#_x0000_t13" style="position:absolute;left:0pt;margin-left:191.45pt;margin-top:86.55pt;height:7.05pt;width:23.4pt;rotation:4586794f;z-index:251672576;v-text-anchor:middle;mso-width-relative:page;mso-height-relative:page;" fillcolor="#00B0F0" filled="t" stroked="t" coordsize="21600,21600" o:gfxdata="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45+OeNoAAAALAQAA&#10;DwAAAAAAAAABACAAAAAiAAAAZHJzL2Rvd25yZXYueG1sUEsBAhQAFAAAAAgAh07iQAhSbIiJAgAA&#10;HQUAAA4AAAAAAAAAAQAgAAAAKQEAAGRycy9lMm9Eb2MueG1sUEsFBgAAAAAGAAYAWQEAACQGAAAA&#10;AA==&#10;" adj="18336,5400">
                <v:fill on="t" focussize="0,0"/>
                <v:stroke weight="1pt" color="#00B0F0 [3204]" miterlimit="8" joinstyle="miter"/>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68480" behindDoc="0" locked="0" layoutInCell="1" allowOverlap="1">
                <wp:simplePos x="0" y="0"/>
                <wp:positionH relativeFrom="column">
                  <wp:posOffset>3042285</wp:posOffset>
                </wp:positionH>
                <wp:positionV relativeFrom="paragraph">
                  <wp:posOffset>3023235</wp:posOffset>
                </wp:positionV>
                <wp:extent cx="297180" cy="99060"/>
                <wp:effectExtent l="41910" t="15240" r="49530" b="11430"/>
                <wp:wrapNone/>
                <wp:docPr id="172993618" name="箭头: 右 172993618"/>
                <wp:cNvGraphicFramePr/>
                <a:graphic xmlns:a="http://schemas.openxmlformats.org/drawingml/2006/main">
                  <a:graphicData uri="http://schemas.microsoft.com/office/word/2010/wordprocessingShape">
                    <wps:wsp>
                      <wps:cNvSpPr/>
                      <wps:spPr>
                        <a:xfrm rot="4199335">
                          <a:off x="0" y="0"/>
                          <a:ext cx="297180" cy="99060"/>
                        </a:xfrm>
                        <a:prstGeom prst="rightArrow">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箭头: 右 172993618" o:spid="_x0000_s1026" o:spt="13" type="#_x0000_t13" style="position:absolute;left:0pt;margin-left:239.55pt;margin-top:238.05pt;height:7.8pt;width:23.4pt;rotation:4586794f;z-index:251668480;v-text-anchor:middle;mso-width-relative:page;mso-height-relative:page;" fillcolor="#00B0F0" filled="t" stroked="t" coordsize="21600,21600" o:gfxdata="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N5IK0/YAAAACwEAAA8AAAAA&#10;AAAAAQAgAAAAIgAAAGRycy9kb3ducmV2LnhtbFBLAQIUABQAAAAIAIdO4kADPfkShgIAABsFAAAO&#10;AAAAAAAAAAEAIAAAACcBAABkcnMvZTJvRG9jLnhtbFBLBQYAAAAABgAGAFkBAAAfBgAAAAA=&#10;" adj="18000,5400">
                <v:fill on="t" focussize="0,0"/>
                <v:stroke weight="1pt" color="#00B0F0 [3204]" miterlimit="8" joinstyle="miter"/>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66432" behindDoc="0" locked="0" layoutInCell="1" allowOverlap="1">
                <wp:simplePos x="0" y="0"/>
                <wp:positionH relativeFrom="column">
                  <wp:posOffset>1532255</wp:posOffset>
                </wp:positionH>
                <wp:positionV relativeFrom="paragraph">
                  <wp:posOffset>3860800</wp:posOffset>
                </wp:positionV>
                <wp:extent cx="688340" cy="256540"/>
                <wp:effectExtent l="0" t="0" r="0" b="0"/>
                <wp:wrapNone/>
                <wp:docPr id="2399557" name="文本框 2"/>
                <wp:cNvGraphicFramePr/>
                <a:graphic xmlns:a="http://schemas.openxmlformats.org/drawingml/2006/main">
                  <a:graphicData uri="http://schemas.microsoft.com/office/word/2010/wordprocessingShape">
                    <wps:wsp>
                      <wps:cNvSpPr txBox="1"/>
                      <wps:spPr bwMode="auto">
                        <a:xfrm>
                          <a:off x="0" y="0"/>
                          <a:ext cx="688369" cy="256854"/>
                        </a:xfrm>
                        <a:prstGeom prst="rect">
                          <a:avLst/>
                        </a:prstGeom>
                        <a:noFill/>
                        <a:ln w="9525">
                          <a:noFill/>
                          <a:miter lim="800000"/>
                        </a:ln>
                      </wps:spPr>
                      <wps:txbx>
                        <w:txbxContent>
                          <w:p>
                            <w:pPr>
                              <w:spacing w:line="240" w:lineRule="auto"/>
                              <w:ind w:firstLine="0" w:firstLineChars="0"/>
                              <w:rPr>
                                <w:b/>
                                <w:bCs/>
                                <w:color w:val="FF0000"/>
                                <w:sz w:val="21"/>
                                <w:szCs w:val="21"/>
                              </w:rPr>
                            </w:pPr>
                            <w:r>
                              <w:rPr>
                                <w:rFonts w:hint="eastAsia"/>
                                <w:b/>
                                <w:bCs/>
                                <w:color w:val="FF0000"/>
                                <w:sz w:val="21"/>
                                <w:szCs w:val="21"/>
                              </w:rPr>
                              <w:t>山脊线</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文本框 2" o:spid="_x0000_s1026" o:spt="202" type="#_x0000_t202" style="position:absolute;left:0pt;margin-left:120.65pt;margin-top:304pt;height:20.2pt;width:54.2pt;z-index:251666432;mso-width-relative:page;mso-height-relative:page;" filled="f" stroked="f" coordsize="21600,21600" o:gfxdata="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2tRYMNgAAAALAQAADwAAAAAAAAABACAAAAAiAAAAZHJzL2Rvd25yZXYueG1sUEsBAhQAFAAAAAgA&#10;h07iQEOzunleAgAAnAQAAA4AAAAAAAAAAQAgAAAAJwEAAGRycy9lMm9Eb2MueG1sUEsFBgAAAAAG&#10;AAYAWQEAAPcFAAAAAA==&#10;">
                <v:fill on="f" focussize="0,0"/>
                <v:stroke on="f" miterlimit="8" joinstyle="miter"/>
                <v:imagedata o:title=""/>
                <o:lock v:ext="edit" aspectratio="f"/>
                <v:textbox>
                  <w:txbxContent>
                    <w:p>
                      <w:pPr>
                        <w:spacing w:line="240" w:lineRule="auto"/>
                        <w:ind w:firstLine="0" w:firstLineChars="0"/>
                        <w:rPr>
                          <w:b/>
                          <w:bCs/>
                          <w:color w:val="FF0000"/>
                          <w:sz w:val="21"/>
                          <w:szCs w:val="21"/>
                        </w:rPr>
                      </w:pPr>
                      <w:r>
                        <w:rPr>
                          <w:rFonts w:hint="eastAsia"/>
                          <w:b/>
                          <w:bCs/>
                          <w:color w:val="FF0000"/>
                          <w:sz w:val="21"/>
                          <w:szCs w:val="21"/>
                        </w:rPr>
                        <w:t>山脊线</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column">
                  <wp:posOffset>1287780</wp:posOffset>
                </wp:positionH>
                <wp:positionV relativeFrom="paragraph">
                  <wp:posOffset>2004695</wp:posOffset>
                </wp:positionV>
                <wp:extent cx="688340" cy="256540"/>
                <wp:effectExtent l="0" t="0" r="0" b="0"/>
                <wp:wrapNone/>
                <wp:docPr id="1136434718" name="文本框 2"/>
                <wp:cNvGraphicFramePr/>
                <a:graphic xmlns:a="http://schemas.openxmlformats.org/drawingml/2006/main">
                  <a:graphicData uri="http://schemas.microsoft.com/office/word/2010/wordprocessingShape">
                    <wps:wsp>
                      <wps:cNvSpPr txBox="1"/>
                      <wps:spPr bwMode="auto">
                        <a:xfrm>
                          <a:off x="0" y="0"/>
                          <a:ext cx="688369" cy="256854"/>
                        </a:xfrm>
                        <a:prstGeom prst="rect">
                          <a:avLst/>
                        </a:prstGeom>
                        <a:noFill/>
                        <a:ln w="9525">
                          <a:noFill/>
                          <a:miter lim="800000"/>
                        </a:ln>
                      </wps:spPr>
                      <wps:txbx>
                        <w:txbxContent>
                          <w:p>
                            <w:pPr>
                              <w:spacing w:line="240" w:lineRule="auto"/>
                              <w:ind w:firstLine="0" w:firstLineChars="0"/>
                              <w:rPr>
                                <w:b/>
                                <w:bCs/>
                                <w:color w:val="FF0000"/>
                                <w:sz w:val="21"/>
                                <w:szCs w:val="21"/>
                              </w:rPr>
                            </w:pPr>
                            <w:r>
                              <w:rPr>
                                <w:rFonts w:hint="eastAsia"/>
                                <w:b/>
                                <w:bCs/>
                                <w:color w:val="FF0000"/>
                                <w:sz w:val="21"/>
                                <w:szCs w:val="21"/>
                              </w:rPr>
                              <w:t>山脊线</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文本框 2" o:spid="_x0000_s1026" o:spt="202" type="#_x0000_t202" style="position:absolute;left:0pt;margin-left:101.4pt;margin-top:157.85pt;height:20.2pt;width:54.2pt;z-index:251660288;mso-width-relative:page;mso-height-relative:page;" filled="f" stroked="f" coordsize="21600,21600" o:gfxdata="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Bteu0bYAAAACwEAAA8AAAAAAAAAAQAgAAAAIgAAAGRycy9kb3ducmV2LnhtbFBLAQIUABQAAAAI&#10;AIdO4kCr1tlyXwIAAJ8EAAAOAAAAAAAAAAEAIAAAACcBAABkcnMvZTJvRG9jLnhtbFBLBQYAAAAA&#10;BgAGAFkBAAD4BQAAAAA=&#10;">
                <v:fill on="f" focussize="0,0"/>
                <v:stroke on="f" miterlimit="8" joinstyle="miter"/>
                <v:imagedata o:title=""/>
                <o:lock v:ext="edit" aspectratio="f"/>
                <v:textbox>
                  <w:txbxContent>
                    <w:p>
                      <w:pPr>
                        <w:spacing w:line="240" w:lineRule="auto"/>
                        <w:ind w:firstLine="0" w:firstLineChars="0"/>
                        <w:rPr>
                          <w:b/>
                          <w:bCs/>
                          <w:color w:val="FF0000"/>
                          <w:sz w:val="21"/>
                          <w:szCs w:val="21"/>
                        </w:rPr>
                      </w:pPr>
                      <w:r>
                        <w:rPr>
                          <w:rFonts w:hint="eastAsia"/>
                          <w:b/>
                          <w:bCs/>
                          <w:color w:val="FF0000"/>
                          <w:sz w:val="21"/>
                          <w:szCs w:val="21"/>
                        </w:rPr>
                        <w:t>山脊线</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59264" behindDoc="0" locked="0" layoutInCell="1" allowOverlap="1">
                <wp:simplePos x="0" y="0"/>
                <wp:positionH relativeFrom="column">
                  <wp:posOffset>3647440</wp:posOffset>
                </wp:positionH>
                <wp:positionV relativeFrom="paragraph">
                  <wp:posOffset>1543685</wp:posOffset>
                </wp:positionV>
                <wp:extent cx="808990" cy="256540"/>
                <wp:effectExtent l="0" t="0" r="0" b="0"/>
                <wp:wrapNone/>
                <wp:docPr id="1179035600" name="文本框 2"/>
                <wp:cNvGraphicFramePr/>
                <a:graphic xmlns:a="http://schemas.openxmlformats.org/drawingml/2006/main">
                  <a:graphicData uri="http://schemas.microsoft.com/office/word/2010/wordprocessingShape">
                    <wps:wsp>
                      <wps:cNvSpPr txBox="1"/>
                      <wps:spPr bwMode="auto">
                        <a:xfrm>
                          <a:off x="0" y="0"/>
                          <a:ext cx="809041" cy="256540"/>
                        </a:xfrm>
                        <a:prstGeom prst="rect">
                          <a:avLst/>
                        </a:prstGeom>
                        <a:noFill/>
                        <a:ln w="9525">
                          <a:noFill/>
                          <a:miter lim="800000"/>
                        </a:ln>
                      </wps:spPr>
                      <wps:txbx>
                        <w:txbxContent>
                          <w:p>
                            <w:pPr>
                              <w:spacing w:line="240" w:lineRule="auto"/>
                              <w:ind w:firstLine="0" w:firstLineChars="0"/>
                              <w:rPr>
                                <w:b/>
                                <w:bCs/>
                                <w:color w:val="FF0000"/>
                                <w:sz w:val="21"/>
                                <w:szCs w:val="21"/>
                              </w:rPr>
                            </w:pPr>
                            <w:r>
                              <w:rPr>
                                <w:rFonts w:hint="eastAsia"/>
                                <w:b/>
                                <w:bCs/>
                                <w:color w:val="FF0000"/>
                                <w:sz w:val="21"/>
                                <w:szCs w:val="21"/>
                              </w:rPr>
                              <w:t>州河支流</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文本框 2" o:spid="_x0000_s1026" o:spt="202" type="#_x0000_t202" style="position:absolute;left:0pt;margin-left:287.2pt;margin-top:121.55pt;height:20.2pt;width:63.7pt;z-index:251659264;mso-width-relative:page;mso-height-relative:page;" filled="f" stroked="f" coordsize="21600,21600" o:gfxdata="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CTbwd9kAAAALAQAADwAAAAAAAAABACAAAAAiAAAAZHJzL2Rvd25yZXYueG1sUEsBAhQAFAAAAAgA&#10;h07iQPOpFvddAgAAnwQAAA4AAAAAAAAAAQAgAAAAKAEAAGRycy9lMm9Eb2MueG1sUEsFBgAAAAAG&#10;AAYAWQEAAPcFAAAAAA==&#10;">
                <v:fill on="f" focussize="0,0"/>
                <v:stroke on="f" miterlimit="8" joinstyle="miter"/>
                <v:imagedata o:title=""/>
                <o:lock v:ext="edit" aspectratio="f"/>
                <v:textbox>
                  <w:txbxContent>
                    <w:p>
                      <w:pPr>
                        <w:spacing w:line="240" w:lineRule="auto"/>
                        <w:ind w:firstLine="0" w:firstLineChars="0"/>
                        <w:rPr>
                          <w:b/>
                          <w:bCs/>
                          <w:color w:val="FF0000"/>
                          <w:sz w:val="21"/>
                          <w:szCs w:val="21"/>
                        </w:rPr>
                      </w:pPr>
                      <w:r>
                        <w:rPr>
                          <w:rFonts w:hint="eastAsia"/>
                          <w:b/>
                          <w:bCs/>
                          <w:color w:val="FF0000"/>
                          <w:sz w:val="21"/>
                          <w:szCs w:val="21"/>
                        </w:rPr>
                        <w:t>州河支流</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62336" behindDoc="0" locked="0" layoutInCell="1" allowOverlap="1">
                <wp:simplePos x="0" y="0"/>
                <wp:positionH relativeFrom="column">
                  <wp:posOffset>3840480</wp:posOffset>
                </wp:positionH>
                <wp:positionV relativeFrom="paragraph">
                  <wp:posOffset>2931160</wp:posOffset>
                </wp:positionV>
                <wp:extent cx="335280" cy="68580"/>
                <wp:effectExtent l="38100" t="0" r="26670" b="83820"/>
                <wp:wrapNone/>
                <wp:docPr id="628446225" name="直接箭头连接符 5"/>
                <wp:cNvGraphicFramePr/>
                <a:graphic xmlns:a="http://schemas.openxmlformats.org/drawingml/2006/main">
                  <a:graphicData uri="http://schemas.microsoft.com/office/word/2010/wordprocessingShape">
                    <wps:wsp>
                      <wps:cNvCnPr/>
                      <wps:spPr>
                        <a:xfrm flipH="1">
                          <a:off x="0" y="0"/>
                          <a:ext cx="335280" cy="6858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5" o:spid="_x0000_s1026" o:spt="32" type="#_x0000_t32" style="position:absolute;left:0pt;flip:x;margin-left:302.4pt;margin-top:230.8pt;height:5.4pt;width:26.4pt;z-index:251662336;mso-width-relative:page;mso-height-relative:page;" filled="f" stroked="t" coordsize="21600,21600" o:gfxdata="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EJkpWzaAAAACwEAAA8A&#10;AAAAAAAAAQAgAAAAIgAAAGRycy9kb3ducmV2LnhtbFBLAQIUABQAAAAIAIdO4kAxgCQjFQIAAPYD&#10;AAAOAAAAAAAAAAEAIAAAACkBAABkcnMvZTJvRG9jLnhtbFBLBQYAAAAABgAGAFkBAACwBQAAAAA=&#10;">
                <v:fill on="f" focussize="0,0"/>
                <v:stroke weight="0.5pt" color="#000000 [3213]" miterlimit="8" joinstyle="miter" endarrow="block"/>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61312" behindDoc="0" locked="0" layoutInCell="1" allowOverlap="1">
                <wp:simplePos x="0" y="0"/>
                <wp:positionH relativeFrom="column">
                  <wp:posOffset>2353310</wp:posOffset>
                </wp:positionH>
                <wp:positionV relativeFrom="paragraph">
                  <wp:posOffset>620395</wp:posOffset>
                </wp:positionV>
                <wp:extent cx="688340" cy="256540"/>
                <wp:effectExtent l="0" t="0" r="0" b="0"/>
                <wp:wrapNone/>
                <wp:docPr id="159708074" name="文本框 2"/>
                <wp:cNvGraphicFramePr/>
                <a:graphic xmlns:a="http://schemas.openxmlformats.org/drawingml/2006/main">
                  <a:graphicData uri="http://schemas.microsoft.com/office/word/2010/wordprocessingShape">
                    <wps:wsp>
                      <wps:cNvSpPr txBox="1"/>
                      <wps:spPr bwMode="auto">
                        <a:xfrm>
                          <a:off x="0" y="0"/>
                          <a:ext cx="688369" cy="256854"/>
                        </a:xfrm>
                        <a:prstGeom prst="rect">
                          <a:avLst/>
                        </a:prstGeom>
                        <a:noFill/>
                        <a:ln w="9525">
                          <a:noFill/>
                          <a:miter lim="800000"/>
                        </a:ln>
                      </wps:spPr>
                      <wps:txbx>
                        <w:txbxContent>
                          <w:p>
                            <w:pPr>
                              <w:spacing w:line="240" w:lineRule="auto"/>
                              <w:ind w:firstLine="0" w:firstLineChars="0"/>
                              <w:rPr>
                                <w:b/>
                                <w:bCs/>
                                <w:color w:val="FF0000"/>
                                <w:sz w:val="21"/>
                                <w:szCs w:val="21"/>
                              </w:rPr>
                            </w:pPr>
                            <w:r>
                              <w:rPr>
                                <w:rFonts w:hint="eastAsia"/>
                                <w:b/>
                                <w:bCs/>
                                <w:color w:val="FF0000"/>
                                <w:sz w:val="21"/>
                                <w:szCs w:val="21"/>
                              </w:rPr>
                              <w:t>山脊线</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文本框 2" o:spid="_x0000_s1026" o:spt="202" type="#_x0000_t202" style="position:absolute;left:0pt;margin-left:185.3pt;margin-top:48.85pt;height:20.2pt;width:54.2pt;z-index:251661312;mso-width-relative:page;mso-height-relative:page;" filled="f" stroked="f" coordsize="21600,21600" o:gfxdata="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x4QqqtcAAAAKAQAADwAAAAAAAAABACAAAAAiAAAAZHJzL2Rvd25yZXYueG1sUEsBAhQAFAAAAAgA&#10;h07iQLILngpfAgAAngQAAA4AAAAAAAAAAQAgAAAAJgEAAGRycy9lMm9Eb2MueG1sUEsFBgAAAAAG&#10;AAYAWQEAAPcFAAAAAA==&#10;">
                <v:fill on="f" focussize="0,0"/>
                <v:stroke on="f" miterlimit="8" joinstyle="miter"/>
                <v:imagedata o:title=""/>
                <o:lock v:ext="edit" aspectratio="f"/>
                <v:textbox>
                  <w:txbxContent>
                    <w:p>
                      <w:pPr>
                        <w:spacing w:line="240" w:lineRule="auto"/>
                        <w:ind w:firstLine="0" w:firstLineChars="0"/>
                        <w:rPr>
                          <w:b/>
                          <w:bCs/>
                          <w:color w:val="FF0000"/>
                          <w:sz w:val="21"/>
                          <w:szCs w:val="21"/>
                        </w:rPr>
                      </w:pPr>
                      <w:r>
                        <w:rPr>
                          <w:rFonts w:hint="eastAsia"/>
                          <w:b/>
                          <w:bCs/>
                          <w:color w:val="FF0000"/>
                          <w:sz w:val="21"/>
                          <w:szCs w:val="21"/>
                        </w:rPr>
                        <w:t>山脊线</w:t>
                      </w:r>
                    </w:p>
                  </w:txbxContent>
                </v:textbox>
              </v:shape>
            </w:pict>
          </mc:Fallback>
        </mc:AlternateContent>
      </w:r>
      <w:r>
        <w:rPr>
          <w:color w:val="000000" w:themeColor="text1"/>
          <w:sz w:val="24"/>
          <w:szCs w:val="24"/>
          <w:highlight w:val="none"/>
          <w:lang w:eastAsia="zh-CN"/>
          <w14:textFill>
            <w14:solidFill>
              <w14:schemeClr w14:val="tx1"/>
            </w14:solidFill>
          </w14:textFill>
        </w:rPr>
        <w:drawing>
          <wp:inline distT="0" distB="0" distL="0" distR="0">
            <wp:extent cx="5274310" cy="4810125"/>
            <wp:effectExtent l="0" t="0" r="2540" b="9525"/>
            <wp:docPr id="13445183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518323" name="图片 1"/>
                    <pic:cNvPicPr>
                      <a:picLocks noChangeAspect="1" noChangeArrowheads="1"/>
                    </pic:cNvPicPr>
                  </pic:nvPicPr>
                  <pic:blipFill>
                    <a:blip r:embed="rId19">
                      <a:extLst>
                        <a:ext uri="{28A0092B-C50C-407E-A947-70E740481C1C}">
                          <a14:useLocalDpi xmlns:a14="http://schemas.microsoft.com/office/drawing/2010/main" val="0"/>
                        </a:ext>
                      </a:extLst>
                    </a:blip>
                    <a:srcRect b="1135"/>
                    <a:stretch>
                      <a:fillRect/>
                    </a:stretch>
                  </pic:blipFill>
                  <pic:spPr>
                    <a:xfrm>
                      <a:off x="0" y="0"/>
                      <a:ext cx="5274310" cy="4810125"/>
                    </a:xfrm>
                    <a:prstGeom prst="rect">
                      <a:avLst/>
                    </a:prstGeom>
                    <a:noFill/>
                    <a:ln>
                      <a:noFill/>
                    </a:ln>
                  </pic:spPr>
                </pic:pic>
              </a:graphicData>
            </a:graphic>
          </wp:inline>
        </w:drawing>
      </w:r>
    </w:p>
    <w:p>
      <w:pPr>
        <w:pStyle w:val="76"/>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项目所在区地下水环境评价范围图</w:t>
      </w:r>
    </w:p>
    <w:p>
      <w:pPr>
        <w:tabs>
          <w:tab w:val="left" w:pos="0"/>
        </w:tabs>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②</w:t>
      </w:r>
      <w:r>
        <w:rPr>
          <w:rFonts w:cs="Times New Roman"/>
          <w:bCs/>
          <w:color w:val="000000" w:themeColor="text1"/>
          <w:szCs w:val="24"/>
          <w:highlight w:val="none"/>
          <w14:textFill>
            <w14:solidFill>
              <w14:schemeClr w14:val="tx1"/>
            </w14:solidFill>
          </w14:textFill>
        </w:rPr>
        <w:t>管线</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w:t>
      </w:r>
      <w:r>
        <w:rPr>
          <w:rFonts w:hint="eastAsia" w:cs="Times New Roman"/>
          <w:bCs/>
          <w:color w:val="000000" w:themeColor="text1"/>
          <w:szCs w:val="24"/>
          <w:highlight w:val="none"/>
          <w14:textFill>
            <w14:solidFill>
              <w14:schemeClr w14:val="tx1"/>
            </w14:solidFill>
          </w14:textFill>
        </w:rPr>
        <w:t>《环境影响评价技术导则陆地石油天然气开发建设项目》（HJ349-2023）和</w:t>
      </w:r>
      <w:r>
        <w:rPr>
          <w:rFonts w:cs="Times New Roman"/>
          <w:bCs/>
          <w:color w:val="000000" w:themeColor="text1"/>
          <w:szCs w:val="24"/>
          <w:highlight w:val="none"/>
          <w14:textFill>
            <w14:solidFill>
              <w14:schemeClr w14:val="tx1"/>
            </w14:solidFill>
          </w14:textFill>
        </w:rPr>
        <w:t>《环境影响评价技术导则地下水环境》（HJ610-2016）8.2.2.2，线性工程应以工程边界两侧分别向外延伸200m作为调查评价范围，本项目管线不穿越饮用水源保护区</w:t>
      </w:r>
      <w:r>
        <w:rPr>
          <w:rFonts w:hint="eastAsia" w:cs="Times New Roman"/>
          <w:bCs/>
          <w:color w:val="000000" w:themeColor="text1"/>
          <w:szCs w:val="24"/>
          <w:highlight w:val="none"/>
          <w14:textFill>
            <w14:solidFill>
              <w14:schemeClr w14:val="tx1"/>
            </w14:solidFill>
          </w14:textFill>
        </w:rPr>
        <w:t>。根据前述原则</w:t>
      </w:r>
      <w:r>
        <w:rPr>
          <w:rFonts w:cs="Times New Roman"/>
          <w:bCs/>
          <w:color w:val="000000" w:themeColor="text1"/>
          <w:szCs w:val="24"/>
          <w:highlight w:val="none"/>
          <w14:textFill>
            <w14:solidFill>
              <w14:schemeClr w14:val="tx1"/>
            </w14:solidFill>
          </w14:textFill>
        </w:rPr>
        <w:t>确定本项目管线地下水评价范围为集输管线两侧分别外扩200m</w:t>
      </w:r>
      <w:r>
        <w:rPr>
          <w:rFonts w:hint="eastAsia" w:cs="Times New Roman"/>
          <w:bCs/>
          <w:color w:val="000000" w:themeColor="text1"/>
          <w:szCs w:val="24"/>
          <w:highlight w:val="none"/>
          <w14:textFill>
            <w14:solidFill>
              <w14:schemeClr w14:val="tx1"/>
            </w14:solidFill>
          </w14:textFill>
        </w:rPr>
        <w:t>。</w:t>
      </w:r>
    </w:p>
    <w:p>
      <w:pPr>
        <w:pStyle w:val="5"/>
        <w:spacing w:before="120"/>
        <w:ind w:firstLine="480"/>
        <w:rPr>
          <w:b/>
          <w:color w:val="000000" w:themeColor="text1"/>
          <w:highlight w:val="none"/>
          <w:lang w:eastAsia="zh-CN"/>
          <w14:textFill>
            <w14:solidFill>
              <w14:schemeClr w14:val="tx1"/>
            </w14:solidFill>
          </w14:textFill>
        </w:rPr>
      </w:pPr>
      <w:bookmarkStart w:id="82" w:name="_Toc120173072"/>
      <w:r>
        <w:rPr>
          <w:color w:val="000000" w:themeColor="text1"/>
          <w:highlight w:val="none"/>
          <w:lang w:eastAsia="zh-CN"/>
          <w14:textFill>
            <w14:solidFill>
              <w14:schemeClr w14:val="tx1"/>
            </w14:solidFill>
          </w14:textFill>
        </w:rPr>
        <w:t>大气环境</w:t>
      </w:r>
      <w:bookmarkEnd w:id="82"/>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（1）评价工作等级</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根据《环境影响评价技术导则 大气环境》（HJ2.2-2018）</w:t>
      </w:r>
      <w:r>
        <w:rPr>
          <w:rFonts w:hint="eastAsia" w:cs="Times New Roman"/>
          <w:bCs/>
          <w:color w:val="000000" w:themeColor="text1"/>
          <w:szCs w:val="24"/>
          <w:highlight w:val="none"/>
          <w14:textFill>
            <w14:solidFill>
              <w14:schemeClr w14:val="tx1"/>
            </w14:solidFill>
          </w14:textFill>
        </w:rPr>
        <w:t>中5.3.1</w:t>
      </w:r>
      <w:r>
        <w:rPr>
          <w:rFonts w:cs="Times New Roman"/>
          <w:bCs/>
          <w:color w:val="000000" w:themeColor="text1"/>
          <w:szCs w:val="24"/>
          <w:highlight w:val="none"/>
          <w14:textFill>
            <w14:solidFill>
              <w14:schemeClr w14:val="tx1"/>
            </w14:solidFill>
          </w14:textFill>
        </w:rPr>
        <w:t>的规定</w:t>
      </w:r>
      <w:r>
        <w:rPr>
          <w:rFonts w:hint="eastAsia" w:cs="Times New Roman"/>
          <w:bCs/>
          <w:color w:val="000000" w:themeColor="text1"/>
          <w:szCs w:val="24"/>
          <w:highlight w:val="none"/>
          <w14:textFill>
            <w14:solidFill>
              <w14:schemeClr w14:val="tx1"/>
            </w14:solidFill>
          </w14:textFill>
        </w:rPr>
        <w:t>：“择项目污染源正常排放的主要污染物及排放参数，采用附录A推荐模型中估算模型分别计算项目污染源的最大环境影响，然后按评价工作分级判据进行分级”</w:t>
      </w:r>
      <w:r>
        <w:rPr>
          <w:rFonts w:cs="Times New Roman"/>
          <w:bCs/>
          <w:color w:val="000000" w:themeColor="text1"/>
          <w:szCs w:val="24"/>
          <w:highlight w:val="none"/>
          <w14:textFill>
            <w14:solidFill>
              <w14:schemeClr w14:val="tx1"/>
            </w14:solidFill>
          </w14:textFill>
        </w:rPr>
        <w:t>。</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根据天然气开发项目环境影响特点，大气环境影响为</w:t>
      </w:r>
      <w:r>
        <w:rPr>
          <w:rFonts w:hint="eastAsia" w:cs="Times New Roman"/>
          <w:bCs/>
          <w:color w:val="000000" w:themeColor="text1"/>
          <w:szCs w:val="24"/>
          <w:highlight w:val="none"/>
          <w14:textFill>
            <w14:solidFill>
              <w14:schemeClr w14:val="tx1"/>
            </w14:solidFill>
          </w14:textFill>
        </w:rPr>
        <w:t>施工</w:t>
      </w:r>
      <w:r>
        <w:rPr>
          <w:rFonts w:cs="Times New Roman"/>
          <w:bCs/>
          <w:color w:val="000000" w:themeColor="text1"/>
          <w:szCs w:val="24"/>
          <w:highlight w:val="none"/>
          <w14:textFill>
            <w14:solidFill>
              <w14:schemeClr w14:val="tx1"/>
            </w14:solidFill>
          </w14:textFill>
        </w:rPr>
        <w:t>期间的施工机械、施工车辆产生的尾气、柴油发电机废气，试采期间正常工况下将产生水套加热炉燃烧废气和采气、集输设备检修或事故状态下时产生少量的放空燃烧废气。</w:t>
      </w:r>
      <w:r>
        <w:rPr>
          <w:rFonts w:hint="eastAsia"/>
          <w:bCs/>
          <w:color w:val="000000" w:themeColor="text1"/>
          <w:szCs w:val="24"/>
          <w:highlight w:val="none"/>
          <w14:textFill>
            <w14:solidFill>
              <w14:schemeClr w14:val="tx1"/>
            </w14:solidFill>
          </w14:textFill>
        </w:rPr>
        <w:t>本次评价以试采</w:t>
      </w:r>
      <w:r>
        <w:rPr>
          <w:bCs/>
          <w:color w:val="000000" w:themeColor="text1"/>
          <w:szCs w:val="24"/>
          <w:highlight w:val="none"/>
          <w14:textFill>
            <w14:solidFill>
              <w14:schemeClr w14:val="tx1"/>
            </w14:solidFill>
          </w14:textFill>
        </w:rPr>
        <w:t>期</w:t>
      </w:r>
      <w:r>
        <w:rPr>
          <w:rFonts w:hint="eastAsia"/>
          <w:bCs/>
          <w:color w:val="000000" w:themeColor="text1"/>
          <w:szCs w:val="24"/>
          <w:highlight w:val="none"/>
          <w14:textFill>
            <w14:solidFill>
              <w14:schemeClr w14:val="tx1"/>
            </w14:solidFill>
          </w14:textFill>
        </w:rPr>
        <w:t>使用的</w:t>
      </w:r>
      <w:r>
        <w:rPr>
          <w:rFonts w:hint="eastAsia"/>
          <w:color w:val="000000" w:themeColor="text1"/>
          <w:szCs w:val="24"/>
          <w:highlight w:val="none"/>
          <w14:textFill>
            <w14:solidFill>
              <w14:schemeClr w14:val="tx1"/>
            </w14:solidFill>
          </w14:textFill>
        </w:rPr>
        <w:t>水套炉排放废气</w:t>
      </w:r>
      <w:r>
        <w:rPr>
          <w:rFonts w:hint="eastAsia"/>
          <w:bCs/>
          <w:color w:val="000000" w:themeColor="text1"/>
          <w:szCs w:val="24"/>
          <w:highlight w:val="none"/>
          <w14:textFill>
            <w14:solidFill>
              <w14:schemeClr w14:val="tx1"/>
            </w14:solidFill>
          </w14:textFill>
        </w:rPr>
        <w:t>作为评价依据</w:t>
      </w:r>
      <w:r>
        <w:rPr>
          <w:bCs/>
          <w:color w:val="000000" w:themeColor="text1"/>
          <w:szCs w:val="24"/>
          <w:highlight w:val="none"/>
          <w14:textFill>
            <w14:solidFill>
              <w14:schemeClr w14:val="tx1"/>
            </w14:solidFill>
          </w14:textFill>
        </w:rPr>
        <w:t>。</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评价工作等级按《环境影响评价技术导则大气环境》（HJ2.2-2018）规定的分级判据进行划分（见</w:t>
      </w:r>
      <w:r>
        <w:rPr>
          <w:rFonts w:cs="Times New Roman"/>
          <w:bCs/>
          <w:color w:val="000000" w:themeColor="text1"/>
          <w:szCs w:val="24"/>
          <w:highlight w:val="none"/>
          <w14:textFill>
            <w14:solidFill>
              <w14:schemeClr w14:val="tx1"/>
            </w14:solidFill>
          </w14:textFill>
        </w:rPr>
        <w:fldChar w:fldCharType="begin"/>
      </w:r>
      <w:r>
        <w:rPr>
          <w:rFonts w:cs="Times New Roman"/>
          <w:bCs/>
          <w:color w:val="000000" w:themeColor="text1"/>
          <w:szCs w:val="24"/>
          <w:highlight w:val="none"/>
          <w14:textFill>
            <w14:solidFill>
              <w14:schemeClr w14:val="tx1"/>
            </w14:solidFill>
          </w14:textFill>
        </w:rPr>
        <w:instrText xml:space="preserve"> REF _Ref143334905 \h  \* MERGEFORMAT </w:instrText>
      </w:r>
      <w:r>
        <w:rPr>
          <w:rFonts w:cs="Times New Roman"/>
          <w:bCs/>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2.6</w:t>
      </w:r>
      <w:r>
        <w:rPr>
          <w:color w:val="000000" w:themeColor="text1"/>
          <w:highlight w:val="none"/>
          <w14:textFill>
            <w14:solidFill>
              <w14:schemeClr w14:val="tx1"/>
            </w14:solidFill>
          </w14:textFill>
        </w:rPr>
        <w:noBreakHyphen/>
      </w:r>
      <w:r>
        <w:rPr>
          <w:rFonts w:cs="Times New Roman"/>
          <w:bCs/>
          <w:color w:val="000000" w:themeColor="text1"/>
          <w:szCs w:val="24"/>
          <w:highlight w:val="none"/>
          <w14:textFill>
            <w14:solidFill>
              <w14:schemeClr w14:val="tx1"/>
            </w14:solidFill>
          </w14:textFill>
        </w:rPr>
        <w:fldChar w:fldCharType="end"/>
      </w:r>
      <w:r>
        <w:rPr>
          <w:rFonts w:hint="eastAsia" w:cs="Times New Roman"/>
          <w:bCs/>
          <w:color w:val="000000" w:themeColor="text1"/>
          <w:szCs w:val="24"/>
          <w:highlight w:val="none"/>
          <w14:textFill>
            <w14:solidFill>
              <w14:schemeClr w14:val="tx1"/>
            </w14:solidFill>
          </w14:textFill>
        </w:rPr>
        <w:t>4</w:t>
      </w:r>
      <w:r>
        <w:rPr>
          <w:rFonts w:cs="Times New Roman"/>
          <w:bCs/>
          <w:color w:val="000000" w:themeColor="text1"/>
          <w:szCs w:val="24"/>
          <w:highlight w:val="none"/>
          <w14:textFill>
            <w14:solidFill>
              <w14:schemeClr w14:val="tx1"/>
            </w14:solidFill>
          </w14:textFill>
        </w:rPr>
        <w:t>），如污染物数i大于1，取P中最大值（Pmax）。</w:t>
      </w:r>
    </w:p>
    <w:p>
      <w:pPr>
        <w:pStyle w:val="96"/>
        <w:spacing w:before="120"/>
        <w:rPr>
          <w:color w:val="000000" w:themeColor="text1"/>
          <w:highlight w:val="none"/>
          <w14:textFill>
            <w14:solidFill>
              <w14:schemeClr w14:val="tx1"/>
            </w14:solidFill>
          </w14:textFill>
        </w:rPr>
      </w:pPr>
      <w:bookmarkStart w:id="83" w:name="_Ref143334905"/>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bookmarkEnd w:id="83"/>
      <w:r>
        <w:rPr>
          <w:rFonts w:hint="eastAsia"/>
          <w:color w:val="000000" w:themeColor="text1"/>
          <w:highlight w:val="none"/>
          <w14:textFill>
            <w14:solidFill>
              <w14:schemeClr w14:val="tx1"/>
            </w14:solidFill>
          </w14:textFill>
        </w:rPr>
        <w:t>4大气评价工作等级</w:t>
      </w:r>
    </w:p>
    <w:tbl>
      <w:tblPr>
        <w:tblStyle w:val="41"/>
        <w:tblW w:w="4999" w:type="pct"/>
        <w:jc w:val="center"/>
        <w:tblLayout w:type="autofit"/>
        <w:tblCellMar>
          <w:top w:w="0" w:type="dxa"/>
          <w:left w:w="0" w:type="dxa"/>
          <w:bottom w:w="0" w:type="dxa"/>
          <w:right w:w="0" w:type="dxa"/>
        </w:tblCellMar>
      </w:tblPr>
      <w:tblGrid>
        <w:gridCol w:w="3573"/>
        <w:gridCol w:w="4751"/>
      </w:tblGrid>
      <w:tr>
        <w:tblPrEx>
          <w:tblCellMar>
            <w:top w:w="0" w:type="dxa"/>
            <w:left w:w="0" w:type="dxa"/>
            <w:bottom w:w="0" w:type="dxa"/>
            <w:right w:w="0" w:type="dxa"/>
          </w:tblCellMar>
        </w:tblPrEx>
        <w:trPr>
          <w:tblHeader/>
          <w:jc w:val="center"/>
        </w:trPr>
        <w:tc>
          <w:tcPr>
            <w:tcW w:w="2146" w:type="pct"/>
            <w:tcBorders>
              <w:top w:val="single" w:color="000000" w:sz="6" w:space="0"/>
              <w:left w:val="single" w:color="000000" w:sz="6" w:space="0"/>
              <w:bottom w:val="single" w:color="000000" w:sz="6" w:space="0"/>
              <w:right w:val="single" w:color="000000" w:sz="6"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评价工作等级</w:t>
            </w:r>
          </w:p>
        </w:tc>
        <w:tc>
          <w:tcPr>
            <w:tcW w:w="2853" w:type="pct"/>
            <w:tcBorders>
              <w:top w:val="single" w:color="000000" w:sz="6" w:space="0"/>
              <w:left w:val="single" w:color="000000" w:sz="6" w:space="0"/>
              <w:bottom w:val="single" w:color="000000" w:sz="6" w:space="0"/>
              <w:right w:val="single" w:color="000000" w:sz="6"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评价工作分级判据</w:t>
            </w:r>
          </w:p>
        </w:tc>
      </w:tr>
      <w:tr>
        <w:tblPrEx>
          <w:tblCellMar>
            <w:top w:w="0" w:type="dxa"/>
            <w:left w:w="0" w:type="dxa"/>
            <w:bottom w:w="0" w:type="dxa"/>
            <w:right w:w="0" w:type="dxa"/>
          </w:tblCellMar>
        </w:tblPrEx>
        <w:trPr>
          <w:jc w:val="center"/>
        </w:trPr>
        <w:tc>
          <w:tcPr>
            <w:tcW w:w="2146" w:type="pct"/>
            <w:tcBorders>
              <w:top w:val="single" w:color="000000" w:sz="6" w:space="0"/>
              <w:left w:val="single" w:color="000000" w:sz="6" w:space="0"/>
              <w:bottom w:val="single" w:color="000000" w:sz="6" w:space="0"/>
              <w:right w:val="single" w:color="000000" w:sz="6"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一级</w:t>
            </w:r>
          </w:p>
        </w:tc>
        <w:tc>
          <w:tcPr>
            <w:tcW w:w="2853" w:type="pct"/>
            <w:tcBorders>
              <w:top w:val="single" w:color="000000" w:sz="6" w:space="0"/>
              <w:left w:val="single" w:color="000000" w:sz="6" w:space="0"/>
              <w:bottom w:val="single" w:color="000000" w:sz="6" w:space="0"/>
              <w:right w:val="single" w:color="000000" w:sz="6"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Pmax≥10%</w:t>
            </w:r>
          </w:p>
        </w:tc>
      </w:tr>
      <w:tr>
        <w:tblPrEx>
          <w:tblCellMar>
            <w:top w:w="0" w:type="dxa"/>
            <w:left w:w="0" w:type="dxa"/>
            <w:bottom w:w="0" w:type="dxa"/>
            <w:right w:w="0" w:type="dxa"/>
          </w:tblCellMar>
        </w:tblPrEx>
        <w:trPr>
          <w:jc w:val="center"/>
        </w:trPr>
        <w:tc>
          <w:tcPr>
            <w:tcW w:w="2146" w:type="pct"/>
            <w:tcBorders>
              <w:top w:val="single" w:color="000000" w:sz="6" w:space="0"/>
              <w:left w:val="single" w:color="000000" w:sz="6" w:space="0"/>
              <w:bottom w:val="single" w:color="000000" w:sz="6" w:space="0"/>
              <w:right w:val="single" w:color="000000" w:sz="6"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c>
          <w:tcPr>
            <w:tcW w:w="2853" w:type="pct"/>
            <w:tcBorders>
              <w:top w:val="single" w:color="000000" w:sz="6" w:space="0"/>
              <w:left w:val="single" w:color="000000" w:sz="6" w:space="0"/>
              <w:bottom w:val="single" w:color="000000" w:sz="6" w:space="0"/>
              <w:right w:val="single" w:color="000000" w:sz="6"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1%≤Pmax＜10%</w:t>
            </w:r>
          </w:p>
        </w:tc>
      </w:tr>
      <w:tr>
        <w:tblPrEx>
          <w:tblCellMar>
            <w:top w:w="0" w:type="dxa"/>
            <w:left w:w="0" w:type="dxa"/>
            <w:bottom w:w="0" w:type="dxa"/>
            <w:right w:w="0" w:type="dxa"/>
          </w:tblCellMar>
        </w:tblPrEx>
        <w:trPr>
          <w:jc w:val="center"/>
        </w:trPr>
        <w:tc>
          <w:tcPr>
            <w:tcW w:w="2146" w:type="pct"/>
            <w:tcBorders>
              <w:top w:val="single" w:color="000000" w:sz="6" w:space="0"/>
              <w:left w:val="single" w:color="000000" w:sz="6" w:space="0"/>
              <w:bottom w:val="single" w:color="000000" w:sz="6" w:space="0"/>
              <w:right w:val="single" w:color="000000" w:sz="6"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w:t>
            </w:r>
          </w:p>
        </w:tc>
        <w:tc>
          <w:tcPr>
            <w:tcW w:w="2853" w:type="pct"/>
            <w:tcBorders>
              <w:top w:val="single" w:color="000000" w:sz="6" w:space="0"/>
              <w:left w:val="single" w:color="000000" w:sz="6" w:space="0"/>
              <w:bottom w:val="single" w:color="000000" w:sz="6" w:space="0"/>
              <w:right w:val="single" w:color="000000" w:sz="6"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w:t>
            </w:r>
            <w:r>
              <w:rPr>
                <w:color w:val="000000" w:themeColor="text1"/>
                <w:position w:val="-1"/>
                <w:highlight w:val="none"/>
                <w14:textFill>
                  <w14:solidFill>
                    <w14:schemeClr w14:val="tx1"/>
                  </w14:solidFill>
                </w14:textFill>
              </w:rPr>
              <w:t>max</w:t>
            </w:r>
            <w:r>
              <w:rPr>
                <w:color w:val="000000" w:themeColor="text1"/>
                <w:highlight w:val="none"/>
                <w14:textFill>
                  <w14:solidFill>
                    <w14:schemeClr w14:val="tx1"/>
                  </w14:solidFill>
                </w14:textFill>
              </w:rPr>
              <w:t>＜1%</w:t>
            </w:r>
          </w:p>
        </w:tc>
      </w:tr>
    </w:tbl>
    <w:p>
      <w:pPr>
        <w:pStyle w:val="19"/>
        <w:tabs>
          <w:tab w:val="left" w:pos="863"/>
        </w:tabs>
        <w:spacing w:before="0"/>
        <w:ind w:left="0" w:firstLine="420"/>
        <w:jc w:val="center"/>
        <w:rPr>
          <w:rFonts w:ascii="Times New Roman" w:hAnsi="Times New Roman" w:eastAsia="黑体"/>
          <w:color w:val="000000" w:themeColor="text1"/>
          <w:sz w:val="21"/>
          <w:szCs w:val="21"/>
          <w:highlight w:val="none"/>
          <w:lang w:eastAsia="zh-CN"/>
          <w14:textFill>
            <w14:solidFill>
              <w14:schemeClr w14:val="tx1"/>
            </w14:solidFill>
          </w14:textFill>
        </w:rPr>
      </w:pPr>
      <w:r>
        <w:rPr>
          <w:rFonts w:ascii="Times New Roman" w:hAnsi="Times New Roman" w:eastAsia="黑体"/>
          <w:color w:val="000000" w:themeColor="text1"/>
          <w:sz w:val="21"/>
          <w:szCs w:val="21"/>
          <w:highlight w:val="none"/>
          <w:lang w:eastAsia="zh-CN"/>
          <w14:textFill>
            <w14:solidFill>
              <w14:schemeClr w14:val="tx1"/>
            </w14:solidFill>
          </w14:textFill>
        </w:rPr>
        <w:t>表2.6-5主要大气污染物估算模型计算结果表</w:t>
      </w:r>
    </w:p>
    <w:tbl>
      <w:tblPr>
        <w:tblStyle w:val="4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86"/>
        <w:gridCol w:w="849"/>
        <w:gridCol w:w="1818"/>
        <w:gridCol w:w="1844"/>
        <w:gridCol w:w="1226"/>
        <w:gridCol w:w="1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0" w:type="auto"/>
            <w:shd w:val="clear" w:color="auto" w:fill="auto"/>
            <w:vAlign w:val="center"/>
          </w:tcPr>
          <w:p>
            <w:pPr>
              <w:pStyle w:val="202"/>
              <w:rPr>
                <w:rFonts w:eastAsia="黑体" w:cs="Times New Roman"/>
                <w:b/>
                <w:bCs/>
                <w:color w:val="000000" w:themeColor="text1"/>
                <w:highlight w:val="none"/>
                <w14:textFill>
                  <w14:solidFill>
                    <w14:schemeClr w14:val="tx1"/>
                  </w14:solidFill>
                </w14:textFill>
              </w:rPr>
            </w:pPr>
            <w:r>
              <w:rPr>
                <w:rFonts w:eastAsia="黑体" w:cs="Times New Roman"/>
                <w:b/>
                <w:bCs/>
                <w:color w:val="000000" w:themeColor="text1"/>
                <w:highlight w:val="none"/>
                <w14:textFill>
                  <w14:solidFill>
                    <w14:schemeClr w14:val="tx1"/>
                  </w14:solidFill>
                </w14:textFill>
              </w:rPr>
              <w:t>污染源</w:t>
            </w:r>
          </w:p>
        </w:tc>
        <w:tc>
          <w:tcPr>
            <w:tcW w:w="0" w:type="auto"/>
            <w:shd w:val="clear" w:color="auto" w:fill="auto"/>
            <w:vAlign w:val="center"/>
          </w:tcPr>
          <w:p>
            <w:pPr>
              <w:pStyle w:val="202"/>
              <w:rPr>
                <w:rFonts w:eastAsia="黑体" w:cs="Times New Roman"/>
                <w:b/>
                <w:bCs/>
                <w:color w:val="000000" w:themeColor="text1"/>
                <w:highlight w:val="none"/>
                <w14:textFill>
                  <w14:solidFill>
                    <w14:schemeClr w14:val="tx1"/>
                  </w14:solidFill>
                </w14:textFill>
              </w:rPr>
            </w:pPr>
            <w:r>
              <w:rPr>
                <w:rFonts w:eastAsia="黑体" w:cs="Times New Roman"/>
                <w:b/>
                <w:bCs/>
                <w:color w:val="000000" w:themeColor="text1"/>
                <w:highlight w:val="none"/>
                <w14:textFill>
                  <w14:solidFill>
                    <w14:schemeClr w14:val="tx1"/>
                  </w14:solidFill>
                </w14:textFill>
              </w:rPr>
              <w:t>污染物</w:t>
            </w:r>
          </w:p>
        </w:tc>
        <w:tc>
          <w:tcPr>
            <w:tcW w:w="1818" w:type="dxa"/>
            <w:shd w:val="clear" w:color="auto" w:fill="auto"/>
            <w:vAlign w:val="center"/>
          </w:tcPr>
          <w:p>
            <w:pPr>
              <w:pStyle w:val="202"/>
              <w:rPr>
                <w:rFonts w:eastAsia="黑体" w:cs="Times New Roman"/>
                <w:b/>
                <w:bCs/>
                <w:color w:val="000000" w:themeColor="text1"/>
                <w:highlight w:val="none"/>
                <w14:textFill>
                  <w14:solidFill>
                    <w14:schemeClr w14:val="tx1"/>
                  </w14:solidFill>
                </w14:textFill>
              </w:rPr>
            </w:pPr>
            <w:r>
              <w:rPr>
                <w:rFonts w:eastAsia="黑体" w:cs="Times New Roman"/>
                <w:b/>
                <w:bCs/>
                <w:color w:val="000000" w:themeColor="text1"/>
                <w:highlight w:val="none"/>
                <w14:textFill>
                  <w14:solidFill>
                    <w14:schemeClr w14:val="tx1"/>
                  </w14:solidFill>
                </w14:textFill>
              </w:rPr>
              <w:t>最大落地浓度</w:t>
            </w:r>
          </w:p>
          <w:p>
            <w:pPr>
              <w:pStyle w:val="202"/>
              <w:rPr>
                <w:rFonts w:eastAsia="黑体" w:cs="Times New Roman"/>
                <w:b/>
                <w:bCs/>
                <w:color w:val="000000" w:themeColor="text1"/>
                <w:highlight w:val="none"/>
                <w14:textFill>
                  <w14:solidFill>
                    <w14:schemeClr w14:val="tx1"/>
                  </w14:solidFill>
                </w14:textFill>
              </w:rPr>
            </w:pPr>
            <w:r>
              <w:rPr>
                <w:rFonts w:eastAsia="黑体" w:cs="Times New Roman"/>
                <w:b/>
                <w:bCs/>
                <w:color w:val="000000" w:themeColor="text1"/>
                <w:highlight w:val="none"/>
                <w14:textFill>
                  <w14:solidFill>
                    <w14:schemeClr w14:val="tx1"/>
                  </w14:solidFill>
                </w14:textFill>
              </w:rPr>
              <w:t>C</w:t>
            </w:r>
            <w:r>
              <w:rPr>
                <w:rFonts w:eastAsia="黑体" w:cs="Times New Roman"/>
                <w:b/>
                <w:bCs/>
                <w:color w:val="000000" w:themeColor="text1"/>
                <w:highlight w:val="none"/>
                <w:vertAlign w:val="subscript"/>
                <w14:textFill>
                  <w14:solidFill>
                    <w14:schemeClr w14:val="tx1"/>
                  </w14:solidFill>
                </w14:textFill>
              </w:rPr>
              <w:t>i</w:t>
            </w:r>
            <w:r>
              <w:rPr>
                <w:rFonts w:eastAsia="黑体" w:cs="Times New Roman"/>
                <w:b/>
                <w:bCs/>
                <w:color w:val="000000" w:themeColor="text1"/>
                <w:highlight w:val="none"/>
                <w14:textFill>
                  <w14:solidFill>
                    <w14:schemeClr w14:val="tx1"/>
                  </w14:solidFill>
                </w14:textFill>
              </w:rPr>
              <w:t>（μg/m</w:t>
            </w:r>
            <w:r>
              <w:rPr>
                <w:rFonts w:eastAsia="黑体" w:cs="Times New Roman"/>
                <w:b/>
                <w:bCs/>
                <w:color w:val="000000" w:themeColor="text1"/>
                <w:highlight w:val="none"/>
                <w:vertAlign w:val="superscript"/>
                <w14:textFill>
                  <w14:solidFill>
                    <w14:schemeClr w14:val="tx1"/>
                  </w14:solidFill>
                </w14:textFill>
              </w:rPr>
              <w:t>3</w:t>
            </w:r>
            <w:r>
              <w:rPr>
                <w:rFonts w:eastAsia="黑体" w:cs="Times New Roman"/>
                <w:b/>
                <w:bCs/>
                <w:color w:val="000000" w:themeColor="text1"/>
                <w:highlight w:val="none"/>
                <w14:textFill>
                  <w14:solidFill>
                    <w14:schemeClr w14:val="tx1"/>
                  </w14:solidFill>
                </w14:textFill>
              </w:rPr>
              <w:t>）</w:t>
            </w:r>
          </w:p>
        </w:tc>
        <w:tc>
          <w:tcPr>
            <w:tcW w:w="1844" w:type="dxa"/>
            <w:vAlign w:val="center"/>
          </w:tcPr>
          <w:p>
            <w:pPr>
              <w:pStyle w:val="202"/>
              <w:rPr>
                <w:rFonts w:eastAsia="黑体" w:cs="Times New Roman"/>
                <w:b/>
                <w:bCs/>
                <w:color w:val="000000" w:themeColor="text1"/>
                <w:highlight w:val="none"/>
                <w14:textFill>
                  <w14:solidFill>
                    <w14:schemeClr w14:val="tx1"/>
                  </w14:solidFill>
                </w14:textFill>
              </w:rPr>
            </w:pPr>
            <w:r>
              <w:rPr>
                <w:rFonts w:eastAsia="黑体" w:cs="Times New Roman"/>
                <w:b/>
                <w:bCs/>
                <w:color w:val="000000" w:themeColor="text1"/>
                <w:highlight w:val="none"/>
                <w14:textFill>
                  <w14:solidFill>
                    <w14:schemeClr w14:val="tx1"/>
                  </w14:solidFill>
                </w14:textFill>
              </w:rPr>
              <w:t>环境标准C</w:t>
            </w:r>
            <w:r>
              <w:rPr>
                <w:rFonts w:eastAsia="黑体" w:cs="Times New Roman"/>
                <w:b/>
                <w:bCs/>
                <w:color w:val="000000" w:themeColor="text1"/>
                <w:highlight w:val="none"/>
                <w:vertAlign w:val="subscript"/>
                <w14:textFill>
                  <w14:solidFill>
                    <w14:schemeClr w14:val="tx1"/>
                  </w14:solidFill>
                </w14:textFill>
              </w:rPr>
              <w:t>0i</w:t>
            </w:r>
            <w:r>
              <w:rPr>
                <w:rFonts w:eastAsia="黑体" w:cs="Times New Roman"/>
                <w:b/>
                <w:bCs/>
                <w:color w:val="000000" w:themeColor="text1"/>
                <w:highlight w:val="none"/>
                <w14:textFill>
                  <w14:solidFill>
                    <w14:schemeClr w14:val="tx1"/>
                  </w14:solidFill>
                </w14:textFill>
              </w:rPr>
              <w:t>（μg/m</w:t>
            </w:r>
            <w:r>
              <w:rPr>
                <w:rFonts w:eastAsia="黑体" w:cs="Times New Roman"/>
                <w:b/>
                <w:bCs/>
                <w:color w:val="000000" w:themeColor="text1"/>
                <w:highlight w:val="none"/>
                <w:vertAlign w:val="superscript"/>
                <w14:textFill>
                  <w14:solidFill>
                    <w14:schemeClr w14:val="tx1"/>
                  </w14:solidFill>
                </w14:textFill>
              </w:rPr>
              <w:t>3</w:t>
            </w:r>
            <w:r>
              <w:rPr>
                <w:rFonts w:eastAsia="黑体" w:cs="Times New Roman"/>
                <w:b/>
                <w:bCs/>
                <w:color w:val="000000" w:themeColor="text1"/>
                <w:highlight w:val="none"/>
                <w14:textFill>
                  <w14:solidFill>
                    <w14:schemeClr w14:val="tx1"/>
                  </w14:solidFill>
                </w14:textFill>
              </w:rPr>
              <w:t>）</w:t>
            </w:r>
          </w:p>
        </w:tc>
        <w:tc>
          <w:tcPr>
            <w:tcW w:w="0" w:type="auto"/>
            <w:shd w:val="clear" w:color="auto" w:fill="auto"/>
            <w:vAlign w:val="center"/>
          </w:tcPr>
          <w:p>
            <w:pPr>
              <w:pStyle w:val="202"/>
              <w:rPr>
                <w:rFonts w:eastAsia="黑体" w:cs="Times New Roman"/>
                <w:b/>
                <w:bCs/>
                <w:color w:val="000000" w:themeColor="text1"/>
                <w:highlight w:val="none"/>
                <w14:textFill>
                  <w14:solidFill>
                    <w14:schemeClr w14:val="tx1"/>
                  </w14:solidFill>
                </w14:textFill>
              </w:rPr>
            </w:pPr>
            <w:r>
              <w:rPr>
                <w:rFonts w:eastAsia="黑体" w:cs="Times New Roman"/>
                <w:b/>
                <w:bCs/>
                <w:color w:val="000000" w:themeColor="text1"/>
                <w:highlight w:val="none"/>
                <w14:textFill>
                  <w14:solidFill>
                    <w14:schemeClr w14:val="tx1"/>
                  </w14:solidFill>
                </w14:textFill>
              </w:rPr>
              <w:t>P</w:t>
            </w:r>
            <w:r>
              <w:rPr>
                <w:rFonts w:eastAsia="黑体" w:cs="Times New Roman"/>
                <w:b/>
                <w:bCs/>
                <w:color w:val="000000" w:themeColor="text1"/>
                <w:highlight w:val="none"/>
                <w:vertAlign w:val="subscript"/>
                <w14:textFill>
                  <w14:solidFill>
                    <w14:schemeClr w14:val="tx1"/>
                  </w14:solidFill>
                </w14:textFill>
              </w:rPr>
              <w:t>max</w:t>
            </w:r>
            <w:r>
              <w:rPr>
                <w:rFonts w:eastAsia="黑体" w:cs="Times New Roman"/>
                <w:b/>
                <w:bCs/>
                <w:color w:val="000000" w:themeColor="text1"/>
                <w:highlight w:val="none"/>
                <w14:textFill>
                  <w14:solidFill>
                    <w14:schemeClr w14:val="tx1"/>
                  </w14:solidFill>
                </w14:textFill>
              </w:rPr>
              <w:t>（%）</w:t>
            </w:r>
          </w:p>
        </w:tc>
        <w:tc>
          <w:tcPr>
            <w:tcW w:w="0" w:type="auto"/>
            <w:vAlign w:val="center"/>
          </w:tcPr>
          <w:p>
            <w:pPr>
              <w:pStyle w:val="202"/>
              <w:rPr>
                <w:rFonts w:eastAsia="黑体" w:cs="Times New Roman"/>
                <w:b/>
                <w:bCs/>
                <w:color w:val="000000" w:themeColor="text1"/>
                <w:highlight w:val="none"/>
                <w14:textFill>
                  <w14:solidFill>
                    <w14:schemeClr w14:val="tx1"/>
                  </w14:solidFill>
                </w14:textFill>
              </w:rPr>
            </w:pPr>
            <w:r>
              <w:rPr>
                <w:rFonts w:eastAsia="黑体" w:cs="Times New Roman"/>
                <w:b/>
                <w:bCs/>
                <w:color w:val="000000" w:themeColor="text1"/>
                <w:highlight w:val="none"/>
                <w14:textFill>
                  <w14:solidFill>
                    <w14:schemeClr w14:val="tx1"/>
                  </w14:solidFill>
                </w14:textFill>
              </w:rPr>
              <w:t>评价等级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0" w:type="auto"/>
            <w:vMerge w:val="restart"/>
            <w:shd w:val="clear" w:color="auto" w:fill="auto"/>
            <w:vAlign w:val="center"/>
          </w:tcPr>
          <w:p>
            <w:pPr>
              <w:pStyle w:val="202"/>
              <w:rPr>
                <w:rFonts w:eastAsia="黑体" w:cs="Times New Roman"/>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水套炉</w:t>
            </w:r>
            <w:r>
              <w:rPr>
                <w:rFonts w:cs="Times New Roman"/>
                <w:bCs/>
                <w:color w:val="000000" w:themeColor="text1"/>
                <w:highlight w:val="none"/>
                <w14:textFill>
                  <w14:solidFill>
                    <w14:schemeClr w14:val="tx1"/>
                  </w14:solidFill>
                </w14:textFill>
              </w:rPr>
              <w:t>燃烧废气</w:t>
            </w:r>
          </w:p>
        </w:tc>
        <w:tc>
          <w:tcPr>
            <w:tcW w:w="0" w:type="auto"/>
            <w:shd w:val="clear" w:color="auto" w:fill="auto"/>
            <w:vAlign w:val="center"/>
          </w:tcPr>
          <w:p>
            <w:pPr>
              <w:pStyle w:val="202"/>
              <w:rPr>
                <w:rFonts w:eastAsia="黑体" w:cs="Times New Roman"/>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颗粒物</w:t>
            </w:r>
          </w:p>
        </w:tc>
        <w:tc>
          <w:tcPr>
            <w:tcW w:w="1818" w:type="dxa"/>
            <w:shd w:val="clear" w:color="auto" w:fill="auto"/>
            <w:vAlign w:val="center"/>
          </w:tcPr>
          <w:p>
            <w:pPr>
              <w:spacing w:before="12" w:beforeLines="5" w:after="12" w:afterLines="5" w:line="240" w:lineRule="exact"/>
              <w:ind w:left="-72" w:leftChars="-30" w:right="-72" w:rightChars="-30" w:firstLine="0" w:firstLineChars="0"/>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2.88</w:t>
            </w:r>
          </w:p>
        </w:tc>
        <w:tc>
          <w:tcPr>
            <w:tcW w:w="1844" w:type="dxa"/>
            <w:vAlign w:val="center"/>
          </w:tcPr>
          <w:p>
            <w:pPr>
              <w:spacing w:before="12" w:beforeLines="5" w:after="12" w:afterLines="5" w:line="240" w:lineRule="exact"/>
              <w:ind w:left="-72" w:leftChars="-30" w:right="-72" w:rightChars="-30" w:firstLine="0" w:firstLineChars="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900</w:t>
            </w:r>
          </w:p>
        </w:tc>
        <w:tc>
          <w:tcPr>
            <w:tcW w:w="0" w:type="auto"/>
            <w:shd w:val="clear" w:color="auto" w:fill="auto"/>
            <w:vAlign w:val="center"/>
          </w:tcPr>
          <w:p>
            <w:pPr>
              <w:spacing w:before="12" w:beforeLines="5" w:after="12" w:afterLines="5" w:line="240" w:lineRule="exact"/>
              <w:ind w:left="-72" w:leftChars="-30" w:right="-72" w:rightChars="-30" w:firstLine="0" w:firstLineChars="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0</w:t>
            </w:r>
            <w:r>
              <w:rPr>
                <w:rFonts w:hint="eastAsia"/>
                <w:bCs/>
                <w:color w:val="000000" w:themeColor="text1"/>
                <w:sz w:val="21"/>
                <w:szCs w:val="21"/>
                <w:highlight w:val="none"/>
                <w14:textFill>
                  <w14:solidFill>
                    <w14:schemeClr w14:val="tx1"/>
                  </w14:solidFill>
                </w14:textFill>
              </w:rPr>
              <w:t>.32</w:t>
            </w:r>
          </w:p>
        </w:tc>
        <w:tc>
          <w:tcPr>
            <w:tcW w:w="0" w:type="auto"/>
            <w:vAlign w:val="center"/>
          </w:tcPr>
          <w:p>
            <w:pPr>
              <w:spacing w:before="12" w:beforeLines="5" w:after="12" w:afterLines="5" w:line="240" w:lineRule="exact"/>
              <w:ind w:left="-72" w:leftChars="-30" w:right="-72" w:rightChars="-30" w:firstLine="0" w:firstLineChars="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0" w:type="auto"/>
            <w:vMerge w:val="continue"/>
            <w:shd w:val="clear" w:color="auto" w:fill="auto"/>
            <w:vAlign w:val="center"/>
          </w:tcPr>
          <w:p>
            <w:pPr>
              <w:pStyle w:val="202"/>
              <w:rPr>
                <w:rFonts w:cs="Times New Roman"/>
                <w:bCs/>
                <w:color w:val="000000" w:themeColor="text1"/>
                <w:highlight w:val="none"/>
                <w14:textFill>
                  <w14:solidFill>
                    <w14:schemeClr w14:val="tx1"/>
                  </w14:solidFill>
                </w14:textFill>
              </w:rPr>
            </w:pPr>
          </w:p>
        </w:tc>
        <w:tc>
          <w:tcPr>
            <w:tcW w:w="0" w:type="auto"/>
            <w:shd w:val="clear" w:color="auto" w:fill="auto"/>
            <w:vAlign w:val="center"/>
          </w:tcPr>
          <w:p>
            <w:pPr>
              <w:pStyle w:val="202"/>
              <w:rPr>
                <w:rFonts w:eastAsia="黑体" w:cs="Times New Roman"/>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NO</w:t>
            </w:r>
            <w:r>
              <w:rPr>
                <w:rFonts w:cs="Times New Roman"/>
                <w:bCs/>
                <w:color w:val="000000" w:themeColor="text1"/>
                <w:highlight w:val="none"/>
                <w:vertAlign w:val="subscript"/>
                <w14:textFill>
                  <w14:solidFill>
                    <w14:schemeClr w14:val="tx1"/>
                  </w14:solidFill>
                </w14:textFill>
              </w:rPr>
              <w:t>X</w:t>
            </w:r>
          </w:p>
        </w:tc>
        <w:tc>
          <w:tcPr>
            <w:tcW w:w="1818" w:type="dxa"/>
            <w:shd w:val="clear" w:color="auto" w:fill="auto"/>
            <w:vAlign w:val="center"/>
          </w:tcPr>
          <w:p>
            <w:pPr>
              <w:spacing w:before="12" w:beforeLines="5" w:after="12" w:afterLines="5" w:line="240" w:lineRule="exact"/>
              <w:ind w:left="-72" w:leftChars="-30" w:right="-72" w:rightChars="-30" w:firstLine="0" w:firstLineChars="0"/>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18.6</w:t>
            </w:r>
          </w:p>
        </w:tc>
        <w:tc>
          <w:tcPr>
            <w:tcW w:w="1844" w:type="dxa"/>
            <w:vAlign w:val="center"/>
          </w:tcPr>
          <w:p>
            <w:pPr>
              <w:spacing w:before="12" w:beforeLines="5" w:after="12" w:afterLines="5" w:line="240" w:lineRule="exact"/>
              <w:ind w:left="-72" w:leftChars="-30" w:right="-72" w:rightChars="-30" w:firstLine="0" w:firstLineChars="0"/>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250</w:t>
            </w:r>
          </w:p>
        </w:tc>
        <w:tc>
          <w:tcPr>
            <w:tcW w:w="0" w:type="auto"/>
            <w:shd w:val="clear" w:color="auto" w:fill="auto"/>
            <w:vAlign w:val="center"/>
          </w:tcPr>
          <w:p>
            <w:pPr>
              <w:spacing w:before="12" w:beforeLines="5" w:after="12" w:afterLines="5" w:line="240" w:lineRule="exact"/>
              <w:ind w:left="-72" w:leftChars="-30" w:right="-72" w:rightChars="-30" w:firstLine="0" w:firstLineChars="0"/>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7.44</w:t>
            </w:r>
          </w:p>
        </w:tc>
        <w:tc>
          <w:tcPr>
            <w:tcW w:w="0" w:type="auto"/>
            <w:vAlign w:val="center"/>
          </w:tcPr>
          <w:p>
            <w:pPr>
              <w:spacing w:before="12" w:beforeLines="5" w:after="12" w:afterLines="5" w:line="240" w:lineRule="exact"/>
              <w:ind w:left="-72" w:leftChars="-30" w:right="-72" w:rightChars="-30" w:firstLine="0" w:firstLineChars="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二级</w:t>
            </w:r>
          </w:p>
        </w:tc>
      </w:tr>
    </w:tbl>
    <w:p>
      <w:pPr>
        <w:tabs>
          <w:tab w:val="left" w:pos="0"/>
        </w:tabs>
        <w:spacing w:before="120" w:beforeLines="50"/>
        <w:ind w:firstLine="480"/>
        <w:rPr>
          <w:rFonts w:cs="Times New Roman"/>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根据表2.6-5判定结果，本项目各污染源废气最大地面环境空气质量浓度占标率</w:t>
      </w:r>
      <w:r>
        <w:rPr>
          <w:rFonts w:hint="eastAsia"/>
          <w:bCs/>
          <w:color w:val="000000" w:themeColor="text1"/>
          <w:szCs w:val="24"/>
          <w:highlight w:val="none"/>
          <w14:textFill>
            <w14:solidFill>
              <w14:schemeClr w14:val="tx1"/>
            </w14:solidFill>
          </w14:textFill>
        </w:rPr>
        <w:t>大于1</w:t>
      </w:r>
      <w:r>
        <w:rPr>
          <w:bCs/>
          <w:color w:val="000000" w:themeColor="text1"/>
          <w:szCs w:val="24"/>
          <w:highlight w:val="none"/>
          <w14:textFill>
            <w14:solidFill>
              <w14:schemeClr w14:val="tx1"/>
            </w14:solidFill>
          </w14:textFill>
        </w:rPr>
        <w:t>%</w:t>
      </w:r>
      <w:r>
        <w:rPr>
          <w:rFonts w:hint="eastAsia"/>
          <w:bCs/>
          <w:color w:val="000000" w:themeColor="text1"/>
          <w:szCs w:val="24"/>
          <w:highlight w:val="none"/>
          <w14:textFill>
            <w14:solidFill>
              <w14:schemeClr w14:val="tx1"/>
            </w14:solidFill>
          </w14:textFill>
        </w:rPr>
        <w:t>且</w:t>
      </w:r>
      <w:r>
        <w:rPr>
          <w:bCs/>
          <w:color w:val="000000" w:themeColor="text1"/>
          <w:szCs w:val="24"/>
          <w:highlight w:val="none"/>
          <w14:textFill>
            <w14:solidFill>
              <w14:schemeClr w14:val="tx1"/>
            </w14:solidFill>
          </w14:textFill>
        </w:rPr>
        <w:t>小于10%，根据《环境影响评价技术导则大气环境》（HJ2.2-2018）分级判据，确定本项目整体环境空气评价等级为二级</w:t>
      </w:r>
      <w:r>
        <w:rPr>
          <w:rFonts w:cs="Times New Roman"/>
          <w:bCs/>
          <w:color w:val="000000" w:themeColor="text1"/>
          <w:szCs w:val="24"/>
          <w:highlight w:val="none"/>
          <w14:textFill>
            <w14:solidFill>
              <w14:schemeClr w14:val="tx1"/>
            </w14:solidFill>
          </w14:textFill>
        </w:rPr>
        <w:t>。</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（2）评价范围</w:t>
      </w:r>
    </w:p>
    <w:p>
      <w:pPr>
        <w:tabs>
          <w:tab w:val="left" w:pos="0"/>
        </w:tabs>
        <w:ind w:firstLine="480"/>
        <w:rPr>
          <w:rFonts w:cs="Times New Roman"/>
          <w:color w:val="000000" w:themeColor="text1"/>
          <w:szCs w:val="24"/>
          <w:highlight w:val="none"/>
          <w14:textFill>
            <w14:solidFill>
              <w14:schemeClr w14:val="tx1"/>
            </w14:solidFill>
          </w14:textFill>
        </w:rPr>
      </w:pPr>
      <w:r>
        <w:rPr>
          <w:rFonts w:hint="eastAsia"/>
          <w:bCs/>
          <w:color w:val="000000" w:themeColor="text1"/>
          <w:szCs w:val="24"/>
          <w:highlight w:val="none"/>
          <w14:textFill>
            <w14:solidFill>
              <w14:schemeClr w14:val="tx1"/>
            </w14:solidFill>
          </w14:textFill>
        </w:rPr>
        <w:t>根据《环境影响评价技术导则大气环境》（HJ2.2-2018），集输管道正常工况下无废气产生，本次大气环境评价范围为以雷页1井试采站所在地为中心点，边长为5.0km的矩形区域，总评价范围约25km</w:t>
      </w:r>
      <w:r>
        <w:rPr>
          <w:rFonts w:hint="eastAsia"/>
          <w:bCs/>
          <w:color w:val="000000" w:themeColor="text1"/>
          <w:szCs w:val="24"/>
          <w:highlight w:val="none"/>
          <w:vertAlign w:val="superscript"/>
          <w14:textFill>
            <w14:solidFill>
              <w14:schemeClr w14:val="tx1"/>
            </w14:solidFill>
          </w14:textFill>
        </w:rPr>
        <w:t>2</w:t>
      </w:r>
      <w:r>
        <w:rPr>
          <w:rFonts w:hint="eastAsia"/>
          <w:bCs/>
          <w:color w:val="000000" w:themeColor="text1"/>
          <w:szCs w:val="24"/>
          <w:highlight w:val="none"/>
          <w14:textFill>
            <w14:solidFill>
              <w14:schemeClr w14:val="tx1"/>
            </w14:solidFill>
          </w14:textFill>
        </w:rPr>
        <w:t>。管线运营期无废气产生，管线评价范围为沿线200m的范围。</w:t>
      </w:r>
    </w:p>
    <w:p>
      <w:pPr>
        <w:pStyle w:val="6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5276850" cy="3489325"/>
            <wp:effectExtent l="0" t="0" r="0" b="0"/>
            <wp:docPr id="16102113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211391" name="图片 1"/>
                    <pic:cNvPicPr>
                      <a:picLocks noChangeAspect="1"/>
                    </pic:cNvPicPr>
                  </pic:nvPicPr>
                  <pic:blipFill>
                    <a:blip r:embed="rId20"/>
                    <a:stretch>
                      <a:fillRect/>
                    </a:stretch>
                  </pic:blipFill>
                  <pic:spPr>
                    <a:xfrm>
                      <a:off x="0" y="0"/>
                      <a:ext cx="5276850" cy="3489325"/>
                    </a:xfrm>
                    <a:prstGeom prst="rect">
                      <a:avLst/>
                    </a:prstGeom>
                  </pic:spPr>
                </pic:pic>
              </a:graphicData>
            </a:graphic>
          </wp:inline>
        </w:drawing>
      </w:r>
    </w:p>
    <w:p>
      <w:pPr>
        <w:pStyle w:val="14"/>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项目大气环境影响评价范围</w:t>
      </w:r>
    </w:p>
    <w:p>
      <w:pPr>
        <w:pStyle w:val="5"/>
        <w:spacing w:before="120"/>
        <w:ind w:firstLine="480"/>
        <w:rPr>
          <w:b/>
          <w:color w:val="000000" w:themeColor="text1"/>
          <w:highlight w:val="none"/>
          <w:lang w:eastAsia="zh-CN"/>
          <w14:textFill>
            <w14:solidFill>
              <w14:schemeClr w14:val="tx1"/>
            </w14:solidFill>
          </w14:textFill>
        </w:rPr>
      </w:pPr>
      <w:bookmarkStart w:id="84" w:name="_Toc120173073"/>
      <w:r>
        <w:rPr>
          <w:color w:val="000000" w:themeColor="text1"/>
          <w:highlight w:val="none"/>
          <w:lang w:eastAsia="zh-CN"/>
          <w14:textFill>
            <w14:solidFill>
              <w14:schemeClr w14:val="tx1"/>
            </w14:solidFill>
          </w14:textFill>
        </w:rPr>
        <w:t>声环境</w:t>
      </w:r>
      <w:bookmarkEnd w:id="84"/>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（1）评价工作等级</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环境影响评价技术导则声环境》（HJ2.4-2021）规定，声环境评价等级的划分依据建设项目所在区域的声环境功能区类别，建设项目建设前后所在区域的声环境质量变化程度，受建设项目影响人口的数量。本项目位于《声环境质量标准》（GB3096-2008）2类区域，试采站内设备噪声小，项目建设前后噪声级增加较小，且受影响人口变化不大。</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因此，参照《环境影响评价技术导则声环境》（HJ2.4-2021）第5条的规定，本工程的声环境影响评价工作等级定为二级。</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声环境评价等级判别表</w:t>
      </w:r>
    </w:p>
    <w:tbl>
      <w:tblPr>
        <w:tblStyle w:val="41"/>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63"/>
        <w:gridCol w:w="2268"/>
        <w:gridCol w:w="2513"/>
        <w:gridCol w:w="11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划分依据</w:t>
            </w:r>
          </w:p>
        </w:tc>
        <w:tc>
          <w:tcPr>
            <w:tcW w:w="2268"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项目情况</w:t>
            </w:r>
          </w:p>
        </w:tc>
        <w:tc>
          <w:tcPr>
            <w:tcW w:w="251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影响识别</w:t>
            </w:r>
          </w:p>
        </w:tc>
        <w:tc>
          <w:tcPr>
            <w:tcW w:w="1178"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评级等级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区域声环境功能区类别</w:t>
            </w:r>
          </w:p>
        </w:tc>
        <w:tc>
          <w:tcPr>
            <w:tcW w:w="226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农村地区</w:t>
            </w:r>
          </w:p>
        </w:tc>
        <w:tc>
          <w:tcPr>
            <w:tcW w:w="251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2类地区</w:t>
            </w:r>
          </w:p>
        </w:tc>
        <w:tc>
          <w:tcPr>
            <w:tcW w:w="1178"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本项目建设前后所在区域的声环境质量变化程度</w:t>
            </w:r>
          </w:p>
        </w:tc>
        <w:tc>
          <w:tcPr>
            <w:tcW w:w="2268"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试采期</w:t>
            </w:r>
            <w:r>
              <w:rPr>
                <w:color w:val="000000" w:themeColor="text1"/>
                <w:highlight w:val="none"/>
                <w14:textFill>
                  <w14:solidFill>
                    <w14:schemeClr w14:val="tx1"/>
                  </w14:solidFill>
                </w14:textFill>
              </w:rPr>
              <w:t>厂界噪声达标，区域声环境质量变化程度小</w:t>
            </w:r>
          </w:p>
        </w:tc>
        <w:tc>
          <w:tcPr>
            <w:tcW w:w="251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变化幅度约小于3dB（A）</w:t>
            </w:r>
          </w:p>
        </w:tc>
        <w:tc>
          <w:tcPr>
            <w:tcW w:w="1178" w:type="dxa"/>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受影响人口的数量</w:t>
            </w:r>
          </w:p>
        </w:tc>
        <w:tc>
          <w:tcPr>
            <w:tcW w:w="226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试采期集气站内设备噪声小，项目建设前后噪声级增加较小</w:t>
            </w:r>
          </w:p>
        </w:tc>
        <w:tc>
          <w:tcPr>
            <w:tcW w:w="251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受噪声影响人口数量较少</w:t>
            </w:r>
          </w:p>
        </w:tc>
        <w:tc>
          <w:tcPr>
            <w:tcW w:w="1178" w:type="dxa"/>
            <w:vMerge w:val="continue"/>
            <w:vAlign w:val="center"/>
          </w:tcPr>
          <w:p>
            <w:pPr>
              <w:pStyle w:val="118"/>
              <w:rPr>
                <w:color w:val="000000" w:themeColor="text1"/>
                <w:highlight w:val="none"/>
                <w14:textFill>
                  <w14:solidFill>
                    <w14:schemeClr w14:val="tx1"/>
                  </w14:solidFill>
                </w14:textFill>
              </w:rPr>
            </w:pPr>
          </w:p>
        </w:tc>
      </w:tr>
    </w:tbl>
    <w:p>
      <w:pPr>
        <w:tabs>
          <w:tab w:val="left" w:pos="0"/>
        </w:tabs>
        <w:spacing w:before="120"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（2）评价范围</w:t>
      </w:r>
    </w:p>
    <w:p>
      <w:pPr>
        <w:tabs>
          <w:tab w:val="left" w:pos="0"/>
        </w:tabs>
        <w:ind w:firstLine="480"/>
        <w:rPr>
          <w:rFonts w:cs="Times New Roman"/>
          <w:bCs/>
          <w:color w:val="000000" w:themeColor="text1"/>
          <w:szCs w:val="24"/>
          <w:highlight w:val="none"/>
          <w14:textFill>
            <w14:solidFill>
              <w14:schemeClr w14:val="tx1"/>
            </w14:solidFill>
          </w14:textFill>
        </w:rPr>
      </w:pPr>
      <w:r>
        <w:rPr>
          <w:rFonts w:hint="eastAsia"/>
          <w:color w:val="000000" w:themeColor="text1"/>
          <w:highlight w:val="none"/>
          <w14:textFill>
            <w14:solidFill>
              <w14:schemeClr w14:val="tx1"/>
            </w14:solidFill>
          </w14:textFill>
        </w:rPr>
        <w:t>根据</w:t>
      </w:r>
      <w:r>
        <w:rPr>
          <w:bCs/>
          <w:color w:val="000000" w:themeColor="text1"/>
          <w:highlight w:val="none"/>
          <w14:textFill>
            <w14:solidFill>
              <w14:schemeClr w14:val="tx1"/>
            </w14:solidFill>
          </w14:textFill>
        </w:rPr>
        <w:t>《环境影响评价技术导则声环境》（HJ2.4-2021）</w:t>
      </w:r>
      <w:r>
        <w:rPr>
          <w:rFonts w:hint="eastAsia"/>
          <w:color w:val="000000" w:themeColor="text1"/>
          <w:highlight w:val="none"/>
          <w14:textFill>
            <w14:solidFill>
              <w14:schemeClr w14:val="tx1"/>
            </w14:solidFill>
          </w14:textFill>
        </w:rPr>
        <w:t>中第6</w:t>
      </w:r>
      <w:r>
        <w:rPr>
          <w:color w:val="000000" w:themeColor="text1"/>
          <w:highlight w:val="none"/>
          <w14:textFill>
            <w14:solidFill>
              <w14:schemeClr w14:val="tx1"/>
            </w14:solidFill>
          </w14:textFill>
        </w:rPr>
        <w:t>.1.2</w:t>
      </w:r>
      <w:r>
        <w:rPr>
          <w:rFonts w:hint="eastAsia"/>
          <w:color w:val="000000" w:themeColor="text1"/>
          <w:highlight w:val="none"/>
          <w14:textFill>
            <w14:solidFill>
              <w14:schemeClr w14:val="tx1"/>
            </w14:solidFill>
          </w14:textFill>
        </w:rPr>
        <w:t>节的规定，确定为本项目施工期声环境评价范围为</w:t>
      </w:r>
      <w:r>
        <w:rPr>
          <w:rFonts w:cs="Times New Roman"/>
          <w:color w:val="000000" w:themeColor="text1"/>
          <w:highlight w:val="none"/>
          <w14:textFill>
            <w14:solidFill>
              <w14:schemeClr w14:val="tx1"/>
            </w14:solidFill>
          </w14:textFill>
        </w:rPr>
        <w:t>占地范围（含拟建外输管线）周边200m范围</w:t>
      </w:r>
      <w:r>
        <w:rPr>
          <w:rFonts w:hint="eastAsia"/>
          <w:color w:val="000000" w:themeColor="text1"/>
          <w:highlight w:val="none"/>
          <w14:textFill>
            <w14:solidFill>
              <w14:schemeClr w14:val="tx1"/>
            </w14:solidFill>
          </w14:textFill>
        </w:rPr>
        <w:t>；运营期声环境评价范围为雷页1井试采站和放空区周边200m范围</w:t>
      </w:r>
      <w:r>
        <w:rPr>
          <w:rFonts w:cs="Times New Roman"/>
          <w:bCs/>
          <w:color w:val="000000" w:themeColor="text1"/>
          <w:szCs w:val="24"/>
          <w:highlight w:val="none"/>
          <w14:textFill>
            <w14:solidFill>
              <w14:schemeClr w14:val="tx1"/>
            </w14:solidFill>
          </w14:textFill>
        </w:rPr>
        <w:t>。</w:t>
      </w:r>
    </w:p>
    <w:p>
      <w:pPr>
        <w:pStyle w:val="6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5127625" cy="3387725"/>
            <wp:effectExtent l="0" t="0" r="0" b="3175"/>
            <wp:docPr id="1778523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52393" name="图片 1"/>
                    <pic:cNvPicPr>
                      <a:picLocks noChangeAspect="1"/>
                    </pic:cNvPicPr>
                  </pic:nvPicPr>
                  <pic:blipFill>
                    <a:blip r:embed="rId21"/>
                    <a:stretch>
                      <a:fillRect/>
                    </a:stretch>
                  </pic:blipFill>
                  <pic:spPr>
                    <a:xfrm>
                      <a:off x="0" y="0"/>
                      <a:ext cx="5135754" cy="3393333"/>
                    </a:xfrm>
                    <a:prstGeom prst="rect">
                      <a:avLst/>
                    </a:prstGeom>
                  </pic:spPr>
                </pic:pic>
              </a:graphicData>
            </a:graphic>
          </wp:inline>
        </w:drawing>
      </w:r>
    </w:p>
    <w:p>
      <w:pPr>
        <w:pStyle w:val="76"/>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施工期声环境评价范围图</w:t>
      </w:r>
    </w:p>
    <w:p>
      <w:pPr>
        <w:pStyle w:val="6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5039995" cy="3983355"/>
            <wp:effectExtent l="19050" t="19050" r="27305" b="17145"/>
            <wp:docPr id="11681568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156853" name="图片 1"/>
                    <pic:cNvPicPr>
                      <a:picLocks noChangeAspect="1"/>
                    </pic:cNvPicPr>
                  </pic:nvPicPr>
                  <pic:blipFill>
                    <a:blip r:embed="rId22"/>
                    <a:stretch>
                      <a:fillRect/>
                    </a:stretch>
                  </pic:blipFill>
                  <pic:spPr>
                    <a:xfrm>
                      <a:off x="0" y="0"/>
                      <a:ext cx="5042681" cy="3985496"/>
                    </a:xfrm>
                    <a:prstGeom prst="rect">
                      <a:avLst/>
                    </a:prstGeom>
                    <a:ln>
                      <a:solidFill>
                        <a:schemeClr val="tx1"/>
                      </a:solidFill>
                    </a:ln>
                  </pic:spPr>
                </pic:pic>
              </a:graphicData>
            </a:graphic>
          </wp:inline>
        </w:drawing>
      </w:r>
    </w:p>
    <w:p>
      <w:pPr>
        <w:pStyle w:val="60"/>
        <w:keepNext/>
        <w:rPr>
          <w:color w:val="000000" w:themeColor="text1"/>
          <w:highlight w:val="none"/>
          <w:lang w:eastAsia="zh-CN"/>
          <w14:textFill>
            <w14:solidFill>
              <w14:schemeClr w14:val="tx1"/>
            </w14:solidFill>
          </w14:textFill>
        </w:rPr>
      </w:pPr>
      <w:r>
        <w:rPr>
          <w:snapToGrid w:val="0"/>
          <w:color w:val="000000" w:themeColor="text1"/>
          <w:w w:val="0"/>
          <w:sz w:val="0"/>
          <w:szCs w:val="0"/>
          <w:highlight w:val="none"/>
          <w:u w:color="000000"/>
          <w:shd w:val="clear" w:color="000000" w:fill="000000"/>
          <w:lang w:val="zh-CN" w:eastAsia="zh-CN" w:bidi="zh-CN"/>
          <w14:textFill>
            <w14:solidFill>
              <w14:schemeClr w14:val="tx1"/>
            </w14:solidFill>
          </w14:textFill>
        </w:rPr>
        <w:t>8</w:t>
      </w:r>
    </w:p>
    <w:p>
      <w:pPr>
        <w:pStyle w:val="76"/>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试采期声环境评价范围图</w:t>
      </w:r>
    </w:p>
    <w:p>
      <w:pPr>
        <w:pStyle w:val="5"/>
        <w:spacing w:before="120"/>
        <w:ind w:firstLine="480"/>
        <w:rPr>
          <w:b/>
          <w:color w:val="000000" w:themeColor="text1"/>
          <w:highlight w:val="none"/>
          <w:lang w:eastAsia="zh-CN"/>
          <w14:textFill>
            <w14:solidFill>
              <w14:schemeClr w14:val="tx1"/>
            </w14:solidFill>
          </w14:textFill>
        </w:rPr>
      </w:pPr>
      <w:bookmarkStart w:id="85" w:name="_Toc120173074"/>
      <w:r>
        <w:rPr>
          <w:color w:val="000000" w:themeColor="text1"/>
          <w:highlight w:val="none"/>
          <w:lang w:eastAsia="zh-CN"/>
          <w14:textFill>
            <w14:solidFill>
              <w14:schemeClr w14:val="tx1"/>
            </w14:solidFill>
          </w14:textFill>
        </w:rPr>
        <w:t>土壤环境</w:t>
      </w:r>
      <w:bookmarkEnd w:id="85"/>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（1）</w:t>
      </w:r>
      <w:r>
        <w:rPr>
          <w:rFonts w:cs="Times New Roman"/>
          <w:bCs/>
          <w:color w:val="000000" w:themeColor="text1"/>
          <w:szCs w:val="24"/>
          <w:highlight w:val="none"/>
          <w14:textFill>
            <w14:solidFill>
              <w14:schemeClr w14:val="tx1"/>
            </w14:solidFill>
          </w14:textFill>
        </w:rPr>
        <w:t>评价工作等级</w:t>
      </w:r>
    </w:p>
    <w:p>
      <w:pPr>
        <w:tabs>
          <w:tab w:val="left" w:pos="0"/>
        </w:tabs>
        <w:ind w:firstLine="480"/>
        <w:rPr>
          <w:rFonts w:cs="Times New Roman"/>
          <w:color w:val="000000" w:themeColor="text1"/>
          <w:szCs w:val="24"/>
          <w:highlight w:val="none"/>
          <w14:textFill>
            <w14:solidFill>
              <w14:schemeClr w14:val="tx1"/>
            </w14:solidFill>
          </w14:textFill>
        </w:rPr>
      </w:pPr>
      <w:r>
        <w:rPr>
          <w:rFonts w:hint="eastAsia"/>
          <w:color w:val="000000" w:themeColor="text1"/>
          <w:szCs w:val="24"/>
          <w:highlight w:val="none"/>
          <w14:textFill>
            <w14:solidFill>
              <w14:schemeClr w14:val="tx1"/>
            </w14:solidFill>
          </w14:textFill>
        </w:rPr>
        <w:t>根据《环境影响评价技术导则土壤环境（试行）》（HJ964-2018）4.2.3土壤环境影响评价应按本标准划分的评价工作等级开展工作，识别建设项目土壤环境影响类型、影响途径、影响源及影响因子，确定土壤环境影响评价工作等级；6.2.5线性工程重点针对主要站场位置（如输油站、泵站、阀室、加油站、维修场所等）参照6.2.2分段判定评价等级，并按相应等级分别开展评价工作</w:t>
      </w:r>
      <w:r>
        <w:rPr>
          <w:rFonts w:cs="Times New Roman"/>
          <w:color w:val="000000" w:themeColor="text1"/>
          <w:szCs w:val="24"/>
          <w:highlight w:val="none"/>
          <w14:textFill>
            <w14:solidFill>
              <w14:schemeClr w14:val="tx1"/>
            </w14:solidFill>
          </w14:textFill>
        </w:rPr>
        <w:t>，周边环境敏感程度判别依据见</w:t>
      </w:r>
      <w:r>
        <w:rPr>
          <w:rFonts w:cs="Times New Roman"/>
          <w:color w:val="000000" w:themeColor="text1"/>
          <w:szCs w:val="24"/>
          <w:highlight w:val="none"/>
          <w14:textFill>
            <w14:solidFill>
              <w14:schemeClr w14:val="tx1"/>
            </w14:solidFill>
          </w14:textFill>
        </w:rPr>
        <w:fldChar w:fldCharType="begin"/>
      </w:r>
      <w:r>
        <w:rPr>
          <w:rFonts w:cs="Times New Roman"/>
          <w:color w:val="000000" w:themeColor="text1"/>
          <w:szCs w:val="24"/>
          <w:highlight w:val="none"/>
          <w14:textFill>
            <w14:solidFill>
              <w14:schemeClr w14:val="tx1"/>
            </w14:solidFill>
          </w14:textFill>
        </w:rPr>
        <w:instrText xml:space="preserve"> REF _Ref143334890 \h  \* MERGEFORMAT </w:instrText>
      </w:r>
      <w:r>
        <w:rPr>
          <w:rFonts w:cs="Times New Roman"/>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2.6</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6</w:t>
      </w:r>
      <w:r>
        <w:rPr>
          <w:rFonts w:cs="Times New Roman"/>
          <w:color w:val="000000" w:themeColor="text1"/>
          <w:szCs w:val="24"/>
          <w:highlight w:val="none"/>
          <w14:textFill>
            <w14:solidFill>
              <w14:schemeClr w14:val="tx1"/>
            </w14:solidFill>
          </w14:textFill>
        </w:rPr>
        <w:fldChar w:fldCharType="end"/>
      </w:r>
      <w:r>
        <w:rPr>
          <w:rFonts w:cs="Times New Roman"/>
          <w:color w:val="000000" w:themeColor="text1"/>
          <w:szCs w:val="24"/>
          <w:highlight w:val="none"/>
          <w14:textFill>
            <w14:solidFill>
              <w14:schemeClr w14:val="tx1"/>
            </w14:solidFill>
          </w14:textFill>
        </w:rPr>
        <w:t>，土壤环境影响评价工作等级划分见</w:t>
      </w:r>
      <w:r>
        <w:rPr>
          <w:rFonts w:cs="Times New Roman"/>
          <w:color w:val="000000" w:themeColor="text1"/>
          <w:szCs w:val="24"/>
          <w:highlight w:val="none"/>
          <w14:textFill>
            <w14:solidFill>
              <w14:schemeClr w14:val="tx1"/>
            </w14:solidFill>
          </w14:textFill>
        </w:rPr>
        <w:fldChar w:fldCharType="begin"/>
      </w:r>
      <w:r>
        <w:rPr>
          <w:rFonts w:cs="Times New Roman"/>
          <w:color w:val="000000" w:themeColor="text1"/>
          <w:szCs w:val="24"/>
          <w:highlight w:val="none"/>
          <w14:textFill>
            <w14:solidFill>
              <w14:schemeClr w14:val="tx1"/>
            </w14:solidFill>
          </w14:textFill>
        </w:rPr>
        <w:instrText xml:space="preserve"> REF _Ref143334896 \h  \* MERGEFORMAT </w:instrText>
      </w:r>
      <w:r>
        <w:rPr>
          <w:rFonts w:cs="Times New Roman"/>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2.6</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7</w:t>
      </w:r>
      <w:r>
        <w:rPr>
          <w:rFonts w:cs="Times New Roman"/>
          <w:color w:val="000000" w:themeColor="text1"/>
          <w:szCs w:val="24"/>
          <w:highlight w:val="none"/>
          <w14:textFill>
            <w14:solidFill>
              <w14:schemeClr w14:val="tx1"/>
            </w14:solidFill>
          </w14:textFill>
        </w:rPr>
        <w:fldChar w:fldCharType="end"/>
      </w:r>
      <w:r>
        <w:rPr>
          <w:rFonts w:cs="Times New Roman"/>
          <w:color w:val="000000" w:themeColor="text1"/>
          <w:szCs w:val="24"/>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bookmarkStart w:id="86" w:name="_Ref143334890"/>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fldChar w:fldCharType="end"/>
      </w:r>
      <w:bookmarkEnd w:id="86"/>
      <w:r>
        <w:rPr>
          <w:rFonts w:hint="eastAsia"/>
          <w:color w:val="000000" w:themeColor="text1"/>
          <w:highlight w:val="none"/>
          <w14:textFill>
            <w14:solidFill>
              <w14:schemeClr w14:val="tx1"/>
            </w14:solidFill>
          </w14:textFill>
        </w:rPr>
        <w:t>污染影响型项目敏感程度分级表</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7"/>
        <w:gridCol w:w="4776"/>
        <w:gridCol w:w="27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4"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敏感程度</w:t>
            </w:r>
          </w:p>
        </w:tc>
        <w:tc>
          <w:tcPr>
            <w:tcW w:w="2801"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判别依据</w:t>
            </w:r>
          </w:p>
        </w:tc>
        <w:tc>
          <w:tcPr>
            <w:tcW w:w="1585" w:type="pct"/>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本项目情况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敏感</w:t>
            </w:r>
          </w:p>
        </w:tc>
        <w:tc>
          <w:tcPr>
            <w:tcW w:w="2801"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建设项目周边存在耕地、园地、牧草地、饮用水水源地或居民区、学校、医院、疗养院、养老院等土壤环境敏感目标的</w:t>
            </w:r>
          </w:p>
        </w:tc>
        <w:tc>
          <w:tcPr>
            <w:tcW w:w="1585" w:type="pct"/>
            <w:vMerge w:val="restar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站场</w:t>
            </w:r>
            <w:r>
              <w:rPr>
                <w:color w:val="000000" w:themeColor="text1"/>
                <w:highlight w:val="none"/>
                <w14:textFill>
                  <w14:solidFill>
                    <w14:schemeClr w14:val="tx1"/>
                  </w14:solidFill>
                </w14:textFill>
              </w:rPr>
              <w:t>周边存在耕地，土壤环境敏感程度为敏感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较敏感</w:t>
            </w:r>
          </w:p>
        </w:tc>
        <w:tc>
          <w:tcPr>
            <w:tcW w:w="2801"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建设项目周边存在其他土壤环境敏感目标的</w:t>
            </w:r>
          </w:p>
        </w:tc>
        <w:tc>
          <w:tcPr>
            <w:tcW w:w="1585" w:type="pct"/>
            <w:vMerge w:val="continue"/>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不敏感</w:t>
            </w:r>
          </w:p>
        </w:tc>
        <w:tc>
          <w:tcPr>
            <w:tcW w:w="2801"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其他情况</w:t>
            </w:r>
          </w:p>
        </w:tc>
        <w:tc>
          <w:tcPr>
            <w:tcW w:w="1585" w:type="pct"/>
            <w:vMerge w:val="continue"/>
          </w:tcPr>
          <w:p>
            <w:pPr>
              <w:pStyle w:val="118"/>
              <w:rPr>
                <w:color w:val="000000" w:themeColor="text1"/>
                <w:highlight w:val="none"/>
                <w14:textFill>
                  <w14:solidFill>
                    <w14:schemeClr w14:val="tx1"/>
                  </w14:solidFill>
                </w14:textFill>
              </w:rPr>
            </w:pPr>
          </w:p>
        </w:tc>
      </w:tr>
    </w:tbl>
    <w:p>
      <w:pPr>
        <w:pStyle w:val="96"/>
        <w:spacing w:before="120"/>
        <w:rPr>
          <w:color w:val="000000" w:themeColor="text1"/>
          <w:highlight w:val="none"/>
          <w14:textFill>
            <w14:solidFill>
              <w14:schemeClr w14:val="tx1"/>
            </w14:solidFill>
          </w14:textFill>
        </w:rPr>
      </w:pPr>
      <w:bookmarkStart w:id="87" w:name="_Ref143334896"/>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fldChar w:fldCharType="end"/>
      </w:r>
      <w:bookmarkEnd w:id="87"/>
      <w:r>
        <w:rPr>
          <w:rFonts w:hint="eastAsia"/>
          <w:color w:val="000000" w:themeColor="text1"/>
          <w:highlight w:val="none"/>
          <w14:textFill>
            <w14:solidFill>
              <w14:schemeClr w14:val="tx1"/>
            </w14:solidFill>
          </w14:textFill>
        </w:rPr>
        <w:t>污染影响型项目评价工作等级划分表</w:t>
      </w:r>
    </w:p>
    <w:tbl>
      <w:tblPr>
        <w:tblStyle w:val="41"/>
        <w:tblW w:w="83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45"/>
        <w:gridCol w:w="730"/>
        <w:gridCol w:w="730"/>
        <w:gridCol w:w="731"/>
        <w:gridCol w:w="731"/>
        <w:gridCol w:w="731"/>
        <w:gridCol w:w="934"/>
        <w:gridCol w:w="709"/>
        <w:gridCol w:w="709"/>
        <w:gridCol w:w="7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645" w:type="dxa"/>
            <w:vMerge w:val="restart"/>
            <w:tcBorders>
              <w:tl2br w:val="single" w:color="auto" w:sz="4" w:space="0"/>
            </w:tcBorders>
            <w:vAlign w:val="center"/>
          </w:tcPr>
          <w:p>
            <w:pPr>
              <w:pStyle w:val="118"/>
              <w:jc w:val="right"/>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占地规模</w:t>
            </w:r>
          </w:p>
          <w:p>
            <w:pPr>
              <w:pStyle w:val="118"/>
              <w:jc w:val="left"/>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敏感程度</w:t>
            </w:r>
          </w:p>
        </w:tc>
        <w:tc>
          <w:tcPr>
            <w:tcW w:w="2191" w:type="dxa"/>
            <w:gridSpan w:val="3"/>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I类</w:t>
            </w:r>
          </w:p>
        </w:tc>
        <w:tc>
          <w:tcPr>
            <w:tcW w:w="2396" w:type="dxa"/>
            <w:gridSpan w:val="3"/>
          </w:tcPr>
          <w:p>
            <w:pPr>
              <w:pStyle w:val="118"/>
              <w:rPr>
                <w:b/>
                <w:bCs/>
                <w:color w:val="000000" w:themeColor="text1"/>
                <w:highlight w:val="none"/>
                <w14:textFill>
                  <w14:solidFill>
                    <w14:schemeClr w14:val="tx1"/>
                  </w14:solidFill>
                </w14:textFill>
              </w:rPr>
            </w:pPr>
            <w:r>
              <w:rPr>
                <w:b/>
                <w:bCs/>
                <w:color w:val="000000" w:themeColor="text1"/>
                <w:highlight w:val="none"/>
                <w:shd w:val="pct10" w:color="auto" w:fill="FFFFFF"/>
                <w14:textFill>
                  <w14:solidFill>
                    <w14:schemeClr w14:val="tx1"/>
                  </w14:solidFill>
                </w14:textFill>
              </w:rPr>
              <w:t>II类</w:t>
            </w:r>
          </w:p>
        </w:tc>
        <w:tc>
          <w:tcPr>
            <w:tcW w:w="2127" w:type="dxa"/>
            <w:gridSpan w:val="3"/>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III类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645" w:type="dxa"/>
            <w:vMerge w:val="continue"/>
            <w:tcBorders>
              <w:tl2br w:val="single" w:color="auto" w:sz="4" w:space="0"/>
            </w:tcBorders>
            <w:vAlign w:val="center"/>
          </w:tcPr>
          <w:p>
            <w:pPr>
              <w:pStyle w:val="118"/>
              <w:rPr>
                <w:b/>
                <w:bCs/>
                <w:color w:val="000000" w:themeColor="text1"/>
                <w:highlight w:val="none"/>
                <w14:textFill>
                  <w14:solidFill>
                    <w14:schemeClr w14:val="tx1"/>
                  </w14:solidFill>
                </w14:textFill>
              </w:rPr>
            </w:pPr>
          </w:p>
        </w:tc>
        <w:tc>
          <w:tcPr>
            <w:tcW w:w="730"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大</w:t>
            </w:r>
          </w:p>
        </w:tc>
        <w:tc>
          <w:tcPr>
            <w:tcW w:w="730" w:type="dxa"/>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中</w:t>
            </w:r>
          </w:p>
        </w:tc>
        <w:tc>
          <w:tcPr>
            <w:tcW w:w="731" w:type="dxa"/>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小</w:t>
            </w:r>
          </w:p>
        </w:tc>
        <w:tc>
          <w:tcPr>
            <w:tcW w:w="731"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大</w:t>
            </w:r>
          </w:p>
        </w:tc>
        <w:tc>
          <w:tcPr>
            <w:tcW w:w="731" w:type="dxa"/>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中</w:t>
            </w:r>
          </w:p>
        </w:tc>
        <w:tc>
          <w:tcPr>
            <w:tcW w:w="934" w:type="dxa"/>
          </w:tcPr>
          <w:p>
            <w:pPr>
              <w:pStyle w:val="118"/>
              <w:rPr>
                <w:b/>
                <w:bCs/>
                <w:color w:val="000000" w:themeColor="text1"/>
                <w:highlight w:val="none"/>
                <w14:textFill>
                  <w14:solidFill>
                    <w14:schemeClr w14:val="tx1"/>
                  </w14:solidFill>
                </w14:textFill>
              </w:rPr>
            </w:pPr>
            <w:r>
              <w:rPr>
                <w:b/>
                <w:bCs/>
                <w:color w:val="000000" w:themeColor="text1"/>
                <w:highlight w:val="none"/>
                <w:shd w:val="pct10" w:color="auto" w:fill="FFFFFF"/>
                <w14:textFill>
                  <w14:solidFill>
                    <w14:schemeClr w14:val="tx1"/>
                  </w14:solidFill>
                </w14:textFill>
              </w:rPr>
              <w:t>小</w:t>
            </w:r>
          </w:p>
        </w:tc>
        <w:tc>
          <w:tcPr>
            <w:tcW w:w="70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大</w:t>
            </w:r>
          </w:p>
        </w:tc>
        <w:tc>
          <w:tcPr>
            <w:tcW w:w="709" w:type="dxa"/>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中</w:t>
            </w:r>
          </w:p>
        </w:tc>
        <w:tc>
          <w:tcPr>
            <w:tcW w:w="709" w:type="dxa"/>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45" w:type="dxa"/>
            <w:vAlign w:val="center"/>
          </w:tcPr>
          <w:p>
            <w:pPr>
              <w:pStyle w:val="118"/>
              <w:rPr>
                <w:color w:val="000000" w:themeColor="text1"/>
                <w:highlight w:val="none"/>
                <w14:textFill>
                  <w14:solidFill>
                    <w14:schemeClr w14:val="tx1"/>
                  </w14:solidFill>
                </w14:textFill>
              </w:rPr>
            </w:pPr>
            <w:r>
              <w:rPr>
                <w:color w:val="000000" w:themeColor="text1"/>
                <w:highlight w:val="none"/>
                <w:shd w:val="pct10" w:color="auto" w:fill="FFFFFF"/>
                <w14:textFill>
                  <w14:solidFill>
                    <w14:schemeClr w14:val="tx1"/>
                  </w14:solidFill>
                </w14:textFill>
              </w:rPr>
              <w:t>敏感</w:t>
            </w:r>
          </w:p>
        </w:tc>
        <w:tc>
          <w:tcPr>
            <w:tcW w:w="730"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一级</w:t>
            </w:r>
          </w:p>
        </w:tc>
        <w:tc>
          <w:tcPr>
            <w:tcW w:w="730"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一级</w:t>
            </w:r>
          </w:p>
        </w:tc>
        <w:tc>
          <w:tcPr>
            <w:tcW w:w="73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一级</w:t>
            </w:r>
          </w:p>
        </w:tc>
        <w:tc>
          <w:tcPr>
            <w:tcW w:w="73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c>
          <w:tcPr>
            <w:tcW w:w="73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c>
          <w:tcPr>
            <w:tcW w:w="934" w:type="dxa"/>
            <w:vAlign w:val="center"/>
          </w:tcPr>
          <w:p>
            <w:pPr>
              <w:pStyle w:val="118"/>
              <w:rPr>
                <w:color w:val="000000" w:themeColor="text1"/>
                <w:highlight w:val="none"/>
                <w14:textFill>
                  <w14:solidFill>
                    <w14:schemeClr w14:val="tx1"/>
                  </w14:solidFill>
                </w14:textFill>
              </w:rPr>
            </w:pPr>
            <w:r>
              <w:rPr>
                <w:color w:val="000000" w:themeColor="text1"/>
                <w:highlight w:val="none"/>
                <w:shd w:val="pct10" w:color="auto" w:fill="FFFFFF"/>
                <w14:textFill>
                  <w14:solidFill>
                    <w14:schemeClr w14:val="tx1"/>
                  </w14:solidFill>
                </w14:textFill>
              </w:rPr>
              <w:t>二级</w:t>
            </w:r>
            <w:r>
              <w:rPr>
                <w:rFonts w:hint="eastAsia"/>
                <w:color w:val="000000" w:themeColor="text1"/>
                <w:highlight w:val="none"/>
                <w:shd w:val="pct10" w:color="auto" w:fill="FFFFFF"/>
                <w14:textFill>
                  <w14:solidFill>
                    <w14:schemeClr w14:val="tx1"/>
                  </w14:solidFill>
                </w14:textFill>
              </w:rPr>
              <w:t>（√）</w:t>
            </w:r>
          </w:p>
        </w:tc>
        <w:tc>
          <w:tcPr>
            <w:tcW w:w="70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w:t>
            </w:r>
          </w:p>
        </w:tc>
        <w:tc>
          <w:tcPr>
            <w:tcW w:w="70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w:t>
            </w:r>
          </w:p>
        </w:tc>
        <w:tc>
          <w:tcPr>
            <w:tcW w:w="70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4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较敏感</w:t>
            </w:r>
          </w:p>
        </w:tc>
        <w:tc>
          <w:tcPr>
            <w:tcW w:w="730"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一级</w:t>
            </w:r>
          </w:p>
        </w:tc>
        <w:tc>
          <w:tcPr>
            <w:tcW w:w="730" w:type="dxa"/>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一级</w:t>
            </w:r>
          </w:p>
        </w:tc>
        <w:tc>
          <w:tcPr>
            <w:tcW w:w="731" w:type="dxa"/>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c>
          <w:tcPr>
            <w:tcW w:w="731" w:type="dxa"/>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c>
          <w:tcPr>
            <w:tcW w:w="731" w:type="dxa"/>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c>
          <w:tcPr>
            <w:tcW w:w="934" w:type="dxa"/>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w:t>
            </w:r>
          </w:p>
        </w:tc>
        <w:tc>
          <w:tcPr>
            <w:tcW w:w="709" w:type="dxa"/>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w:t>
            </w:r>
          </w:p>
        </w:tc>
        <w:tc>
          <w:tcPr>
            <w:tcW w:w="709" w:type="dxa"/>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w:t>
            </w:r>
          </w:p>
        </w:tc>
        <w:tc>
          <w:tcPr>
            <w:tcW w:w="709" w:type="dxa"/>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4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不敏感</w:t>
            </w:r>
          </w:p>
        </w:tc>
        <w:tc>
          <w:tcPr>
            <w:tcW w:w="730"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一级</w:t>
            </w:r>
          </w:p>
        </w:tc>
        <w:tc>
          <w:tcPr>
            <w:tcW w:w="730" w:type="dxa"/>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一级</w:t>
            </w:r>
          </w:p>
        </w:tc>
        <w:tc>
          <w:tcPr>
            <w:tcW w:w="731" w:type="dxa"/>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c>
          <w:tcPr>
            <w:tcW w:w="731" w:type="dxa"/>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c>
          <w:tcPr>
            <w:tcW w:w="731" w:type="dxa"/>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w:t>
            </w:r>
          </w:p>
        </w:tc>
        <w:tc>
          <w:tcPr>
            <w:tcW w:w="934" w:type="dxa"/>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w:t>
            </w:r>
          </w:p>
        </w:tc>
        <w:tc>
          <w:tcPr>
            <w:tcW w:w="709" w:type="dxa"/>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w:t>
            </w:r>
          </w:p>
        </w:tc>
        <w:tc>
          <w:tcPr>
            <w:tcW w:w="709" w:type="dxa"/>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709" w:type="dxa"/>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59" w:type="dxa"/>
            <w:gridSpan w:val="10"/>
            <w:vAlign w:val="center"/>
          </w:tcPr>
          <w:p>
            <w:pPr>
              <w:spacing w:line="240" w:lineRule="auto"/>
              <w:ind w:firstLine="0" w:firstLineChars="0"/>
              <w:rPr>
                <w:color w:val="000000" w:themeColor="text1"/>
                <w:highlight w:val="none"/>
                <w14:textFill>
                  <w14:solidFill>
                    <w14:schemeClr w14:val="tx1"/>
                  </w14:solidFill>
                </w14:textFill>
              </w:rPr>
            </w:pPr>
            <w:r>
              <w:rPr>
                <w:rFonts w:ascii="宋体" w:hAnsi="宋体" w:cs="Times New Roman"/>
                <w:i/>
                <w:iCs/>
                <w:color w:val="000000" w:themeColor="text1"/>
                <w:sz w:val="20"/>
                <w:szCs w:val="20"/>
                <w:highlight w:val="none"/>
                <w14:textFill>
                  <w14:solidFill>
                    <w14:schemeClr w14:val="tx1"/>
                  </w14:solidFill>
                </w14:textFill>
              </w:rPr>
              <w:t>注：“-”表示可不开展土壤环境影响评价工作。</w:t>
            </w:r>
          </w:p>
        </w:tc>
      </w:tr>
    </w:tbl>
    <w:p>
      <w:pPr>
        <w:adjustRightInd/>
        <w:spacing w:before="120" w:beforeLines="50"/>
        <w:ind w:firstLine="480"/>
        <w:rPr>
          <w:color w:val="000000" w:themeColor="text1"/>
          <w:szCs w:val="24"/>
          <w:highlight w:val="none"/>
          <w14:textFill>
            <w14:solidFill>
              <w14:schemeClr w14:val="tx1"/>
            </w14:solidFill>
          </w14:textFill>
        </w:rPr>
      </w:pPr>
      <w:r>
        <w:rPr>
          <w:rFonts w:cs="Times New Roman"/>
          <w:color w:val="000000" w:themeColor="text1"/>
          <w:highlight w:val="none"/>
          <w14:textFill>
            <w14:solidFill>
              <w14:schemeClr w14:val="tx1"/>
            </w14:solidFill>
          </w14:textFill>
        </w:rPr>
        <w:t>根据《环境影响评价技术导则陆地石油天然气开发建设项目》（HJ349-2023）中</w:t>
      </w:r>
      <w:r>
        <w:rPr>
          <w:rFonts w:hint="eastAsia" w:cs="Times New Roman"/>
          <w:color w:val="000000" w:themeColor="text1"/>
          <w:highlight w:val="none"/>
          <w14:textFill>
            <w14:solidFill>
              <w14:schemeClr w14:val="tx1"/>
            </w14:solidFill>
          </w14:textFill>
        </w:rPr>
        <w:t>7.4要求：</w:t>
      </w:r>
      <w:r>
        <w:rPr>
          <w:rFonts w:hint="eastAsia" w:cs="Times New Roman"/>
          <w:color w:val="000000" w:themeColor="text1"/>
          <w:szCs w:val="24"/>
          <w:highlight w:val="none"/>
          <w14:textFill>
            <w14:solidFill>
              <w14:schemeClr w14:val="tx1"/>
            </w14:solidFill>
          </w14:textFill>
        </w:rPr>
        <w:t>常规天然气和页岩气、致密气等非常规天然气开采（含天然气净化厂）站场等工程，油类和废水等输送管道，按照</w:t>
      </w:r>
      <w:r>
        <w:rPr>
          <w:rFonts w:cs="Times New Roman"/>
          <w:color w:val="000000" w:themeColor="text1"/>
          <w:szCs w:val="24"/>
          <w:highlight w:val="none"/>
          <w14:textFill>
            <w14:solidFill>
              <w14:schemeClr w14:val="tx1"/>
            </w14:solidFill>
          </w14:textFill>
        </w:rPr>
        <w:t>Ⅱ</w:t>
      </w:r>
      <w:r>
        <w:rPr>
          <w:rFonts w:hint="eastAsia" w:cs="Times New Roman"/>
          <w:color w:val="000000" w:themeColor="text1"/>
          <w:szCs w:val="24"/>
          <w:highlight w:val="none"/>
          <w14:textFill>
            <w14:solidFill>
              <w14:schemeClr w14:val="tx1"/>
            </w14:solidFill>
          </w14:textFill>
        </w:rPr>
        <w:t>类建设项目开展土壤环境影响评价。本项目为常规天然气开采，站场土壤环境影响评价项目类别为II类。</w:t>
      </w:r>
    </w:p>
    <w:p>
      <w:pPr>
        <w:tabs>
          <w:tab w:val="left" w:pos="0"/>
        </w:tabs>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综上，本项目站场土壤环境影响评价项目类别为II类，评价等级为二级</w:t>
      </w:r>
      <w:r>
        <w:rPr>
          <w:rFonts w:cs="Times New Roman"/>
          <w:color w:val="000000" w:themeColor="text1"/>
          <w:szCs w:val="24"/>
          <w:highlight w:val="none"/>
          <w14:textFill>
            <w14:solidFill>
              <w14:schemeClr w14:val="tx1"/>
            </w14:solidFill>
          </w14:textFill>
        </w:rPr>
        <w:t>。</w:t>
      </w:r>
    </w:p>
    <w:p>
      <w:pPr>
        <w:tabs>
          <w:tab w:val="left" w:pos="0"/>
        </w:tabs>
        <w:ind w:firstLine="480"/>
        <w:rPr>
          <w:rFonts w:cs="Times New Roman"/>
          <w:color w:val="000000" w:themeColor="text1"/>
          <w:szCs w:val="24"/>
          <w:highlight w:val="none"/>
          <w14:textFill>
            <w14:solidFill>
              <w14:schemeClr w14:val="tx1"/>
            </w14:solidFill>
          </w14:textFill>
        </w:rPr>
      </w:pPr>
      <w:r>
        <w:rPr>
          <w:color w:val="000000" w:themeColor="text1"/>
          <w:highlight w:val="none"/>
          <w14:textFill>
            <w14:solidFill>
              <w14:schemeClr w14:val="tx1"/>
            </w14:solidFill>
          </w14:textFill>
        </w:rPr>
        <w:t>根据《环境影响评价技术导则陆地石油天然气开发建设项目》（HJ349-2023）中7.4要求：</w:t>
      </w:r>
      <w:r>
        <w:rPr>
          <w:rFonts w:cs="Times New Roman"/>
          <w:color w:val="000000" w:themeColor="text1"/>
          <w:szCs w:val="24"/>
          <w:highlight w:val="none"/>
          <w:lang w:bidi="ar"/>
          <w14:textFill>
            <w14:solidFill>
              <w14:schemeClr w14:val="tx1"/>
            </w14:solidFill>
          </w14:textFill>
        </w:rPr>
        <w:t>天然气管道按照Ⅳ类建设项目开展土壤环境影响评价。</w:t>
      </w:r>
      <w:r>
        <w:rPr>
          <w:color w:val="000000" w:themeColor="text1"/>
          <w:szCs w:val="24"/>
          <w:highlight w:val="none"/>
          <w:lang w:bidi="ar"/>
          <w14:textFill>
            <w14:solidFill>
              <w14:schemeClr w14:val="tx1"/>
            </w14:solidFill>
          </w14:textFill>
        </w:rPr>
        <w:t>本项目天然气管道</w:t>
      </w:r>
      <w:r>
        <w:rPr>
          <w:rFonts w:hint="eastAsia" w:cs="Times New Roman"/>
          <w:color w:val="000000" w:themeColor="text1"/>
          <w:szCs w:val="24"/>
          <w:highlight w:val="none"/>
          <w:lang w:bidi="ar"/>
          <w14:textFill>
            <w14:solidFill>
              <w14:schemeClr w14:val="tx1"/>
            </w14:solidFill>
          </w14:textFill>
        </w:rPr>
        <w:t>为</w:t>
      </w:r>
      <w:r>
        <w:rPr>
          <w:color w:val="000000" w:themeColor="text1"/>
          <w:szCs w:val="24"/>
          <w:highlight w:val="none"/>
          <w:lang w:bidi="ar"/>
          <w14:textFill>
            <w14:solidFill>
              <w14:schemeClr w14:val="tx1"/>
            </w14:solidFill>
          </w14:textFill>
        </w:rPr>
        <w:t>Ⅳ类建设项目，可不开展土壤环</w:t>
      </w:r>
      <w:r>
        <w:rPr>
          <w:rFonts w:cs="Times New Roman"/>
          <w:color w:val="000000" w:themeColor="text1"/>
          <w:szCs w:val="24"/>
          <w:highlight w:val="none"/>
          <w:lang w:bidi="ar"/>
          <w14:textFill>
            <w14:solidFill>
              <w14:schemeClr w14:val="tx1"/>
            </w14:solidFill>
          </w14:textFill>
        </w:rPr>
        <w:t>境影响评价。</w:t>
      </w:r>
    </w:p>
    <w:p>
      <w:pPr>
        <w:tabs>
          <w:tab w:val="left" w:pos="0"/>
        </w:tabs>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（2）评价范围</w:t>
      </w:r>
    </w:p>
    <w:p>
      <w:pPr>
        <w:tabs>
          <w:tab w:val="left" w:pos="0"/>
        </w:tabs>
        <w:ind w:firstLine="480"/>
        <w:rPr>
          <w:rFonts w:cs="Times New Roman"/>
          <w:bCs/>
          <w:color w:val="000000" w:themeColor="text1"/>
          <w:szCs w:val="24"/>
          <w:highlight w:val="none"/>
          <w14:textFill>
            <w14:solidFill>
              <w14:schemeClr w14:val="tx1"/>
            </w14:solidFill>
          </w14:textFill>
        </w:rPr>
      </w:pPr>
      <w:r>
        <w:rPr>
          <w:color w:val="000000" w:themeColor="text1"/>
          <w:highlight w:val="none"/>
          <w14:textFill>
            <w14:solidFill>
              <w14:schemeClr w14:val="tx1"/>
            </w14:solidFill>
          </w14:textFill>
        </w:rPr>
        <w:t>本项目为土壤环境污染影响型项目，评价等级为二级，</w:t>
      </w:r>
      <w:r>
        <w:rPr>
          <w:rFonts w:hint="eastAsia"/>
          <w:color w:val="000000" w:themeColor="text1"/>
          <w:highlight w:val="none"/>
          <w14:textFill>
            <w14:solidFill>
              <w14:schemeClr w14:val="tx1"/>
            </w14:solidFill>
          </w14:textFill>
        </w:rPr>
        <w:t>根据《环境影响评价技术导则陆地石油天然气开发建设项目》（HJ349-2023）和《环境影响评价技术导则土壤环境（试行）》（HJ964-2018），</w:t>
      </w:r>
      <w:r>
        <w:rPr>
          <w:color w:val="000000" w:themeColor="text1"/>
          <w:highlight w:val="none"/>
          <w14:textFill>
            <w14:solidFill>
              <w14:schemeClr w14:val="tx1"/>
            </w14:solidFill>
          </w14:textFill>
        </w:rPr>
        <w:t>土壤环境影响评价范围为</w:t>
      </w:r>
      <w:r>
        <w:rPr>
          <w:rFonts w:hint="eastAsia"/>
          <w:color w:val="000000" w:themeColor="text1"/>
          <w:highlight w:val="none"/>
          <w14:textFill>
            <w14:solidFill>
              <w14:schemeClr w14:val="tx1"/>
            </w14:solidFill>
          </w14:textFill>
        </w:rPr>
        <w:t>站场</w:t>
      </w:r>
      <w:r>
        <w:rPr>
          <w:color w:val="000000" w:themeColor="text1"/>
          <w:highlight w:val="none"/>
          <w14:textFill>
            <w14:solidFill>
              <w14:schemeClr w14:val="tx1"/>
            </w14:solidFill>
          </w14:textFill>
        </w:rPr>
        <w:t>占地范围内</w:t>
      </w:r>
      <w:r>
        <w:rPr>
          <w:rFonts w:hint="eastAsia"/>
          <w:color w:val="000000" w:themeColor="text1"/>
          <w:highlight w:val="none"/>
          <w14:textFill>
            <w14:solidFill>
              <w14:schemeClr w14:val="tx1"/>
            </w14:solidFill>
          </w14:textFill>
        </w:rPr>
        <w:t>及占地范围外</w:t>
      </w:r>
      <w:r>
        <w:rPr>
          <w:color w:val="000000" w:themeColor="text1"/>
          <w:highlight w:val="none"/>
          <w14:textFill>
            <w14:solidFill>
              <w14:schemeClr w14:val="tx1"/>
            </w14:solidFill>
          </w14:textFill>
        </w:rPr>
        <w:t>周边200m范围内的区域。</w:t>
      </w:r>
      <w:r>
        <w:rPr>
          <w:rFonts w:hint="eastAsia"/>
          <w:color w:val="000000" w:themeColor="text1"/>
          <w:highlight w:val="none"/>
          <w14:textFill>
            <w14:solidFill>
              <w14:schemeClr w14:val="tx1"/>
            </w14:solidFill>
          </w14:textFill>
        </w:rPr>
        <w:t>管线不设置土壤环境评价范围。</w:t>
      </w:r>
    </w:p>
    <w:p>
      <w:pPr>
        <w:pStyle w:val="6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5274310" cy="4091305"/>
            <wp:effectExtent l="0" t="0" r="2540" b="4445"/>
            <wp:docPr id="19931795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179556" name="图片 1"/>
                    <pic:cNvPicPr>
                      <a:picLocks noChangeAspect="1"/>
                    </pic:cNvPicPr>
                  </pic:nvPicPr>
                  <pic:blipFill>
                    <a:blip r:embed="rId23"/>
                    <a:stretch>
                      <a:fillRect/>
                    </a:stretch>
                  </pic:blipFill>
                  <pic:spPr>
                    <a:xfrm>
                      <a:off x="0" y="0"/>
                      <a:ext cx="5274310" cy="4091305"/>
                    </a:xfrm>
                    <a:prstGeom prst="rect">
                      <a:avLst/>
                    </a:prstGeom>
                  </pic:spPr>
                </pic:pic>
              </a:graphicData>
            </a:graphic>
          </wp:inline>
        </w:drawing>
      </w:r>
    </w:p>
    <w:p>
      <w:pPr>
        <w:pStyle w:val="76"/>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土壤环境评价范围图</w:t>
      </w:r>
    </w:p>
    <w:p>
      <w:pPr>
        <w:pStyle w:val="5"/>
        <w:spacing w:before="120"/>
        <w:ind w:firstLine="480"/>
        <w:rPr>
          <w:b/>
          <w:color w:val="000000" w:themeColor="text1"/>
          <w:highlight w:val="none"/>
          <w:lang w:eastAsia="zh-CN"/>
          <w14:textFill>
            <w14:solidFill>
              <w14:schemeClr w14:val="tx1"/>
            </w14:solidFill>
          </w14:textFill>
        </w:rPr>
      </w:pPr>
      <w:bookmarkStart w:id="88" w:name="_Toc120173075"/>
      <w:r>
        <w:rPr>
          <w:color w:val="000000" w:themeColor="text1"/>
          <w:highlight w:val="none"/>
          <w:lang w:eastAsia="zh-CN"/>
          <w14:textFill>
            <w14:solidFill>
              <w14:schemeClr w14:val="tx1"/>
            </w14:solidFill>
          </w14:textFill>
        </w:rPr>
        <w:t>生态环境</w:t>
      </w:r>
      <w:bookmarkEnd w:id="88"/>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（1）</w:t>
      </w:r>
      <w:r>
        <w:rPr>
          <w:rFonts w:cs="Times New Roman"/>
          <w:bCs/>
          <w:color w:val="000000" w:themeColor="text1"/>
          <w:szCs w:val="24"/>
          <w:highlight w:val="none"/>
          <w14:textFill>
            <w14:solidFill>
              <w14:schemeClr w14:val="tx1"/>
            </w14:solidFill>
          </w14:textFill>
        </w:rPr>
        <w:t>评价工作等级</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根据《环境影响评价技术导则生态影响》（HJ19-2022），判断本项目是否涉及下文a~f，以此来确定本项目生态环境评价工作等级：</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生态影响评价工作等级判定表</w:t>
      </w:r>
    </w:p>
    <w:tbl>
      <w:tblPr>
        <w:tblStyle w:val="4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8"/>
        <w:gridCol w:w="5037"/>
        <w:gridCol w:w="26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1"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序号</w:t>
            </w:r>
          </w:p>
        </w:tc>
        <w:tc>
          <w:tcPr>
            <w:tcW w:w="2954"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导则规定</w:t>
            </w:r>
          </w:p>
        </w:tc>
        <w:tc>
          <w:tcPr>
            <w:tcW w:w="1525"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本项目情况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1"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295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a）涉及国家公园、自然保护区、世界自然遗产、重要生境时，评价等级为一级</w:t>
            </w:r>
          </w:p>
        </w:tc>
        <w:tc>
          <w:tcPr>
            <w:tcW w:w="152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1"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295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b）涉及自然公园时，评价等级为二级</w:t>
            </w:r>
          </w:p>
        </w:tc>
        <w:tc>
          <w:tcPr>
            <w:tcW w:w="152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1"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295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c）涉及生态保护红线时，评价等级不低于二级</w:t>
            </w:r>
          </w:p>
        </w:tc>
        <w:tc>
          <w:tcPr>
            <w:tcW w:w="152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1"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c>
          <w:tcPr>
            <w:tcW w:w="295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d）根据HJ2.3判断属于水文要素影响型且地表水评价等级不低于二级的建设项目，生态影响评价等级不低于二级</w:t>
            </w:r>
          </w:p>
        </w:tc>
        <w:tc>
          <w:tcPr>
            <w:tcW w:w="1525" w:type="pct"/>
            <w:vAlign w:val="center"/>
          </w:tcPr>
          <w:p>
            <w:pPr>
              <w:pStyle w:val="11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14:textFill>
                  <w14:solidFill>
                    <w14:schemeClr w14:val="tx1"/>
                  </w14:solidFill>
                </w14:textFill>
              </w:rPr>
              <w:t>本项目</w:t>
            </w:r>
            <w:r>
              <w:rPr>
                <w:rFonts w:hint="eastAsia"/>
                <w:color w:val="000000" w:themeColor="text1"/>
                <w:highlight w:val="none"/>
                <w:lang w:val="en-US" w:eastAsia="zh-CN"/>
                <w14:textFill>
                  <w14:solidFill>
                    <w14:schemeClr w14:val="tx1"/>
                  </w14:solidFill>
                </w14:textFill>
              </w:rPr>
              <w:t>不</w:t>
            </w:r>
            <w:r>
              <w:rPr>
                <w:rFonts w:hint="eastAsia"/>
                <w:color w:val="000000" w:themeColor="text1"/>
                <w:highlight w:val="none"/>
                <w14:textFill>
                  <w14:solidFill>
                    <w14:schemeClr w14:val="tx1"/>
                  </w14:solidFill>
                </w14:textFill>
              </w:rPr>
              <w:t>属于水文要素影响型，</w:t>
            </w:r>
            <w:r>
              <w:rPr>
                <w:color w:val="000000" w:themeColor="text1"/>
                <w:highlight w:val="none"/>
                <w14:textFill>
                  <w14:solidFill>
                    <w14:schemeClr w14:val="tx1"/>
                  </w14:solidFill>
                </w14:textFill>
              </w:rPr>
              <w:t>低于二级</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为三级</w:t>
            </w:r>
            <w:r>
              <w:rPr>
                <w:rFonts w:hint="eastAsia"/>
                <w:color w:val="000000" w:themeColor="text1"/>
                <w:highlight w:val="none"/>
                <w:lang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1"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c>
          <w:tcPr>
            <w:tcW w:w="295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e）根据HJ610、HJ964判断地下水水位或土壤影响范围内分布有天然林、公益林、湿地等生态保护目标的建设项目，生态影响评价等级不低于二级</w:t>
            </w:r>
          </w:p>
        </w:tc>
        <w:tc>
          <w:tcPr>
            <w:tcW w:w="1525"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土壤评价范围内有天然林、公益林分布，穿越天然林180m、穿越公益林均350m，评价等级判定为二级</w:t>
            </w:r>
            <w:r>
              <w:rPr>
                <w:bCs/>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1"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w:t>
            </w:r>
          </w:p>
        </w:tc>
        <w:tc>
          <w:tcPr>
            <w:tcW w:w="295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f）当工程占地规模大于20km</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时（包括永久和临时占用陆域和水域），评价等级不低于二级；改扩建项目的占地范围以新增占地（包括陆域和水域）确定</w:t>
            </w:r>
          </w:p>
        </w:tc>
        <w:tc>
          <w:tcPr>
            <w:tcW w:w="1525"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本项目临时占地小于20km</w:t>
            </w:r>
            <w:r>
              <w:rPr>
                <w:rFonts w:hint="eastAsia"/>
                <w:color w:val="000000" w:themeColor="text1"/>
                <w:highlight w:val="none"/>
                <w:vertAlign w:val="superscript"/>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1"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w:t>
            </w:r>
          </w:p>
        </w:tc>
        <w:tc>
          <w:tcPr>
            <w:tcW w:w="295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建设项目涉及经论证对保护生物多样性具有重要意义的区域时，可适当上调评价等级</w:t>
            </w:r>
          </w:p>
        </w:tc>
        <w:tc>
          <w:tcPr>
            <w:tcW w:w="152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1"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w:t>
            </w:r>
          </w:p>
        </w:tc>
        <w:tc>
          <w:tcPr>
            <w:tcW w:w="295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在矿山开采可能导致矿区土地利用类型明显改变，或拦河闸坝建设可能明显改变水文情势等情况下，评价等级应上调一级</w:t>
            </w:r>
          </w:p>
        </w:tc>
        <w:tc>
          <w:tcPr>
            <w:tcW w:w="152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不涉及</w:t>
            </w:r>
          </w:p>
        </w:tc>
      </w:tr>
    </w:tbl>
    <w:p>
      <w:pPr>
        <w:spacing w:before="120" w:beforeLines="50"/>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本项目占地12.1005hm</w:t>
      </w:r>
      <w:r>
        <w:rPr>
          <w:rFonts w:hint="eastAsia" w:cs="Times New Roman"/>
          <w:bCs/>
          <w:color w:val="000000" w:themeColor="text1"/>
          <w:szCs w:val="24"/>
          <w:highlight w:val="none"/>
          <w:vertAlign w:val="superscript"/>
          <w14:textFill>
            <w14:solidFill>
              <w14:schemeClr w14:val="tx1"/>
            </w14:solidFill>
          </w14:textFill>
        </w:rPr>
        <w:t>2</w:t>
      </w:r>
      <w:r>
        <w:rPr>
          <w:rFonts w:hint="eastAsia" w:cs="Times New Roman"/>
          <w:bCs/>
          <w:color w:val="000000" w:themeColor="text1"/>
          <w:szCs w:val="24"/>
          <w:highlight w:val="none"/>
          <w14:textFill>
            <w14:solidFill>
              <w14:schemeClr w14:val="tx1"/>
            </w14:solidFill>
          </w14:textFill>
        </w:rPr>
        <w:t>，占地范围不涉及国家公园、自然保护区、世界自然遗产、重要生境、湿地、饮用水源保护区、基本草原、重点生态功能保护区、沙化土地封禁保护区等敏感目标，但项目土壤评价范围内有天然林、公益林分布，外输管线穿越天然林180m、穿越公益林均350m，故陆生生态环境影响评价工作等级定为二级。</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本项目集输管道</w:t>
      </w:r>
      <w:r>
        <w:rPr>
          <w:rFonts w:hint="eastAsia" w:cs="Times New Roman"/>
          <w:bCs/>
          <w:color w:val="000000" w:themeColor="text1"/>
          <w:szCs w:val="24"/>
          <w:highlight w:val="none"/>
          <w14:textFill>
            <w14:solidFill>
              <w14:schemeClr w14:val="tx1"/>
            </w14:solidFill>
          </w14:textFill>
        </w:rPr>
        <w:t>不涉及州河，</w:t>
      </w:r>
      <w:r>
        <w:rPr>
          <w:rFonts w:cs="Times New Roman"/>
          <w:bCs/>
          <w:color w:val="000000" w:themeColor="text1"/>
          <w:szCs w:val="24"/>
          <w:highlight w:val="none"/>
          <w14:textFill>
            <w14:solidFill>
              <w14:schemeClr w14:val="tx1"/>
            </w14:solidFill>
          </w14:textFill>
        </w:rPr>
        <w:t>穿越小型沟渠13次，穿越沟渠宽度在2m</w:t>
      </w:r>
      <w:r>
        <w:rPr>
          <w:rFonts w:hint="eastAsia" w:cs="Times New Roman"/>
          <w:bCs/>
          <w:color w:val="000000" w:themeColor="text1"/>
          <w:szCs w:val="24"/>
          <w:highlight w:val="none"/>
          <w:lang w:eastAsia="zh-CN"/>
          <w14:textFill>
            <w14:solidFill>
              <w14:schemeClr w14:val="tx1"/>
            </w14:solidFill>
          </w14:textFill>
        </w:rPr>
        <w:t>～</w:t>
      </w:r>
      <w:r>
        <w:rPr>
          <w:rFonts w:cs="Times New Roman"/>
          <w:bCs/>
          <w:color w:val="000000" w:themeColor="text1"/>
          <w:szCs w:val="24"/>
          <w:highlight w:val="none"/>
          <w14:textFill>
            <w14:solidFill>
              <w14:schemeClr w14:val="tx1"/>
            </w14:solidFill>
          </w14:textFill>
        </w:rPr>
        <w:t>10m不等，穿越长度共计约200m</w:t>
      </w:r>
      <w:r>
        <w:rPr>
          <w:rFonts w:hint="eastAsia" w:cs="Times New Roman"/>
          <w:bCs/>
          <w:color w:val="000000" w:themeColor="text1"/>
          <w:szCs w:val="24"/>
          <w:highlight w:val="none"/>
          <w14:textFill>
            <w14:solidFill>
              <w14:schemeClr w14:val="tx1"/>
            </w14:solidFill>
          </w14:textFill>
        </w:rPr>
        <w:t>，不涉及重要水生生物的自然产卵场、索饵场、越冬场和洄游通道，即不涉及水生生物重要生境；项目属于水文要素影响型，地表水评价等级为三级；</w:t>
      </w:r>
      <w:r>
        <w:rPr>
          <w:rFonts w:cs="Times New Roman"/>
          <w:bCs/>
          <w:color w:val="000000" w:themeColor="text1"/>
          <w:szCs w:val="24"/>
          <w:highlight w:val="none"/>
          <w14:textFill>
            <w14:solidFill>
              <w14:schemeClr w14:val="tx1"/>
            </w14:solidFill>
          </w14:textFill>
        </w:rPr>
        <w:t>本项目</w:t>
      </w:r>
      <w:r>
        <w:rPr>
          <w:rFonts w:hint="eastAsia" w:cs="Times New Roman"/>
          <w:bCs/>
          <w:color w:val="000000" w:themeColor="text1"/>
          <w:szCs w:val="24"/>
          <w:highlight w:val="none"/>
          <w14:textFill>
            <w14:solidFill>
              <w14:schemeClr w14:val="tx1"/>
            </w14:solidFill>
          </w14:textFill>
        </w:rPr>
        <w:t>水域</w:t>
      </w:r>
      <w:r>
        <w:rPr>
          <w:rFonts w:cs="Times New Roman"/>
          <w:bCs/>
          <w:color w:val="000000" w:themeColor="text1"/>
          <w:szCs w:val="24"/>
          <w:highlight w:val="none"/>
          <w14:textFill>
            <w14:solidFill>
              <w14:schemeClr w14:val="tx1"/>
            </w14:solidFill>
          </w14:textFill>
        </w:rPr>
        <w:t>占地</w:t>
      </w:r>
      <w:r>
        <w:rPr>
          <w:rFonts w:hint="eastAsia" w:cs="Times New Roman"/>
          <w:bCs/>
          <w:color w:val="000000" w:themeColor="text1"/>
          <w:szCs w:val="24"/>
          <w:highlight w:val="none"/>
          <w14:textFill>
            <w14:solidFill>
              <w14:schemeClr w14:val="tx1"/>
            </w14:solidFill>
          </w14:textFill>
        </w:rPr>
        <w:t>面积小于</w:t>
      </w:r>
      <w:r>
        <w:rPr>
          <w:rFonts w:cs="Times New Roman"/>
          <w:bCs/>
          <w:color w:val="000000" w:themeColor="text1"/>
          <w:szCs w:val="24"/>
          <w:highlight w:val="none"/>
          <w14:textFill>
            <w14:solidFill>
              <w14:schemeClr w14:val="tx1"/>
            </w14:solidFill>
          </w14:textFill>
        </w:rPr>
        <w:t>20km</w:t>
      </w:r>
      <w:r>
        <w:rPr>
          <w:rFonts w:cs="Times New Roman"/>
          <w:bCs/>
          <w:color w:val="000000" w:themeColor="text1"/>
          <w:szCs w:val="24"/>
          <w:highlight w:val="none"/>
          <w:vertAlign w:val="superscript"/>
          <w14:textFill>
            <w14:solidFill>
              <w14:schemeClr w14:val="tx1"/>
            </w14:solidFill>
          </w14:textFill>
        </w:rPr>
        <w:t>2</w:t>
      </w:r>
      <w:r>
        <w:rPr>
          <w:rFonts w:hint="eastAsia" w:cs="Times New Roman"/>
          <w:bCs/>
          <w:color w:val="000000" w:themeColor="text1"/>
          <w:szCs w:val="24"/>
          <w:highlight w:val="none"/>
          <w14:textFill>
            <w14:solidFill>
              <w14:schemeClr w14:val="tx1"/>
            </w14:solidFill>
          </w14:textFill>
        </w:rPr>
        <w:t>；项目不涉及保护生物多样性具有重要意义的区域（水生）；项目不涉及拦河闸坝建设；项目不涉及水生生态敏感区。综上所述，本项目水生生态评价等级为三级评价</w:t>
      </w:r>
      <w:r>
        <w:rPr>
          <w:rFonts w:cs="Times New Roman"/>
          <w:bCs/>
          <w:color w:val="000000" w:themeColor="text1"/>
          <w:szCs w:val="24"/>
          <w:highlight w:val="none"/>
          <w14:textFill>
            <w14:solidFill>
              <w14:schemeClr w14:val="tx1"/>
            </w14:solidFill>
          </w14:textFill>
        </w:rPr>
        <w:t>。</w:t>
      </w:r>
    </w:p>
    <w:p>
      <w:pPr>
        <w:tabs>
          <w:tab w:val="left" w:pos="0"/>
        </w:tabs>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（2）评价范围</w:t>
      </w:r>
    </w:p>
    <w:p>
      <w:pPr>
        <w:ind w:firstLine="480"/>
        <w:rPr>
          <w:rFonts w:cs="Times New Roman"/>
          <w:bCs/>
          <w:color w:val="000000" w:themeColor="text1"/>
          <w:szCs w:val="24"/>
          <w:highlight w:val="none"/>
          <w14:textFill>
            <w14:solidFill>
              <w14:schemeClr w14:val="tx1"/>
            </w14:solidFill>
          </w14:textFill>
        </w:rPr>
      </w:pPr>
      <w:bookmarkStart w:id="89" w:name="_Hlk155272651"/>
      <w:r>
        <w:rPr>
          <w:rFonts w:cs="Times New Roman"/>
          <w:bCs/>
          <w:color w:val="000000" w:themeColor="text1"/>
          <w:szCs w:val="24"/>
          <w:highlight w:val="none"/>
          <w14:textFill>
            <w14:solidFill>
              <w14:schemeClr w14:val="tx1"/>
            </w14:solidFill>
          </w14:textFill>
        </w:rPr>
        <w:t>根据《环境影响评价技术导则生态影响》（HJ19-2022）、《环境影响评价技术导则陆地石油天然气开发建设项目》（HJ349-2023）</w:t>
      </w:r>
      <w:r>
        <w:rPr>
          <w:rFonts w:hint="eastAsia" w:cs="Times New Roman"/>
          <w:bCs/>
          <w:color w:val="000000" w:themeColor="text1"/>
          <w:szCs w:val="24"/>
          <w:highlight w:val="none"/>
          <w14:textFill>
            <w14:solidFill>
              <w14:schemeClr w14:val="tx1"/>
            </w14:solidFill>
          </w14:textFill>
        </w:rPr>
        <w:t>。本次生态评价范围确定原则如下：</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a）</w:t>
      </w:r>
      <w:r>
        <w:rPr>
          <w:rFonts w:hint="eastAsia" w:cs="Times New Roman"/>
          <w:bCs/>
          <w:color w:val="000000" w:themeColor="text1"/>
          <w:szCs w:val="24"/>
          <w:highlight w:val="none"/>
          <w14:textFill>
            <w14:solidFill>
              <w14:schemeClr w14:val="tx1"/>
            </w14:solidFill>
          </w14:textFill>
        </w:rPr>
        <w:t>生态影响评价应能够充分体现生态完整性和生物多样性保护要求，涵盖评价项目全部活动的直接影响区域和间接影响区域。评价范围应依据评价项目对生态因子的影响方式、影响程度和生态因子之间的相互影响和相互依存关系确定。可综合考虑评价项目与项目区的气候过程、水文过程、生物过程等生物地球化学循环过程的相互作用关系，以评价项目影响区域所涉及的完整气候单元、水文单元、生态单元、地理单元界限为参照边界</w:t>
      </w:r>
      <w:r>
        <w:rPr>
          <w:rFonts w:cs="Times New Roman"/>
          <w:bCs/>
          <w:color w:val="000000" w:themeColor="text1"/>
          <w:szCs w:val="24"/>
          <w:highlight w:val="none"/>
          <w14:textFill>
            <w14:solidFill>
              <w14:schemeClr w14:val="tx1"/>
            </w14:solidFill>
          </w14:textFill>
        </w:rPr>
        <w:t>。</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b</w:t>
      </w:r>
      <w:r>
        <w:rPr>
          <w:rFonts w:cs="Times New Roman"/>
          <w:bCs/>
          <w:color w:val="000000" w:themeColor="text1"/>
          <w:szCs w:val="24"/>
          <w:highlight w:val="none"/>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试采站</w:t>
      </w:r>
      <w:r>
        <w:rPr>
          <w:rFonts w:cs="Times New Roman"/>
          <w:bCs/>
          <w:color w:val="000000" w:themeColor="text1"/>
          <w:szCs w:val="24"/>
          <w:highlight w:val="none"/>
          <w14:textFill>
            <w14:solidFill>
              <w14:schemeClr w14:val="tx1"/>
            </w14:solidFill>
          </w14:textFill>
        </w:rPr>
        <w:t>以场界周围50米</w:t>
      </w:r>
      <w:r>
        <w:rPr>
          <w:rFonts w:hint="eastAsia" w:cs="Times New Roman"/>
          <w:bCs/>
          <w:color w:val="000000" w:themeColor="text1"/>
          <w:szCs w:val="24"/>
          <w:highlight w:val="none"/>
          <w14:textFill>
            <w14:solidFill>
              <w14:schemeClr w14:val="tx1"/>
            </w14:solidFill>
          </w14:textFill>
        </w:rPr>
        <w:t>为评价</w:t>
      </w:r>
      <w:r>
        <w:rPr>
          <w:rFonts w:cs="Times New Roman"/>
          <w:bCs/>
          <w:color w:val="000000" w:themeColor="text1"/>
          <w:szCs w:val="24"/>
          <w:highlight w:val="none"/>
          <w14:textFill>
            <w14:solidFill>
              <w14:schemeClr w14:val="tx1"/>
            </w14:solidFill>
          </w14:textFill>
        </w:rPr>
        <w:t>范围、集输管道等线性工程两侧外延300米为评价范围。通过大气、地表水、噪声等环境要素间接影响生态保护目标的项目，其评价范围应涵盖污染物排放产生的间接生态影响区域。</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c</w:t>
      </w:r>
      <w:r>
        <w:rPr>
          <w:rFonts w:cs="Times New Roman"/>
          <w:bCs/>
          <w:color w:val="000000" w:themeColor="text1"/>
          <w:szCs w:val="24"/>
          <w:highlight w:val="none"/>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占用生态敏感区的工程，应根据生态敏感区的主要生态功能、保护对象等合理确定评价范围。线性工程穿越生态敏感区时，以线路穿越段向两端外延1千米、线路中心线向两侧外延1千米为评价范围，并结合生态敏感区主要保护对象的分布、生态学特征、项目的穿越方式、周边地形地貌等适当调整。</w:t>
      </w:r>
    </w:p>
    <w:bookmarkEnd w:id="89"/>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项目不涉及直接占用生态敏感区。因此，本次评价根据上述评价范围的划分原则和本项目现场踏勘调查实际情况，依据项目建设对生态因子的影响方式、影响程度和生态因子之间的相互影响和相互依存关系，确定</w:t>
      </w:r>
      <w:r>
        <w:rPr>
          <w:rFonts w:hint="eastAsia" w:cs="Times New Roman"/>
          <w:bCs/>
          <w:color w:val="000000" w:themeColor="text1"/>
          <w:szCs w:val="24"/>
          <w:highlight w:val="none"/>
          <w14:textFill>
            <w14:solidFill>
              <w14:schemeClr w14:val="tx1"/>
            </w14:solidFill>
          </w14:textFill>
        </w:rPr>
        <w:t>陆生生态</w:t>
      </w:r>
      <w:r>
        <w:rPr>
          <w:rFonts w:cs="Times New Roman"/>
          <w:bCs/>
          <w:color w:val="000000" w:themeColor="text1"/>
          <w:szCs w:val="24"/>
          <w:highlight w:val="none"/>
          <w14:textFill>
            <w14:solidFill>
              <w14:schemeClr w14:val="tx1"/>
            </w14:solidFill>
          </w14:textFill>
        </w:rPr>
        <w:t>评价范围如下：</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站场工程：主要包含试采站及边坡、表土堆场、生活营地等，考虑到土壤影响评价范围为200m，本次站场工程</w:t>
      </w:r>
      <w:r>
        <w:rPr>
          <w:rFonts w:hint="eastAsia" w:cs="Times New Roman"/>
          <w:bCs/>
          <w:color w:val="000000" w:themeColor="text1"/>
          <w:szCs w:val="24"/>
          <w:highlight w:val="none"/>
          <w14:textFill>
            <w14:solidFill>
              <w14:schemeClr w14:val="tx1"/>
            </w14:solidFill>
          </w14:textFill>
        </w:rPr>
        <w:t>陆生</w:t>
      </w:r>
      <w:r>
        <w:rPr>
          <w:rFonts w:cs="Times New Roman"/>
          <w:bCs/>
          <w:color w:val="000000" w:themeColor="text1"/>
          <w:szCs w:val="24"/>
          <w:highlight w:val="none"/>
          <w14:textFill>
            <w14:solidFill>
              <w14:schemeClr w14:val="tx1"/>
            </w14:solidFill>
          </w14:textFill>
        </w:rPr>
        <w:t>生态评价范围由50m扩展至200m。</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线性工程：主要包括施工便道、集输管线等。以施工便道、集输管线两侧300m的范围内的区域。</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此外，本次评价还同时考虑与项目区的气候过程、水文过程、生物过程等生物地球化学循环过程的相互作用关系，以项目影响区域所涉及的完整气候单元、水文单元、生态单元、地理单元界限为参照边界进行修正和完善，最终确定</w:t>
      </w:r>
      <w:r>
        <w:rPr>
          <w:rFonts w:hint="eastAsia" w:cs="Times New Roman"/>
          <w:bCs/>
          <w:color w:val="000000" w:themeColor="text1"/>
          <w:szCs w:val="24"/>
          <w:highlight w:val="none"/>
          <w14:textFill>
            <w14:solidFill>
              <w14:schemeClr w14:val="tx1"/>
            </w14:solidFill>
          </w14:textFill>
        </w:rPr>
        <w:t>陆生生态</w:t>
      </w:r>
      <w:r>
        <w:rPr>
          <w:rFonts w:cs="Times New Roman"/>
          <w:bCs/>
          <w:color w:val="000000" w:themeColor="text1"/>
          <w:szCs w:val="24"/>
          <w:highlight w:val="none"/>
          <w14:textFill>
            <w14:solidFill>
              <w14:schemeClr w14:val="tx1"/>
            </w14:solidFill>
          </w14:textFill>
        </w:rPr>
        <w:t>评价范围，面积为633.06hm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水生生态可能受影响的范围主要为</w:t>
      </w:r>
      <w:r>
        <w:rPr>
          <w:rFonts w:hint="eastAsia" w:cs="Times New Roman"/>
          <w:bCs/>
          <w:color w:val="000000" w:themeColor="text1"/>
          <w:szCs w:val="24"/>
          <w:highlight w:val="none"/>
          <w14:textFill>
            <w14:solidFill>
              <w14:schemeClr w14:val="tx1"/>
            </w14:solidFill>
          </w14:textFill>
        </w:rPr>
        <w:t>涉水河段</w:t>
      </w:r>
      <w:r>
        <w:rPr>
          <w:rFonts w:cs="Times New Roman"/>
          <w:bCs/>
          <w:color w:val="000000" w:themeColor="text1"/>
          <w:szCs w:val="24"/>
          <w:highlight w:val="none"/>
          <w14:textFill>
            <w14:solidFill>
              <w14:schemeClr w14:val="tx1"/>
            </w14:solidFill>
          </w14:textFill>
        </w:rPr>
        <w:t>上游100m至下游</w:t>
      </w:r>
      <w:r>
        <w:rPr>
          <w:rFonts w:hint="eastAsia" w:cs="Times New Roman"/>
          <w:bCs/>
          <w:color w:val="000000" w:themeColor="text1"/>
          <w:szCs w:val="24"/>
          <w:highlight w:val="none"/>
          <w14:textFill>
            <w14:solidFill>
              <w14:schemeClr w14:val="tx1"/>
            </w14:solidFill>
          </w14:textFill>
        </w:rPr>
        <w:t>500</w:t>
      </w:r>
      <w:r>
        <w:rPr>
          <w:rFonts w:cs="Times New Roman"/>
          <w:bCs/>
          <w:color w:val="000000" w:themeColor="text1"/>
          <w:szCs w:val="24"/>
          <w:highlight w:val="none"/>
          <w14:textFill>
            <w14:solidFill>
              <w14:schemeClr w14:val="tx1"/>
            </w14:solidFill>
          </w14:textFill>
        </w:rPr>
        <w:t>m。</w:t>
      </w:r>
    </w:p>
    <w:p>
      <w:pPr>
        <w:pStyle w:val="5"/>
        <w:spacing w:before="120"/>
        <w:ind w:firstLine="480"/>
        <w:rPr>
          <w:b/>
          <w:color w:val="000000" w:themeColor="text1"/>
          <w:highlight w:val="none"/>
          <w:lang w:eastAsia="zh-CN"/>
          <w14:textFill>
            <w14:solidFill>
              <w14:schemeClr w14:val="tx1"/>
            </w14:solidFill>
          </w14:textFill>
        </w:rPr>
      </w:pPr>
      <w:bookmarkStart w:id="90" w:name="_Toc120173076"/>
      <w:r>
        <w:rPr>
          <w:color w:val="000000" w:themeColor="text1"/>
          <w:highlight w:val="none"/>
          <w:lang w:eastAsia="zh-CN"/>
          <w14:textFill>
            <w14:solidFill>
              <w14:schemeClr w14:val="tx1"/>
            </w14:solidFill>
          </w14:textFill>
        </w:rPr>
        <w:t>环境风险</w:t>
      </w:r>
      <w:bookmarkEnd w:id="90"/>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（1）</w:t>
      </w:r>
      <w:r>
        <w:rPr>
          <w:rFonts w:cs="Times New Roman"/>
          <w:bCs/>
          <w:color w:val="000000" w:themeColor="text1"/>
          <w:szCs w:val="24"/>
          <w:highlight w:val="none"/>
          <w14:textFill>
            <w14:solidFill>
              <w14:schemeClr w14:val="tx1"/>
            </w14:solidFill>
          </w14:textFill>
        </w:rPr>
        <w:t>评价工作等级</w:t>
      </w:r>
    </w:p>
    <w:p>
      <w:pPr>
        <w:adjustRightInd/>
        <w:snapToGrid/>
        <w:ind w:firstLine="480"/>
        <w:textAlignment w:val="baseline"/>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项目站场内工艺设备管道和输送天然气的成分以甲烷等烃类物质为主，不含硫化氢。根据导则要求，项目涉及独立的站场和管线，相当于多个厂区，应按照站场、管线分段进行评价。本项目站内危险物质数量主要考虑（1）站内设备、管线的最大存在量，（2）集输管线危险物质数量考虑雷页1井至魏兴计量站管段最大存在量。</w:t>
      </w:r>
    </w:p>
    <w:p>
      <w:pPr>
        <w:adjustRightInd/>
        <w:snapToGrid/>
        <w:ind w:firstLine="480"/>
        <w:textAlignment w:val="baseline"/>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根据《建设项目环境风险评价技术导则》（HJ169-2018），环境风险评价等级判据见表2.6-9。</w:t>
      </w:r>
    </w:p>
    <w:p>
      <w:pPr>
        <w:pStyle w:val="14"/>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环境风险评价等级判据</w:t>
      </w:r>
    </w:p>
    <w:tbl>
      <w:tblPr>
        <w:tblStyle w:val="4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3" w:type="dxa"/>
          <w:bottom w:w="0" w:type="dxa"/>
          <w:right w:w="23" w:type="dxa"/>
        </w:tblCellMar>
      </w:tblPr>
      <w:tblGrid>
        <w:gridCol w:w="2292"/>
        <w:gridCol w:w="1514"/>
        <w:gridCol w:w="1514"/>
        <w:gridCol w:w="1516"/>
        <w:gridCol w:w="15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372" w:type="pct"/>
            <w:shd w:val="clear" w:color="auto" w:fill="auto"/>
            <w:vAlign w:val="center"/>
          </w:tcPr>
          <w:p>
            <w:pPr>
              <w:snapToGrid/>
              <w:spacing w:line="240" w:lineRule="auto"/>
              <w:ind w:firstLine="0" w:firstLineChars="0"/>
              <w:jc w:val="center"/>
              <w:textAlignment w:val="center"/>
              <w:rPr>
                <w:rFonts w:cs="Times New Roman"/>
                <w:b/>
                <w:bCs/>
                <w:color w:val="000000" w:themeColor="text1"/>
                <w:kern w:val="0"/>
                <w:sz w:val="21"/>
                <w:szCs w:val="21"/>
                <w:highlight w:val="none"/>
                <w14:textFill>
                  <w14:solidFill>
                    <w14:schemeClr w14:val="tx1"/>
                  </w14:solidFill>
                </w14:textFill>
              </w:rPr>
            </w:pPr>
            <w:r>
              <w:rPr>
                <w:rFonts w:cs="Times New Roman"/>
                <w:b/>
                <w:bCs/>
                <w:color w:val="000000" w:themeColor="text1"/>
                <w:kern w:val="0"/>
                <w:sz w:val="21"/>
                <w:szCs w:val="21"/>
                <w:highlight w:val="none"/>
                <w14:textFill>
                  <w14:solidFill>
                    <w14:schemeClr w14:val="tx1"/>
                  </w14:solidFill>
                </w14:textFill>
              </w:rPr>
              <w:t>环境风险潜势</w:t>
            </w:r>
          </w:p>
        </w:tc>
        <w:tc>
          <w:tcPr>
            <w:tcW w:w="906" w:type="pct"/>
            <w:shd w:val="clear" w:color="auto" w:fill="auto"/>
            <w:vAlign w:val="center"/>
          </w:tcPr>
          <w:p>
            <w:pPr>
              <w:snapToGrid/>
              <w:spacing w:line="240" w:lineRule="auto"/>
              <w:ind w:firstLine="0" w:firstLineChars="0"/>
              <w:jc w:val="center"/>
              <w:textAlignment w:val="center"/>
              <w:rPr>
                <w:rFonts w:cs="Times New Roman"/>
                <w:b/>
                <w:bCs/>
                <w:color w:val="000000" w:themeColor="text1"/>
                <w:kern w:val="0"/>
                <w:sz w:val="21"/>
                <w:szCs w:val="21"/>
                <w:highlight w:val="none"/>
                <w14:textFill>
                  <w14:solidFill>
                    <w14:schemeClr w14:val="tx1"/>
                  </w14:solidFill>
                </w14:textFill>
              </w:rPr>
            </w:pPr>
            <w:r>
              <w:rPr>
                <w:rFonts w:cs="Times New Roman"/>
                <w:b/>
                <w:bCs/>
                <w:color w:val="000000" w:themeColor="text1"/>
                <w:kern w:val="0"/>
                <w:sz w:val="21"/>
                <w:szCs w:val="21"/>
                <w:highlight w:val="none"/>
                <w14:textFill>
                  <w14:solidFill>
                    <w14:schemeClr w14:val="tx1"/>
                  </w14:solidFill>
                </w14:textFill>
              </w:rPr>
              <w:t>Ⅳ、Ⅳ+</w:t>
            </w:r>
          </w:p>
        </w:tc>
        <w:tc>
          <w:tcPr>
            <w:tcW w:w="906" w:type="pct"/>
            <w:shd w:val="clear" w:color="auto" w:fill="auto"/>
            <w:vAlign w:val="center"/>
          </w:tcPr>
          <w:p>
            <w:pPr>
              <w:snapToGrid/>
              <w:spacing w:line="240" w:lineRule="auto"/>
              <w:ind w:firstLine="0" w:firstLineChars="0"/>
              <w:jc w:val="center"/>
              <w:textAlignment w:val="center"/>
              <w:rPr>
                <w:rFonts w:cs="Times New Roman"/>
                <w:b/>
                <w:bCs/>
                <w:color w:val="000000" w:themeColor="text1"/>
                <w:kern w:val="0"/>
                <w:sz w:val="21"/>
                <w:szCs w:val="21"/>
                <w:highlight w:val="none"/>
                <w14:textFill>
                  <w14:solidFill>
                    <w14:schemeClr w14:val="tx1"/>
                  </w14:solidFill>
                </w14:textFill>
              </w:rPr>
            </w:pPr>
            <w:r>
              <w:rPr>
                <w:rFonts w:cs="Times New Roman"/>
                <w:b/>
                <w:bCs/>
                <w:color w:val="000000" w:themeColor="text1"/>
                <w:kern w:val="0"/>
                <w:sz w:val="21"/>
                <w:szCs w:val="21"/>
                <w:highlight w:val="none"/>
                <w14:textFill>
                  <w14:solidFill>
                    <w14:schemeClr w14:val="tx1"/>
                  </w14:solidFill>
                </w14:textFill>
              </w:rPr>
              <w:t>Ⅲ</w:t>
            </w:r>
          </w:p>
        </w:tc>
        <w:tc>
          <w:tcPr>
            <w:tcW w:w="907" w:type="pct"/>
            <w:shd w:val="clear" w:color="auto" w:fill="auto"/>
            <w:vAlign w:val="center"/>
          </w:tcPr>
          <w:p>
            <w:pPr>
              <w:snapToGrid/>
              <w:spacing w:line="240" w:lineRule="auto"/>
              <w:ind w:firstLine="0" w:firstLineChars="0"/>
              <w:jc w:val="center"/>
              <w:textAlignment w:val="center"/>
              <w:rPr>
                <w:rFonts w:cs="Times New Roman"/>
                <w:b/>
                <w:bCs/>
                <w:color w:val="000000" w:themeColor="text1"/>
                <w:kern w:val="0"/>
                <w:sz w:val="21"/>
                <w:szCs w:val="21"/>
                <w:highlight w:val="none"/>
                <w14:textFill>
                  <w14:solidFill>
                    <w14:schemeClr w14:val="tx1"/>
                  </w14:solidFill>
                </w14:textFill>
              </w:rPr>
            </w:pPr>
            <w:r>
              <w:rPr>
                <w:rFonts w:cs="Times New Roman"/>
                <w:b/>
                <w:bCs/>
                <w:color w:val="000000" w:themeColor="text1"/>
                <w:kern w:val="0"/>
                <w:sz w:val="21"/>
                <w:szCs w:val="21"/>
                <w:highlight w:val="none"/>
                <w14:textFill>
                  <w14:solidFill>
                    <w14:schemeClr w14:val="tx1"/>
                  </w14:solidFill>
                </w14:textFill>
              </w:rPr>
              <w:t>Ⅱ</w:t>
            </w:r>
          </w:p>
        </w:tc>
        <w:tc>
          <w:tcPr>
            <w:tcW w:w="908" w:type="pct"/>
            <w:shd w:val="clear" w:color="auto" w:fill="auto"/>
            <w:vAlign w:val="center"/>
          </w:tcPr>
          <w:p>
            <w:pPr>
              <w:snapToGrid/>
              <w:spacing w:line="240" w:lineRule="auto"/>
              <w:ind w:firstLine="0" w:firstLineChars="0"/>
              <w:jc w:val="center"/>
              <w:textAlignment w:val="center"/>
              <w:rPr>
                <w:rFonts w:cs="Times New Roman"/>
                <w:b/>
                <w:bCs/>
                <w:color w:val="000000" w:themeColor="text1"/>
                <w:kern w:val="0"/>
                <w:sz w:val="21"/>
                <w:szCs w:val="21"/>
                <w:highlight w:val="none"/>
                <w14:textFill>
                  <w14:solidFill>
                    <w14:schemeClr w14:val="tx1"/>
                  </w14:solidFill>
                </w14:textFill>
              </w:rPr>
            </w:pPr>
            <w:r>
              <w:rPr>
                <w:rFonts w:cs="Times New Roman"/>
                <w:b/>
                <w:bCs/>
                <w:color w:val="000000" w:themeColor="text1"/>
                <w:kern w:val="0"/>
                <w:sz w:val="21"/>
                <w:szCs w:val="21"/>
                <w:highlight w:val="none"/>
                <w14:textFill>
                  <w14:solidFill>
                    <w14:schemeClr w14:val="tx1"/>
                  </w14:solidFill>
                </w14:textFill>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372" w:type="pct"/>
            <w:shd w:val="clear" w:color="auto" w:fill="auto"/>
            <w:vAlign w:val="center"/>
          </w:tcPr>
          <w:p>
            <w:pPr>
              <w:snapToGrid/>
              <w:spacing w:line="240" w:lineRule="auto"/>
              <w:ind w:firstLine="0" w:firstLineChars="0"/>
              <w:jc w:val="center"/>
              <w:textAlignment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评价工作等级</w:t>
            </w:r>
          </w:p>
        </w:tc>
        <w:tc>
          <w:tcPr>
            <w:tcW w:w="906" w:type="pct"/>
            <w:shd w:val="clear" w:color="auto" w:fill="auto"/>
            <w:vAlign w:val="center"/>
          </w:tcPr>
          <w:p>
            <w:pPr>
              <w:snapToGrid/>
              <w:spacing w:line="240" w:lineRule="auto"/>
              <w:ind w:firstLine="0" w:firstLineChars="0"/>
              <w:jc w:val="center"/>
              <w:textAlignment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一</w:t>
            </w:r>
          </w:p>
        </w:tc>
        <w:tc>
          <w:tcPr>
            <w:tcW w:w="906" w:type="pct"/>
            <w:shd w:val="clear" w:color="auto" w:fill="auto"/>
            <w:vAlign w:val="center"/>
          </w:tcPr>
          <w:p>
            <w:pPr>
              <w:snapToGrid/>
              <w:spacing w:line="240" w:lineRule="auto"/>
              <w:ind w:firstLine="0" w:firstLineChars="0"/>
              <w:jc w:val="center"/>
              <w:textAlignment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二</w:t>
            </w:r>
          </w:p>
        </w:tc>
        <w:tc>
          <w:tcPr>
            <w:tcW w:w="907" w:type="pct"/>
            <w:shd w:val="clear" w:color="auto" w:fill="auto"/>
            <w:vAlign w:val="center"/>
          </w:tcPr>
          <w:p>
            <w:pPr>
              <w:snapToGrid/>
              <w:spacing w:line="240" w:lineRule="auto"/>
              <w:ind w:firstLine="0" w:firstLineChars="0"/>
              <w:jc w:val="center"/>
              <w:textAlignment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三</w:t>
            </w:r>
          </w:p>
        </w:tc>
        <w:tc>
          <w:tcPr>
            <w:tcW w:w="908" w:type="pct"/>
            <w:shd w:val="clear" w:color="auto" w:fill="auto"/>
            <w:vAlign w:val="center"/>
          </w:tcPr>
          <w:p>
            <w:pPr>
              <w:snapToGrid/>
              <w:spacing w:line="240" w:lineRule="auto"/>
              <w:ind w:firstLine="0" w:firstLineChars="0"/>
              <w:jc w:val="center"/>
              <w:textAlignment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简单分析</w:t>
            </w:r>
          </w:p>
        </w:tc>
      </w:tr>
    </w:tbl>
    <w:p>
      <w:pPr>
        <w:tabs>
          <w:tab w:val="left" w:pos="0"/>
        </w:tabs>
        <w:spacing w:before="120" w:beforeLines="50"/>
        <w:ind w:firstLine="480"/>
        <w:rPr>
          <w:rFonts w:cs="Times New Roman"/>
          <w:bCs/>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本项目</w:t>
      </w:r>
      <w:r>
        <w:rPr>
          <w:rFonts w:hint="eastAsia" w:cs="Times New Roman"/>
          <w:color w:val="000000" w:themeColor="text1"/>
          <w:kern w:val="0"/>
          <w:szCs w:val="24"/>
          <w:highlight w:val="none"/>
          <w14:textFill>
            <w14:solidFill>
              <w14:schemeClr w14:val="tx1"/>
            </w14:solidFill>
          </w14:textFill>
        </w:rPr>
        <w:t>雷页1井试采站Q值为0.0</w:t>
      </w:r>
      <w:r>
        <w:rPr>
          <w:rFonts w:cs="Times New Roman"/>
          <w:color w:val="000000" w:themeColor="text1"/>
          <w:kern w:val="0"/>
          <w:szCs w:val="24"/>
          <w:highlight w:val="none"/>
          <w14:textFill>
            <w14:solidFill>
              <w14:schemeClr w14:val="tx1"/>
            </w14:solidFill>
          </w14:textFill>
        </w:rPr>
        <w:t>26</w:t>
      </w:r>
      <w:r>
        <w:rPr>
          <w:rFonts w:hint="eastAsia" w:cs="Times New Roman"/>
          <w:color w:val="000000" w:themeColor="text1"/>
          <w:kern w:val="0"/>
          <w:szCs w:val="24"/>
          <w:highlight w:val="none"/>
          <w14:textFill>
            <w14:solidFill>
              <w14:schemeClr w14:val="tx1"/>
            </w14:solidFill>
          </w14:textFill>
        </w:rPr>
        <w:t>，集输管线Q值为0.</w:t>
      </w:r>
      <w:r>
        <w:rPr>
          <w:rFonts w:cs="Times New Roman"/>
          <w:color w:val="000000" w:themeColor="text1"/>
          <w:kern w:val="0"/>
          <w:szCs w:val="24"/>
          <w:highlight w:val="none"/>
          <w14:textFill>
            <w14:solidFill>
              <w14:schemeClr w14:val="tx1"/>
            </w14:solidFill>
          </w14:textFill>
        </w:rPr>
        <w:t>89，</w:t>
      </w:r>
      <w:r>
        <w:rPr>
          <w:rFonts w:hint="eastAsia" w:cs="Times New Roman"/>
          <w:color w:val="000000" w:themeColor="text1"/>
          <w:kern w:val="0"/>
          <w:szCs w:val="24"/>
          <w:highlight w:val="none"/>
          <w14:textFill>
            <w14:solidFill>
              <w14:schemeClr w14:val="tx1"/>
            </w14:solidFill>
          </w14:textFill>
        </w:rPr>
        <w:t>均小于1，</w:t>
      </w:r>
      <w:r>
        <w:rPr>
          <w:rFonts w:hint="eastAsia" w:cs="Times New Roman"/>
          <w:bCs/>
          <w:color w:val="000000" w:themeColor="text1"/>
          <w:kern w:val="0"/>
          <w:szCs w:val="24"/>
          <w:highlight w:val="none"/>
          <w14:textFill>
            <w14:solidFill>
              <w14:schemeClr w14:val="tx1"/>
            </w14:solidFill>
          </w14:textFill>
        </w:rPr>
        <w:t>本项目环境风险潜势为I，进行简单分析。</w:t>
      </w:r>
    </w:p>
    <w:p>
      <w:pPr>
        <w:tabs>
          <w:tab w:val="left" w:pos="0"/>
        </w:tabs>
        <w:spacing w:before="120" w:beforeLines="50"/>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（2）评价范围</w:t>
      </w:r>
    </w:p>
    <w:p>
      <w:pPr>
        <w:tabs>
          <w:tab w:val="left" w:pos="0"/>
        </w:tabs>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本项目环境风险评价等级为简单分析，无需设置环境风险评价范围。</w:t>
      </w:r>
    </w:p>
    <w:p>
      <w:pPr>
        <w:pStyle w:val="4"/>
        <w:spacing w:before="120"/>
        <w:rPr>
          <w:color w:val="000000" w:themeColor="text1"/>
          <w:highlight w:val="none"/>
          <w:lang w:eastAsia="zh-CN"/>
          <w14:textFill>
            <w14:solidFill>
              <w14:schemeClr w14:val="tx1"/>
            </w14:solidFill>
          </w14:textFill>
        </w:rPr>
      </w:pPr>
      <w:bookmarkStart w:id="91" w:name="_Toc5302"/>
      <w:r>
        <w:rPr>
          <w:color w:val="000000" w:themeColor="text1"/>
          <w:highlight w:val="none"/>
          <w:lang w:eastAsia="zh-CN"/>
          <w14:textFill>
            <w14:solidFill>
              <w14:schemeClr w14:val="tx1"/>
            </w14:solidFill>
          </w14:textFill>
        </w:rPr>
        <w:t>相关政策、规范符合性分析</w:t>
      </w:r>
      <w:bookmarkEnd w:id="91"/>
    </w:p>
    <w:p>
      <w:pPr>
        <w:pStyle w:val="5"/>
        <w:spacing w:before="120"/>
        <w:ind w:firstLine="480"/>
        <w:rPr>
          <w:b/>
          <w:color w:val="000000" w:themeColor="text1"/>
          <w:highlight w:val="none"/>
          <w:lang w:eastAsia="zh-CN"/>
          <w14:textFill>
            <w14:solidFill>
              <w14:schemeClr w14:val="tx1"/>
            </w14:solidFill>
          </w14:textFill>
        </w:rPr>
      </w:pPr>
      <w:bookmarkStart w:id="92" w:name="_Toc120173078"/>
      <w:r>
        <w:rPr>
          <w:color w:val="000000" w:themeColor="text1"/>
          <w:highlight w:val="none"/>
          <w:lang w:eastAsia="zh-CN"/>
          <w14:textFill>
            <w14:solidFill>
              <w14:schemeClr w14:val="tx1"/>
            </w14:solidFill>
          </w14:textFill>
        </w:rPr>
        <w:t>产业政策及相关文件符合性分析</w:t>
      </w:r>
      <w:bookmarkEnd w:id="92"/>
    </w:p>
    <w:p>
      <w:pPr>
        <w:pStyle w:val="6"/>
        <w:spacing w:before="12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与《产业结构调整指导目录》的符合性分析</w:t>
      </w:r>
    </w:p>
    <w:p>
      <w:pPr>
        <w:tabs>
          <w:tab w:val="left" w:pos="0"/>
        </w:tabs>
        <w:ind w:firstLine="480"/>
        <w:rPr>
          <w:rFonts w:cs="Times New Roman"/>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根据《产业结构调整指导目录（2024年本）》，</w:t>
      </w:r>
      <w:r>
        <w:rPr>
          <w:rFonts w:hint="eastAsia"/>
          <w:color w:val="000000" w:themeColor="text1"/>
          <w:highlight w:val="none"/>
          <w14:textFill>
            <w14:solidFill>
              <w14:schemeClr w14:val="tx1"/>
            </w14:solidFill>
          </w14:textFill>
        </w:rPr>
        <w:t>本</w:t>
      </w:r>
      <w:r>
        <w:rPr>
          <w:color w:val="000000" w:themeColor="text1"/>
          <w:highlight w:val="none"/>
          <w14:textFill>
            <w14:solidFill>
              <w14:schemeClr w14:val="tx1"/>
            </w14:solidFill>
          </w14:textFill>
        </w:rPr>
        <w:t>项目属于其中第一</w:t>
      </w:r>
      <w:r>
        <w:rPr>
          <w:rFonts w:ascii="宋体" w:hAnsi="宋体"/>
          <w:color w:val="000000" w:themeColor="text1"/>
          <w:highlight w:val="none"/>
          <w14:textFill>
            <w14:solidFill>
              <w14:schemeClr w14:val="tx1"/>
            </w14:solidFill>
          </w14:textFill>
        </w:rPr>
        <w:t>类“鼓励类”第七条“石油天然气”第一款“石油天然气开采”</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因此本项目符合国家产业政策</w:t>
      </w:r>
      <w:r>
        <w:rPr>
          <w:rFonts w:cs="Times New Roman"/>
          <w:color w:val="000000" w:themeColor="text1"/>
          <w:highlight w:val="none"/>
          <w14:textFill>
            <w14:solidFill>
              <w14:schemeClr w14:val="tx1"/>
            </w14:solidFill>
          </w14:textFill>
        </w:rPr>
        <w:t>。</w:t>
      </w:r>
    </w:p>
    <w:p>
      <w:pPr>
        <w:pStyle w:val="5"/>
        <w:pageBreakBefore w:val="0"/>
        <w:widowControl w:val="0"/>
        <w:kinsoku/>
        <w:wordWrap/>
        <w:overflowPunct/>
        <w:topLinePunct w:val="0"/>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用地及空间</w:t>
      </w:r>
      <w:r>
        <w:rPr>
          <w:rFonts w:hint="default" w:ascii="Times New Roman" w:hAnsi="Times New Roman" w:cs="Times New Roman"/>
          <w:color w:val="000000" w:themeColor="text1"/>
          <w:highlight w:val="none"/>
          <w:lang w:eastAsia="zh-CN"/>
          <w14:textFill>
            <w14:solidFill>
              <w14:schemeClr w14:val="tx1"/>
            </w14:solidFill>
          </w14:textFill>
        </w:rPr>
        <w:t>符合性分析</w:t>
      </w:r>
    </w:p>
    <w:p>
      <w:pPr>
        <w:pStyle w:val="6"/>
        <w:spacing w:before="0" w:beforeLines="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本项目与周边基本农田位置关系</w:t>
      </w:r>
    </w:p>
    <w:p>
      <w:pPr>
        <w:ind w:firstLine="480"/>
        <w:rPr>
          <w:rFonts w:hint="eastAsia"/>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本项目为新建，</w:t>
      </w:r>
      <w:r>
        <w:rPr>
          <w:rFonts w:hint="eastAsia"/>
          <w:color w:val="000000" w:themeColor="text1"/>
          <w:highlight w:val="none"/>
          <w14:textFill>
            <w14:solidFill>
              <w14:schemeClr w14:val="tx1"/>
            </w14:solidFill>
          </w14:textFill>
        </w:rPr>
        <w:t>通过与宣汉县自然资源局和通川区自然资源局基本农田分布图叠图分析本项目临时占用基本农田16920</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2</w:t>
      </w:r>
      <w:r>
        <w:rPr>
          <w:rFonts w:hint="eastAsia"/>
          <w:color w:val="000000" w:themeColor="text1"/>
          <w:highlight w:val="none"/>
          <w14:textFill>
            <w14:solidFill>
              <w14:schemeClr w14:val="tx1"/>
            </w14:solidFill>
          </w14:textFill>
        </w:rPr>
        <w:t>，其与周边基本农田位置关系见附图9。</w:t>
      </w:r>
    </w:p>
    <w:p>
      <w:pPr>
        <w:pStyle w:val="6"/>
        <w:spacing w:before="0" w:beforeLines="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与基本农田相关法律法规及规范标准的符合性分析</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w:t>
      </w:r>
      <w:r>
        <w:rPr>
          <w:rFonts w:hint="eastAsia"/>
          <w:color w:val="000000" w:themeColor="text1"/>
          <w:highlight w:val="none"/>
          <w14:textFill>
            <w14:solidFill>
              <w14:schemeClr w14:val="tx1"/>
            </w14:solidFill>
          </w14:textFill>
        </w:rPr>
        <w:t>与基本农田相关法律法规符合性分析</w:t>
      </w:r>
      <w:r>
        <w:rPr>
          <w:color w:val="000000" w:themeColor="text1"/>
          <w:highlight w:val="none"/>
          <w14:textFill>
            <w14:solidFill>
              <w14:schemeClr w14:val="tx1"/>
            </w14:solidFill>
          </w14:textFill>
        </w:rPr>
        <w:t>见下表：</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lang w:val="en-US" w:eastAsia="zh-CN"/>
          <w14:textFill>
            <w14:solidFill>
              <w14:schemeClr w14:val="tx1"/>
            </w14:solidFill>
          </w14:textFill>
        </w:rPr>
        <w:t xml:space="preserve">1 </w:t>
      </w:r>
      <w:r>
        <w:rPr>
          <w:rFonts w:hint="eastAsia" w:ascii="黑体" w:hAnsi="黑体" w:cs="黑体"/>
          <w:color w:val="000000" w:themeColor="text1"/>
          <w:highlight w:val="none"/>
          <w14:textFill>
            <w14:solidFill>
              <w14:schemeClr w14:val="tx1"/>
            </w14:solidFill>
          </w14:textFill>
        </w:rPr>
        <w:t>本项目与基本农田相关法律法规符合性分析表</w:t>
      </w:r>
    </w:p>
    <w:tbl>
      <w:tblPr>
        <w:tblStyle w:val="4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87"/>
        <w:gridCol w:w="3255"/>
        <w:gridCol w:w="12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87" w:type="dxa"/>
            <w:shd w:val="clear" w:color="auto" w:fill="auto"/>
            <w:vAlign w:val="center"/>
          </w:tcPr>
          <w:p>
            <w:pPr>
              <w:adjustRightInd/>
              <w:spacing w:line="240" w:lineRule="auto"/>
              <w:ind w:firstLine="0" w:firstLineChars="0"/>
              <w:jc w:val="center"/>
              <w:rPr>
                <w:rFonts w:ascii="Arial" w:hAnsi="Arial"/>
                <w:b/>
                <w:bCs/>
                <w:color w:val="000000" w:themeColor="text1"/>
                <w:sz w:val="21"/>
                <w:szCs w:val="21"/>
                <w:highlight w:val="none"/>
                <w14:textFill>
                  <w14:solidFill>
                    <w14:schemeClr w14:val="tx1"/>
                  </w14:solidFill>
                </w14:textFill>
              </w:rPr>
            </w:pPr>
            <w:r>
              <w:rPr>
                <w:rFonts w:hint="eastAsia" w:ascii="Arial" w:hAnsi="Arial"/>
                <w:b/>
                <w:bCs/>
                <w:color w:val="000000" w:themeColor="text1"/>
                <w:sz w:val="21"/>
                <w:szCs w:val="21"/>
                <w:highlight w:val="none"/>
                <w14:textFill>
                  <w14:solidFill>
                    <w14:schemeClr w14:val="tx1"/>
                  </w14:solidFill>
                </w14:textFill>
              </w:rPr>
              <w:t>法律法规、规范要求</w:t>
            </w:r>
          </w:p>
        </w:tc>
        <w:tc>
          <w:tcPr>
            <w:tcW w:w="3255" w:type="dxa"/>
            <w:shd w:val="clear" w:color="auto" w:fill="auto"/>
            <w:vAlign w:val="center"/>
          </w:tcPr>
          <w:p>
            <w:pPr>
              <w:adjustRightInd/>
              <w:spacing w:line="240" w:lineRule="auto"/>
              <w:ind w:firstLine="0" w:firstLineChars="0"/>
              <w:jc w:val="center"/>
              <w:rPr>
                <w:rFonts w:ascii="Arial" w:hAnsi="Arial"/>
                <w:b/>
                <w:bCs/>
                <w:color w:val="000000" w:themeColor="text1"/>
                <w:sz w:val="21"/>
                <w:szCs w:val="21"/>
                <w:highlight w:val="none"/>
                <w14:textFill>
                  <w14:solidFill>
                    <w14:schemeClr w14:val="tx1"/>
                  </w14:solidFill>
                </w14:textFill>
              </w:rPr>
            </w:pPr>
            <w:r>
              <w:rPr>
                <w:rFonts w:hint="eastAsia" w:ascii="Arial" w:hAnsi="Arial"/>
                <w:b/>
                <w:bCs/>
                <w:color w:val="000000" w:themeColor="text1"/>
                <w:sz w:val="21"/>
                <w:szCs w:val="21"/>
                <w:highlight w:val="none"/>
                <w14:textFill>
                  <w14:solidFill>
                    <w14:schemeClr w14:val="tx1"/>
                  </w14:solidFill>
                </w14:textFill>
              </w:rPr>
              <w:t>本项目情况</w:t>
            </w:r>
          </w:p>
        </w:tc>
        <w:tc>
          <w:tcPr>
            <w:tcW w:w="1280" w:type="dxa"/>
            <w:shd w:val="clear" w:color="auto" w:fill="auto"/>
            <w:vAlign w:val="center"/>
          </w:tcPr>
          <w:p>
            <w:pPr>
              <w:adjustRightInd/>
              <w:spacing w:line="240" w:lineRule="auto"/>
              <w:ind w:firstLine="0" w:firstLineChars="0"/>
              <w:jc w:val="center"/>
              <w:rPr>
                <w:rFonts w:ascii="Arial" w:hAnsi="Arial"/>
                <w:b/>
                <w:bCs/>
                <w:color w:val="000000" w:themeColor="text1"/>
                <w:sz w:val="21"/>
                <w:szCs w:val="21"/>
                <w:highlight w:val="none"/>
                <w14:textFill>
                  <w14:solidFill>
                    <w14:schemeClr w14:val="tx1"/>
                  </w14:solidFill>
                </w14:textFill>
              </w:rPr>
            </w:pPr>
            <w:r>
              <w:rPr>
                <w:rFonts w:hint="eastAsia" w:ascii="Arial" w:hAnsi="Arial"/>
                <w:b/>
                <w:bCs/>
                <w:color w:val="000000" w:themeColor="text1"/>
                <w:sz w:val="21"/>
                <w:szCs w:val="21"/>
                <w:highlight w:val="none"/>
                <w14:textFill>
                  <w14:solidFill>
                    <w14:schemeClr w14:val="tx1"/>
                  </w14:solidFill>
                </w14:textFill>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522" w:type="dxa"/>
            <w:gridSpan w:val="3"/>
            <w:shd w:val="clear" w:color="auto" w:fill="auto"/>
            <w:vAlign w:val="center"/>
          </w:tcPr>
          <w:p>
            <w:pPr>
              <w:adjustRightInd/>
              <w:spacing w:line="240" w:lineRule="auto"/>
              <w:ind w:firstLine="0" w:firstLineChars="0"/>
              <w:jc w:val="center"/>
              <w:rPr>
                <w:rFonts w:ascii="Arial" w:hAnsi="Arial"/>
                <w:color w:val="000000" w:themeColor="text1"/>
                <w:sz w:val="21"/>
                <w:szCs w:val="21"/>
                <w:highlight w:val="none"/>
                <w14:textFill>
                  <w14:solidFill>
                    <w14:schemeClr w14:val="tx1"/>
                  </w14:solidFill>
                </w14:textFill>
              </w:rPr>
            </w:pPr>
            <w:r>
              <w:rPr>
                <w:rFonts w:hint="eastAsia" w:ascii="Arial" w:hAnsi="Arial"/>
                <w:b/>
                <w:bCs/>
                <w:color w:val="000000" w:themeColor="text1"/>
                <w:sz w:val="21"/>
                <w:szCs w:val="21"/>
                <w:highlight w:val="none"/>
                <w14:textFill>
                  <w14:solidFill>
                    <w14:schemeClr w14:val="tx1"/>
                  </w14:solidFill>
                </w14:textFill>
              </w:rPr>
              <w:t>《中华人民共和国土地管理法》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87" w:type="dxa"/>
            <w:shd w:val="clear" w:color="auto" w:fill="auto"/>
            <w:vAlign w:val="center"/>
          </w:tcPr>
          <w:p>
            <w:pPr>
              <w:adjustRightInd/>
              <w:spacing w:line="240" w:lineRule="auto"/>
              <w:ind w:firstLine="0" w:firstLineChars="0"/>
              <w:jc w:val="center"/>
              <w:rPr>
                <w:rFonts w:ascii="Arial" w:hAnsi="Arial"/>
                <w:color w:val="000000" w:themeColor="text1"/>
                <w:sz w:val="21"/>
                <w:szCs w:val="21"/>
                <w:highlight w:val="none"/>
                <w14:textFill>
                  <w14:solidFill>
                    <w14:schemeClr w14:val="tx1"/>
                  </w14:solidFill>
                </w14:textFill>
              </w:rPr>
            </w:pPr>
            <w:r>
              <w:rPr>
                <w:rFonts w:hint="eastAsia" w:ascii="Arial" w:hAnsi="Arial"/>
                <w:color w:val="000000" w:themeColor="text1"/>
                <w:sz w:val="21"/>
                <w:szCs w:val="21"/>
                <w:highlight w:val="none"/>
                <w14:textFill>
                  <w14:solidFill>
                    <w14:schemeClr w14:val="tx1"/>
                  </w14:solidFill>
                </w14:textFill>
              </w:rPr>
              <w:t>第五十七条 建设项目施工和地质勘查需要临时使用国有土地或者农民集体所有的土地的，由县级以上人民政府自然资源主管部门批准……土地使用者应当根据土地权属，与有关自然资源主管部门或者农村集体经济组织、村民委员会签订临时使用土地合同，并按照合同的约定支付临时使用土地补偿费。临时使用土地的使用者应当按照临时使用土地合同约定的用途使用土地，并不得修建永久性建筑物。临时使用土地期限一般不超过二年。</w:t>
            </w:r>
          </w:p>
        </w:tc>
        <w:tc>
          <w:tcPr>
            <w:tcW w:w="3255" w:type="dxa"/>
            <w:shd w:val="clear" w:color="auto" w:fill="auto"/>
            <w:vAlign w:val="center"/>
          </w:tcPr>
          <w:p>
            <w:pPr>
              <w:adjustRightInd/>
              <w:spacing w:line="240" w:lineRule="auto"/>
              <w:ind w:firstLine="0" w:firstLineChars="0"/>
              <w:jc w:val="center"/>
              <w:rPr>
                <w:rFonts w:ascii="Arial" w:hAnsi="Arial"/>
                <w:color w:val="000000" w:themeColor="text1"/>
                <w:sz w:val="21"/>
                <w:szCs w:val="21"/>
                <w:highlight w:val="none"/>
                <w14:textFill>
                  <w14:solidFill>
                    <w14:schemeClr w14:val="tx1"/>
                  </w14:solidFill>
                </w14:textFill>
              </w:rPr>
            </w:pPr>
            <w:r>
              <w:rPr>
                <w:rFonts w:hint="eastAsia" w:ascii="Arial" w:hAnsi="Arial"/>
                <w:color w:val="000000" w:themeColor="text1"/>
                <w:sz w:val="21"/>
                <w:szCs w:val="21"/>
                <w:highlight w:val="none"/>
                <w14:textFill>
                  <w14:solidFill>
                    <w14:schemeClr w14:val="tx1"/>
                  </w14:solidFill>
                </w14:textFill>
              </w:rPr>
              <w:t>本项目属于天然气试采项目，均为临时占地。试采站和集输管线临时用地部分应编制土地复垦方案，本报告要求建设单位在取得临时用地批复后方可开工建设。建设单位应当与村委/村民签订临时土地使用合同并支付土地补偿费。本项目试采期为两年。</w:t>
            </w:r>
          </w:p>
        </w:tc>
        <w:tc>
          <w:tcPr>
            <w:tcW w:w="1280" w:type="dxa"/>
            <w:shd w:val="clear" w:color="auto" w:fill="auto"/>
            <w:vAlign w:val="center"/>
          </w:tcPr>
          <w:p>
            <w:pPr>
              <w:adjustRightInd/>
              <w:spacing w:line="240" w:lineRule="auto"/>
              <w:ind w:firstLine="0" w:firstLineChars="0"/>
              <w:jc w:val="center"/>
              <w:rPr>
                <w:rFonts w:ascii="Arial" w:hAnsi="Arial"/>
                <w:color w:val="000000" w:themeColor="text1"/>
                <w:sz w:val="21"/>
                <w:szCs w:val="21"/>
                <w:highlight w:val="none"/>
                <w14:textFill>
                  <w14:solidFill>
                    <w14:schemeClr w14:val="tx1"/>
                  </w14:solidFill>
                </w14:textFill>
              </w:rPr>
            </w:pPr>
            <w:r>
              <w:rPr>
                <w:rFonts w:hint="eastAsia" w:ascii="Arial" w:hAnsi="Arial"/>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522" w:type="dxa"/>
            <w:gridSpan w:val="3"/>
            <w:shd w:val="clear" w:color="auto" w:fill="auto"/>
            <w:vAlign w:val="center"/>
          </w:tcPr>
          <w:p>
            <w:pPr>
              <w:adjustRightInd/>
              <w:spacing w:line="240" w:lineRule="auto"/>
              <w:ind w:firstLine="0" w:firstLineChars="0"/>
              <w:jc w:val="center"/>
              <w:rPr>
                <w:rFonts w:ascii="Arial" w:hAnsi="Arial"/>
                <w:color w:val="000000" w:themeColor="text1"/>
                <w:sz w:val="21"/>
                <w:szCs w:val="21"/>
                <w:highlight w:val="none"/>
                <w14:textFill>
                  <w14:solidFill>
                    <w14:schemeClr w14:val="tx1"/>
                  </w14:solidFill>
                </w14:textFill>
              </w:rPr>
            </w:pPr>
            <w:r>
              <w:rPr>
                <w:rFonts w:hint="eastAsia" w:ascii="Arial" w:hAnsi="Arial"/>
                <w:b/>
                <w:bCs/>
                <w:color w:val="000000" w:themeColor="text1"/>
                <w:sz w:val="21"/>
                <w:szCs w:val="21"/>
                <w:highlight w:val="none"/>
                <w14:textFill>
                  <w14:solidFill>
                    <w14:schemeClr w14:val="tx1"/>
                  </w14:solidFill>
                </w14:textFill>
              </w:rPr>
              <w:t>《自然资源部农业农村部关于加强和改进永久基本农田保护工作的通知》（自然资规〔2019〕1号）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87" w:type="dxa"/>
            <w:shd w:val="clear" w:color="auto" w:fill="auto"/>
            <w:vAlign w:val="center"/>
          </w:tcPr>
          <w:p>
            <w:pPr>
              <w:adjustRightInd/>
              <w:spacing w:line="240" w:lineRule="auto"/>
              <w:ind w:firstLine="0" w:firstLineChars="0"/>
              <w:jc w:val="center"/>
              <w:rPr>
                <w:rFonts w:ascii="Arial" w:hAnsi="Arial"/>
                <w:color w:val="000000" w:themeColor="text1"/>
                <w:sz w:val="21"/>
                <w:szCs w:val="21"/>
                <w:highlight w:val="none"/>
                <w14:textFill>
                  <w14:solidFill>
                    <w14:schemeClr w14:val="tx1"/>
                  </w14:solidFill>
                </w14:textFill>
              </w:rPr>
            </w:pPr>
            <w:r>
              <w:rPr>
                <w:color w:val="000000" w:themeColor="text1"/>
                <w:sz w:val="21"/>
                <w:szCs w:val="16"/>
                <w:highlight w:val="none"/>
                <w14:textFill>
                  <w14:solidFill>
                    <w14:schemeClr w14:val="tx1"/>
                  </w14:solidFill>
                </w14:textFill>
              </w:rPr>
              <w:t>第七条</w:t>
            </w:r>
            <w:r>
              <w:rPr>
                <w:rFonts w:hint="eastAsia"/>
                <w:color w:val="000000" w:themeColor="text1"/>
                <w:sz w:val="21"/>
                <w:szCs w:val="16"/>
                <w:highlight w:val="none"/>
                <w14:textFill>
                  <w14:solidFill>
                    <w14:schemeClr w14:val="tx1"/>
                  </w14:solidFill>
                </w14:textFill>
              </w:rPr>
              <w:t xml:space="preserve"> </w:t>
            </w:r>
            <w:r>
              <w:rPr>
                <w:color w:val="000000" w:themeColor="text1"/>
                <w:sz w:val="21"/>
                <w:szCs w:val="16"/>
                <w:highlight w:val="none"/>
                <w14:textFill>
                  <w14:solidFill>
                    <w14:schemeClr w14:val="tx1"/>
                  </w14:solidFill>
                </w14:textFill>
              </w:rPr>
              <w:t>临时用地一般不得占用永久基本农田，建设项目施工和地质勘查需要临时用地、选址确实难以避让永久基本农田的，在不修建永久性建（构）筑物、经复垦能恢复原种植条件的前提下，土地使用者按法定程序申请临时用地并编制土地复垦方案，经县级自然资源主管部门批准可临时占用，并在市级自然资源主管部门备案，一般不超过两年</w:t>
            </w:r>
            <w:r>
              <w:rPr>
                <w:rFonts w:hint="eastAsia"/>
                <w:color w:val="000000" w:themeColor="text1"/>
                <w:sz w:val="21"/>
                <w:szCs w:val="16"/>
                <w:highlight w:val="none"/>
                <w14:textFill>
                  <w14:solidFill>
                    <w14:schemeClr w14:val="tx1"/>
                  </w14:solidFill>
                </w14:textFill>
              </w:rPr>
              <w:t>。</w:t>
            </w:r>
          </w:p>
        </w:tc>
        <w:tc>
          <w:tcPr>
            <w:tcW w:w="3255" w:type="dxa"/>
            <w:shd w:val="clear" w:color="auto" w:fill="auto"/>
            <w:vAlign w:val="center"/>
          </w:tcPr>
          <w:p>
            <w:pPr>
              <w:adjustRightInd/>
              <w:spacing w:line="240" w:lineRule="auto"/>
              <w:ind w:firstLine="0" w:firstLineChars="0"/>
              <w:jc w:val="center"/>
              <w:rPr>
                <w:rFonts w:ascii="Arial" w:hAnsi="Arial"/>
                <w:color w:val="000000" w:themeColor="text1"/>
                <w:sz w:val="21"/>
                <w:szCs w:val="21"/>
                <w:highlight w:val="none"/>
                <w14:textFill>
                  <w14:solidFill>
                    <w14:schemeClr w14:val="tx1"/>
                  </w14:solidFill>
                </w14:textFill>
              </w:rPr>
            </w:pPr>
            <w:r>
              <w:rPr>
                <w:rFonts w:hint="eastAsia" w:ascii="Arial" w:hAnsi="Arial"/>
                <w:color w:val="000000" w:themeColor="text1"/>
                <w:sz w:val="21"/>
                <w:szCs w:val="21"/>
                <w:highlight w:val="none"/>
                <w14:textFill>
                  <w14:solidFill>
                    <w14:schemeClr w14:val="tx1"/>
                  </w14:solidFill>
                </w14:textFill>
              </w:rPr>
              <w:t>本项目属于</w:t>
            </w:r>
            <w:r>
              <w:rPr>
                <w:rFonts w:hint="eastAsia" w:ascii="Arial" w:hAnsi="Arial"/>
                <w:color w:val="000000" w:themeColor="text1"/>
                <w:sz w:val="21"/>
                <w:szCs w:val="21"/>
                <w:highlight w:val="none"/>
                <w:lang w:eastAsia="zh-CN"/>
                <w14:textFill>
                  <w14:solidFill>
                    <w14:schemeClr w14:val="tx1"/>
                  </w14:solidFill>
                </w14:textFill>
              </w:rPr>
              <w:t>天然气试采项目（页岩气）</w:t>
            </w:r>
            <w:r>
              <w:rPr>
                <w:rFonts w:hint="eastAsia" w:ascii="Arial" w:hAnsi="Arial"/>
                <w:color w:val="000000" w:themeColor="text1"/>
                <w:sz w:val="21"/>
                <w:szCs w:val="21"/>
                <w:highlight w:val="none"/>
                <w14:textFill>
                  <w14:solidFill>
                    <w14:schemeClr w14:val="tx1"/>
                  </w14:solidFill>
                </w14:textFill>
              </w:rPr>
              <w:t>，均为临时占地。试采站和集输管线临时用地部分应编制土地复垦方案，本报告要求建设单位在取得临时用地批复后方可开工建设。</w:t>
            </w:r>
          </w:p>
        </w:tc>
        <w:tc>
          <w:tcPr>
            <w:tcW w:w="1280" w:type="dxa"/>
            <w:shd w:val="clear" w:color="auto" w:fill="auto"/>
            <w:vAlign w:val="center"/>
          </w:tcPr>
          <w:p>
            <w:pPr>
              <w:adjustRightInd/>
              <w:spacing w:line="240" w:lineRule="auto"/>
              <w:ind w:firstLine="0" w:firstLineChars="0"/>
              <w:jc w:val="center"/>
              <w:rPr>
                <w:rFonts w:ascii="Arial" w:hAnsi="Arial"/>
                <w:color w:val="000000" w:themeColor="text1"/>
                <w:sz w:val="21"/>
                <w:szCs w:val="21"/>
                <w:highlight w:val="none"/>
                <w14:textFill>
                  <w14:solidFill>
                    <w14:schemeClr w14:val="tx1"/>
                  </w14:solidFill>
                </w14:textFill>
              </w:rPr>
            </w:pPr>
            <w:r>
              <w:rPr>
                <w:rFonts w:hint="eastAsia" w:ascii="Arial" w:hAnsi="Arial"/>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522" w:type="dxa"/>
            <w:gridSpan w:val="3"/>
            <w:shd w:val="clear" w:color="auto" w:fill="auto"/>
            <w:vAlign w:val="center"/>
          </w:tcPr>
          <w:p>
            <w:pPr>
              <w:adjustRightInd/>
              <w:spacing w:line="240" w:lineRule="auto"/>
              <w:ind w:firstLine="0" w:firstLineChars="0"/>
              <w:jc w:val="center"/>
              <w:rPr>
                <w:rFonts w:ascii="Arial" w:hAnsi="Arial"/>
                <w:color w:val="000000" w:themeColor="text1"/>
                <w:sz w:val="21"/>
                <w:szCs w:val="21"/>
                <w:highlight w:val="none"/>
                <w14:textFill>
                  <w14:solidFill>
                    <w14:schemeClr w14:val="tx1"/>
                  </w14:solidFill>
                </w14:textFill>
              </w:rPr>
            </w:pPr>
            <w:r>
              <w:rPr>
                <w:b/>
                <w:bCs/>
                <w:color w:val="000000" w:themeColor="text1"/>
                <w:sz w:val="21"/>
                <w:szCs w:val="16"/>
                <w:highlight w:val="none"/>
                <w14:textFill>
                  <w14:solidFill>
                    <w14:schemeClr w14:val="tx1"/>
                  </w14:solidFill>
                </w14:textFill>
              </w:rPr>
              <w:t>《土地复垦条例》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87" w:type="dxa"/>
            <w:shd w:val="clear" w:color="auto" w:fill="auto"/>
            <w:vAlign w:val="center"/>
          </w:tcPr>
          <w:p>
            <w:pPr>
              <w:adjustRightInd/>
              <w:spacing w:line="240" w:lineRule="auto"/>
              <w:ind w:firstLine="0" w:firstLineChars="0"/>
              <w:jc w:val="center"/>
              <w:rPr>
                <w:rFonts w:ascii="Arial" w:hAnsi="Arial"/>
                <w:color w:val="000000" w:themeColor="text1"/>
                <w:sz w:val="21"/>
                <w:szCs w:val="21"/>
                <w:highlight w:val="none"/>
                <w14:textFill>
                  <w14:solidFill>
                    <w14:schemeClr w14:val="tx1"/>
                  </w14:solidFill>
                </w14:textFill>
              </w:rPr>
            </w:pPr>
            <w:r>
              <w:rPr>
                <w:color w:val="000000" w:themeColor="text1"/>
                <w:sz w:val="21"/>
                <w:szCs w:val="16"/>
                <w:highlight w:val="none"/>
                <w14:textFill>
                  <w14:solidFill>
                    <w14:schemeClr w14:val="tx1"/>
                  </w14:solidFill>
                </w14:textFill>
              </w:rPr>
              <w:t>第十条 下列损毁土地由土地复垦义务人负责复垦：……（四）能源、交通、水利等基础设施建设和其他生产建设活动临时占用所损毁的土地</w:t>
            </w:r>
          </w:p>
        </w:tc>
        <w:tc>
          <w:tcPr>
            <w:tcW w:w="3255" w:type="dxa"/>
            <w:shd w:val="clear" w:color="auto" w:fill="auto"/>
            <w:vAlign w:val="center"/>
          </w:tcPr>
          <w:p>
            <w:pPr>
              <w:adjustRightInd/>
              <w:spacing w:line="240" w:lineRule="auto"/>
              <w:ind w:firstLine="0" w:firstLineChars="0"/>
              <w:jc w:val="center"/>
              <w:rPr>
                <w:rFonts w:ascii="Arial" w:hAnsi="Arial"/>
                <w:color w:val="000000" w:themeColor="text1"/>
                <w:sz w:val="21"/>
                <w:szCs w:val="21"/>
                <w:highlight w:val="none"/>
                <w14:textFill>
                  <w14:solidFill>
                    <w14:schemeClr w14:val="tx1"/>
                  </w14:solidFill>
                </w14:textFill>
              </w:rPr>
            </w:pPr>
            <w:r>
              <w:rPr>
                <w:rFonts w:hint="eastAsia" w:ascii="Arial" w:hAnsi="Arial"/>
                <w:color w:val="000000" w:themeColor="text1"/>
                <w:sz w:val="21"/>
                <w:szCs w:val="21"/>
                <w:highlight w:val="none"/>
                <w14:textFill>
                  <w14:solidFill>
                    <w14:schemeClr w14:val="tx1"/>
                  </w14:solidFill>
                </w14:textFill>
              </w:rPr>
              <w:t>本项目属于能源建设活动，集输管线施工完成后及时进行复垦，试采期结束后若进行闭井，则由建设单位负责及时进行试采站的土地复垦工作。</w:t>
            </w:r>
          </w:p>
        </w:tc>
        <w:tc>
          <w:tcPr>
            <w:tcW w:w="1280" w:type="dxa"/>
            <w:shd w:val="clear" w:color="auto" w:fill="auto"/>
            <w:vAlign w:val="center"/>
          </w:tcPr>
          <w:p>
            <w:pPr>
              <w:adjustRightInd/>
              <w:spacing w:line="240" w:lineRule="auto"/>
              <w:ind w:firstLine="0" w:firstLineChars="0"/>
              <w:jc w:val="center"/>
              <w:rPr>
                <w:rFonts w:ascii="Arial" w:hAnsi="Arial"/>
                <w:color w:val="000000" w:themeColor="text1"/>
                <w:sz w:val="21"/>
                <w:szCs w:val="21"/>
                <w:highlight w:val="none"/>
                <w14:textFill>
                  <w14:solidFill>
                    <w14:schemeClr w14:val="tx1"/>
                  </w14:solidFill>
                </w14:textFill>
              </w:rPr>
            </w:pPr>
            <w:r>
              <w:rPr>
                <w:rFonts w:hint="eastAsia" w:ascii="Arial" w:hAnsi="Arial"/>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522" w:type="dxa"/>
            <w:gridSpan w:val="3"/>
            <w:shd w:val="clear" w:color="auto" w:fill="auto"/>
            <w:vAlign w:val="center"/>
          </w:tcPr>
          <w:p>
            <w:pPr>
              <w:adjustRightInd/>
              <w:spacing w:line="240" w:lineRule="auto"/>
              <w:ind w:firstLine="0" w:firstLineChars="0"/>
              <w:jc w:val="center"/>
              <w:rPr>
                <w:rFonts w:ascii="Arial" w:hAnsi="Arial"/>
                <w:color w:val="000000" w:themeColor="text1"/>
                <w:sz w:val="21"/>
                <w:szCs w:val="21"/>
                <w:highlight w:val="none"/>
                <w14:textFill>
                  <w14:solidFill>
                    <w14:schemeClr w14:val="tx1"/>
                  </w14:solidFill>
                </w14:textFill>
              </w:rPr>
            </w:pPr>
            <w:r>
              <w:rPr>
                <w:b/>
                <w:bCs/>
                <w:color w:val="000000" w:themeColor="text1"/>
                <w:sz w:val="21"/>
                <w:szCs w:val="16"/>
                <w:highlight w:val="none"/>
                <w14:textFill>
                  <w14:solidFill>
                    <w14:schemeClr w14:val="tx1"/>
                  </w14:solidFill>
                </w14:textFill>
              </w:rPr>
              <w:t>《关于全面实行永久基本农田特殊保护的通知》（国土资规〔2018〕1号）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87" w:type="dxa"/>
            <w:shd w:val="clear" w:color="auto" w:fill="auto"/>
            <w:vAlign w:val="center"/>
          </w:tcPr>
          <w:p>
            <w:pPr>
              <w:adjustRightInd/>
              <w:spacing w:line="240" w:lineRule="auto"/>
              <w:ind w:firstLine="0" w:firstLineChars="0"/>
              <w:jc w:val="center"/>
              <w:rPr>
                <w:rFonts w:ascii="Arial" w:hAnsi="Arial"/>
                <w:color w:val="000000" w:themeColor="text1"/>
                <w:sz w:val="21"/>
                <w:szCs w:val="21"/>
                <w:highlight w:val="none"/>
                <w14:textFill>
                  <w14:solidFill>
                    <w14:schemeClr w14:val="tx1"/>
                  </w14:solidFill>
                </w14:textFill>
              </w:rPr>
            </w:pPr>
            <w:r>
              <w:rPr>
                <w:color w:val="000000" w:themeColor="text1"/>
                <w:sz w:val="21"/>
                <w:szCs w:val="16"/>
                <w:highlight w:val="none"/>
                <w14:textFill>
                  <w14:solidFill>
                    <w14:schemeClr w14:val="tx1"/>
                  </w14:solidFill>
                </w14:textFill>
              </w:rPr>
              <w:t>重大建设项目施工和地质勘查临时用地选址确实难以避让永久基本农田的……在不破坏永久基本农田耕作层、不修建永久性建（构）筑物的前提下，经省级国土资源主管部门组织论证确需占用且土地复垦方案符合有关规定后，可在规定时间内临时占用永久基本农田，原则上不超过两年，到期后必须及时复垦并恢复原状……重点项目占用永久基本农田的，按照‘数量不减、质量不降、布局稳定’的要求开展补划</w:t>
            </w:r>
          </w:p>
        </w:tc>
        <w:tc>
          <w:tcPr>
            <w:tcW w:w="3255" w:type="dxa"/>
            <w:shd w:val="clear" w:color="auto" w:fill="auto"/>
            <w:vAlign w:val="center"/>
          </w:tcPr>
          <w:p>
            <w:pPr>
              <w:adjustRightInd/>
              <w:spacing w:line="240" w:lineRule="auto"/>
              <w:ind w:firstLine="0" w:firstLineChars="0"/>
              <w:jc w:val="center"/>
              <w:rPr>
                <w:rFonts w:ascii="Arial" w:hAnsi="Arial"/>
                <w:color w:val="000000" w:themeColor="text1"/>
                <w:sz w:val="21"/>
                <w:szCs w:val="21"/>
                <w:highlight w:val="none"/>
                <w14:textFill>
                  <w14:solidFill>
                    <w14:schemeClr w14:val="tx1"/>
                  </w14:solidFill>
                </w14:textFill>
              </w:rPr>
            </w:pPr>
            <w:r>
              <w:rPr>
                <w:rFonts w:hint="eastAsia" w:ascii="Arial" w:hAnsi="Arial"/>
                <w:color w:val="000000" w:themeColor="text1"/>
                <w:sz w:val="21"/>
                <w:szCs w:val="21"/>
                <w:highlight w:val="none"/>
                <w14:textFill>
                  <w14:solidFill>
                    <w14:schemeClr w14:val="tx1"/>
                  </w14:solidFill>
                </w14:textFill>
              </w:rPr>
              <w:t>本项目属于</w:t>
            </w:r>
            <w:r>
              <w:rPr>
                <w:rFonts w:hint="eastAsia" w:ascii="Arial" w:hAnsi="Arial"/>
                <w:color w:val="000000" w:themeColor="text1"/>
                <w:sz w:val="21"/>
                <w:szCs w:val="21"/>
                <w:highlight w:val="none"/>
                <w:lang w:eastAsia="zh-CN"/>
                <w14:textFill>
                  <w14:solidFill>
                    <w14:schemeClr w14:val="tx1"/>
                  </w14:solidFill>
                </w14:textFill>
              </w:rPr>
              <w:t>天然气试采项目（页岩气）</w:t>
            </w:r>
            <w:r>
              <w:rPr>
                <w:rFonts w:hint="eastAsia" w:ascii="Arial" w:hAnsi="Arial"/>
                <w:color w:val="000000" w:themeColor="text1"/>
                <w:sz w:val="21"/>
                <w:szCs w:val="21"/>
                <w:highlight w:val="none"/>
                <w14:textFill>
                  <w14:solidFill>
                    <w14:schemeClr w14:val="tx1"/>
                  </w14:solidFill>
                </w14:textFill>
              </w:rPr>
              <w:t>，均为临时占地。试采站和集输管线临时用地部分应编制土地复垦方案，本报告要求建设单位在取得临时用地批复后方可开工建设。集输管线施工完成后及时进行复垦，试采期结束后若进行闭井，则由建设单位负责及时进行站场的土地复垦工作。</w:t>
            </w:r>
          </w:p>
        </w:tc>
        <w:tc>
          <w:tcPr>
            <w:tcW w:w="1280" w:type="dxa"/>
            <w:shd w:val="clear" w:color="auto" w:fill="auto"/>
            <w:vAlign w:val="center"/>
          </w:tcPr>
          <w:p>
            <w:pPr>
              <w:adjustRightInd/>
              <w:spacing w:line="240" w:lineRule="auto"/>
              <w:ind w:firstLine="0" w:firstLineChars="0"/>
              <w:jc w:val="center"/>
              <w:rPr>
                <w:rFonts w:ascii="Arial" w:hAnsi="Arial"/>
                <w:color w:val="000000" w:themeColor="text1"/>
                <w:sz w:val="21"/>
                <w:szCs w:val="21"/>
                <w:highlight w:val="none"/>
                <w14:textFill>
                  <w14:solidFill>
                    <w14:schemeClr w14:val="tx1"/>
                  </w14:solidFill>
                </w14:textFill>
              </w:rPr>
            </w:pPr>
            <w:r>
              <w:rPr>
                <w:rFonts w:hint="eastAsia" w:ascii="Arial" w:hAnsi="Arial"/>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522" w:type="dxa"/>
            <w:gridSpan w:val="3"/>
            <w:shd w:val="clear" w:color="auto" w:fill="auto"/>
            <w:vAlign w:val="center"/>
          </w:tcPr>
          <w:p>
            <w:pPr>
              <w:adjustRightInd/>
              <w:spacing w:line="240" w:lineRule="auto"/>
              <w:ind w:firstLine="0" w:firstLineChars="0"/>
              <w:jc w:val="center"/>
              <w:rPr>
                <w:rFonts w:ascii="Arial" w:hAnsi="Arial"/>
                <w:color w:val="000000" w:themeColor="text1"/>
                <w:sz w:val="21"/>
                <w:szCs w:val="21"/>
                <w:highlight w:val="none"/>
                <w14:textFill>
                  <w14:solidFill>
                    <w14:schemeClr w14:val="tx1"/>
                  </w14:solidFill>
                </w14:textFill>
              </w:rPr>
            </w:pPr>
            <w:r>
              <w:rPr>
                <w:b/>
                <w:bCs/>
                <w:color w:val="000000" w:themeColor="text1"/>
                <w:sz w:val="21"/>
                <w:szCs w:val="16"/>
                <w:highlight w:val="none"/>
                <w14:textFill>
                  <w14:solidFill>
                    <w14:schemeClr w14:val="tx1"/>
                  </w14:solidFill>
                </w14:textFill>
              </w:rPr>
              <w:t>《关于规范临时用地管理的通知》（自然资规〔2021〕2号）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87" w:type="dxa"/>
            <w:shd w:val="clear" w:color="auto" w:fill="auto"/>
            <w:vAlign w:val="center"/>
          </w:tcPr>
          <w:p>
            <w:pPr>
              <w:adjustRightInd/>
              <w:spacing w:line="240" w:lineRule="auto"/>
              <w:ind w:firstLine="0" w:firstLineChars="0"/>
              <w:jc w:val="center"/>
              <w:rPr>
                <w:rFonts w:ascii="Arial" w:hAnsi="Arial"/>
                <w:color w:val="000000" w:themeColor="text1"/>
                <w:sz w:val="21"/>
                <w:szCs w:val="21"/>
                <w:highlight w:val="none"/>
                <w14:textFill>
                  <w14:solidFill>
                    <w14:schemeClr w14:val="tx1"/>
                  </w14:solidFill>
                </w14:textFill>
              </w:rPr>
            </w:pPr>
            <w:r>
              <w:rPr>
                <w:color w:val="000000" w:themeColor="text1"/>
                <w:sz w:val="21"/>
                <w:szCs w:val="16"/>
                <w:highlight w:val="none"/>
                <w14:textFill>
                  <w14:solidFill>
                    <w14:schemeClr w14:val="tx1"/>
                  </w14:solidFill>
                </w14:textFill>
              </w:rPr>
              <w:t>临时用地的范围包括：……油气资源勘查中</w:t>
            </w:r>
            <w:r>
              <w:rPr>
                <w:rFonts w:hint="eastAsia"/>
                <w:color w:val="000000" w:themeColor="text1"/>
                <w:sz w:val="21"/>
                <w:szCs w:val="16"/>
                <w:highlight w:val="none"/>
                <w14:textFill>
                  <w14:solidFill>
                    <w14:schemeClr w14:val="tx1"/>
                  </w14:solidFill>
                </w14:textFill>
              </w:rPr>
              <w:t>站场</w:t>
            </w:r>
            <w:r>
              <w:rPr>
                <w:color w:val="000000" w:themeColor="text1"/>
                <w:sz w:val="21"/>
                <w:szCs w:val="16"/>
                <w:highlight w:val="none"/>
                <w14:textFill>
                  <w14:solidFill>
                    <w14:schemeClr w14:val="tx1"/>
                  </w14:solidFill>
                </w14:textFill>
              </w:rPr>
              <w:t>、配套管线、电力设施、进场道路等钻井及配套设施使用的土地。……建设项目施工、地质勘查使用临时用地时应坚持‘用多少、批多少、占多少、恢复多少’，尽量不占或者少占耕地。……临时用地确需占用永久基本农田的，必须能够恢复原种植条件，并符合《自然资源部 农业农村部关于加强和改进永久基本农田保护工作的通知》（自然资规〔2019〕1号）中申请条件、土壤剥离、复垦验收等有关规定。临时用地使用期限一般不超过两年。……县（市）自然资源主管部门负责临时用地审批，其中涉及占用耕地和永久基本农田的，由市级或者市级以上自然资源主管部门负责审批。……严格落实临时用地恢复责任，临时用地期满后应当拆除临时建（构）筑物，使用耕地的应当复垦为耕地，确保耕地面积不减少、质量不降低；使用耕地以外的其他农用地的应当恢复为农用地；使用未利用地的，对于符合条件的鼓励复垦为耕地。</w:t>
            </w:r>
          </w:p>
        </w:tc>
        <w:tc>
          <w:tcPr>
            <w:tcW w:w="3255" w:type="dxa"/>
            <w:shd w:val="clear" w:color="auto" w:fill="auto"/>
            <w:vAlign w:val="center"/>
          </w:tcPr>
          <w:p>
            <w:pPr>
              <w:adjustRightInd/>
              <w:spacing w:line="240" w:lineRule="auto"/>
              <w:ind w:firstLine="0" w:firstLineChars="0"/>
              <w:jc w:val="center"/>
              <w:rPr>
                <w:rFonts w:ascii="Arial" w:hAnsi="Arial"/>
                <w:color w:val="000000" w:themeColor="text1"/>
                <w:sz w:val="21"/>
                <w:szCs w:val="21"/>
                <w:highlight w:val="none"/>
                <w14:textFill>
                  <w14:solidFill>
                    <w14:schemeClr w14:val="tx1"/>
                  </w14:solidFill>
                </w14:textFill>
              </w:rPr>
            </w:pPr>
            <w:r>
              <w:rPr>
                <w:rFonts w:hint="eastAsia" w:ascii="Arial" w:hAnsi="Arial"/>
                <w:color w:val="000000" w:themeColor="text1"/>
                <w:sz w:val="21"/>
                <w:szCs w:val="21"/>
                <w:highlight w:val="none"/>
                <w14:textFill>
                  <w14:solidFill>
                    <w14:schemeClr w14:val="tx1"/>
                  </w14:solidFill>
                </w14:textFill>
              </w:rPr>
              <w:t>本项目属于</w:t>
            </w:r>
            <w:r>
              <w:rPr>
                <w:rFonts w:hint="eastAsia" w:ascii="Arial" w:hAnsi="Arial"/>
                <w:color w:val="000000" w:themeColor="text1"/>
                <w:sz w:val="21"/>
                <w:szCs w:val="21"/>
                <w:highlight w:val="none"/>
                <w:lang w:eastAsia="zh-CN"/>
                <w14:textFill>
                  <w14:solidFill>
                    <w14:schemeClr w14:val="tx1"/>
                  </w14:solidFill>
                </w14:textFill>
              </w:rPr>
              <w:t>天然气试采项目（页岩气）</w:t>
            </w:r>
            <w:r>
              <w:rPr>
                <w:rFonts w:hint="eastAsia" w:ascii="Arial" w:hAnsi="Arial"/>
                <w:color w:val="000000" w:themeColor="text1"/>
                <w:sz w:val="21"/>
                <w:szCs w:val="21"/>
                <w:highlight w:val="none"/>
                <w14:textFill>
                  <w14:solidFill>
                    <w14:schemeClr w14:val="tx1"/>
                  </w14:solidFill>
                </w14:textFill>
              </w:rPr>
              <w:t>，均为临时占地。试采站和集输管线临时用地部分应编制土地复垦方案，本报告要求建设单位在取得临时用地批复后方可开工建设。集输管线施工完成后及时进行复垦，试采期结束后若进行闭井，则由建设单位负责及时进行站场的土地复垦工作。</w:t>
            </w:r>
          </w:p>
        </w:tc>
        <w:tc>
          <w:tcPr>
            <w:tcW w:w="1280" w:type="dxa"/>
            <w:shd w:val="clear" w:color="auto" w:fill="auto"/>
            <w:vAlign w:val="center"/>
          </w:tcPr>
          <w:p>
            <w:pPr>
              <w:adjustRightInd/>
              <w:spacing w:line="240" w:lineRule="auto"/>
              <w:ind w:firstLine="0" w:firstLineChars="0"/>
              <w:jc w:val="center"/>
              <w:rPr>
                <w:rFonts w:ascii="Arial" w:hAnsi="Arial"/>
                <w:color w:val="000000" w:themeColor="text1"/>
                <w:sz w:val="21"/>
                <w:szCs w:val="21"/>
                <w:highlight w:val="none"/>
                <w14:textFill>
                  <w14:solidFill>
                    <w14:schemeClr w14:val="tx1"/>
                  </w14:solidFill>
                </w14:textFill>
              </w:rPr>
            </w:pPr>
            <w:r>
              <w:rPr>
                <w:rFonts w:hint="eastAsia" w:ascii="Arial" w:hAnsi="Arial"/>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522" w:type="dxa"/>
            <w:gridSpan w:val="3"/>
            <w:shd w:val="clear" w:color="auto" w:fill="auto"/>
            <w:vAlign w:val="center"/>
          </w:tcPr>
          <w:p>
            <w:pPr>
              <w:adjustRightInd/>
              <w:spacing w:line="240" w:lineRule="auto"/>
              <w:ind w:firstLine="0" w:firstLineChars="0"/>
              <w:jc w:val="center"/>
              <w:rPr>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《关于严格耕地用途管制有关问题的通知》（自然资发</w:t>
            </w:r>
            <w:r>
              <w:rPr>
                <w:rFonts w:hint="eastAsia"/>
                <w:b/>
                <w:bCs/>
                <w:color w:val="000000" w:themeColor="text1"/>
                <w:sz w:val="21"/>
                <w:szCs w:val="21"/>
                <w:highlight w:val="none"/>
                <w:lang w:eastAsia="zh-CN"/>
                <w14:textFill>
                  <w14:solidFill>
                    <w14:schemeClr w14:val="tx1"/>
                  </w14:solidFill>
                </w14:textFill>
              </w:rPr>
              <w:t>〔</w:t>
            </w:r>
            <w:r>
              <w:rPr>
                <w:b/>
                <w:bCs/>
                <w:color w:val="000000" w:themeColor="text1"/>
                <w:sz w:val="21"/>
                <w:szCs w:val="21"/>
                <w:highlight w:val="none"/>
                <w14:textFill>
                  <w14:solidFill>
                    <w14:schemeClr w14:val="tx1"/>
                  </w14:solidFill>
                </w14:textFill>
              </w:rPr>
              <w:t>2021</w:t>
            </w:r>
            <w:r>
              <w:rPr>
                <w:rFonts w:hint="eastAsia"/>
                <w:b/>
                <w:bCs/>
                <w:color w:val="000000" w:themeColor="text1"/>
                <w:sz w:val="21"/>
                <w:szCs w:val="21"/>
                <w:highlight w:val="none"/>
                <w:lang w:eastAsia="zh-CN"/>
                <w14:textFill>
                  <w14:solidFill>
                    <w14:schemeClr w14:val="tx1"/>
                  </w14:solidFill>
                </w14:textFill>
              </w:rPr>
              <w:t>〕</w:t>
            </w:r>
            <w:r>
              <w:rPr>
                <w:b/>
                <w:bCs/>
                <w:color w:val="000000" w:themeColor="text1"/>
                <w:sz w:val="21"/>
                <w:szCs w:val="21"/>
                <w:highlight w:val="none"/>
                <w14:textFill>
                  <w14:solidFill>
                    <w14:schemeClr w14:val="tx1"/>
                  </w14:solidFill>
                </w14:textFill>
              </w:rPr>
              <w:t>166号）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87" w:type="dxa"/>
            <w:shd w:val="clear" w:color="auto" w:fill="auto"/>
            <w:vAlign w:val="center"/>
          </w:tcPr>
          <w:p>
            <w:pPr>
              <w:adjustRightInd/>
              <w:spacing w:line="240" w:lineRule="auto"/>
              <w:ind w:firstLine="0" w:firstLineChars="0"/>
              <w:jc w:val="center"/>
              <w:rPr>
                <w:color w:val="000000" w:themeColor="text1"/>
                <w:sz w:val="21"/>
                <w:szCs w:val="16"/>
                <w:highlight w:val="none"/>
                <w14:textFill>
                  <w14:solidFill>
                    <w14:schemeClr w14:val="tx1"/>
                  </w14:solidFill>
                </w14:textFill>
              </w:rPr>
            </w:pPr>
            <w:r>
              <w:rPr>
                <w:color w:val="000000" w:themeColor="text1"/>
                <w:sz w:val="21"/>
                <w:szCs w:val="16"/>
                <w:highlight w:val="none"/>
                <w14:textFill>
                  <w14:solidFill>
                    <w14:schemeClr w14:val="tx1"/>
                  </w14:solidFill>
                </w14:textFill>
              </w:rPr>
              <w:t>已划定的永久基本农田，任何单位和个人不得擅自占用或者改变用途。非农业建设不得“未批先建”。能源、交通、水利、军事设施等重大建设项目选址确实难以避让永久基本农田的，经依法批准，应在落实耕地占补平衡基础上，按照数量不减、质量不降原则，在可以长期稳定利用的耕地上落实永久基本农田补划任务。</w:t>
            </w:r>
          </w:p>
        </w:tc>
        <w:tc>
          <w:tcPr>
            <w:tcW w:w="3255" w:type="dxa"/>
            <w:shd w:val="clear" w:color="auto" w:fill="auto"/>
            <w:vAlign w:val="center"/>
          </w:tcPr>
          <w:p>
            <w:pPr>
              <w:adjustRightIn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本项目为天然气试采项目，属规定的能源重大建设项目，项目选址</w:t>
            </w:r>
            <w:r>
              <w:rPr>
                <w:rFonts w:hint="eastAsia"/>
                <w:color w:val="000000" w:themeColor="text1"/>
                <w:sz w:val="21"/>
                <w:szCs w:val="21"/>
                <w:highlight w:val="none"/>
                <w14:textFill>
                  <w14:solidFill>
                    <w14:schemeClr w14:val="tx1"/>
                  </w14:solidFill>
                </w14:textFill>
              </w:rPr>
              <w:t>、选线</w:t>
            </w:r>
            <w:r>
              <w:rPr>
                <w:color w:val="000000" w:themeColor="text1"/>
                <w:sz w:val="21"/>
                <w:szCs w:val="21"/>
                <w:highlight w:val="none"/>
                <w14:textFill>
                  <w14:solidFill>
                    <w14:schemeClr w14:val="tx1"/>
                  </w14:solidFill>
                </w14:textFill>
              </w:rPr>
              <w:t>难以避让永久基本农田。评价要求建设单位需在取得相关部分审批手续后，方可开工建设。同时评价要求建设单位应编制临时用地土地复垦方案，并取得自然资源主管部门的批复，在施工结束后按照土地复垦方案及批复的要求进行复垦，按照数量不减、质量不降原则落实永久基本农田补划任务。</w:t>
            </w:r>
          </w:p>
        </w:tc>
        <w:tc>
          <w:tcPr>
            <w:tcW w:w="1280" w:type="dxa"/>
            <w:shd w:val="clear" w:color="auto" w:fill="auto"/>
            <w:vAlign w:val="center"/>
          </w:tcPr>
          <w:p>
            <w:pPr>
              <w:adjustRightIn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522" w:type="dxa"/>
            <w:gridSpan w:val="3"/>
            <w:shd w:val="clear" w:color="auto" w:fill="auto"/>
            <w:vAlign w:val="center"/>
          </w:tcPr>
          <w:p>
            <w:pPr>
              <w:adjustRightInd/>
              <w:spacing w:line="240" w:lineRule="auto"/>
              <w:ind w:firstLine="0" w:firstLineChars="0"/>
              <w:jc w:val="center"/>
              <w:rPr>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《四川省自然资源厅关于进一步明确临时用地管理有关事项的通知》（川自然资规〔2022〕3号）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87" w:type="dxa"/>
            <w:shd w:val="clear" w:color="auto" w:fill="auto"/>
            <w:vAlign w:val="center"/>
          </w:tcPr>
          <w:p>
            <w:pPr>
              <w:adjustRightInd/>
              <w:spacing w:line="240" w:lineRule="auto"/>
              <w:ind w:firstLine="0" w:firstLineChars="0"/>
              <w:jc w:val="center"/>
              <w:rPr>
                <w:color w:val="000000" w:themeColor="text1"/>
                <w:sz w:val="21"/>
                <w:szCs w:val="16"/>
                <w:highlight w:val="none"/>
                <w14:textFill>
                  <w14:solidFill>
                    <w14:schemeClr w14:val="tx1"/>
                  </w14:solidFill>
                </w14:textFill>
              </w:rPr>
            </w:pPr>
            <w:r>
              <w:rPr>
                <w:color w:val="000000" w:themeColor="text1"/>
                <w:sz w:val="21"/>
                <w:szCs w:val="16"/>
                <w:highlight w:val="none"/>
                <w14:textFill>
                  <w14:solidFill>
                    <w14:schemeClr w14:val="tx1"/>
                  </w14:solidFill>
                </w14:textFill>
              </w:rPr>
              <w:t>进一步强化永久基本农田特殊保护。市、县级自然资源主管部门要严格耕地用途管制，临时用地应尽量不占或少占耕地，原则上不占用永久基本农田。确需占用永久基本农田的，县级自然资源主管部门应在前期选址阶段，实地核实永久基本农田地块的空间位置、地类、面积、质量状况、利用现状等，组织编制临时用地踏勘报告，并对占用永久基本农田的必要性和合理性进行严格论证，报市级自然资源主管部门审查。</w:t>
            </w:r>
          </w:p>
        </w:tc>
        <w:tc>
          <w:tcPr>
            <w:tcW w:w="3255" w:type="dxa"/>
            <w:vMerge w:val="restart"/>
            <w:shd w:val="clear" w:color="auto" w:fill="auto"/>
            <w:vAlign w:val="center"/>
          </w:tcPr>
          <w:p>
            <w:pPr>
              <w:adjustRightIn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ascii="Arial" w:hAnsi="Arial"/>
                <w:color w:val="000000" w:themeColor="text1"/>
                <w:sz w:val="21"/>
                <w:szCs w:val="21"/>
                <w:highlight w:val="none"/>
                <w14:textFill>
                  <w14:solidFill>
                    <w14:schemeClr w14:val="tx1"/>
                  </w14:solidFill>
                </w14:textFill>
              </w:rPr>
              <w:t>本项目属于</w:t>
            </w:r>
            <w:r>
              <w:rPr>
                <w:rFonts w:hint="eastAsia" w:ascii="Arial" w:hAnsi="Arial"/>
                <w:color w:val="000000" w:themeColor="text1"/>
                <w:sz w:val="21"/>
                <w:szCs w:val="21"/>
                <w:highlight w:val="none"/>
                <w:lang w:eastAsia="zh-CN"/>
                <w14:textFill>
                  <w14:solidFill>
                    <w14:schemeClr w14:val="tx1"/>
                  </w14:solidFill>
                </w14:textFill>
              </w:rPr>
              <w:t>天然气试采项目（页岩气）</w:t>
            </w:r>
            <w:r>
              <w:rPr>
                <w:rFonts w:hint="eastAsia" w:ascii="Arial" w:hAnsi="Arial"/>
                <w:color w:val="000000" w:themeColor="text1"/>
                <w:sz w:val="21"/>
                <w:szCs w:val="21"/>
                <w:highlight w:val="none"/>
                <w14:textFill>
                  <w14:solidFill>
                    <w14:schemeClr w14:val="tx1"/>
                  </w14:solidFill>
                </w14:textFill>
              </w:rPr>
              <w:t>，均为临时占地。试采站和集输管线临时用地部分应编制土地复垦方案</w:t>
            </w:r>
            <w:r>
              <w:rPr>
                <w:color w:val="000000" w:themeColor="text1"/>
                <w:sz w:val="21"/>
                <w:szCs w:val="21"/>
                <w:highlight w:val="none"/>
                <w14:textFill>
                  <w14:solidFill>
                    <w14:schemeClr w14:val="tx1"/>
                  </w14:solidFill>
                </w14:textFill>
              </w:rPr>
              <w:t>，本报告要求建设单位在取得临时用地批复后方可开工建设。集输管线施工完成后及时进行复垦，试采期结束后若进行闭井，则由建设单位负责及时进行</w:t>
            </w:r>
            <w:r>
              <w:rPr>
                <w:rFonts w:hint="eastAsia"/>
                <w:color w:val="000000" w:themeColor="text1"/>
                <w:sz w:val="21"/>
                <w:szCs w:val="21"/>
                <w:highlight w:val="none"/>
                <w14:textFill>
                  <w14:solidFill>
                    <w14:schemeClr w14:val="tx1"/>
                  </w14:solidFill>
                </w14:textFill>
              </w:rPr>
              <w:t>站场</w:t>
            </w:r>
            <w:r>
              <w:rPr>
                <w:color w:val="000000" w:themeColor="text1"/>
                <w:sz w:val="21"/>
                <w:szCs w:val="21"/>
                <w:highlight w:val="none"/>
                <w14:textFill>
                  <w14:solidFill>
                    <w14:schemeClr w14:val="tx1"/>
                  </w14:solidFill>
                </w14:textFill>
              </w:rPr>
              <w:t>的土地复垦工作。</w:t>
            </w:r>
          </w:p>
        </w:tc>
        <w:tc>
          <w:tcPr>
            <w:tcW w:w="1280" w:type="dxa"/>
            <w:shd w:val="clear" w:color="auto" w:fill="auto"/>
            <w:vAlign w:val="center"/>
          </w:tcPr>
          <w:p>
            <w:pPr>
              <w:adjustRightIn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87" w:type="dxa"/>
            <w:shd w:val="clear" w:color="auto" w:fill="auto"/>
            <w:vAlign w:val="center"/>
          </w:tcPr>
          <w:p>
            <w:pPr>
              <w:adjustRightInd/>
              <w:spacing w:line="240" w:lineRule="auto"/>
              <w:ind w:firstLine="0" w:firstLineChars="0"/>
              <w:jc w:val="center"/>
              <w:rPr>
                <w:color w:val="000000" w:themeColor="text1"/>
                <w:sz w:val="21"/>
                <w:szCs w:val="16"/>
                <w:highlight w:val="none"/>
                <w14:textFill>
                  <w14:solidFill>
                    <w14:schemeClr w14:val="tx1"/>
                  </w14:solidFill>
                </w14:textFill>
              </w:rPr>
            </w:pPr>
            <w:r>
              <w:rPr>
                <w:color w:val="000000" w:themeColor="text1"/>
                <w:sz w:val="21"/>
                <w:szCs w:val="16"/>
                <w:highlight w:val="none"/>
                <w14:textFill>
                  <w14:solidFill>
                    <w14:schemeClr w14:val="tx1"/>
                  </w14:solidFill>
                </w14:textFill>
              </w:rPr>
              <w:t>进一步严格临时用地监管。市、县级自然资源主管部门应按照相关规定对临时用地选址、审批、备案、使用、复垦进行严格审核把关、依法监督检查，严禁违规认定临时用地，严禁在法律法规规定的禁止区域审批临时用地，严禁擅自扩大临时用地审批范围和延长使用期限，严禁以临时用地名义规避建设用地审批手续特别是建设占用耕地和永久基本农田，要坚持节约集约用地，切实保障临时用地依法管理、有序使用、及时恢复。</w:t>
            </w:r>
          </w:p>
        </w:tc>
        <w:tc>
          <w:tcPr>
            <w:tcW w:w="3255" w:type="dxa"/>
            <w:vMerge w:val="continue"/>
            <w:shd w:val="clear" w:color="auto" w:fill="auto"/>
            <w:vAlign w:val="center"/>
          </w:tcPr>
          <w:p>
            <w:pPr>
              <w:adjustRightInd/>
              <w:spacing w:line="240" w:lineRule="auto"/>
              <w:ind w:firstLine="0" w:firstLineChars="0"/>
              <w:jc w:val="center"/>
              <w:rPr>
                <w:color w:val="000000" w:themeColor="text1"/>
                <w:sz w:val="21"/>
                <w:szCs w:val="21"/>
                <w:highlight w:val="none"/>
                <w14:textFill>
                  <w14:solidFill>
                    <w14:schemeClr w14:val="tx1"/>
                  </w14:solidFill>
                </w14:textFill>
              </w:rPr>
            </w:pPr>
          </w:p>
        </w:tc>
        <w:tc>
          <w:tcPr>
            <w:tcW w:w="1280" w:type="dxa"/>
            <w:shd w:val="clear" w:color="auto" w:fill="auto"/>
            <w:vAlign w:val="center"/>
          </w:tcPr>
          <w:p>
            <w:pPr>
              <w:adjustRightIn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符合</w:t>
            </w:r>
          </w:p>
        </w:tc>
      </w:tr>
    </w:tbl>
    <w:p>
      <w:pPr>
        <w:keepNext/>
        <w:keepLines/>
        <w:pageBreakBefore w:val="0"/>
        <w:widowControl/>
        <w:kinsoku/>
        <w:wordWrap/>
        <w:overflowPunct/>
        <w:topLinePunct w:val="0"/>
        <w:autoSpaceDE/>
        <w:autoSpaceDN/>
        <w:bidi w:val="0"/>
        <w:adjustRightInd w:val="0"/>
        <w:snapToGrid w:val="0"/>
        <w:spacing w:before="0" w:after="0" w:line="360" w:lineRule="auto"/>
        <w:textAlignment w:val="auto"/>
        <w:outlineLvl w:val="9"/>
        <w:rPr>
          <w:rFonts w:ascii="Times New Roman" w:hAnsi="Times New Roman" w:eastAsia="宋体" w:cs="Times New Roman"/>
          <w:b w:val="0"/>
          <w:bCs w:val="0"/>
          <w:color w:val="000000" w:themeColor="text1"/>
          <w:kern w:val="2"/>
          <w:sz w:val="24"/>
          <w:szCs w:val="22"/>
          <w:highlight w:val="none"/>
          <w:lang w:val="en-US" w:eastAsia="zh-CN" w:bidi="ar-SA"/>
          <w14:textFill>
            <w14:solidFill>
              <w14:schemeClr w14:val="tx1"/>
            </w14:solidFill>
          </w14:textFill>
        </w:rPr>
      </w:pPr>
    </w:p>
    <w:p>
      <w:pPr>
        <w:keepNext/>
        <w:keepLines/>
        <w:pageBreakBefore w:val="0"/>
        <w:widowControl/>
        <w:kinsoku/>
        <w:wordWrap/>
        <w:overflowPunct/>
        <w:topLinePunct w:val="0"/>
        <w:autoSpaceDE/>
        <w:autoSpaceDN/>
        <w:bidi w:val="0"/>
        <w:adjustRightInd w:val="0"/>
        <w:snapToGrid w:val="0"/>
        <w:spacing w:before="0" w:after="0" w:line="360" w:lineRule="auto"/>
        <w:textAlignment w:val="auto"/>
        <w:outlineLvl w:val="9"/>
        <w:rPr>
          <w:rFonts w:ascii="Times New Roman" w:hAnsi="Times New Roman" w:eastAsia="宋体" w:cs="Times New Roman"/>
          <w:b w:val="0"/>
          <w:bCs w:val="0"/>
          <w:color w:val="000000" w:themeColor="text1"/>
          <w:kern w:val="2"/>
          <w:sz w:val="24"/>
          <w:szCs w:val="22"/>
          <w:highlight w:val="none"/>
          <w:lang w:val="en-US" w:eastAsia="zh-CN" w:bidi="ar-SA"/>
          <w14:textFill>
            <w14:solidFill>
              <w14:schemeClr w14:val="tx1"/>
            </w14:solidFill>
          </w14:textFill>
        </w:rPr>
      </w:pPr>
      <w:r>
        <w:rPr>
          <w:rFonts w:ascii="Times New Roman" w:hAnsi="Times New Roman" w:eastAsia="宋体" w:cs="Times New Roman"/>
          <w:b w:val="0"/>
          <w:bCs w:val="0"/>
          <w:color w:val="000000" w:themeColor="text1"/>
          <w:kern w:val="2"/>
          <w:sz w:val="24"/>
          <w:szCs w:val="22"/>
          <w:highlight w:val="none"/>
          <w:lang w:val="en-US" w:eastAsia="zh-CN" w:bidi="ar-SA"/>
          <w14:textFill>
            <w14:solidFill>
              <w14:schemeClr w14:val="tx1"/>
            </w14:solidFill>
          </w14:textFill>
        </w:rPr>
        <w:t>综上，本项目符合基本农田相关法律法规及规范标准等相关文件。</w:t>
      </w:r>
    </w:p>
    <w:p>
      <w:pPr>
        <w:pStyle w:val="6"/>
        <w:spacing w:before="0" w:beforeLines="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与</w:t>
      </w:r>
      <w:r>
        <w:rPr>
          <w:rFonts w:hint="eastAsia"/>
          <w:color w:val="000000" w:themeColor="text1"/>
          <w:highlight w:val="none"/>
          <w:lang w:val="en-US" w:eastAsia="zh-CN"/>
          <w14:textFill>
            <w14:solidFill>
              <w14:schemeClr w14:val="tx1"/>
            </w14:solidFill>
          </w14:textFill>
        </w:rPr>
        <w:t>城乡规划</w:t>
      </w:r>
      <w:r>
        <w:rPr>
          <w:color w:val="000000" w:themeColor="text1"/>
          <w:highlight w:val="none"/>
          <w14:textFill>
            <w14:solidFill>
              <w14:schemeClr w14:val="tx1"/>
            </w14:solidFill>
          </w14:textFill>
        </w:rPr>
        <w:t>符合性分析</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根据现场调查，项目试采站位于宣汉县</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，外输管线涉及达州市宣汉县</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、红岭镇（原红岭乡）和达州市通川区魏兴镇，距离最近的乡镇</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距离约1.6km，</w:t>
      </w:r>
      <w:r>
        <w:rPr>
          <w:rFonts w:cs="Times New Roman"/>
          <w:color w:val="000000" w:themeColor="text1"/>
          <w:highlight w:val="none"/>
          <w14:textFill>
            <w14:solidFill>
              <w14:schemeClr w14:val="tx1"/>
            </w14:solidFill>
          </w14:textFill>
        </w:rPr>
        <w:t>远离乡镇，不涉及乡镇规划建城范围；</w:t>
      </w:r>
      <w:r>
        <w:rPr>
          <w:rFonts w:hint="eastAsia" w:cs="Times New Roman"/>
          <w:color w:val="000000" w:themeColor="text1"/>
          <w:highlight w:val="none"/>
          <w14:textFill>
            <w14:solidFill>
              <w14:schemeClr w14:val="tx1"/>
            </w14:solidFill>
          </w14:textFill>
        </w:rPr>
        <w:t>同时对照项目与区域城镇开发边界套合图（附图7），项目未处于城镇开发边界范围内</w:t>
      </w:r>
      <w:r>
        <w:rPr>
          <w:color w:val="000000" w:themeColor="text1"/>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综上所述，项目</w:t>
      </w:r>
      <w:r>
        <w:rPr>
          <w:color w:val="000000" w:themeColor="text1"/>
          <w:highlight w:val="none"/>
          <w14:textFill>
            <w14:solidFill>
              <w14:schemeClr w14:val="tx1"/>
            </w14:solidFill>
          </w14:textFill>
        </w:rPr>
        <w:t>本项目选址</w:t>
      </w:r>
      <w:r>
        <w:rPr>
          <w:rFonts w:hint="eastAsia"/>
          <w:color w:val="000000" w:themeColor="text1"/>
          <w:highlight w:val="none"/>
          <w14:textFill>
            <w14:solidFill>
              <w14:schemeClr w14:val="tx1"/>
            </w14:solidFill>
          </w14:textFill>
        </w:rPr>
        <w:t>、选线与</w:t>
      </w:r>
      <w:r>
        <w:rPr>
          <w:color w:val="000000" w:themeColor="text1"/>
          <w:highlight w:val="none"/>
          <w14:textFill>
            <w14:solidFill>
              <w14:schemeClr w14:val="tx1"/>
            </w14:solidFill>
          </w14:textFill>
        </w:rPr>
        <w:t>当地城乡规划</w:t>
      </w:r>
      <w:r>
        <w:rPr>
          <w:rFonts w:hint="eastAsia"/>
          <w:color w:val="000000" w:themeColor="text1"/>
          <w:highlight w:val="none"/>
          <w14:textFill>
            <w14:solidFill>
              <w14:schemeClr w14:val="tx1"/>
            </w14:solidFill>
          </w14:textFill>
        </w:rPr>
        <w:t>不冲突</w:t>
      </w:r>
      <w:r>
        <w:rPr>
          <w:color w:val="000000" w:themeColor="text1"/>
          <w:highlight w:val="none"/>
          <w14:textFill>
            <w14:solidFill>
              <w14:schemeClr w14:val="tx1"/>
            </w14:solidFill>
          </w14:textFill>
        </w:rPr>
        <w:t>。项目建设前，建设单位应向宣汉县自然资源和规划局提出工程用地申请，得到批复后方可动工。</w:t>
      </w:r>
    </w:p>
    <w:p>
      <w:pPr>
        <w:pStyle w:val="6"/>
        <w:spacing w:before="12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与达州市</w:t>
      </w:r>
      <w:r>
        <w:rPr>
          <w:rFonts w:ascii="宋体" w:hAnsi="宋体"/>
          <w:color w:val="000000" w:themeColor="text1"/>
          <w:highlight w:val="none"/>
          <w14:textFill>
            <w14:solidFill>
              <w14:schemeClr w14:val="tx1"/>
            </w14:solidFill>
          </w14:textFill>
        </w:rPr>
        <w:t>“三区三线”</w:t>
      </w:r>
      <w:r>
        <w:rPr>
          <w:color w:val="000000" w:themeColor="text1"/>
          <w:highlight w:val="none"/>
          <w14:textFill>
            <w14:solidFill>
              <w14:schemeClr w14:val="tx1"/>
            </w14:solidFill>
          </w14:textFill>
        </w:rPr>
        <w:t>的符合性分析</w:t>
      </w:r>
    </w:p>
    <w:p>
      <w:pPr>
        <w:tabs>
          <w:tab w:val="left" w:pos="863"/>
        </w:tabs>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（1）与达州市《达州市国土空间总体规划（2021-2035）》的符合性分析</w:t>
      </w:r>
    </w:p>
    <w:p>
      <w:pPr>
        <w:tabs>
          <w:tab w:val="left" w:pos="863"/>
        </w:tabs>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达州市国土空间总体规划（2021-2035）》中的要求：“强化底线约束，严格管控“三线”。优化市域空间总体格局，形成“北特中都南粮，一屏两廊三带、一核两翼六轴”的市域总体格局”。本项目位于达州市中部区域的宣汉县，属于《达州市国土空间总体规划（2021-2035）》中的</w:t>
      </w:r>
      <w:bookmarkStart w:id="93" w:name="_Hlk143336328"/>
      <w:r>
        <w:rPr>
          <w:rFonts w:hint="eastAsia"/>
          <w:color w:val="000000" w:themeColor="text1"/>
          <w:highlight w:val="none"/>
          <w14:textFill>
            <w14:solidFill>
              <w14:schemeClr w14:val="tx1"/>
            </w14:solidFill>
          </w14:textFill>
        </w:rPr>
        <w:t>北部生态农业产业区内</w:t>
      </w:r>
      <w:bookmarkEnd w:id="93"/>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本项目为</w:t>
      </w:r>
      <w:r>
        <w:rPr>
          <w:rFonts w:hint="eastAsia"/>
          <w:color w:val="000000" w:themeColor="text1"/>
          <w:highlight w:val="none"/>
          <w14:textFill>
            <w14:solidFill>
              <w14:schemeClr w14:val="tx1"/>
            </w14:solidFill>
          </w14:textFill>
        </w:rPr>
        <w:t>天然气试验性试采项目，</w:t>
      </w:r>
      <w:r>
        <w:rPr>
          <w:color w:val="000000" w:themeColor="text1"/>
          <w:highlight w:val="none"/>
          <w14:textFill>
            <w14:solidFill>
              <w14:schemeClr w14:val="tx1"/>
            </w14:solidFill>
          </w14:textFill>
        </w:rPr>
        <w:t>工程建设将会涉及一部分</w:t>
      </w:r>
      <w:r>
        <w:rPr>
          <w:rFonts w:hint="eastAsia"/>
          <w:color w:val="000000" w:themeColor="text1"/>
          <w:highlight w:val="none"/>
          <w14:textFill>
            <w14:solidFill>
              <w14:schemeClr w14:val="tx1"/>
            </w14:solidFill>
          </w14:textFill>
        </w:rPr>
        <w:t>基本</w:t>
      </w:r>
      <w:r>
        <w:rPr>
          <w:color w:val="000000" w:themeColor="text1"/>
          <w:highlight w:val="none"/>
          <w14:textFill>
            <w14:solidFill>
              <w14:schemeClr w14:val="tx1"/>
            </w14:solidFill>
          </w14:textFill>
        </w:rPr>
        <w:t>农田，</w:t>
      </w:r>
      <w:r>
        <w:rPr>
          <w:rFonts w:hint="eastAsia"/>
          <w:color w:val="000000" w:themeColor="text1"/>
          <w:highlight w:val="none"/>
          <w14:textFill>
            <w14:solidFill>
              <w14:schemeClr w14:val="tx1"/>
            </w14:solidFill>
          </w14:textFill>
        </w:rPr>
        <w:t>总体上项目占地面积较小，建设单位将按相关要求办理用地手续并采取基本农田占用补偿措施</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并且</w:t>
      </w:r>
      <w:r>
        <w:rPr>
          <w:color w:val="000000" w:themeColor="text1"/>
          <w:highlight w:val="none"/>
          <w14:textFill>
            <w14:solidFill>
              <w14:schemeClr w14:val="tx1"/>
            </w14:solidFill>
          </w14:textFill>
        </w:rPr>
        <w:t>施工结束后将对临时占地区域</w:t>
      </w:r>
      <w:r>
        <w:rPr>
          <w:rFonts w:hint="eastAsia"/>
          <w:color w:val="000000" w:themeColor="text1"/>
          <w:highlight w:val="none"/>
          <w14:textFill>
            <w14:solidFill>
              <w14:schemeClr w14:val="tx1"/>
            </w14:solidFill>
          </w14:textFill>
        </w:rPr>
        <w:t>进行</w:t>
      </w:r>
      <w:r>
        <w:rPr>
          <w:color w:val="000000" w:themeColor="text1"/>
          <w:highlight w:val="none"/>
          <w14:textFill>
            <w14:solidFill>
              <w14:schemeClr w14:val="tx1"/>
            </w14:solidFill>
          </w14:textFill>
        </w:rPr>
        <w:t>复垦。</w:t>
      </w:r>
      <w:r>
        <w:rPr>
          <w:rFonts w:hint="eastAsia"/>
          <w:color w:val="000000" w:themeColor="text1"/>
          <w:highlight w:val="none"/>
          <w14:textFill>
            <w14:solidFill>
              <w14:schemeClr w14:val="tx1"/>
            </w14:solidFill>
          </w14:textFill>
        </w:rPr>
        <w:t>从总体而言，项目的建设不会对达州市国土空间总体规划造成较大影响。因此，项目的建设符合《达州市国土空间总体规划（2021-2035）》。</w:t>
      </w:r>
    </w:p>
    <w:p>
      <w:pPr>
        <w:tabs>
          <w:tab w:val="left" w:pos="863"/>
        </w:tabs>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（2）与达州市“三区三线”的符合性分析</w:t>
      </w:r>
    </w:p>
    <w:p>
      <w:pPr>
        <w:tabs>
          <w:tab w:val="left" w:pos="863"/>
        </w:tabs>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w:t>
      </w:r>
      <w:r>
        <w:rPr>
          <w:color w:val="000000" w:themeColor="text1"/>
          <w:highlight w:val="none"/>
          <w14:textFill>
            <w14:solidFill>
              <w14:schemeClr w14:val="tx1"/>
            </w14:solidFill>
          </w14:textFill>
        </w:rPr>
        <w:t>达州市“三区三线”</w:t>
      </w:r>
      <w:r>
        <w:rPr>
          <w:rFonts w:hint="eastAsia"/>
          <w:color w:val="000000" w:themeColor="text1"/>
          <w:highlight w:val="none"/>
          <w14:textFill>
            <w14:solidFill>
              <w14:schemeClr w14:val="tx1"/>
            </w14:solidFill>
          </w14:textFill>
        </w:rPr>
        <w:t>的管控要求，项目与</w:t>
      </w:r>
      <w:r>
        <w:rPr>
          <w:color w:val="000000" w:themeColor="text1"/>
          <w:highlight w:val="none"/>
          <w14:textFill>
            <w14:solidFill>
              <w14:schemeClr w14:val="tx1"/>
            </w14:solidFill>
          </w14:textFill>
        </w:rPr>
        <w:t>达州市“三区三线”</w:t>
      </w:r>
      <w:r>
        <w:rPr>
          <w:rFonts w:hint="eastAsia"/>
          <w:color w:val="000000" w:themeColor="text1"/>
          <w:highlight w:val="none"/>
          <w14:textFill>
            <w14:solidFill>
              <w14:schemeClr w14:val="tx1"/>
            </w14:solidFill>
          </w14:textFill>
        </w:rPr>
        <w:t>的</w:t>
      </w:r>
      <w:r>
        <w:rPr>
          <w:color w:val="000000" w:themeColor="text1"/>
          <w:highlight w:val="none"/>
          <w14:textFill>
            <w14:solidFill>
              <w14:schemeClr w14:val="tx1"/>
            </w14:solidFill>
          </w14:textFill>
        </w:rPr>
        <w:t>符合性分析</w:t>
      </w:r>
      <w:r>
        <w:rPr>
          <w:rFonts w:hint="eastAsia"/>
          <w:color w:val="000000" w:themeColor="text1"/>
          <w:highlight w:val="none"/>
          <w14:textFill>
            <w14:solidFill>
              <w14:schemeClr w14:val="tx1"/>
            </w14:solidFill>
          </w14:textFill>
        </w:rPr>
        <w:t>如下：</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lang w:val="en-US" w:eastAsia="zh-CN"/>
          <w14:textFill>
            <w14:solidFill>
              <w14:schemeClr w14:val="tx1"/>
            </w14:solidFill>
          </w14:textFill>
        </w:rPr>
        <w:t xml:space="preserve">2  </w:t>
      </w:r>
      <w:r>
        <w:rPr>
          <w:rFonts w:hint="eastAsia"/>
          <w:color w:val="000000" w:themeColor="text1"/>
          <w:highlight w:val="none"/>
          <w14:textFill>
            <w14:solidFill>
              <w14:schemeClr w14:val="tx1"/>
            </w14:solidFill>
          </w14:textFill>
        </w:rPr>
        <w:t>与达州市“三区三线”符合性分析</w:t>
      </w:r>
    </w:p>
    <w:tbl>
      <w:tblPr>
        <w:tblStyle w:val="4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6"/>
        <w:gridCol w:w="3974"/>
        <w:gridCol w:w="2834"/>
        <w:gridCol w:w="7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0" w:type="auto"/>
            <w:tcMar>
              <w:left w:w="57" w:type="dxa"/>
              <w:right w:w="57" w:type="dxa"/>
            </w:tcMar>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序号</w:t>
            </w:r>
          </w:p>
        </w:tc>
        <w:tc>
          <w:tcPr>
            <w:tcW w:w="3974" w:type="dxa"/>
            <w:tcMar>
              <w:left w:w="57" w:type="dxa"/>
              <w:right w:w="57" w:type="dxa"/>
            </w:tcMar>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相关要求</w:t>
            </w:r>
          </w:p>
        </w:tc>
        <w:tc>
          <w:tcPr>
            <w:tcW w:w="2834" w:type="dxa"/>
            <w:tcMar>
              <w:left w:w="57" w:type="dxa"/>
              <w:right w:w="57" w:type="dxa"/>
            </w:tcMar>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本项目情况</w:t>
            </w:r>
          </w:p>
        </w:tc>
        <w:tc>
          <w:tcPr>
            <w:tcW w:w="0" w:type="auto"/>
            <w:tcMar>
              <w:left w:w="57" w:type="dxa"/>
              <w:right w:w="57" w:type="dxa"/>
            </w:tcMar>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Mar>
              <w:left w:w="57" w:type="dxa"/>
              <w:right w:w="57"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3974" w:type="dxa"/>
            <w:tcMar>
              <w:left w:w="57" w:type="dxa"/>
              <w:right w:w="57"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城镇空间：以城镇居民生产、生活为主体功能的国土空间，包括城镇建设空间、工矿建设空间以及部分乡级政府驻地的开发建设空间。</w:t>
            </w:r>
          </w:p>
        </w:tc>
        <w:tc>
          <w:tcPr>
            <w:tcW w:w="2834" w:type="dxa"/>
            <w:tcMar>
              <w:left w:w="57" w:type="dxa"/>
              <w:right w:w="57"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本项目为新增占地建设，占地范围为农田</w:t>
            </w:r>
            <w:r>
              <w:rPr>
                <w:rFonts w:hint="eastAsia"/>
                <w:color w:val="000000" w:themeColor="text1"/>
                <w:highlight w:val="none"/>
                <w14:textFill>
                  <w14:solidFill>
                    <w14:schemeClr w14:val="tx1"/>
                  </w14:solidFill>
                </w14:textFill>
              </w:rPr>
              <w:t>和耕地等</w:t>
            </w:r>
            <w:r>
              <w:rPr>
                <w:color w:val="000000" w:themeColor="text1"/>
                <w:highlight w:val="none"/>
                <w14:textFill>
                  <w14:solidFill>
                    <w14:schemeClr w14:val="tx1"/>
                  </w14:solidFill>
                </w14:textFill>
              </w:rPr>
              <w:t>，不涉及城镇建设用地</w:t>
            </w:r>
          </w:p>
        </w:tc>
        <w:tc>
          <w:tcPr>
            <w:tcW w:w="0" w:type="auto"/>
            <w:tcMar>
              <w:left w:w="57" w:type="dxa"/>
              <w:right w:w="57"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Mar>
              <w:left w:w="57" w:type="dxa"/>
              <w:right w:w="57"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3974" w:type="dxa"/>
            <w:tcMar>
              <w:left w:w="57" w:type="dxa"/>
              <w:right w:w="57"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农业空间：以农业生产和农村居民生活为主体功能，承担农产品生产和农村生活功能的国土空间，主要包括永久基本农田、一般农田等农业生产用地以及村庄等农村生活用地。</w:t>
            </w:r>
          </w:p>
        </w:tc>
        <w:tc>
          <w:tcPr>
            <w:tcW w:w="2834" w:type="dxa"/>
            <w:vMerge w:val="restart"/>
            <w:tcMar>
              <w:left w:w="57" w:type="dxa"/>
              <w:right w:w="57"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本项目为新增占地建设，工程建设将会涉及一部分</w:t>
            </w:r>
            <w:r>
              <w:rPr>
                <w:rFonts w:hint="eastAsia"/>
                <w:color w:val="000000" w:themeColor="text1"/>
                <w:highlight w:val="none"/>
                <w14:textFill>
                  <w14:solidFill>
                    <w14:schemeClr w14:val="tx1"/>
                  </w14:solidFill>
                </w14:textFill>
              </w:rPr>
              <w:t>基本</w:t>
            </w:r>
            <w:r>
              <w:rPr>
                <w:color w:val="000000" w:themeColor="text1"/>
                <w:highlight w:val="none"/>
                <w14:textFill>
                  <w14:solidFill>
                    <w14:schemeClr w14:val="tx1"/>
                  </w14:solidFill>
                </w14:textFill>
              </w:rPr>
              <w:t>农田，</w:t>
            </w:r>
            <w:r>
              <w:rPr>
                <w:rFonts w:hint="eastAsia"/>
                <w:color w:val="000000" w:themeColor="text1"/>
                <w:highlight w:val="none"/>
                <w14:textFill>
                  <w14:solidFill>
                    <w14:schemeClr w14:val="tx1"/>
                  </w14:solidFill>
                </w14:textFill>
              </w:rPr>
              <w:t>建设单位将按相关要求办理用地手续并采取基本农田占用补偿措施</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并且</w:t>
            </w:r>
            <w:r>
              <w:rPr>
                <w:color w:val="000000" w:themeColor="text1"/>
                <w:highlight w:val="none"/>
                <w14:textFill>
                  <w14:solidFill>
                    <w14:schemeClr w14:val="tx1"/>
                  </w14:solidFill>
                </w14:textFill>
              </w:rPr>
              <w:t>施工结束后将对临时占地区域</w:t>
            </w:r>
            <w:r>
              <w:rPr>
                <w:rFonts w:hint="eastAsia"/>
                <w:color w:val="000000" w:themeColor="text1"/>
                <w:highlight w:val="none"/>
                <w14:textFill>
                  <w14:solidFill>
                    <w14:schemeClr w14:val="tx1"/>
                  </w14:solidFill>
                </w14:textFill>
              </w:rPr>
              <w:t>进行</w:t>
            </w:r>
            <w:r>
              <w:rPr>
                <w:color w:val="000000" w:themeColor="text1"/>
                <w:highlight w:val="none"/>
                <w14:textFill>
                  <w14:solidFill>
                    <w14:schemeClr w14:val="tx1"/>
                  </w14:solidFill>
                </w14:textFill>
              </w:rPr>
              <w:t>复垦。</w:t>
            </w:r>
          </w:p>
        </w:tc>
        <w:tc>
          <w:tcPr>
            <w:tcW w:w="0" w:type="auto"/>
            <w:tcMar>
              <w:left w:w="57" w:type="dxa"/>
              <w:right w:w="57"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Mar>
              <w:left w:w="57" w:type="dxa"/>
              <w:right w:w="57"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3974" w:type="dxa"/>
            <w:tcMar>
              <w:left w:w="57" w:type="dxa"/>
              <w:right w:w="57"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生态空间：具有自然属性的，以提供生态服务或生态产品为主体功能的国土空间，包括森林、草原、湿地、河流、湖泊、滩涂、荒地、荒漠等。</w:t>
            </w:r>
          </w:p>
        </w:tc>
        <w:tc>
          <w:tcPr>
            <w:tcW w:w="2834" w:type="dxa"/>
            <w:vMerge w:val="continue"/>
            <w:tcMar>
              <w:left w:w="57" w:type="dxa"/>
              <w:right w:w="57" w:type="dxa"/>
            </w:tcMar>
            <w:vAlign w:val="center"/>
          </w:tcPr>
          <w:p>
            <w:pPr>
              <w:pStyle w:val="118"/>
              <w:rPr>
                <w:color w:val="000000" w:themeColor="text1"/>
                <w:highlight w:val="none"/>
                <w14:textFill>
                  <w14:solidFill>
                    <w14:schemeClr w14:val="tx1"/>
                  </w14:solidFill>
                </w14:textFill>
              </w:rPr>
            </w:pPr>
          </w:p>
        </w:tc>
        <w:tc>
          <w:tcPr>
            <w:tcW w:w="0" w:type="auto"/>
            <w:tcMar>
              <w:left w:w="57" w:type="dxa"/>
              <w:right w:w="57"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Mar>
              <w:left w:w="57" w:type="dxa"/>
              <w:right w:w="57"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c>
          <w:tcPr>
            <w:tcW w:w="3974" w:type="dxa"/>
            <w:tcMar>
              <w:left w:w="57" w:type="dxa"/>
              <w:right w:w="57"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生态保护红线：是在生态空间范围内具有特殊重要的生态功能、必须强制性严格保护的区域，是保障和维护国家生态安全的底线和生命线。</w:t>
            </w:r>
          </w:p>
        </w:tc>
        <w:tc>
          <w:tcPr>
            <w:tcW w:w="2834" w:type="dxa"/>
            <w:tcMar>
              <w:left w:w="57" w:type="dxa"/>
              <w:right w:w="57"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本项目不涉及生态保护红线。</w:t>
            </w:r>
          </w:p>
        </w:tc>
        <w:tc>
          <w:tcPr>
            <w:tcW w:w="0" w:type="auto"/>
            <w:tcMar>
              <w:left w:w="57" w:type="dxa"/>
              <w:right w:w="57"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Mar>
              <w:left w:w="57" w:type="dxa"/>
              <w:right w:w="57"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c>
          <w:tcPr>
            <w:tcW w:w="3974" w:type="dxa"/>
            <w:tcMar>
              <w:left w:w="57" w:type="dxa"/>
              <w:right w:w="57"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永久基本农田保护红线：是按照一定时期人口和社会经济发展对农产品的需求，依法确定的不得占用、不得开发、需要永久性保护的耕地空间边界。</w:t>
            </w:r>
          </w:p>
        </w:tc>
        <w:tc>
          <w:tcPr>
            <w:tcW w:w="2834" w:type="dxa"/>
            <w:tcMar>
              <w:left w:w="57" w:type="dxa"/>
              <w:right w:w="57"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本项目为新增占地建设，工程建设将会涉及一部分</w:t>
            </w:r>
            <w:r>
              <w:rPr>
                <w:rFonts w:hint="eastAsia"/>
                <w:color w:val="000000" w:themeColor="text1"/>
                <w:highlight w:val="none"/>
                <w14:textFill>
                  <w14:solidFill>
                    <w14:schemeClr w14:val="tx1"/>
                  </w14:solidFill>
                </w14:textFill>
              </w:rPr>
              <w:t>基本</w:t>
            </w:r>
            <w:r>
              <w:rPr>
                <w:color w:val="000000" w:themeColor="text1"/>
                <w:highlight w:val="none"/>
                <w14:textFill>
                  <w14:solidFill>
                    <w14:schemeClr w14:val="tx1"/>
                  </w14:solidFill>
                </w14:textFill>
              </w:rPr>
              <w:t>农田，</w:t>
            </w:r>
            <w:r>
              <w:rPr>
                <w:rFonts w:hint="eastAsia"/>
                <w:color w:val="000000" w:themeColor="text1"/>
                <w:highlight w:val="none"/>
                <w14:textFill>
                  <w14:solidFill>
                    <w14:schemeClr w14:val="tx1"/>
                  </w14:solidFill>
                </w14:textFill>
              </w:rPr>
              <w:t>建设单位将按相关要求办理用地手续并采取基本农田占用补偿措施</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并且</w:t>
            </w:r>
            <w:r>
              <w:rPr>
                <w:color w:val="000000" w:themeColor="text1"/>
                <w:highlight w:val="none"/>
                <w14:textFill>
                  <w14:solidFill>
                    <w14:schemeClr w14:val="tx1"/>
                  </w14:solidFill>
                </w14:textFill>
              </w:rPr>
              <w:t>施工结束后将对临时占地区域</w:t>
            </w:r>
            <w:r>
              <w:rPr>
                <w:rFonts w:hint="eastAsia"/>
                <w:color w:val="000000" w:themeColor="text1"/>
                <w:highlight w:val="none"/>
                <w14:textFill>
                  <w14:solidFill>
                    <w14:schemeClr w14:val="tx1"/>
                  </w14:solidFill>
                </w14:textFill>
              </w:rPr>
              <w:t>进行</w:t>
            </w:r>
            <w:r>
              <w:rPr>
                <w:color w:val="000000" w:themeColor="text1"/>
                <w:highlight w:val="none"/>
                <w14:textFill>
                  <w14:solidFill>
                    <w14:schemeClr w14:val="tx1"/>
                  </w14:solidFill>
                </w14:textFill>
              </w:rPr>
              <w:t>复垦。</w:t>
            </w:r>
          </w:p>
        </w:tc>
        <w:tc>
          <w:tcPr>
            <w:tcW w:w="0" w:type="auto"/>
            <w:tcMar>
              <w:left w:w="57" w:type="dxa"/>
              <w:right w:w="57"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Mar>
              <w:left w:w="57" w:type="dxa"/>
              <w:right w:w="57"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w:t>
            </w:r>
          </w:p>
        </w:tc>
        <w:tc>
          <w:tcPr>
            <w:tcW w:w="3974" w:type="dxa"/>
            <w:tcMar>
              <w:left w:w="57" w:type="dxa"/>
              <w:right w:w="57"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城镇开发边界：在一定时期内，可以进行城镇开发和集中建设的地域空间边界，包括城镇现状建成区、优化发展区，以及因城镇建设发展需要必须实行规划控制的区域。</w:t>
            </w:r>
          </w:p>
        </w:tc>
        <w:tc>
          <w:tcPr>
            <w:tcW w:w="2834" w:type="dxa"/>
            <w:tcMar>
              <w:left w:w="57" w:type="dxa"/>
              <w:right w:w="57"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本项目不涉及城镇开发区。</w:t>
            </w:r>
          </w:p>
        </w:tc>
        <w:tc>
          <w:tcPr>
            <w:tcW w:w="0" w:type="auto"/>
            <w:tcMar>
              <w:left w:w="57" w:type="dxa"/>
              <w:right w:w="57"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bl>
    <w:p>
      <w:pPr>
        <w:autoSpaceDE w:val="0"/>
        <w:autoSpaceDN w:val="0"/>
        <w:spacing w:before="120" w:beforeLines="50"/>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综上所述，本项目与区域</w:t>
      </w:r>
      <w:r>
        <w:rPr>
          <w:rFonts w:ascii="宋体" w:hAnsi="宋体" w:cs="Times New Roman"/>
          <w:color w:val="000000" w:themeColor="text1"/>
          <w:highlight w:val="none"/>
          <w14:textFill>
            <w14:solidFill>
              <w14:schemeClr w14:val="tx1"/>
            </w14:solidFill>
          </w14:textFill>
        </w:rPr>
        <w:t>“三区三线”</w:t>
      </w:r>
      <w:r>
        <w:rPr>
          <w:rFonts w:cs="Times New Roman"/>
          <w:color w:val="000000" w:themeColor="text1"/>
          <w:highlight w:val="none"/>
          <w14:textFill>
            <w14:solidFill>
              <w14:schemeClr w14:val="tx1"/>
            </w14:solidFill>
          </w14:textFill>
        </w:rPr>
        <w:t>相符。</w:t>
      </w:r>
    </w:p>
    <w:p>
      <w:pPr>
        <w:pStyle w:val="5"/>
        <w:pageBreakBefore w:val="0"/>
        <w:widowControl w:val="0"/>
        <w:kinsoku/>
        <w:wordWrap/>
        <w:overflowPunct/>
        <w:topLinePunct w:val="0"/>
        <w:bidi w:val="0"/>
        <w:adjustRightInd w:val="0"/>
        <w:snapToGrid w:val="0"/>
        <w:spacing w:before="0" w:beforeLines="0"/>
        <w:ind w:left="480" w:leftChars="0" w:firstLineChars="0"/>
        <w:textAlignment w:val="auto"/>
        <w:rPr>
          <w:color w:val="000000" w:themeColor="text1"/>
          <w:highlight w:val="none"/>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与石油天然气开采行业相关技术规范符合性分析</w:t>
      </w:r>
    </w:p>
    <w:p>
      <w:pPr>
        <w:pStyle w:val="6"/>
        <w:pageBreakBefore w:val="0"/>
        <w:kinsoku/>
        <w:wordWrap/>
        <w:overflowPunct/>
        <w:topLinePunct w:val="0"/>
        <w:bidi w:val="0"/>
        <w:adjustRightInd w:val="0"/>
        <w:snapToGrid w:val="0"/>
        <w:spacing w:before="0" w:beforeLines="0" w:line="360" w:lineRule="auto"/>
        <w:ind w:firstLine="480"/>
        <w:textAlignment w:val="auto"/>
        <w:rPr>
          <w:rFonts w:ascii="Times New Roman" w:hAnsi="Times New Roman" w:eastAsia="黑体" w:cs="Times New Roman"/>
          <w:bCs/>
          <w:color w:val="000000" w:themeColor="text1"/>
          <w:kern w:val="2"/>
          <w:sz w:val="24"/>
          <w:szCs w:val="24"/>
          <w:highlight w:val="none"/>
          <w:lang w:val="en-US" w:eastAsia="zh-CN" w:bidi="ar-SA"/>
          <w14:textFill>
            <w14:solidFill>
              <w14:schemeClr w14:val="tx1"/>
            </w14:solidFill>
          </w14:textFill>
        </w:rPr>
      </w:pPr>
      <w:r>
        <w:rPr>
          <w:rFonts w:ascii="Times New Roman" w:hAnsi="Times New Roman" w:eastAsia="黑体" w:cs="Times New Roman"/>
          <w:bCs/>
          <w:color w:val="000000" w:themeColor="text1"/>
          <w:kern w:val="2"/>
          <w:sz w:val="24"/>
          <w:szCs w:val="24"/>
          <w:highlight w:val="none"/>
          <w:lang w:val="en-US" w:eastAsia="zh-CN" w:bidi="ar-SA"/>
          <w14:textFill>
            <w14:solidFill>
              <w14:schemeClr w14:val="tx1"/>
            </w14:solidFill>
          </w14:textFill>
        </w:rPr>
        <w:t>与《石油天然气开采业污染防治技术政策》的符合性分析</w:t>
      </w:r>
    </w:p>
    <w:p>
      <w:pPr>
        <w:pageBreakBefore w:val="0"/>
        <w:kinsoku/>
        <w:wordWrap/>
        <w:overflowPunct/>
        <w:topLinePunct w:val="0"/>
        <w:autoSpaceDE w:val="0"/>
        <w:autoSpaceDN w:val="0"/>
        <w:bidi w:val="0"/>
        <w:adjustRightInd w:val="0"/>
        <w:snapToGrid w:val="0"/>
        <w:spacing w:line="360" w:lineRule="auto"/>
        <w:ind w:firstLine="480"/>
        <w:textAlignment w:val="auto"/>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根据《石油天然气开采业污染防治技术政策》（〔2012〕18号），本项目与《石油天然气开采业污染防治技术政策》符合性分析见下表。</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lang w:val="en-US" w:eastAsia="zh-CN"/>
          <w14:textFill>
            <w14:solidFill>
              <w14:schemeClr w14:val="tx1"/>
            </w14:solidFill>
          </w14:textFill>
        </w:rPr>
        <w:t xml:space="preserve">3  </w:t>
      </w:r>
      <w:r>
        <w:rPr>
          <w:rFonts w:hint="eastAsia"/>
          <w:color w:val="000000" w:themeColor="text1"/>
          <w:highlight w:val="none"/>
          <w14:textFill>
            <w14:solidFill>
              <w14:schemeClr w14:val="tx1"/>
            </w14:solidFill>
          </w14:textFill>
        </w:rPr>
        <w:t>与《石油天然气开采业污染防治技术政策》符合性分析表</w:t>
      </w:r>
    </w:p>
    <w:tbl>
      <w:tblPr>
        <w:tblStyle w:val="4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9"/>
        <w:gridCol w:w="3545"/>
        <w:gridCol w:w="2873"/>
        <w:gridCol w:w="9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93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序号</w:t>
            </w:r>
          </w:p>
        </w:tc>
        <w:tc>
          <w:tcPr>
            <w:tcW w:w="3545"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技术政策要求</w:t>
            </w:r>
          </w:p>
        </w:tc>
        <w:tc>
          <w:tcPr>
            <w:tcW w:w="287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本工程内容</w:t>
            </w:r>
          </w:p>
        </w:tc>
        <w:tc>
          <w:tcPr>
            <w:tcW w:w="93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w:t>
            </w:r>
          </w:p>
        </w:tc>
        <w:tc>
          <w:tcPr>
            <w:tcW w:w="7357"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清洁生产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354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油气田建设应总体规划，优化布局，整体开发，减少占地和油气损失，实现油气和废物的集中收集、处理处置。</w:t>
            </w:r>
          </w:p>
        </w:tc>
        <w:tc>
          <w:tcPr>
            <w:tcW w:w="287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本项目属于</w:t>
            </w:r>
            <w:r>
              <w:rPr>
                <w:rFonts w:hint="eastAsia"/>
                <w:color w:val="000000" w:themeColor="text1"/>
                <w:highlight w:val="none"/>
                <w14:textFill>
                  <w14:solidFill>
                    <w14:schemeClr w14:val="tx1"/>
                  </w14:solidFill>
                </w14:textFill>
              </w:rPr>
              <w:t>天然气试采工程</w:t>
            </w:r>
            <w:r>
              <w:rPr>
                <w:color w:val="000000" w:themeColor="text1"/>
                <w:highlight w:val="none"/>
                <w14:textFill>
                  <w14:solidFill>
                    <w14:schemeClr w14:val="tx1"/>
                  </w14:solidFill>
                </w14:textFill>
              </w:rPr>
              <w:t>，占地较少，废水、固废收集后集中交由</w:t>
            </w:r>
            <w:r>
              <w:rPr>
                <w:rFonts w:hint="eastAsia"/>
                <w:color w:val="000000" w:themeColor="text1"/>
                <w:highlight w:val="none"/>
                <w14:textFill>
                  <w14:solidFill>
                    <w14:schemeClr w14:val="tx1"/>
                  </w14:solidFill>
                </w14:textFill>
              </w:rPr>
              <w:t>相应</w:t>
            </w:r>
            <w:r>
              <w:rPr>
                <w:color w:val="000000" w:themeColor="text1"/>
                <w:highlight w:val="none"/>
                <w14:textFill>
                  <w14:solidFill>
                    <w14:schemeClr w14:val="tx1"/>
                  </w14:solidFill>
                </w14:textFill>
              </w:rPr>
              <w:t>具有处置能力的单位处理处置。</w:t>
            </w:r>
          </w:p>
        </w:tc>
        <w:tc>
          <w:tcPr>
            <w:tcW w:w="93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354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油气田开发不得使用含有国际公约禁用化学物质的油气田化学剂，逐步淘汰微毒及以上油气田化学剂，鼓励使用无毒油气田化学剂。</w:t>
            </w:r>
          </w:p>
        </w:tc>
        <w:tc>
          <w:tcPr>
            <w:tcW w:w="287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本项目无国际公约禁用化学物质，符合要求。</w:t>
            </w:r>
          </w:p>
        </w:tc>
        <w:tc>
          <w:tcPr>
            <w:tcW w:w="93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354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在油气勘探过程中，宜使用环保型炸药和可控震源，应采取防渗等措施预防燃料泄漏对环境的污染。</w:t>
            </w:r>
          </w:p>
        </w:tc>
        <w:tc>
          <w:tcPr>
            <w:tcW w:w="287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本项目无需炸药，符合要求。</w:t>
            </w:r>
          </w:p>
        </w:tc>
        <w:tc>
          <w:tcPr>
            <w:tcW w:w="93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c>
          <w:tcPr>
            <w:tcW w:w="354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在钻井过程中，鼓励采用环境友好的钻井液体系；配备完善的固控设备，钻井液循环率达到95%以上；钻井过程产生的废水应回用。</w:t>
            </w:r>
          </w:p>
        </w:tc>
        <w:tc>
          <w:tcPr>
            <w:tcW w:w="287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本项目仅为天然气</w:t>
            </w:r>
            <w:r>
              <w:rPr>
                <w:rFonts w:hint="eastAsia"/>
                <w:color w:val="000000" w:themeColor="text1"/>
                <w:highlight w:val="none"/>
                <w14:textFill>
                  <w14:solidFill>
                    <w14:schemeClr w14:val="tx1"/>
                  </w14:solidFill>
                </w14:textFill>
              </w:rPr>
              <w:t>试采</w:t>
            </w:r>
            <w:r>
              <w:rPr>
                <w:color w:val="000000" w:themeColor="text1"/>
                <w:highlight w:val="none"/>
                <w14:textFill>
                  <w14:solidFill>
                    <w14:schemeClr w14:val="tx1"/>
                  </w14:solidFill>
                </w14:textFill>
              </w:rPr>
              <w:t>工程，不涉及钻井施工。</w:t>
            </w:r>
          </w:p>
        </w:tc>
        <w:tc>
          <w:tcPr>
            <w:tcW w:w="93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c>
          <w:tcPr>
            <w:tcW w:w="354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在井下作业过程中，酸化液和压裂液宜集中配制，酸化残液、压裂残液和返排液应回收利用或进行无害化处置，压裂放喷返排入罐率应达到100%。酸化、压裂作业和试油（气）过程应采取防喷、地面管线防刺、防漏、防溢等措施。</w:t>
            </w:r>
          </w:p>
        </w:tc>
        <w:tc>
          <w:tcPr>
            <w:tcW w:w="287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本项目仅为天然气</w:t>
            </w:r>
            <w:r>
              <w:rPr>
                <w:rFonts w:hint="eastAsia"/>
                <w:color w:val="000000" w:themeColor="text1"/>
                <w:highlight w:val="none"/>
                <w14:textFill>
                  <w14:solidFill>
                    <w14:schemeClr w14:val="tx1"/>
                  </w14:solidFill>
                </w14:textFill>
              </w:rPr>
              <w:t>试采</w:t>
            </w:r>
            <w:r>
              <w:rPr>
                <w:color w:val="000000" w:themeColor="text1"/>
                <w:highlight w:val="none"/>
                <w14:textFill>
                  <w14:solidFill>
                    <w14:schemeClr w14:val="tx1"/>
                  </w14:solidFill>
                </w14:textFill>
              </w:rPr>
              <w:t>工程，不涉及钻井施工。</w:t>
            </w:r>
          </w:p>
        </w:tc>
        <w:tc>
          <w:tcPr>
            <w:tcW w:w="93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w:t>
            </w:r>
          </w:p>
        </w:tc>
        <w:tc>
          <w:tcPr>
            <w:tcW w:w="7357"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生态保护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354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在开发过程中，伴生气应回收利用，减少温室气体排放，不具备回收利用条件的，应充分燃烧，伴生气回收利用率应达到80%以上；站场放空天然气应充分燃烧。燃烧放空设施应避开鸟类迁徙通道。</w:t>
            </w:r>
          </w:p>
        </w:tc>
        <w:tc>
          <w:tcPr>
            <w:tcW w:w="287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w:t>
            </w:r>
            <w:r>
              <w:rPr>
                <w:rFonts w:hint="eastAsia"/>
                <w:color w:val="000000" w:themeColor="text1"/>
                <w:highlight w:val="none"/>
                <w14:textFill>
                  <w14:solidFill>
                    <w14:schemeClr w14:val="tx1"/>
                  </w14:solidFill>
                </w14:textFill>
              </w:rPr>
              <w:t>试采工程中将</w:t>
            </w:r>
            <w:r>
              <w:rPr>
                <w:color w:val="000000" w:themeColor="text1"/>
                <w:highlight w:val="none"/>
                <w14:textFill>
                  <w14:solidFill>
                    <w14:schemeClr w14:val="tx1"/>
                  </w14:solidFill>
                </w14:textFill>
              </w:rPr>
              <w:t>对异常超压和检修时不具备利用条件</w:t>
            </w:r>
            <w:r>
              <w:rPr>
                <w:rFonts w:hint="eastAsia"/>
                <w:color w:val="000000" w:themeColor="text1"/>
                <w:highlight w:val="none"/>
                <w14:textFill>
                  <w14:solidFill>
                    <w14:schemeClr w14:val="tx1"/>
                  </w14:solidFill>
                </w14:textFill>
              </w:rPr>
              <w:t>的</w:t>
            </w:r>
            <w:r>
              <w:rPr>
                <w:color w:val="000000" w:themeColor="text1"/>
                <w:highlight w:val="none"/>
                <w14:textFill>
                  <w14:solidFill>
                    <w14:schemeClr w14:val="tx1"/>
                  </w14:solidFill>
                </w14:textFill>
              </w:rPr>
              <w:t>天然气，通过放</w:t>
            </w:r>
            <w:r>
              <w:rPr>
                <w:rFonts w:hint="eastAsia"/>
                <w:color w:val="000000" w:themeColor="text1"/>
                <w:highlight w:val="none"/>
                <w14:textFill>
                  <w14:solidFill>
                    <w14:schemeClr w14:val="tx1"/>
                  </w14:solidFill>
                </w14:textFill>
              </w:rPr>
              <w:t>空立管</w:t>
            </w:r>
            <w:r>
              <w:rPr>
                <w:color w:val="000000" w:themeColor="text1"/>
                <w:highlight w:val="none"/>
                <w14:textFill>
                  <w14:solidFill>
                    <w14:schemeClr w14:val="tx1"/>
                  </w14:solidFill>
                </w14:textFill>
              </w:rPr>
              <w:t>进行充分燃烧。放</w:t>
            </w:r>
            <w:r>
              <w:rPr>
                <w:rFonts w:hint="eastAsia"/>
                <w:color w:val="000000" w:themeColor="text1"/>
                <w:highlight w:val="none"/>
                <w14:textFill>
                  <w14:solidFill>
                    <w14:schemeClr w14:val="tx1"/>
                  </w14:solidFill>
                </w14:textFill>
              </w:rPr>
              <w:t>空管</w:t>
            </w:r>
            <w:r>
              <w:rPr>
                <w:color w:val="000000" w:themeColor="text1"/>
                <w:highlight w:val="none"/>
                <w14:textFill>
                  <w14:solidFill>
                    <w14:schemeClr w14:val="tx1"/>
                  </w14:solidFill>
                </w14:textFill>
              </w:rPr>
              <w:t>未位于鸟类迁徙通道上。</w:t>
            </w:r>
          </w:p>
        </w:tc>
        <w:tc>
          <w:tcPr>
            <w:tcW w:w="93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w:t>
            </w:r>
          </w:p>
        </w:tc>
        <w:tc>
          <w:tcPr>
            <w:tcW w:w="7357"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污染治理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354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在钻井和井下作业过程中，鼓励污油、污水进入生产流程循环利用，未进入生产流程的污油、污水应采用固液分离、废水处理一体化装置等处理后达标外排。在油气开发过程中，未回注的油气田采出水宜采用混凝气浮和生化处理相结合的方式。</w:t>
            </w:r>
          </w:p>
        </w:tc>
        <w:tc>
          <w:tcPr>
            <w:tcW w:w="287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本项目仅为天然气</w:t>
            </w:r>
            <w:r>
              <w:rPr>
                <w:rFonts w:hint="eastAsia"/>
                <w:color w:val="000000" w:themeColor="text1"/>
                <w:highlight w:val="none"/>
                <w14:textFill>
                  <w14:solidFill>
                    <w14:schemeClr w14:val="tx1"/>
                  </w14:solidFill>
                </w14:textFill>
              </w:rPr>
              <w:t>试采</w:t>
            </w:r>
            <w:r>
              <w:rPr>
                <w:color w:val="000000" w:themeColor="text1"/>
                <w:highlight w:val="none"/>
                <w14:textFill>
                  <w14:solidFill>
                    <w14:schemeClr w14:val="tx1"/>
                  </w14:solidFill>
                </w14:textFill>
              </w:rPr>
              <w:t>工程，不涉及钻井施工。</w:t>
            </w:r>
          </w:p>
        </w:tc>
        <w:tc>
          <w:tcPr>
            <w:tcW w:w="93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354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固体废物收集、贮存、处理处置设施应按照标准要求采取防渗措施。试油（气）后应立即封闭废弃钻井液贮池。</w:t>
            </w:r>
          </w:p>
        </w:tc>
        <w:tc>
          <w:tcPr>
            <w:tcW w:w="287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本项目仅为天然气</w:t>
            </w:r>
            <w:r>
              <w:rPr>
                <w:rFonts w:hint="eastAsia"/>
                <w:color w:val="000000" w:themeColor="text1"/>
                <w:highlight w:val="none"/>
                <w14:textFill>
                  <w14:solidFill>
                    <w14:schemeClr w14:val="tx1"/>
                  </w14:solidFill>
                </w14:textFill>
              </w:rPr>
              <w:t>试采</w:t>
            </w:r>
            <w:r>
              <w:rPr>
                <w:color w:val="000000" w:themeColor="text1"/>
                <w:highlight w:val="none"/>
                <w14:textFill>
                  <w14:solidFill>
                    <w14:schemeClr w14:val="tx1"/>
                  </w14:solidFill>
                </w14:textFill>
              </w:rPr>
              <w:t>工程，不涉及钻井施工。</w:t>
            </w:r>
          </w:p>
        </w:tc>
        <w:tc>
          <w:tcPr>
            <w:tcW w:w="93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354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应回收落地原油，以及原油处理、废水处理产生的油泥（砂）等中的油类物质，含油污泥资源化利用率应达到90%以上，残余固体废物应按照《国家危险废物名录》和危险废物鉴别标准识别，根据识别结果资源化利用或无害化处置。</w:t>
            </w:r>
          </w:p>
        </w:tc>
        <w:tc>
          <w:tcPr>
            <w:tcW w:w="287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本项目仅为天然气</w:t>
            </w:r>
            <w:r>
              <w:rPr>
                <w:rFonts w:hint="eastAsia"/>
                <w:color w:val="000000" w:themeColor="text1"/>
                <w:highlight w:val="none"/>
                <w14:textFill>
                  <w14:solidFill>
                    <w14:schemeClr w14:val="tx1"/>
                  </w14:solidFill>
                </w14:textFill>
              </w:rPr>
              <w:t>试采</w:t>
            </w:r>
            <w:r>
              <w:rPr>
                <w:color w:val="000000" w:themeColor="text1"/>
                <w:highlight w:val="none"/>
                <w14:textFill>
                  <w14:solidFill>
                    <w14:schemeClr w14:val="tx1"/>
                  </w14:solidFill>
                </w14:textFill>
              </w:rPr>
              <w:t>工程，不涉及钻井施工。</w:t>
            </w:r>
          </w:p>
        </w:tc>
        <w:tc>
          <w:tcPr>
            <w:tcW w:w="93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c>
          <w:tcPr>
            <w:tcW w:w="354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对受到油污染的土壤宜采取生物或物化方法进行修复。</w:t>
            </w:r>
          </w:p>
        </w:tc>
        <w:tc>
          <w:tcPr>
            <w:tcW w:w="2873" w:type="dxa"/>
            <w:vAlign w:val="center"/>
          </w:tcPr>
          <w:p>
            <w:pPr>
              <w:pStyle w:val="118"/>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本项目仅为天然气</w:t>
            </w:r>
            <w:r>
              <w:rPr>
                <w:rFonts w:hint="eastAsia"/>
                <w:color w:val="000000" w:themeColor="text1"/>
                <w:szCs w:val="21"/>
                <w:highlight w:val="none"/>
                <w14:textFill>
                  <w14:solidFill>
                    <w14:schemeClr w14:val="tx1"/>
                  </w14:solidFill>
                </w14:textFill>
              </w:rPr>
              <w:t>试采</w:t>
            </w:r>
            <w:r>
              <w:rPr>
                <w:color w:val="000000" w:themeColor="text1"/>
                <w:szCs w:val="21"/>
                <w:highlight w:val="none"/>
                <w14:textFill>
                  <w14:solidFill>
                    <w14:schemeClr w14:val="tx1"/>
                  </w14:solidFill>
                </w14:textFill>
              </w:rPr>
              <w:t>工程，</w:t>
            </w:r>
            <w:r>
              <w:rPr>
                <w:color w:val="000000" w:themeColor="text1"/>
                <w:highlight w:val="none"/>
                <w14:textFill>
                  <w14:solidFill>
                    <w14:schemeClr w14:val="tx1"/>
                  </w14:solidFill>
                </w14:textFill>
              </w:rPr>
              <w:t>不涉及原油，通过采取防渗措施，总体不会造成土壤的油污染。</w:t>
            </w:r>
          </w:p>
        </w:tc>
        <w:tc>
          <w:tcPr>
            <w:tcW w:w="93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四</w:t>
            </w:r>
          </w:p>
        </w:tc>
        <w:tc>
          <w:tcPr>
            <w:tcW w:w="7357"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运行风险和环境管理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354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油气田企业应制定环境保护管理规定，建立并运行健康、安全与环境管理体系。</w:t>
            </w:r>
          </w:p>
        </w:tc>
        <w:tc>
          <w:tcPr>
            <w:tcW w:w="287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本项目业主制定有完善的环境保护管理规定，并建立运行健康、安全与环境管理体系。</w:t>
            </w:r>
          </w:p>
        </w:tc>
        <w:tc>
          <w:tcPr>
            <w:tcW w:w="93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354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加强油气田建设、开发过程的环境监督管理。油气田建设过程应开展工程环境监理。</w:t>
            </w:r>
          </w:p>
        </w:tc>
        <w:tc>
          <w:tcPr>
            <w:tcW w:w="287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本项目制定有环境监理计划。</w:t>
            </w:r>
          </w:p>
        </w:tc>
        <w:tc>
          <w:tcPr>
            <w:tcW w:w="93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354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在开发过程中，企业应加强油气井套管的检测和维护，防止油气泄漏污染地下水。</w:t>
            </w:r>
          </w:p>
        </w:tc>
        <w:tc>
          <w:tcPr>
            <w:tcW w:w="287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本项目制定了套管检测和维护计划和制度，防止</w:t>
            </w:r>
            <w:r>
              <w:rPr>
                <w:rFonts w:hint="eastAsia"/>
                <w:color w:val="000000" w:themeColor="text1"/>
                <w:highlight w:val="none"/>
                <w14:textFill>
                  <w14:solidFill>
                    <w14:schemeClr w14:val="tx1"/>
                  </w14:solidFill>
                </w14:textFill>
              </w:rPr>
              <w:t>天然气泄漏</w:t>
            </w:r>
            <w:r>
              <w:rPr>
                <w:color w:val="000000" w:themeColor="text1"/>
                <w:highlight w:val="none"/>
                <w14:textFill>
                  <w14:solidFill>
                    <w14:schemeClr w14:val="tx1"/>
                  </w14:solidFill>
                </w14:textFill>
              </w:rPr>
              <w:t>污染地下水。</w:t>
            </w:r>
          </w:p>
        </w:tc>
        <w:tc>
          <w:tcPr>
            <w:tcW w:w="93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c>
          <w:tcPr>
            <w:tcW w:w="354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油气田企业应建立环境保护人员培训制度，环境监测人员、统计人员、污染治理设施操作人员应经培训合格后上岗。</w:t>
            </w:r>
          </w:p>
        </w:tc>
        <w:tc>
          <w:tcPr>
            <w:tcW w:w="287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本项目业主单位设置有专门的环境管理部门，并制定有完善的环境管理制度和培训制度。</w:t>
            </w:r>
          </w:p>
        </w:tc>
        <w:tc>
          <w:tcPr>
            <w:tcW w:w="93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c>
          <w:tcPr>
            <w:tcW w:w="354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油气田企业应对开发过程进行环境风险因素识别，制定突发环境事件应急预案并定期进行演练。应开展特征污染物监测工作，采取环境风险防范和应急措施，防止发生由突发性油气泄漏产生的环境事故。</w:t>
            </w:r>
          </w:p>
        </w:tc>
        <w:tc>
          <w:tcPr>
            <w:tcW w:w="287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建设单位严格按照要求设置突发环境事件应急预案，并定期举行演练。在</w:t>
            </w:r>
            <w:r>
              <w:rPr>
                <w:rFonts w:hint="eastAsia"/>
                <w:color w:val="000000" w:themeColor="text1"/>
                <w:highlight w:val="none"/>
                <w14:textFill>
                  <w14:solidFill>
                    <w14:schemeClr w14:val="tx1"/>
                  </w14:solidFill>
                </w14:textFill>
              </w:rPr>
              <w:t>站</w:t>
            </w:r>
            <w:r>
              <w:rPr>
                <w:color w:val="000000" w:themeColor="text1"/>
                <w:highlight w:val="none"/>
                <w14:textFill>
                  <w14:solidFill>
                    <w14:schemeClr w14:val="tx1"/>
                  </w14:solidFill>
                </w14:textFill>
              </w:rPr>
              <w:t>场周边设置有事故监测点，实时监测危险因子。</w:t>
            </w:r>
          </w:p>
        </w:tc>
        <w:tc>
          <w:tcPr>
            <w:tcW w:w="93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bl>
    <w:p>
      <w:pPr>
        <w:autoSpaceDE w:val="0"/>
        <w:autoSpaceDN w:val="0"/>
        <w:spacing w:before="120" w:beforeLines="50"/>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由上表可见，本项目与《石油天然气开采业污染防治技术政策》符合。</w:t>
      </w:r>
    </w:p>
    <w:p>
      <w:pPr>
        <w:pStyle w:val="6"/>
        <w:spacing w:before="120"/>
        <w:ind w:firstLine="480"/>
        <w:rPr>
          <w:rStyle w:val="53"/>
          <w:bCs w:val="0"/>
          <w:color w:val="000000" w:themeColor="text1"/>
          <w:highlight w:val="none"/>
          <w14:textFill>
            <w14:solidFill>
              <w14:schemeClr w14:val="tx1"/>
            </w14:solidFill>
          </w14:textFill>
        </w:rPr>
      </w:pPr>
      <w:r>
        <w:rPr>
          <w:rStyle w:val="53"/>
          <w:bCs w:val="0"/>
          <w:color w:val="000000" w:themeColor="text1"/>
          <w:highlight w:val="none"/>
          <w14:textFill>
            <w14:solidFill>
              <w14:schemeClr w14:val="tx1"/>
            </w14:solidFill>
          </w14:textFill>
        </w:rPr>
        <w:t>与《关于进一步加强石油天然气行业环境影响评价管理的通知》符合性分析</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根据《关于进一步加强石油天然气行业环境影响评价管理的通知》（环办环评函〔2019〕910号），本项目符合性分析如下。</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lang w:val="en-US" w:eastAsia="zh-CN"/>
          <w14:textFill>
            <w14:solidFill>
              <w14:schemeClr w14:val="tx1"/>
            </w14:solidFill>
          </w14:textFill>
        </w:rPr>
        <w:t xml:space="preserve">4  </w:t>
      </w:r>
      <w:r>
        <w:rPr>
          <w:rFonts w:hint="eastAsia"/>
          <w:color w:val="000000" w:themeColor="text1"/>
          <w:highlight w:val="none"/>
          <w14:textFill>
            <w14:solidFill>
              <w14:schemeClr w14:val="tx1"/>
            </w14:solidFill>
          </w14:textFill>
        </w:rPr>
        <w:t>与《关于进一步加强石油天然气行业环境影响评价管理的通知》符合性分析表</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595"/>
        <w:gridCol w:w="4237"/>
        <w:gridCol w:w="2654"/>
        <w:gridCol w:w="8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8" w:hRule="atLeast"/>
          <w:tblHeader/>
          <w:jc w:val="center"/>
        </w:trPr>
        <w:tc>
          <w:tcPr>
            <w:tcW w:w="356"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序号</w:t>
            </w:r>
          </w:p>
        </w:tc>
        <w:tc>
          <w:tcPr>
            <w:tcW w:w="2532"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技术政策要求</w:t>
            </w:r>
          </w:p>
        </w:tc>
        <w:tc>
          <w:tcPr>
            <w:tcW w:w="1586"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项目内容</w:t>
            </w:r>
          </w:p>
        </w:tc>
        <w:tc>
          <w:tcPr>
            <w:tcW w:w="527"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w:t>
            </w:r>
          </w:p>
        </w:tc>
        <w:tc>
          <w:tcPr>
            <w:tcW w:w="4644" w:type="pct"/>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推进规划环境影响评价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253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油气企业在编制内部相关油气开发专项规划时，鼓励同步编制规划环境影响报告书。</w:t>
            </w:r>
          </w:p>
        </w:tc>
        <w:tc>
          <w:tcPr>
            <w:tcW w:w="158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未编制相</w:t>
            </w:r>
            <w:r>
              <w:rPr>
                <w:rFonts w:hint="eastAsia"/>
                <w:color w:val="000000" w:themeColor="text1"/>
                <w:highlight w:val="none"/>
                <w14:textFill>
                  <w14:solidFill>
                    <w14:schemeClr w14:val="tx1"/>
                  </w14:solidFill>
                </w14:textFill>
              </w:rPr>
              <w:t>关</w:t>
            </w:r>
            <w:r>
              <w:rPr>
                <w:color w:val="000000" w:themeColor="text1"/>
                <w:highlight w:val="none"/>
                <w14:textFill>
                  <w14:solidFill>
                    <w14:schemeClr w14:val="tx1"/>
                  </w14:solidFill>
                </w14:textFill>
              </w:rPr>
              <w:t>油气开发专项规划环境影响报告书。</w:t>
            </w:r>
          </w:p>
        </w:tc>
        <w:tc>
          <w:tcPr>
            <w:tcW w:w="527"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非强制性要求，</w:t>
            </w:r>
            <w:r>
              <w:rPr>
                <w:rFonts w:hint="eastAsia"/>
                <w:color w:val="000000" w:themeColor="text1"/>
                <w:highlight w:val="none"/>
                <w14:textFill>
                  <w14:solidFill>
                    <w14:schemeClr w14:val="tx1"/>
                  </w14:solidFill>
                </w14:textFill>
              </w:rPr>
              <w:t>不违背</w:t>
            </w:r>
            <w:r>
              <w:rPr>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w:t>
            </w:r>
          </w:p>
        </w:tc>
        <w:tc>
          <w:tcPr>
            <w:tcW w:w="4644" w:type="pct"/>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深化项目环评“放管服”改革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253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油气开采项目（含新开发和滚动开发项目）原则上应当以区块为单位开展环评（以下简称区块环评），一般包括区块内拟建的新井、加密井、调整井、站场、设备、管道和电缆及其更换工程、弃置工程及配套工程等。项目环评应当深入评价项目建设、运营带来的环境影响和环境风险，提出有效的生态环境保护和环境风险防范措施。滚动开发区块产能建设项目环评文件中还应对现有工程环境影响进行回顾性评价，对存在的生态环境问题和环境风险隐患提出有效防治措施。依托其他防治设施的或者委托第三方处置的，应当论证其可行性和有效性。</w:t>
            </w:r>
          </w:p>
        </w:tc>
        <w:tc>
          <w:tcPr>
            <w:tcW w:w="158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本项目为气藏勘探井</w:t>
            </w:r>
            <w:r>
              <w:rPr>
                <w:rFonts w:hint="eastAsia"/>
                <w:color w:val="000000" w:themeColor="text1"/>
                <w:highlight w:val="none"/>
                <w14:textFill>
                  <w14:solidFill>
                    <w14:schemeClr w14:val="tx1"/>
                  </w14:solidFill>
                </w14:textFill>
              </w:rPr>
              <w:t>试采</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为了进一步研究</w:t>
            </w:r>
            <w:r>
              <w:rPr>
                <w:color w:val="000000" w:themeColor="text1"/>
                <w:highlight w:val="none"/>
                <w14:textFill>
                  <w14:solidFill>
                    <w14:schemeClr w14:val="tx1"/>
                  </w14:solidFill>
                </w14:textFill>
              </w:rPr>
              <w:t>普光</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构造页岩气勘探潜力，重点明确</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页岩气产能</w:t>
            </w:r>
            <w:r>
              <w:rPr>
                <w:rFonts w:hint="eastAsia"/>
                <w:color w:val="000000" w:themeColor="text1"/>
                <w:highlight w:val="none"/>
                <w14:textFill>
                  <w14:solidFill>
                    <w14:schemeClr w14:val="tx1"/>
                  </w14:solidFill>
                </w14:textFill>
              </w:rPr>
              <w:t>。中国石油化工股份有限公司中原油田普光分公司拟实施建设雷页1井试采地面工程项目。拟</w:t>
            </w:r>
            <w:r>
              <w:rPr>
                <w:rFonts w:hint="eastAsia" w:ascii="Times New Roman" w:hAnsi="Times New Roman" w:eastAsia="宋体" w:cs="Times New Roman"/>
                <w:color w:val="000000" w:themeColor="text1"/>
                <w:highlight w:val="none"/>
                <w14:textFill>
                  <w14:solidFill>
                    <w14:schemeClr w14:val="tx1"/>
                  </w14:solidFill>
                </w14:textFill>
              </w:rPr>
              <w:t>通过该口井</w:t>
            </w:r>
            <w:r>
              <w:rPr>
                <w:rFonts w:hint="eastAsia" w:ascii="Times New Roman" w:hAnsi="Times New Roman" w:eastAsia="宋体" w:cs="Times New Roman"/>
                <w:color w:val="000000" w:themeColor="text1"/>
                <w:highlight w:val="none"/>
                <w:lang w:val="en-US" w:eastAsia="zh-CN"/>
                <w14:textFill>
                  <w14:solidFill>
                    <w14:schemeClr w14:val="tx1"/>
                  </w14:solidFill>
                </w14:textFill>
              </w:rPr>
              <w:t>的连续试采生产，进一步</w:t>
            </w:r>
            <w:r>
              <w:rPr>
                <w:rFonts w:hint="eastAsia" w:ascii="Times New Roman" w:hAnsi="Times New Roman" w:eastAsia="宋体" w:cs="Times New Roman"/>
                <w:color w:val="000000" w:themeColor="text1"/>
                <w:highlight w:val="none"/>
                <w14:textFill>
                  <w14:solidFill>
                    <w14:schemeClr w14:val="tx1"/>
                  </w14:solidFill>
                </w14:textFill>
              </w:rPr>
              <w:t>明确</w:t>
            </w:r>
            <w:r>
              <w:rPr>
                <w:rFonts w:hint="eastAsia" w:cs="Times New Roman"/>
                <w:color w:val="000000" w:themeColor="text1"/>
                <w:highlight w:val="none"/>
                <w:lang w:eastAsia="zh-CN"/>
                <w14:textFill>
                  <w14:solidFill>
                    <w14:schemeClr w14:val="tx1"/>
                  </w14:solidFill>
                </w14:textFill>
              </w:rPr>
              <w:t>**</w:t>
            </w:r>
            <w:r>
              <w:rPr>
                <w:rFonts w:hint="eastAsia" w:ascii="Times New Roman" w:hAnsi="Times New Roman" w:eastAsia="宋体" w:cs="Times New Roman"/>
                <w:color w:val="000000" w:themeColor="text1"/>
                <w:highlight w:val="none"/>
                <w14:textFill>
                  <w14:solidFill>
                    <w14:schemeClr w14:val="tx1"/>
                  </w14:solidFill>
                </w14:textFill>
              </w:rPr>
              <w:t>构造页岩气</w:t>
            </w:r>
            <w:r>
              <w:rPr>
                <w:rFonts w:hint="eastAsia" w:cs="Times New Roman"/>
                <w:color w:val="000000" w:themeColor="text1"/>
                <w:highlight w:val="none"/>
                <w:lang w:eastAsia="zh-CN"/>
                <w14:textFill>
                  <w14:solidFill>
                    <w14:schemeClr w14:val="tx1"/>
                  </w14:solidFill>
                </w14:textFill>
              </w:rPr>
              <w:t>**</w:t>
            </w:r>
            <w:r>
              <w:rPr>
                <w:rFonts w:hint="eastAsia" w:ascii="Times New Roman" w:hAnsi="Times New Roman" w:eastAsia="宋体" w:cs="Times New Roman"/>
                <w:color w:val="000000" w:themeColor="text1"/>
                <w:highlight w:val="none"/>
                <w14:textFill>
                  <w14:solidFill>
                    <w14:schemeClr w14:val="tx1"/>
                  </w14:solidFill>
                </w14:textFill>
              </w:rPr>
              <w:t>页岩气产能，为下一 步整体开发、效益建产奠定基础</w:t>
            </w:r>
            <w:r>
              <w:rPr>
                <w:rFonts w:hint="eastAsia"/>
                <w:smallCaps/>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由于该层位还处于勘探阶段，其气质层位的产能储量仍未探明，暂不具备区块开发条件，因此，本项目按单井</w:t>
            </w:r>
            <w:r>
              <w:rPr>
                <w:rFonts w:hint="eastAsia"/>
                <w:color w:val="000000" w:themeColor="text1"/>
                <w:highlight w:val="none"/>
                <w14:textFill>
                  <w14:solidFill>
                    <w14:schemeClr w14:val="tx1"/>
                  </w14:solidFill>
                </w14:textFill>
              </w:rPr>
              <w:t>试采</w:t>
            </w:r>
            <w:r>
              <w:rPr>
                <w:color w:val="000000" w:themeColor="text1"/>
                <w:highlight w:val="none"/>
                <w14:textFill>
                  <w14:solidFill>
                    <w14:schemeClr w14:val="tx1"/>
                  </w14:solidFill>
                </w14:textFill>
              </w:rPr>
              <w:t>进行评价。并且本次评价提出了有效的生态环境保护和环境风险防范措施。充分论证了施工期和试采期各污染物处置的可行性。</w:t>
            </w:r>
          </w:p>
        </w:tc>
        <w:tc>
          <w:tcPr>
            <w:tcW w:w="527"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w:t>
            </w:r>
          </w:p>
        </w:tc>
        <w:tc>
          <w:tcPr>
            <w:tcW w:w="4644" w:type="pct"/>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强化生态环境保护措施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253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涉及向地表水体排放污染物的陆地油气开采项目，应当符合国家和地方污染物排放标准，满足重点污染物排放总量控制要求。</w:t>
            </w:r>
          </w:p>
        </w:tc>
        <w:tc>
          <w:tcPr>
            <w:tcW w:w="158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本项目涉及试采期废水均回注处理，无废水外排。</w:t>
            </w:r>
          </w:p>
        </w:tc>
        <w:tc>
          <w:tcPr>
            <w:tcW w:w="527"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253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涉及废水回注的，应当论证回注的环境可行性，采取切实可行的地下水污染防治和监控措施，不得回注与油气开采无关的废水，严禁造成地下水污染。在相关行业污染控制标准发布前，回注的开采废水应当经处理并符合《碎屑岩油藏注水水质推荐指标及分析方法》（SY/T5329）等相关标准要求后回注，同步采取切实可行措施防治污染。回注目的层应当为地质构造封闭地层，一般应当回注到现役油气藏或枯竭废弃油气藏。</w:t>
            </w:r>
          </w:p>
        </w:tc>
        <w:tc>
          <w:tcPr>
            <w:tcW w:w="158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本项目属于天然气试采工程。</w:t>
            </w:r>
            <w:r>
              <w:rPr>
                <w:bCs/>
                <w:color w:val="000000" w:themeColor="text1"/>
                <w:szCs w:val="24"/>
                <w:highlight w:val="none"/>
                <w14:textFill>
                  <w14:solidFill>
                    <w14:schemeClr w14:val="tx1"/>
                  </w14:solidFill>
                </w14:textFill>
              </w:rPr>
              <w:t>站</w:t>
            </w:r>
            <w:r>
              <w:rPr>
                <w:color w:val="000000" w:themeColor="text1"/>
                <w:szCs w:val="21"/>
                <w:highlight w:val="none"/>
                <w14:textFill>
                  <w14:solidFill>
                    <w14:schemeClr w14:val="tx1"/>
                  </w14:solidFill>
                </w14:textFill>
              </w:rPr>
              <w:t>场</w:t>
            </w:r>
            <w:r>
              <w:rPr>
                <w:rFonts w:hint="eastAsia"/>
                <w:color w:val="000000" w:themeColor="text1"/>
                <w:szCs w:val="21"/>
                <w:highlight w:val="none"/>
                <w14:textFill>
                  <w14:solidFill>
                    <w14:schemeClr w14:val="tx1"/>
                  </w14:solidFill>
                </w14:textFill>
              </w:rPr>
              <w:t>试采</w:t>
            </w:r>
            <w:r>
              <w:rPr>
                <w:color w:val="000000" w:themeColor="text1"/>
                <w:szCs w:val="21"/>
                <w:highlight w:val="none"/>
                <w14:textFill>
                  <w14:solidFill>
                    <w14:schemeClr w14:val="tx1"/>
                  </w14:solidFill>
                </w14:textFill>
              </w:rPr>
              <w:t>期间采气废水进入污水</w:t>
            </w:r>
            <w:r>
              <w:rPr>
                <w:rFonts w:hint="eastAsia"/>
                <w:color w:val="000000" w:themeColor="text1"/>
                <w:szCs w:val="21"/>
                <w:highlight w:val="none"/>
                <w14:textFill>
                  <w14:solidFill>
                    <w14:schemeClr w14:val="tx1"/>
                  </w14:solidFill>
                </w14:textFill>
              </w:rPr>
              <w:t>罐</w:t>
            </w:r>
            <w:r>
              <w:rPr>
                <w:color w:val="000000" w:themeColor="text1"/>
                <w:szCs w:val="21"/>
                <w:highlight w:val="none"/>
                <w14:textFill>
                  <w14:solidFill>
                    <w14:schemeClr w14:val="tx1"/>
                  </w14:solidFill>
                </w14:textFill>
              </w:rPr>
              <w:t>，</w:t>
            </w:r>
            <w:r>
              <w:rPr>
                <w:rFonts w:hint="eastAsia"/>
                <w:color w:val="000000" w:themeColor="text1"/>
                <w:szCs w:val="21"/>
                <w:highlight w:val="none"/>
                <w14:textFill>
                  <w14:solidFill>
                    <w14:schemeClr w14:val="tx1"/>
                  </w14:solidFill>
                </w14:textFill>
              </w:rPr>
              <w:t>然后通过密闭罐车拉运至赵家坝污水处理站处理达到《气田水回注方法》（SY/T 6596-2016）中注入水基本要求后管输至普光3井回注站回注处理，不外排</w:t>
            </w:r>
            <w:r>
              <w:rPr>
                <w:color w:val="000000" w:themeColor="text1"/>
                <w:szCs w:val="21"/>
                <w:highlight w:val="none"/>
                <w14:textFill>
                  <w14:solidFill>
                    <w14:schemeClr w14:val="tx1"/>
                  </w14:solidFill>
                </w14:textFill>
              </w:rPr>
              <w:t>。</w:t>
            </w:r>
            <w:r>
              <w:rPr>
                <w:rFonts w:hint="eastAsia"/>
                <w:color w:val="000000" w:themeColor="text1"/>
                <w:highlight w:val="none"/>
                <w14:textFill>
                  <w14:solidFill>
                    <w14:schemeClr w14:val="tx1"/>
                  </w14:solidFill>
                </w14:textFill>
              </w:rPr>
              <w:t>赵家坝污水处理站和普光3井回注站已取得环评批复，并已开展竣工环保验收，并在其环</w:t>
            </w:r>
            <w:r>
              <w:rPr>
                <w:rStyle w:val="48"/>
                <w:rFonts w:hint="eastAsia" w:ascii="Calibri" w:hAnsi="Calibri"/>
                <w:color w:val="000000" w:themeColor="text1"/>
                <w:kern w:val="0"/>
                <w:highlight w:val="none"/>
                <w:lang w:val="en-US" w:eastAsia="zh-CN"/>
                <w14:textFill>
                  <w14:solidFill>
                    <w14:schemeClr w14:val="tx1"/>
                  </w14:solidFill>
                </w14:textFill>
              </w:rPr>
              <w:t>境影响评价</w:t>
            </w:r>
            <w:r>
              <w:rPr>
                <w:rFonts w:hint="eastAsia"/>
                <w:color w:val="000000" w:themeColor="text1"/>
                <w:highlight w:val="none"/>
                <w14:textFill>
                  <w14:solidFill>
                    <w14:schemeClr w14:val="tx1"/>
                  </w14:solidFill>
                </w14:textFill>
              </w:rPr>
              <w:t>报告中充分论述了回注的环境可行性、污染防治措施、全过程生态环境保护及风险防控措施、监控要求等内容，满足要求</w:t>
            </w:r>
            <w:r>
              <w:rPr>
                <w:color w:val="000000" w:themeColor="text1"/>
                <w:highlight w:val="none"/>
                <w14:textFill>
                  <w14:solidFill>
                    <w14:schemeClr w14:val="tx1"/>
                  </w14:solidFill>
                </w14:textFill>
              </w:rPr>
              <w:t>。</w:t>
            </w:r>
          </w:p>
        </w:tc>
        <w:tc>
          <w:tcPr>
            <w:tcW w:w="527"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253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油气开采产生的废弃油基泥浆、含油钻屑及其他固体废物，应当遵循减量化、资源化、无害化原则，按照国家和地方有关固体废物的管理规定进行处置。鼓励企业自建含油污泥集中式处理和综合利用设施，提高废弃油基泥浆和含油钻屑及其处理产物的综合利用率。油气开采项目产生的危险废物，应当按照《建设项目危险废物环境影响评价指南》要求评价。</w:t>
            </w:r>
          </w:p>
        </w:tc>
        <w:tc>
          <w:tcPr>
            <w:tcW w:w="158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本项目仅为天然气</w:t>
            </w:r>
            <w:r>
              <w:rPr>
                <w:rFonts w:hint="eastAsia"/>
                <w:color w:val="000000" w:themeColor="text1"/>
                <w:highlight w:val="none"/>
                <w14:textFill>
                  <w14:solidFill>
                    <w14:schemeClr w14:val="tx1"/>
                  </w14:solidFill>
                </w14:textFill>
              </w:rPr>
              <w:t>试采</w:t>
            </w:r>
            <w:r>
              <w:rPr>
                <w:color w:val="000000" w:themeColor="text1"/>
                <w:highlight w:val="none"/>
                <w14:textFill>
                  <w14:solidFill>
                    <w14:schemeClr w14:val="tx1"/>
                  </w14:solidFill>
                </w14:textFill>
              </w:rPr>
              <w:t>工程，不涉及钻井施工。不涉及油基钻井工艺，无废弃油基泥浆、含油钻屑产生。</w:t>
            </w:r>
          </w:p>
        </w:tc>
        <w:tc>
          <w:tcPr>
            <w:tcW w:w="527"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c>
          <w:tcPr>
            <w:tcW w:w="253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陆地油气开采项目的建设单位应当对挥发性有机物液体储存和装载损失、废水液面逸散、设备与管线组件泄漏、非正常工况等挥发性有机物无组织排放源进行有效管控，通过采取设备密闭、废气有效收集及配套高效末端处理设施等措施，有效控制挥发性有机物和恶臭气体无组织排放。涉及高含硫天然气开采的，应当强化钻井、输送、净化等环节环境风险防范措施。含硫气田回注采出水，应当采取有效措施减少废水处理站和回注井场硫化氢的无组织排放。高含硫天然气净化厂应当采用先进高效硫磺回收工艺，减少二氧化硫排放。井场加热炉、锅炉、压缩机等排放大气污染物的设备，应当优先使用清洁燃料，废气排放应当满足国家和地方大气污染物排放标准要求。</w:t>
            </w:r>
          </w:p>
        </w:tc>
        <w:tc>
          <w:tcPr>
            <w:tcW w:w="158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本项目废水等污染物均为罐装，天然气均密闭输送。根据雷页1井气质组分报告，该井为不含硫气井，不涉及天然气净化，也无含硫废水产生。</w:t>
            </w:r>
          </w:p>
        </w:tc>
        <w:tc>
          <w:tcPr>
            <w:tcW w:w="527"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c>
          <w:tcPr>
            <w:tcW w:w="253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应当尽量减少施工占地、缩短施工时间、选择合理施工方式、落实环境敏感区管控要求以及其他生态环境保护措施，降低生态环境影响。钻井和压裂设备应当优先使用网电、高标准清洁燃油，减少废气排放。选用低噪声设备，避免噪声扰民。施工结束后，应当及时落实环评提出的生态保护措施。</w:t>
            </w:r>
          </w:p>
        </w:tc>
        <w:tc>
          <w:tcPr>
            <w:tcW w:w="158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项目试采</w:t>
            </w:r>
            <w:r>
              <w:rPr>
                <w:rFonts w:hint="eastAsia"/>
                <w:color w:val="000000" w:themeColor="text1"/>
                <w:highlight w:val="none"/>
                <w14:textFill>
                  <w14:solidFill>
                    <w14:schemeClr w14:val="tx1"/>
                  </w14:solidFill>
                </w14:textFill>
              </w:rPr>
              <w:t>站场</w:t>
            </w:r>
            <w:r>
              <w:rPr>
                <w:color w:val="000000" w:themeColor="text1"/>
                <w:highlight w:val="none"/>
                <w14:textFill>
                  <w14:solidFill>
                    <w14:schemeClr w14:val="tx1"/>
                  </w14:solidFill>
                </w14:textFill>
              </w:rPr>
              <w:t>在原钻井平台</w:t>
            </w:r>
            <w:r>
              <w:rPr>
                <w:rFonts w:hint="eastAsia"/>
                <w:color w:val="000000" w:themeColor="text1"/>
                <w:highlight w:val="none"/>
                <w14:textFill>
                  <w14:solidFill>
                    <w14:schemeClr w14:val="tx1"/>
                  </w14:solidFill>
                </w14:textFill>
              </w:rPr>
              <w:t>西侧</w:t>
            </w:r>
            <w:r>
              <w:rPr>
                <w:color w:val="000000" w:themeColor="text1"/>
                <w:highlight w:val="none"/>
                <w14:textFill>
                  <w14:solidFill>
                    <w14:schemeClr w14:val="tx1"/>
                  </w14:solidFill>
                </w14:textFill>
              </w:rPr>
              <w:t>实施。本次评价已提出施工结束后，应当及时落实生态保护措施。</w:t>
            </w:r>
          </w:p>
        </w:tc>
        <w:tc>
          <w:tcPr>
            <w:tcW w:w="527" w:type="pct"/>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w:t>
            </w:r>
          </w:p>
        </w:tc>
        <w:tc>
          <w:tcPr>
            <w:tcW w:w="253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陆地油气长输管道项目，原则上应当单独编制环评文件。</w:t>
            </w:r>
          </w:p>
        </w:tc>
        <w:tc>
          <w:tcPr>
            <w:tcW w:w="158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本项目不涉及油气长输管道。</w:t>
            </w:r>
          </w:p>
        </w:tc>
        <w:tc>
          <w:tcPr>
            <w:tcW w:w="527"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w:t>
            </w:r>
          </w:p>
        </w:tc>
        <w:tc>
          <w:tcPr>
            <w:tcW w:w="253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油气储存项目，选址尽量远离环境敏感区。加强甲烷及挥发性有机物的泄漏检测，落实地下水污染防治和跟踪监测要求，采取有效措施做好环境风险防范与环境应急管理；盐穴储气库项目还应当严格落实采卤造腔期和管道施工期的生态环境保护措施，妥善处理采出水。</w:t>
            </w:r>
          </w:p>
        </w:tc>
        <w:tc>
          <w:tcPr>
            <w:tcW w:w="158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本项目不涉及油气储存。本项目进行了非甲烷总烃监测，同时站场内设置了可燃气体报警仪。本次评价落实了地下水污染防治和跟踪监测要求。</w:t>
            </w:r>
          </w:p>
        </w:tc>
        <w:tc>
          <w:tcPr>
            <w:tcW w:w="527"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w:t>
            </w:r>
          </w:p>
        </w:tc>
        <w:tc>
          <w:tcPr>
            <w:tcW w:w="253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油气企业应当加强风险防控，按规定编制突发环境事件应急预案，报所在地生态环境主管部门备案。海洋油气勘探开发溢油应急计划报相关海域生态环境监督管理局备案。</w:t>
            </w:r>
          </w:p>
        </w:tc>
        <w:tc>
          <w:tcPr>
            <w:tcW w:w="158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建设单位将严格按照相关要求编制突发环境事件应急预案，并报所在地生态环境主管部门备案。</w:t>
            </w:r>
          </w:p>
        </w:tc>
        <w:tc>
          <w:tcPr>
            <w:tcW w:w="527"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bl>
    <w:p>
      <w:pPr>
        <w:tabs>
          <w:tab w:val="left" w:pos="0"/>
        </w:tabs>
        <w:spacing w:before="120"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综上所述，本项目符合《关于进一步加强石油天然气行业环境影响评价管理的通知》（环办环评函〔2019〕910号）的相关要求。</w:t>
      </w:r>
    </w:p>
    <w:p>
      <w:pPr>
        <w:pStyle w:val="6"/>
        <w:spacing w:before="120"/>
        <w:ind w:firstLine="480"/>
        <w:rPr>
          <w:rStyle w:val="53"/>
          <w:bCs w:val="0"/>
          <w:color w:val="000000" w:themeColor="text1"/>
          <w:highlight w:val="none"/>
          <w14:textFill>
            <w14:solidFill>
              <w14:schemeClr w14:val="tx1"/>
            </w14:solidFill>
          </w14:textFill>
        </w:rPr>
      </w:pPr>
      <w:r>
        <w:t>与《页岩气产业政策》符合性分析</w:t>
      </w:r>
    </w:p>
    <w:p>
      <w:pPr>
        <w:pStyle w:val="2"/>
        <w:jc w:val="both"/>
      </w:pPr>
      <w:r>
        <w:t>本项目与《页岩气产业政策》符合性分析见下表：</w:t>
      </w:r>
    </w:p>
    <w:p>
      <w:pPr>
        <w:pStyle w:val="2"/>
        <w:rPr>
          <w:rFonts w:hint="eastAsia"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t>表2.7-5  与《页岩气产业政策》符合性分析</w:t>
      </w:r>
    </w:p>
    <w:tbl>
      <w:tblPr>
        <w:tblStyle w:val="41"/>
        <w:tblW w:w="5000" w:type="pct"/>
        <w:jc w:val="center"/>
        <w:tblLayout w:type="autofit"/>
        <w:tblCellMar>
          <w:top w:w="0" w:type="dxa"/>
          <w:left w:w="0" w:type="dxa"/>
          <w:bottom w:w="0" w:type="dxa"/>
          <w:right w:w="0" w:type="dxa"/>
        </w:tblCellMar>
      </w:tblPr>
      <w:tblGrid>
        <w:gridCol w:w="442"/>
        <w:gridCol w:w="3924"/>
        <w:gridCol w:w="3497"/>
        <w:gridCol w:w="663"/>
      </w:tblGrid>
      <w:tr>
        <w:tblPrEx>
          <w:tblCellMar>
            <w:top w:w="0" w:type="dxa"/>
            <w:left w:w="0" w:type="dxa"/>
            <w:bottom w:w="0" w:type="dxa"/>
            <w:right w:w="0" w:type="dxa"/>
          </w:tblCellMar>
        </w:tblPrEx>
        <w:trPr>
          <w:trHeight w:val="454" w:hRule="atLeast"/>
          <w:tblHeader/>
          <w:jc w:val="center"/>
        </w:trPr>
        <w:tc>
          <w:tcPr>
            <w:tcW w:w="259"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ascii="Times New Roman" w:hAnsi="Times New Roman" w:eastAsia="宋体" w:cs="Times New Roman"/>
                <w:b/>
                <w:bCs/>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kern w:val="2"/>
                <w:sz w:val="21"/>
                <w:szCs w:val="20"/>
                <w:highlight w:val="none"/>
                <w:lang w:val="en-US" w:eastAsia="zh-CN" w:bidi="ar-SA"/>
                <w14:textFill>
                  <w14:solidFill>
                    <w14:schemeClr w14:val="tx1"/>
                  </w14:solidFill>
                </w14:textFill>
              </w:rPr>
              <w:t>序号</w:t>
            </w:r>
          </w:p>
        </w:tc>
        <w:tc>
          <w:tcPr>
            <w:tcW w:w="2301"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ascii="Times New Roman" w:hAnsi="Times New Roman" w:eastAsia="宋体" w:cs="Times New Roman"/>
                <w:b/>
                <w:bCs/>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kern w:val="2"/>
                <w:sz w:val="21"/>
                <w:szCs w:val="20"/>
                <w:highlight w:val="none"/>
                <w:lang w:val="en-US" w:eastAsia="zh-CN" w:bidi="ar-SA"/>
                <w14:textFill>
                  <w14:solidFill>
                    <w14:schemeClr w14:val="tx1"/>
                  </w14:solidFill>
                </w14:textFill>
              </w:rPr>
              <w:t>页岩气产业政策要求</w:t>
            </w:r>
          </w:p>
        </w:tc>
        <w:tc>
          <w:tcPr>
            <w:tcW w:w="2051" w:type="pct"/>
            <w:tcBorders>
              <w:top w:val="single" w:color="000000" w:sz="4" w:space="0"/>
              <w:left w:val="single" w:color="000000" w:sz="4" w:space="0"/>
              <w:bottom w:val="single" w:color="000000" w:sz="4" w:space="0"/>
              <w:right w:val="single" w:color="000000" w:sz="4" w:space="0"/>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ascii="Times New Roman" w:hAnsi="Times New Roman" w:eastAsia="宋体" w:cs="Times New Roman"/>
                <w:b/>
                <w:bCs/>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kern w:val="2"/>
                <w:sz w:val="21"/>
                <w:szCs w:val="20"/>
                <w:highlight w:val="none"/>
                <w:lang w:val="en-US" w:eastAsia="zh-CN" w:bidi="ar-SA"/>
                <w14:textFill>
                  <w14:solidFill>
                    <w14:schemeClr w14:val="tx1"/>
                  </w14:solidFill>
                </w14:textFill>
              </w:rPr>
              <w:t>本项目</w:t>
            </w:r>
          </w:p>
        </w:tc>
        <w:tc>
          <w:tcPr>
            <w:tcW w:w="389"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ascii="Times New Roman" w:hAnsi="Times New Roman" w:eastAsia="宋体" w:cs="Times New Roman"/>
                <w:b/>
                <w:bCs/>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kern w:val="2"/>
                <w:sz w:val="21"/>
                <w:szCs w:val="20"/>
                <w:highlight w:val="none"/>
                <w:lang w:val="en-US" w:eastAsia="zh-CN" w:bidi="ar-SA"/>
                <w14:textFill>
                  <w14:solidFill>
                    <w14:schemeClr w14:val="tx1"/>
                  </w14:solidFill>
                </w14:textFill>
              </w:rPr>
              <w:t>相符性</w:t>
            </w:r>
          </w:p>
        </w:tc>
      </w:tr>
      <w:tr>
        <w:tblPrEx>
          <w:tblCellMar>
            <w:top w:w="0" w:type="dxa"/>
            <w:left w:w="0" w:type="dxa"/>
            <w:bottom w:w="0" w:type="dxa"/>
            <w:right w:w="0" w:type="dxa"/>
          </w:tblCellMar>
        </w:tblPrEx>
        <w:trPr>
          <w:trHeight w:val="454" w:hRule="atLeast"/>
          <w:jc w:val="center"/>
        </w:trPr>
        <w:tc>
          <w:tcPr>
            <w:tcW w:w="259"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1</w:t>
            </w:r>
          </w:p>
        </w:tc>
        <w:tc>
          <w:tcPr>
            <w:tcW w:w="2301"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第七条　从事页岩气勘探开发的企业应具备与项目勘探开发相适应的投资能力，具有良好的财务状况和健全的财务会计制度，能够独立承担民事责任。页岩气勘探开发企业应配齐地质勘查、钻探开采等专业技术人员。从事页岩气建设项目勘查、设计、施工、监理、安全评价等业务，应具备相应资质。</w:t>
            </w:r>
          </w:p>
        </w:tc>
        <w:tc>
          <w:tcPr>
            <w:tcW w:w="2051" w:type="pct"/>
            <w:tcBorders>
              <w:top w:val="single" w:color="000000" w:sz="4" w:space="0"/>
              <w:left w:val="single" w:color="000000" w:sz="4" w:space="0"/>
              <w:bottom w:val="single" w:color="000000" w:sz="4" w:space="0"/>
              <w:right w:val="single" w:color="000000" w:sz="4" w:space="0"/>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中原油田普光分公司具备与项目勘探开发相适应的投资能力，具有良好的财务状况和健全的财务会计制度，能够独立承担民事责任。企业配齐了地质勘查、钻探开采等专业技术人员。项目勘查、设计、施工、监理、安全评价等业务单位均具备相应资质。</w:t>
            </w:r>
          </w:p>
        </w:tc>
        <w:tc>
          <w:tcPr>
            <w:tcW w:w="389"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ascii="Times New Roman" w:hAnsi="Times New Roman" w:eastAsia="宋体" w:cs="Times New Roman"/>
                <w:color w:val="000000" w:themeColor="text1"/>
                <w:kern w:val="2"/>
                <w:sz w:val="21"/>
                <w:szCs w:val="20"/>
                <w:highlight w:val="none"/>
                <w:lang w:val="en-US" w:eastAsia="en-US"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en-US" w:bidi="ar-SA"/>
                <w14:textFill>
                  <w14:solidFill>
                    <w14:schemeClr w14:val="tx1"/>
                  </w14:solidFill>
                </w14:textFill>
              </w:rPr>
              <w:t>符合</w:t>
            </w:r>
          </w:p>
        </w:tc>
      </w:tr>
      <w:tr>
        <w:tblPrEx>
          <w:tblCellMar>
            <w:top w:w="0" w:type="dxa"/>
            <w:left w:w="0" w:type="dxa"/>
            <w:bottom w:w="0" w:type="dxa"/>
            <w:right w:w="0" w:type="dxa"/>
          </w:tblCellMar>
        </w:tblPrEx>
        <w:trPr>
          <w:trHeight w:val="454" w:hRule="atLeast"/>
          <w:jc w:val="center"/>
        </w:trPr>
        <w:tc>
          <w:tcPr>
            <w:tcW w:w="259"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2</w:t>
            </w:r>
          </w:p>
        </w:tc>
        <w:tc>
          <w:tcPr>
            <w:tcW w:w="2301"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第八条　建立健全监管机制，加强页岩气开发生产过程监管。页岩气勘探开发生产活动必须符合现行页岩气相关技术标准和规范；如无专门针对页岩气的相关管理标准和规范，参照石油天然气行业管理规范执行。</w:t>
            </w:r>
          </w:p>
        </w:tc>
        <w:tc>
          <w:tcPr>
            <w:tcW w:w="2051" w:type="pct"/>
            <w:tcBorders>
              <w:top w:val="single" w:color="000000" w:sz="4" w:space="0"/>
              <w:left w:val="single" w:color="000000" w:sz="4" w:space="0"/>
              <w:bottom w:val="single" w:color="000000" w:sz="4" w:space="0"/>
              <w:right w:val="single" w:color="000000" w:sz="4" w:space="0"/>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中原油田普光分公司建立了健全监管机制，加强了页岩气开发生产过程监管。页岩气勘探开发生产活动符合现行页岩气相关技术标准和规范和石油天然气行业管理规范。</w:t>
            </w:r>
          </w:p>
        </w:tc>
        <w:tc>
          <w:tcPr>
            <w:tcW w:w="389"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符合</w:t>
            </w:r>
          </w:p>
        </w:tc>
      </w:tr>
      <w:tr>
        <w:tblPrEx>
          <w:tblCellMar>
            <w:top w:w="0" w:type="dxa"/>
            <w:left w:w="0" w:type="dxa"/>
            <w:bottom w:w="0" w:type="dxa"/>
            <w:right w:w="0" w:type="dxa"/>
          </w:tblCellMar>
        </w:tblPrEx>
        <w:trPr>
          <w:trHeight w:val="454" w:hRule="atLeast"/>
          <w:jc w:val="center"/>
        </w:trPr>
        <w:tc>
          <w:tcPr>
            <w:tcW w:w="259"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3</w:t>
            </w:r>
          </w:p>
        </w:tc>
        <w:tc>
          <w:tcPr>
            <w:tcW w:w="2301"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第二十三条　加强节能和能效管理。页岩气勘探开发利用项目必须按照节能设计规范和标准建设，推广使用符合国家能效标准、经过认证的节能产品。引进技术、设备等应达到国际先进水平。</w:t>
            </w:r>
          </w:p>
        </w:tc>
        <w:tc>
          <w:tcPr>
            <w:tcW w:w="2051" w:type="pct"/>
            <w:tcBorders>
              <w:top w:val="single" w:color="000000" w:sz="4" w:space="0"/>
              <w:left w:val="single" w:color="000000" w:sz="4" w:space="0"/>
              <w:bottom w:val="single" w:color="000000" w:sz="4" w:space="0"/>
              <w:right w:val="single" w:color="000000" w:sz="4" w:space="0"/>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本项目严格按照节能设计规范和标准建设，使用符合国家能效标准、经过认证的节能产品。技术、设备等均达到国际先进水平。</w:t>
            </w:r>
          </w:p>
        </w:tc>
        <w:tc>
          <w:tcPr>
            <w:tcW w:w="389"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符合</w:t>
            </w:r>
          </w:p>
        </w:tc>
      </w:tr>
      <w:tr>
        <w:tblPrEx>
          <w:tblCellMar>
            <w:top w:w="0" w:type="dxa"/>
            <w:left w:w="0" w:type="dxa"/>
            <w:bottom w:w="0" w:type="dxa"/>
            <w:right w:w="0" w:type="dxa"/>
          </w:tblCellMar>
        </w:tblPrEx>
        <w:trPr>
          <w:trHeight w:val="454" w:hRule="atLeast"/>
          <w:jc w:val="center"/>
        </w:trPr>
        <w:tc>
          <w:tcPr>
            <w:tcW w:w="259"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4</w:t>
            </w:r>
          </w:p>
        </w:tc>
        <w:tc>
          <w:tcPr>
            <w:tcW w:w="2301"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第二十四条　坚持页岩气勘探开发与生态保护并重的原则。钻井、压裂等作业过程和地面工程建设要减少占地面积、及时恢复植被、节约利用水资源，落实各类废弃物处置措施，保护生态环境。</w:t>
            </w:r>
          </w:p>
        </w:tc>
        <w:tc>
          <w:tcPr>
            <w:tcW w:w="2051" w:type="pct"/>
            <w:tcBorders>
              <w:top w:val="single" w:color="000000" w:sz="4" w:space="0"/>
              <w:left w:val="single" w:color="000000" w:sz="4" w:space="0"/>
              <w:bottom w:val="single" w:color="000000" w:sz="4" w:space="0"/>
              <w:right w:val="single" w:color="000000" w:sz="4" w:space="0"/>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本项目在</w:t>
            </w: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仅为试采工程，在</w:t>
            </w: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地面工程建</w:t>
            </w: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拟</w:t>
            </w: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设通过优化平面布置减少占地面积、并及时恢复植被、节约利用水资源，</w:t>
            </w: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并拟</w:t>
            </w: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落实各类废弃物处置措施，保护生态环境。</w:t>
            </w:r>
          </w:p>
        </w:tc>
        <w:tc>
          <w:tcPr>
            <w:tcW w:w="389"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符合</w:t>
            </w:r>
          </w:p>
        </w:tc>
      </w:tr>
      <w:tr>
        <w:tblPrEx>
          <w:tblCellMar>
            <w:top w:w="0" w:type="dxa"/>
            <w:left w:w="0" w:type="dxa"/>
            <w:bottom w:w="0" w:type="dxa"/>
            <w:right w:w="0" w:type="dxa"/>
          </w:tblCellMar>
        </w:tblPrEx>
        <w:trPr>
          <w:trHeight w:val="454" w:hRule="atLeast"/>
          <w:jc w:val="center"/>
        </w:trPr>
        <w:tc>
          <w:tcPr>
            <w:tcW w:w="259"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5</w:t>
            </w:r>
          </w:p>
        </w:tc>
        <w:tc>
          <w:tcPr>
            <w:tcW w:w="2301"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第二十五条　钻井液、压裂液等应做到循环利用。采取节水措施，减少耗水量。鼓励采用先进的工艺、设备，开采过程逸散气体禁止直接排放。</w:t>
            </w:r>
          </w:p>
        </w:tc>
        <w:tc>
          <w:tcPr>
            <w:tcW w:w="2051" w:type="pct"/>
            <w:tcBorders>
              <w:top w:val="single" w:color="000000" w:sz="4" w:space="0"/>
              <w:left w:val="single" w:color="000000" w:sz="4" w:space="0"/>
              <w:bottom w:val="single" w:color="000000" w:sz="4" w:space="0"/>
              <w:right w:val="single" w:color="000000" w:sz="4" w:space="0"/>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本项目在</w:t>
            </w: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仅为试采工程，在试采期间采用先进生产设备进行密闭输气，无</w:t>
            </w: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逸散气体</w:t>
            </w: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排放</w:t>
            </w: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w:t>
            </w:r>
          </w:p>
        </w:tc>
        <w:tc>
          <w:tcPr>
            <w:tcW w:w="389"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符合</w:t>
            </w:r>
          </w:p>
        </w:tc>
      </w:tr>
      <w:tr>
        <w:tblPrEx>
          <w:tblCellMar>
            <w:top w:w="0" w:type="dxa"/>
            <w:left w:w="0" w:type="dxa"/>
            <w:bottom w:w="0" w:type="dxa"/>
            <w:right w:w="0" w:type="dxa"/>
          </w:tblCellMar>
        </w:tblPrEx>
        <w:trPr>
          <w:trHeight w:val="454" w:hRule="atLeast"/>
          <w:jc w:val="center"/>
        </w:trPr>
        <w:tc>
          <w:tcPr>
            <w:tcW w:w="259"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6</w:t>
            </w:r>
          </w:p>
        </w:tc>
        <w:tc>
          <w:tcPr>
            <w:tcW w:w="2301"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第二十六条　加强对地下水和土壤的保护。钻井、压裂、气体集输处理等作业过程必须采取各项对地下水和土壤的保护措施，防止页岩气开发对地下水和土壤的污染。</w:t>
            </w:r>
          </w:p>
        </w:tc>
        <w:tc>
          <w:tcPr>
            <w:tcW w:w="2051" w:type="pct"/>
            <w:tcBorders>
              <w:top w:val="single" w:color="000000" w:sz="4" w:space="0"/>
              <w:left w:val="single" w:color="000000" w:sz="4" w:space="0"/>
              <w:bottom w:val="single" w:color="000000" w:sz="4" w:space="0"/>
              <w:right w:val="single" w:color="000000" w:sz="4" w:space="0"/>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本项目在</w:t>
            </w: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仅为试采工程，不涉及钻井、压裂施工</w:t>
            </w: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w:t>
            </w:r>
          </w:p>
        </w:tc>
        <w:tc>
          <w:tcPr>
            <w:tcW w:w="389"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符合</w:t>
            </w:r>
          </w:p>
        </w:tc>
      </w:tr>
      <w:tr>
        <w:tblPrEx>
          <w:tblCellMar>
            <w:top w:w="0" w:type="dxa"/>
            <w:left w:w="0" w:type="dxa"/>
            <w:bottom w:w="0" w:type="dxa"/>
            <w:right w:w="0" w:type="dxa"/>
          </w:tblCellMar>
        </w:tblPrEx>
        <w:trPr>
          <w:trHeight w:val="454" w:hRule="atLeast"/>
          <w:jc w:val="center"/>
        </w:trPr>
        <w:tc>
          <w:tcPr>
            <w:tcW w:w="259"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7</w:t>
            </w:r>
          </w:p>
        </w:tc>
        <w:tc>
          <w:tcPr>
            <w:tcW w:w="2301"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第二十七条　页岩气勘探开发利用必须依法开展环境影响评价，环保设施与主体工程要严格实行项目建设 “三同时”制度。</w:t>
            </w:r>
          </w:p>
        </w:tc>
        <w:tc>
          <w:tcPr>
            <w:tcW w:w="2051" w:type="pct"/>
            <w:tcBorders>
              <w:top w:val="single" w:color="000000" w:sz="4" w:space="0"/>
              <w:left w:val="single" w:color="000000" w:sz="4" w:space="0"/>
              <w:bottom w:val="single" w:color="000000" w:sz="4" w:space="0"/>
              <w:right w:val="single" w:color="000000" w:sz="4" w:space="0"/>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本项目正在开展环境影响评价，环保设施与主体工程要严格实行项目建设 “三同时”制度。</w:t>
            </w:r>
          </w:p>
        </w:tc>
        <w:tc>
          <w:tcPr>
            <w:tcW w:w="389"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符合</w:t>
            </w:r>
          </w:p>
        </w:tc>
      </w:tr>
      <w:tr>
        <w:tblPrEx>
          <w:tblCellMar>
            <w:top w:w="0" w:type="dxa"/>
            <w:left w:w="0" w:type="dxa"/>
            <w:bottom w:w="0" w:type="dxa"/>
            <w:right w:w="0" w:type="dxa"/>
          </w:tblCellMar>
        </w:tblPrEx>
        <w:trPr>
          <w:trHeight w:val="454" w:hRule="atLeast"/>
          <w:jc w:val="center"/>
        </w:trPr>
        <w:tc>
          <w:tcPr>
            <w:tcW w:w="259"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8</w:t>
            </w:r>
          </w:p>
        </w:tc>
        <w:tc>
          <w:tcPr>
            <w:tcW w:w="2301"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第二十八条　加强页岩气勘探开发环境监管。页岩气开发过程排放的污染物必须符合相关排放标准，钻井、井下作业产生的各类固体废物必须得到有效处置，防止二次污染。</w:t>
            </w:r>
          </w:p>
        </w:tc>
        <w:tc>
          <w:tcPr>
            <w:tcW w:w="2051" w:type="pct"/>
            <w:tcBorders>
              <w:top w:val="single" w:color="000000" w:sz="4" w:space="0"/>
              <w:left w:val="single" w:color="000000" w:sz="4" w:space="0"/>
              <w:bottom w:val="single" w:color="000000" w:sz="4" w:space="0"/>
              <w:right w:val="single" w:color="000000" w:sz="4" w:space="0"/>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本项目在</w:t>
            </w: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仅为试采工程，不涉及钻井、压裂施工。在试采</w:t>
            </w: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过程排放的污染物均符合相关排放标准。</w:t>
            </w:r>
          </w:p>
        </w:tc>
        <w:tc>
          <w:tcPr>
            <w:tcW w:w="389"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符合</w:t>
            </w:r>
          </w:p>
        </w:tc>
      </w:tr>
      <w:tr>
        <w:tblPrEx>
          <w:tblCellMar>
            <w:top w:w="0" w:type="dxa"/>
            <w:left w:w="0" w:type="dxa"/>
            <w:bottom w:w="0" w:type="dxa"/>
            <w:right w:w="0" w:type="dxa"/>
          </w:tblCellMar>
        </w:tblPrEx>
        <w:trPr>
          <w:trHeight w:val="454" w:hRule="atLeast"/>
          <w:jc w:val="center"/>
        </w:trPr>
        <w:tc>
          <w:tcPr>
            <w:tcW w:w="259"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9</w:t>
            </w:r>
          </w:p>
        </w:tc>
        <w:tc>
          <w:tcPr>
            <w:tcW w:w="2301"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第二十九条　国家对页岩气勘探开发利用开展战略环境影响评价或规划影响评价，从资源环境效率、生态环境承载力及环境风险水平等多方面，优化页岩气勘探开发的时空布局。禁止在自然保护区、风景名胜区、饮用水源保护区和地质灾害危险区等禁采区内开采页岩气。</w:t>
            </w:r>
          </w:p>
        </w:tc>
        <w:tc>
          <w:tcPr>
            <w:tcW w:w="2051" w:type="pct"/>
            <w:tcBorders>
              <w:top w:val="single" w:color="000000" w:sz="4" w:space="0"/>
              <w:left w:val="single" w:color="000000" w:sz="4" w:space="0"/>
              <w:bottom w:val="single" w:color="000000" w:sz="4" w:space="0"/>
              <w:right w:val="single" w:color="000000" w:sz="4" w:space="0"/>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项目</w:t>
            </w: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不</w:t>
            </w:r>
            <w:r>
              <w:rPr>
                <w:rFonts w:hint="eastAsia" w:cs="Times New Roman"/>
                <w:color w:val="000000" w:themeColor="text1"/>
                <w:kern w:val="2"/>
                <w:sz w:val="21"/>
                <w:szCs w:val="20"/>
                <w:highlight w:val="none"/>
                <w:lang w:val="en-US" w:eastAsia="zh-CN" w:bidi="ar-SA"/>
                <w14:textFill>
                  <w14:solidFill>
                    <w14:schemeClr w14:val="tx1"/>
                  </w14:solidFill>
                </w14:textFill>
              </w:rPr>
              <w:t>位于</w:t>
            </w: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自然保护区、风景名胜区、饮用水源保护区和地质灾害危险区等。</w:t>
            </w:r>
          </w:p>
        </w:tc>
        <w:tc>
          <w:tcPr>
            <w:tcW w:w="389"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符合</w:t>
            </w:r>
          </w:p>
        </w:tc>
      </w:tr>
    </w:tbl>
    <w:p>
      <w:pPr>
        <w:pStyle w:val="2"/>
      </w:pPr>
    </w:p>
    <w:p>
      <w:pPr>
        <w:pStyle w:val="2"/>
      </w:pPr>
      <w:r>
        <w:t>综上所述，本项目的建设与《页岩气产业政策》（2013年第5号）相符。</w:t>
      </w:r>
    </w:p>
    <w:p>
      <w:pPr>
        <w:pStyle w:val="6"/>
        <w:spacing w:before="120"/>
        <w:ind w:firstLine="480"/>
        <w:rPr>
          <w:rStyle w:val="53"/>
          <w:bCs w:val="0"/>
          <w:color w:val="000000" w:themeColor="text1"/>
          <w:highlight w:val="none"/>
          <w14:textFill>
            <w14:solidFill>
              <w14:schemeClr w14:val="tx1"/>
            </w14:solidFill>
          </w14:textFill>
        </w:rPr>
      </w:pPr>
      <w:r>
        <w:rPr>
          <w:rFonts w:hint="eastAsia"/>
          <w:lang w:eastAsia="zh-CN"/>
        </w:rPr>
        <w:t>与</w:t>
      </w:r>
      <w:r>
        <w:t>《</w:t>
      </w:r>
      <w:r>
        <w:rPr>
          <w:rFonts w:hint="eastAsia"/>
        </w:rPr>
        <w:t>四川省页岩气开采业污染防治技术政策</w:t>
      </w:r>
      <w:r>
        <w:t>》符合性分析</w:t>
      </w:r>
    </w:p>
    <w:p>
      <w:pPr>
        <w:pStyle w:val="2"/>
      </w:pPr>
      <w:r>
        <w:t>本项目与《</w:t>
      </w:r>
      <w:r>
        <w:rPr>
          <w:rFonts w:hint="eastAsia"/>
        </w:rPr>
        <w:t>四川省页岩气开采业污染防治技术政策</w:t>
      </w:r>
      <w:r>
        <w:t>》符合性分析见下表：</w:t>
      </w:r>
    </w:p>
    <w:p>
      <w:pPr>
        <w:pStyle w:val="2"/>
        <w:rPr>
          <w:rFonts w:hint="eastAsia"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t>表2.7-6  与《四川省页岩气开采业污染防治技术政策》符合性分析</w:t>
      </w:r>
    </w:p>
    <w:tbl>
      <w:tblPr>
        <w:tblStyle w:val="41"/>
        <w:tblW w:w="4998" w:type="pct"/>
        <w:jc w:val="center"/>
        <w:tblLayout w:type="autofit"/>
        <w:tblCellMar>
          <w:top w:w="0" w:type="dxa"/>
          <w:left w:w="0" w:type="dxa"/>
          <w:bottom w:w="0" w:type="dxa"/>
          <w:right w:w="0" w:type="dxa"/>
        </w:tblCellMar>
      </w:tblPr>
      <w:tblGrid>
        <w:gridCol w:w="906"/>
        <w:gridCol w:w="3568"/>
        <w:gridCol w:w="3142"/>
        <w:gridCol w:w="907"/>
      </w:tblGrid>
      <w:tr>
        <w:tblPrEx>
          <w:tblCellMar>
            <w:top w:w="0" w:type="dxa"/>
            <w:left w:w="0" w:type="dxa"/>
            <w:bottom w:w="0" w:type="dxa"/>
            <w:right w:w="0" w:type="dxa"/>
          </w:tblCellMar>
        </w:tblPrEx>
        <w:trPr>
          <w:trHeight w:val="454" w:hRule="atLeast"/>
          <w:tblHeader/>
          <w:jc w:val="center"/>
        </w:trPr>
        <w:tc>
          <w:tcPr>
            <w:tcW w:w="254"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ascii="Times New Roman" w:hAnsi="Times New Roman" w:eastAsia="宋体" w:cs="Times New Roman"/>
                <w:b/>
                <w:bCs/>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kern w:val="2"/>
                <w:sz w:val="21"/>
                <w:szCs w:val="20"/>
                <w:highlight w:val="none"/>
                <w:lang w:val="en-US" w:eastAsia="zh-CN" w:bidi="ar-SA"/>
                <w14:textFill>
                  <w14:solidFill>
                    <w14:schemeClr w14:val="tx1"/>
                  </w14:solidFill>
                </w14:textFill>
              </w:rPr>
              <w:t>序号</w:t>
            </w:r>
          </w:p>
        </w:tc>
        <w:tc>
          <w:tcPr>
            <w:tcW w:w="2298"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b/>
                <w:bCs/>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kern w:val="2"/>
                <w:sz w:val="21"/>
                <w:szCs w:val="20"/>
                <w:highlight w:val="none"/>
                <w:lang w:val="en-US" w:eastAsia="zh-CN" w:bidi="ar-SA"/>
                <w14:textFill>
                  <w14:solidFill>
                    <w14:schemeClr w14:val="tx1"/>
                  </w14:solidFill>
                </w14:textFill>
              </w:rPr>
              <w:t>页岩气产业政策要求</w:t>
            </w:r>
          </w:p>
        </w:tc>
        <w:tc>
          <w:tcPr>
            <w:tcW w:w="2048" w:type="pct"/>
            <w:tcBorders>
              <w:top w:val="single" w:color="000000" w:sz="4" w:space="0"/>
              <w:left w:val="single" w:color="000000" w:sz="4" w:space="0"/>
              <w:bottom w:val="single" w:color="000000" w:sz="4" w:space="0"/>
              <w:right w:val="single" w:color="000000" w:sz="4" w:space="0"/>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b/>
                <w:bCs/>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kern w:val="2"/>
                <w:sz w:val="21"/>
                <w:szCs w:val="20"/>
                <w:highlight w:val="none"/>
                <w:lang w:val="en-US" w:eastAsia="zh-CN" w:bidi="ar-SA"/>
                <w14:textFill>
                  <w14:solidFill>
                    <w14:schemeClr w14:val="tx1"/>
                  </w14:solidFill>
                </w14:textFill>
              </w:rPr>
              <w:t>本项目</w:t>
            </w:r>
          </w:p>
        </w:tc>
        <w:tc>
          <w:tcPr>
            <w:tcW w:w="399"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ascii="Times New Roman" w:hAnsi="Times New Roman" w:eastAsia="宋体" w:cs="Times New Roman"/>
                <w:b/>
                <w:bCs/>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kern w:val="2"/>
                <w:sz w:val="21"/>
                <w:szCs w:val="20"/>
                <w:highlight w:val="none"/>
                <w:lang w:val="en-US" w:eastAsia="zh-CN" w:bidi="ar-SA"/>
                <w14:textFill>
                  <w14:solidFill>
                    <w14:schemeClr w14:val="tx1"/>
                  </w14:solidFill>
                </w14:textFill>
              </w:rPr>
              <w:t>相符性</w:t>
            </w:r>
          </w:p>
        </w:tc>
      </w:tr>
      <w:tr>
        <w:tblPrEx>
          <w:tblCellMar>
            <w:top w:w="0" w:type="dxa"/>
            <w:left w:w="0" w:type="dxa"/>
            <w:bottom w:w="0" w:type="dxa"/>
            <w:right w:w="0" w:type="dxa"/>
          </w:tblCellMar>
        </w:tblPrEx>
        <w:trPr>
          <w:trHeight w:val="454" w:hRule="atLeast"/>
          <w:tblHeader/>
          <w:jc w:val="center"/>
        </w:trPr>
        <w:tc>
          <w:tcPr>
            <w:tcW w:w="5000" w:type="pct"/>
            <w:gridSpan w:val="4"/>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一、选址要求</w:t>
            </w:r>
          </w:p>
        </w:tc>
      </w:tr>
      <w:tr>
        <w:tblPrEx>
          <w:tblCellMar>
            <w:top w:w="0" w:type="dxa"/>
            <w:left w:w="0" w:type="dxa"/>
            <w:bottom w:w="0" w:type="dxa"/>
            <w:right w:w="0" w:type="dxa"/>
          </w:tblCellMar>
        </w:tblPrEx>
        <w:trPr>
          <w:trHeight w:val="454" w:hRule="atLeast"/>
          <w:jc w:val="center"/>
        </w:trPr>
        <w:tc>
          <w:tcPr>
            <w:tcW w:w="254"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1</w:t>
            </w:r>
          </w:p>
        </w:tc>
        <w:tc>
          <w:tcPr>
            <w:tcW w:w="2298"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（一）页岩气开采区域和单体建设项目选址布局应避开人群聚集区；选址应符合城乡规划、土地利用规划、页岩气产业发展规划和生态环境功能区划</w:t>
            </w:r>
          </w:p>
        </w:tc>
        <w:tc>
          <w:tcPr>
            <w:tcW w:w="2048" w:type="pct"/>
            <w:tcBorders>
              <w:top w:val="single" w:color="000000" w:sz="4" w:space="0"/>
              <w:left w:val="single" w:color="000000" w:sz="4" w:space="0"/>
              <w:bottom w:val="single" w:color="000000" w:sz="4" w:space="0"/>
              <w:right w:val="single" w:color="000000" w:sz="4" w:space="0"/>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项目</w:t>
            </w: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选址</w:t>
            </w: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属于农村地区；井场</w:t>
            </w: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选址已避开</w:t>
            </w: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人群聚集区</w:t>
            </w: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，项目</w:t>
            </w: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所在地不涉及乡镇、场镇规划区范围内，符合土地利用规划、页岩气产业发展规划和生态环境功能区划</w:t>
            </w:r>
          </w:p>
        </w:tc>
        <w:tc>
          <w:tcPr>
            <w:tcW w:w="399"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ascii="Times New Roman" w:hAnsi="Times New Roman" w:eastAsia="宋体" w:cs="Times New Roman"/>
                <w:color w:val="000000" w:themeColor="text1"/>
                <w:kern w:val="2"/>
                <w:sz w:val="21"/>
                <w:szCs w:val="20"/>
                <w:highlight w:val="none"/>
                <w:lang w:val="en-US" w:eastAsia="en-US"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en-US" w:bidi="ar-SA"/>
                <w14:textFill>
                  <w14:solidFill>
                    <w14:schemeClr w14:val="tx1"/>
                  </w14:solidFill>
                </w14:textFill>
              </w:rPr>
              <w:t>符合</w:t>
            </w:r>
          </w:p>
        </w:tc>
      </w:tr>
      <w:tr>
        <w:tblPrEx>
          <w:tblCellMar>
            <w:top w:w="0" w:type="dxa"/>
            <w:left w:w="0" w:type="dxa"/>
            <w:bottom w:w="0" w:type="dxa"/>
            <w:right w:w="0" w:type="dxa"/>
          </w:tblCellMar>
        </w:tblPrEx>
        <w:trPr>
          <w:trHeight w:val="454" w:hRule="atLeast"/>
          <w:jc w:val="center"/>
        </w:trPr>
        <w:tc>
          <w:tcPr>
            <w:tcW w:w="254"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2</w:t>
            </w:r>
          </w:p>
        </w:tc>
        <w:tc>
          <w:tcPr>
            <w:tcW w:w="2298"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二）页岩气开发作业不得进入四川省生态红线规定的禁止开发区域、自然保护区的核心区及缓冲区、风景名胜区核心景区、饮用水水源保护区的一级及二级保护区以及文物保护单位等依法划定的需要特殊保护的环境敏感区。因工程条件和自然因素限制，确需在自然保护区实验区、风景名胜区核心景区以外范围、饮用水水源准保护区开发建设的，在环境影响评价文件中应对其选址、建设方案、污染防治措施、生态保护措施及风险防范措施等做充分论证。</w:t>
            </w:r>
          </w:p>
        </w:tc>
        <w:tc>
          <w:tcPr>
            <w:tcW w:w="2048" w:type="pct"/>
            <w:tcBorders>
              <w:top w:val="single" w:color="000000" w:sz="4" w:space="0"/>
              <w:left w:val="single" w:color="000000" w:sz="4" w:space="0"/>
              <w:bottom w:val="single" w:color="000000" w:sz="4" w:space="0"/>
              <w:right w:val="single" w:color="000000" w:sz="4" w:space="0"/>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经核实，项目所在区域不属于四川省生态红线规定的禁止开发区域、自然保护区的核心区及缓冲区、风景名胜区核心景区、饮用水水源保护区的一级及二级保护区以及文物保护单位等依法划定的需要特殊保护的环境敏感区</w:t>
            </w:r>
          </w:p>
        </w:tc>
        <w:tc>
          <w:tcPr>
            <w:tcW w:w="399"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符合</w:t>
            </w:r>
          </w:p>
        </w:tc>
      </w:tr>
      <w:tr>
        <w:tblPrEx>
          <w:tblCellMar>
            <w:top w:w="0" w:type="dxa"/>
            <w:left w:w="0" w:type="dxa"/>
            <w:bottom w:w="0" w:type="dxa"/>
            <w:right w:w="0" w:type="dxa"/>
          </w:tblCellMar>
        </w:tblPrEx>
        <w:trPr>
          <w:trHeight w:val="454" w:hRule="atLeast"/>
          <w:jc w:val="center"/>
        </w:trPr>
        <w:tc>
          <w:tcPr>
            <w:tcW w:w="5000" w:type="pct"/>
            <w:gridSpan w:val="4"/>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二、水污染防治</w:t>
            </w:r>
          </w:p>
        </w:tc>
      </w:tr>
      <w:tr>
        <w:tblPrEx>
          <w:tblCellMar>
            <w:top w:w="0" w:type="dxa"/>
            <w:left w:w="0" w:type="dxa"/>
            <w:bottom w:w="0" w:type="dxa"/>
            <w:right w:w="0" w:type="dxa"/>
          </w:tblCellMar>
        </w:tblPrEx>
        <w:trPr>
          <w:trHeight w:val="454" w:hRule="atLeast"/>
          <w:jc w:val="center"/>
        </w:trPr>
        <w:tc>
          <w:tcPr>
            <w:tcW w:w="254"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3</w:t>
            </w:r>
          </w:p>
        </w:tc>
        <w:tc>
          <w:tcPr>
            <w:tcW w:w="2298"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（一）页岩气开采项目应开展水资源环境论证，取用地表水应优先保证生态用水、生活用水和农业用水</w:t>
            </w:r>
          </w:p>
        </w:tc>
        <w:tc>
          <w:tcPr>
            <w:tcW w:w="2048" w:type="pct"/>
            <w:tcBorders>
              <w:top w:val="single" w:color="000000" w:sz="4" w:space="0"/>
              <w:left w:val="single" w:color="000000" w:sz="4" w:space="0"/>
              <w:bottom w:val="single" w:color="000000" w:sz="4" w:space="0"/>
              <w:right w:val="single" w:color="000000" w:sz="4" w:space="0"/>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本项目在</w:t>
            </w: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仅为试采工程，不涉及钻井、压裂施工等需水量较大的施工阶段。试采期试采生产无需生产用水</w:t>
            </w:r>
          </w:p>
        </w:tc>
        <w:tc>
          <w:tcPr>
            <w:tcW w:w="399"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符合</w:t>
            </w:r>
          </w:p>
        </w:tc>
      </w:tr>
      <w:tr>
        <w:tblPrEx>
          <w:tblCellMar>
            <w:top w:w="0" w:type="dxa"/>
            <w:left w:w="0" w:type="dxa"/>
            <w:bottom w:w="0" w:type="dxa"/>
            <w:right w:w="0" w:type="dxa"/>
          </w:tblCellMar>
        </w:tblPrEx>
        <w:trPr>
          <w:trHeight w:val="454" w:hRule="atLeast"/>
          <w:jc w:val="center"/>
        </w:trPr>
        <w:tc>
          <w:tcPr>
            <w:tcW w:w="254"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4</w:t>
            </w:r>
          </w:p>
        </w:tc>
        <w:tc>
          <w:tcPr>
            <w:tcW w:w="2298"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（二）页岩气钻井应使用先进钻井技术，减少单井用水量；因地制宜，实施废水重复利用，提高水资源的重复利用率。</w:t>
            </w:r>
          </w:p>
        </w:tc>
        <w:tc>
          <w:tcPr>
            <w:tcW w:w="2048" w:type="pct"/>
            <w:tcBorders>
              <w:top w:val="single" w:color="000000" w:sz="4" w:space="0"/>
              <w:left w:val="single" w:color="000000" w:sz="4" w:space="0"/>
              <w:bottom w:val="single" w:color="000000" w:sz="4" w:space="0"/>
              <w:right w:val="single" w:color="000000" w:sz="4" w:space="0"/>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本项目在</w:t>
            </w: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仅为试采工程，不涉及钻井施工等</w:t>
            </w:r>
          </w:p>
        </w:tc>
        <w:tc>
          <w:tcPr>
            <w:tcW w:w="399"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符合</w:t>
            </w:r>
          </w:p>
        </w:tc>
      </w:tr>
      <w:tr>
        <w:tblPrEx>
          <w:tblCellMar>
            <w:top w:w="0" w:type="dxa"/>
            <w:left w:w="0" w:type="dxa"/>
            <w:bottom w:w="0" w:type="dxa"/>
            <w:right w:w="0" w:type="dxa"/>
          </w:tblCellMar>
        </w:tblPrEx>
        <w:trPr>
          <w:trHeight w:val="454" w:hRule="atLeast"/>
          <w:jc w:val="center"/>
        </w:trPr>
        <w:tc>
          <w:tcPr>
            <w:tcW w:w="254"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5</w:t>
            </w:r>
          </w:p>
        </w:tc>
        <w:tc>
          <w:tcPr>
            <w:tcW w:w="2298"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（三）钻井废水和压裂返排液应优先进行回用，平台钻井废水回用率、平台或区域压裂返排液回用率均应达到85%以上。无法回用的，应采取就近处理原则，减缓废水转输过程中的环境风险</w:t>
            </w:r>
          </w:p>
        </w:tc>
        <w:tc>
          <w:tcPr>
            <w:tcW w:w="2048" w:type="pct"/>
            <w:tcBorders>
              <w:top w:val="single" w:color="000000" w:sz="4" w:space="0"/>
              <w:left w:val="single" w:color="000000" w:sz="4" w:space="0"/>
              <w:bottom w:val="single" w:color="000000" w:sz="4" w:space="0"/>
              <w:right w:val="single" w:color="000000" w:sz="4" w:space="0"/>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本项目在</w:t>
            </w: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仅为试采工程，不涉及钻井、压裂施工等</w:t>
            </w:r>
          </w:p>
        </w:tc>
        <w:tc>
          <w:tcPr>
            <w:tcW w:w="399"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符合</w:t>
            </w:r>
          </w:p>
        </w:tc>
      </w:tr>
      <w:tr>
        <w:tblPrEx>
          <w:tblCellMar>
            <w:top w:w="0" w:type="dxa"/>
            <w:left w:w="0" w:type="dxa"/>
            <w:bottom w:w="0" w:type="dxa"/>
            <w:right w:w="0" w:type="dxa"/>
          </w:tblCellMar>
        </w:tblPrEx>
        <w:trPr>
          <w:trHeight w:val="454" w:hRule="atLeast"/>
          <w:jc w:val="center"/>
        </w:trPr>
        <w:tc>
          <w:tcPr>
            <w:tcW w:w="254"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6</w:t>
            </w:r>
          </w:p>
        </w:tc>
        <w:tc>
          <w:tcPr>
            <w:tcW w:w="2298"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（四）钻井废水、废弃钻井液、压裂返排液等废水或废液的收集、贮存、处理处置设施和场所应按照相关标准规范和环境影响评价文件的要求采取防渗措施，并定期开展跟踪监测</w:t>
            </w:r>
          </w:p>
        </w:tc>
        <w:tc>
          <w:tcPr>
            <w:tcW w:w="2048" w:type="pct"/>
            <w:tcBorders>
              <w:top w:val="single" w:color="000000" w:sz="4" w:space="0"/>
              <w:left w:val="single" w:color="000000" w:sz="4" w:space="0"/>
              <w:bottom w:val="single" w:color="000000" w:sz="4" w:space="0"/>
              <w:right w:val="single" w:color="000000" w:sz="4" w:space="0"/>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本项目在</w:t>
            </w: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仅为试采工程，不涉及钻井、压裂施工</w:t>
            </w:r>
          </w:p>
        </w:tc>
        <w:tc>
          <w:tcPr>
            <w:tcW w:w="399"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符合</w:t>
            </w:r>
          </w:p>
        </w:tc>
      </w:tr>
      <w:tr>
        <w:tblPrEx>
          <w:tblCellMar>
            <w:top w:w="0" w:type="dxa"/>
            <w:left w:w="0" w:type="dxa"/>
            <w:bottom w:w="0" w:type="dxa"/>
            <w:right w:w="0" w:type="dxa"/>
          </w:tblCellMar>
        </w:tblPrEx>
        <w:trPr>
          <w:trHeight w:val="454" w:hRule="atLeast"/>
          <w:jc w:val="center"/>
        </w:trPr>
        <w:tc>
          <w:tcPr>
            <w:tcW w:w="5000" w:type="pct"/>
            <w:gridSpan w:val="4"/>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三、固体废物处置及综合利用</w:t>
            </w:r>
          </w:p>
        </w:tc>
      </w:tr>
      <w:tr>
        <w:tblPrEx>
          <w:tblCellMar>
            <w:top w:w="0" w:type="dxa"/>
            <w:left w:w="0" w:type="dxa"/>
            <w:bottom w:w="0" w:type="dxa"/>
            <w:right w:w="0" w:type="dxa"/>
          </w:tblCellMar>
        </w:tblPrEx>
        <w:trPr>
          <w:trHeight w:val="454" w:hRule="atLeast"/>
          <w:jc w:val="center"/>
        </w:trPr>
        <w:tc>
          <w:tcPr>
            <w:tcW w:w="254"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7</w:t>
            </w:r>
          </w:p>
        </w:tc>
        <w:tc>
          <w:tcPr>
            <w:tcW w:w="2298"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（一）页岩气开采产生的固体废物应实行全过程管理，并按照“减量化、资源化、无害化”的原则，减少固体废物的产生量，并对其进行资源化利用和无害化处理处置</w:t>
            </w:r>
          </w:p>
        </w:tc>
        <w:tc>
          <w:tcPr>
            <w:tcW w:w="2048" w:type="pct"/>
            <w:tcBorders>
              <w:top w:val="single" w:color="000000" w:sz="4" w:space="0"/>
              <w:left w:val="single" w:color="000000" w:sz="4" w:space="0"/>
              <w:bottom w:val="single" w:color="000000" w:sz="4" w:space="0"/>
              <w:right w:val="single" w:color="000000" w:sz="4" w:space="0"/>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本项目在</w:t>
            </w: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仅为试采工程，不涉及钻井、压裂施工等，试采生产期间，按照</w:t>
            </w: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“减量化、资源化、无害化”的原则</w:t>
            </w: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进行生产</w:t>
            </w: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，减少固体废物的产生量，</w:t>
            </w: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产生的固废均分类处置，不会形成二次污染</w:t>
            </w:r>
          </w:p>
        </w:tc>
        <w:tc>
          <w:tcPr>
            <w:tcW w:w="399"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符合</w:t>
            </w:r>
          </w:p>
        </w:tc>
      </w:tr>
      <w:tr>
        <w:tblPrEx>
          <w:tblCellMar>
            <w:top w:w="0" w:type="dxa"/>
            <w:left w:w="0" w:type="dxa"/>
            <w:bottom w:w="0" w:type="dxa"/>
            <w:right w:w="0" w:type="dxa"/>
          </w:tblCellMar>
        </w:tblPrEx>
        <w:trPr>
          <w:trHeight w:val="454" w:hRule="atLeast"/>
          <w:jc w:val="center"/>
        </w:trPr>
        <w:tc>
          <w:tcPr>
            <w:tcW w:w="254"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8</w:t>
            </w:r>
          </w:p>
        </w:tc>
        <w:tc>
          <w:tcPr>
            <w:tcW w:w="2298"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（二）气体钻井、水基钻井液钻井、油基钻井液钻井等钻井作业应全程采用岩屑不落地工艺对钻井岩屑进行分类收集、储存和转运</w:t>
            </w:r>
          </w:p>
        </w:tc>
        <w:tc>
          <w:tcPr>
            <w:tcW w:w="2048" w:type="pct"/>
            <w:tcBorders>
              <w:top w:val="single" w:color="000000" w:sz="4" w:space="0"/>
              <w:left w:val="single" w:color="000000" w:sz="4" w:space="0"/>
              <w:bottom w:val="single" w:color="000000" w:sz="4" w:space="0"/>
              <w:right w:val="single" w:color="000000" w:sz="4" w:space="0"/>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钻井作业应全程</w:t>
            </w: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拟</w:t>
            </w: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采用岩屑不落地工艺对钻井岩屑进行分类收集、储存和转运</w:t>
            </w:r>
          </w:p>
        </w:tc>
        <w:tc>
          <w:tcPr>
            <w:tcW w:w="399"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符合</w:t>
            </w:r>
          </w:p>
        </w:tc>
      </w:tr>
      <w:tr>
        <w:tblPrEx>
          <w:tblCellMar>
            <w:top w:w="0" w:type="dxa"/>
            <w:left w:w="0" w:type="dxa"/>
            <w:bottom w:w="0" w:type="dxa"/>
            <w:right w:w="0" w:type="dxa"/>
          </w:tblCellMar>
        </w:tblPrEx>
        <w:trPr>
          <w:trHeight w:val="454" w:hRule="atLeast"/>
          <w:jc w:val="center"/>
        </w:trPr>
        <w:tc>
          <w:tcPr>
            <w:tcW w:w="254"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9</w:t>
            </w:r>
          </w:p>
        </w:tc>
        <w:tc>
          <w:tcPr>
            <w:tcW w:w="2298"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（三）水基岩屑应首先进行固液分离，降低含水率，回收其中的液相并重复利用，剩余固相优先考虑资源化综合利用，同时加强其暂存、预处理、转运等过程的环境管理，避免二次污染</w:t>
            </w:r>
          </w:p>
        </w:tc>
        <w:tc>
          <w:tcPr>
            <w:tcW w:w="2048" w:type="pct"/>
            <w:tcBorders>
              <w:top w:val="single" w:color="000000" w:sz="4" w:space="0"/>
              <w:left w:val="single" w:color="000000" w:sz="4" w:space="0"/>
              <w:bottom w:val="single" w:color="000000" w:sz="4" w:space="0"/>
              <w:right w:val="single" w:color="000000" w:sz="4" w:space="0"/>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本项目在</w:t>
            </w: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仅为试采工程，不涉及钻井、压裂施工等，不会产生钻井固废</w:t>
            </w:r>
          </w:p>
        </w:tc>
        <w:tc>
          <w:tcPr>
            <w:tcW w:w="399"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符合</w:t>
            </w:r>
          </w:p>
        </w:tc>
      </w:tr>
      <w:tr>
        <w:tblPrEx>
          <w:tblCellMar>
            <w:top w:w="0" w:type="dxa"/>
            <w:left w:w="0" w:type="dxa"/>
            <w:bottom w:w="0" w:type="dxa"/>
            <w:right w:w="0" w:type="dxa"/>
          </w:tblCellMar>
        </w:tblPrEx>
        <w:trPr>
          <w:trHeight w:val="454" w:hRule="atLeast"/>
          <w:jc w:val="center"/>
        </w:trPr>
        <w:tc>
          <w:tcPr>
            <w:tcW w:w="254"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10</w:t>
            </w:r>
          </w:p>
        </w:tc>
        <w:tc>
          <w:tcPr>
            <w:tcW w:w="2298"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（四）油基岩屑应首先进行再生利用，回收其中的基础油和油基钻井液并重复使用</w:t>
            </w:r>
          </w:p>
        </w:tc>
        <w:tc>
          <w:tcPr>
            <w:tcW w:w="2048" w:type="pct"/>
            <w:tcBorders>
              <w:top w:val="single" w:color="000000" w:sz="4" w:space="0"/>
              <w:left w:val="single" w:color="000000" w:sz="4" w:space="0"/>
              <w:bottom w:val="single" w:color="000000" w:sz="4" w:space="0"/>
              <w:right w:val="single" w:color="000000" w:sz="4" w:space="0"/>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本项目在</w:t>
            </w: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仅为试采工程，不涉及钻井、压裂施工等，不会产生钻井固废</w:t>
            </w:r>
          </w:p>
        </w:tc>
        <w:tc>
          <w:tcPr>
            <w:tcW w:w="399"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符合</w:t>
            </w:r>
          </w:p>
        </w:tc>
      </w:tr>
      <w:tr>
        <w:tblPrEx>
          <w:tblCellMar>
            <w:top w:w="0" w:type="dxa"/>
            <w:left w:w="0" w:type="dxa"/>
            <w:bottom w:w="0" w:type="dxa"/>
            <w:right w:w="0" w:type="dxa"/>
          </w:tblCellMar>
        </w:tblPrEx>
        <w:trPr>
          <w:trHeight w:val="454" w:hRule="atLeast"/>
          <w:jc w:val="center"/>
        </w:trPr>
        <w:tc>
          <w:tcPr>
            <w:tcW w:w="254"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11</w:t>
            </w:r>
          </w:p>
        </w:tc>
        <w:tc>
          <w:tcPr>
            <w:tcW w:w="2298"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（五）固体废物处理处置过程应符合国家和地方污染控制标准及相关技术规范要求，避免和减少二次污染。对产生的二次污染，应按照国家和地方环境保护法规和标准的规定进行治理</w:t>
            </w:r>
          </w:p>
        </w:tc>
        <w:tc>
          <w:tcPr>
            <w:tcW w:w="2048" w:type="pct"/>
            <w:tcBorders>
              <w:top w:val="single" w:color="000000" w:sz="4" w:space="0"/>
              <w:left w:val="single" w:color="000000" w:sz="4" w:space="0"/>
              <w:bottom w:val="single" w:color="000000" w:sz="4" w:space="0"/>
              <w:right w:val="single" w:color="000000" w:sz="4" w:space="0"/>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项目固体废物分类收集、分类处理。</w:t>
            </w: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符合相应危废处置要求和相关环保法律法规</w:t>
            </w:r>
          </w:p>
        </w:tc>
        <w:tc>
          <w:tcPr>
            <w:tcW w:w="399"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符合</w:t>
            </w:r>
          </w:p>
        </w:tc>
      </w:tr>
      <w:tr>
        <w:tblPrEx>
          <w:tblCellMar>
            <w:top w:w="0" w:type="dxa"/>
            <w:left w:w="0" w:type="dxa"/>
            <w:bottom w:w="0" w:type="dxa"/>
            <w:right w:w="0" w:type="dxa"/>
          </w:tblCellMar>
        </w:tblPrEx>
        <w:trPr>
          <w:trHeight w:val="454" w:hRule="atLeast"/>
          <w:jc w:val="center"/>
        </w:trPr>
        <w:tc>
          <w:tcPr>
            <w:tcW w:w="254"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12</w:t>
            </w:r>
          </w:p>
        </w:tc>
        <w:tc>
          <w:tcPr>
            <w:tcW w:w="2298"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（六）固体废物收集、贮存、处理处置设施和场所应按照相关标准规范和环境影响评价文件的要求采取防渗措施，并定期开展跟踪监测</w:t>
            </w:r>
          </w:p>
        </w:tc>
        <w:tc>
          <w:tcPr>
            <w:tcW w:w="2048" w:type="pct"/>
            <w:tcBorders>
              <w:top w:val="single" w:color="000000" w:sz="4" w:space="0"/>
              <w:left w:val="single" w:color="000000" w:sz="4" w:space="0"/>
              <w:bottom w:val="single" w:color="000000" w:sz="4" w:space="0"/>
              <w:right w:val="single" w:color="000000" w:sz="4" w:space="0"/>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本项目在</w:t>
            </w: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仅为试采工程，不涉及钻井、压裂施工等。</w:t>
            </w: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项目固体废物收集、贮存、处理处置设施和场所均按照相关标准规范和环境影响评价文件的要求采取防渗措施，并</w:t>
            </w: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设置了跟踪监测点，</w:t>
            </w: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定期开展跟踪监测</w:t>
            </w:r>
          </w:p>
        </w:tc>
        <w:tc>
          <w:tcPr>
            <w:tcW w:w="399"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符合</w:t>
            </w:r>
          </w:p>
        </w:tc>
      </w:tr>
      <w:tr>
        <w:tblPrEx>
          <w:tblCellMar>
            <w:top w:w="0" w:type="dxa"/>
            <w:left w:w="0" w:type="dxa"/>
            <w:bottom w:w="0" w:type="dxa"/>
            <w:right w:w="0" w:type="dxa"/>
          </w:tblCellMar>
        </w:tblPrEx>
        <w:trPr>
          <w:trHeight w:val="454" w:hRule="atLeast"/>
          <w:jc w:val="center"/>
        </w:trPr>
        <w:tc>
          <w:tcPr>
            <w:tcW w:w="5000" w:type="pct"/>
            <w:gridSpan w:val="4"/>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四、大气污染防治</w:t>
            </w:r>
          </w:p>
        </w:tc>
      </w:tr>
      <w:tr>
        <w:tblPrEx>
          <w:tblCellMar>
            <w:top w:w="0" w:type="dxa"/>
            <w:left w:w="0" w:type="dxa"/>
            <w:bottom w:w="0" w:type="dxa"/>
            <w:right w:w="0" w:type="dxa"/>
          </w:tblCellMar>
        </w:tblPrEx>
        <w:trPr>
          <w:trHeight w:val="454" w:hRule="atLeast"/>
          <w:jc w:val="center"/>
        </w:trPr>
        <w:tc>
          <w:tcPr>
            <w:tcW w:w="254"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13</w:t>
            </w:r>
          </w:p>
        </w:tc>
        <w:tc>
          <w:tcPr>
            <w:tcW w:w="2298"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（一）重视并做好油基岩屑暂存、转运和处理处置过程中异味的控制</w:t>
            </w:r>
          </w:p>
        </w:tc>
        <w:tc>
          <w:tcPr>
            <w:tcW w:w="2048" w:type="pct"/>
            <w:tcBorders>
              <w:top w:val="single" w:color="000000" w:sz="4" w:space="0"/>
              <w:left w:val="single" w:color="000000" w:sz="4" w:space="0"/>
              <w:bottom w:val="single" w:color="000000" w:sz="4" w:space="0"/>
              <w:right w:val="single" w:color="000000" w:sz="4" w:space="0"/>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本项目在</w:t>
            </w: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仅为试采工程，不涉及钻井、压裂施工等，无岩屑产生</w:t>
            </w:r>
          </w:p>
        </w:tc>
        <w:tc>
          <w:tcPr>
            <w:tcW w:w="399"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符合</w:t>
            </w:r>
          </w:p>
        </w:tc>
      </w:tr>
      <w:tr>
        <w:tblPrEx>
          <w:tblCellMar>
            <w:top w:w="0" w:type="dxa"/>
            <w:left w:w="0" w:type="dxa"/>
            <w:bottom w:w="0" w:type="dxa"/>
            <w:right w:w="0" w:type="dxa"/>
          </w:tblCellMar>
        </w:tblPrEx>
        <w:trPr>
          <w:trHeight w:val="454" w:hRule="atLeast"/>
          <w:jc w:val="center"/>
        </w:trPr>
        <w:tc>
          <w:tcPr>
            <w:tcW w:w="254"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14</w:t>
            </w:r>
          </w:p>
        </w:tc>
        <w:tc>
          <w:tcPr>
            <w:tcW w:w="2298"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（二）压裂柴油动力机组燃油废气排放应满足国家相关标准要求</w:t>
            </w:r>
          </w:p>
        </w:tc>
        <w:tc>
          <w:tcPr>
            <w:tcW w:w="2048" w:type="pct"/>
            <w:tcBorders>
              <w:top w:val="single" w:color="000000" w:sz="4" w:space="0"/>
              <w:left w:val="single" w:color="000000" w:sz="4" w:space="0"/>
              <w:bottom w:val="single" w:color="000000" w:sz="4" w:space="0"/>
              <w:right w:val="single" w:color="000000" w:sz="4" w:space="0"/>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本项目在</w:t>
            </w: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仅为试采工程，不涉及钻井、压裂施工等，无柴油动力机组</w:t>
            </w:r>
          </w:p>
        </w:tc>
        <w:tc>
          <w:tcPr>
            <w:tcW w:w="399"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符合</w:t>
            </w:r>
          </w:p>
        </w:tc>
      </w:tr>
      <w:tr>
        <w:tblPrEx>
          <w:tblCellMar>
            <w:top w:w="0" w:type="dxa"/>
            <w:left w:w="0" w:type="dxa"/>
            <w:bottom w:w="0" w:type="dxa"/>
            <w:right w:w="0" w:type="dxa"/>
          </w:tblCellMar>
        </w:tblPrEx>
        <w:trPr>
          <w:trHeight w:val="454" w:hRule="atLeast"/>
          <w:jc w:val="center"/>
        </w:trPr>
        <w:tc>
          <w:tcPr>
            <w:tcW w:w="5000" w:type="pct"/>
            <w:gridSpan w:val="4"/>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五、噪声污染防治</w:t>
            </w:r>
          </w:p>
        </w:tc>
      </w:tr>
      <w:tr>
        <w:tblPrEx>
          <w:tblCellMar>
            <w:top w:w="0" w:type="dxa"/>
            <w:left w:w="0" w:type="dxa"/>
            <w:bottom w:w="0" w:type="dxa"/>
            <w:right w:w="0" w:type="dxa"/>
          </w:tblCellMar>
        </w:tblPrEx>
        <w:trPr>
          <w:trHeight w:val="454" w:hRule="atLeast"/>
          <w:jc w:val="center"/>
        </w:trPr>
        <w:tc>
          <w:tcPr>
            <w:tcW w:w="254"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15</w:t>
            </w:r>
          </w:p>
        </w:tc>
        <w:tc>
          <w:tcPr>
            <w:tcW w:w="2298"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（一）优先使用网电，采用低噪声设备，宜在柴油发电机组上安装高效消声设备，从源头上降低噪声</w:t>
            </w:r>
          </w:p>
        </w:tc>
        <w:tc>
          <w:tcPr>
            <w:tcW w:w="2048" w:type="pct"/>
            <w:tcBorders>
              <w:top w:val="single" w:color="000000" w:sz="4" w:space="0"/>
              <w:left w:val="single" w:color="000000" w:sz="4" w:space="0"/>
              <w:bottom w:val="single" w:color="000000" w:sz="4" w:space="0"/>
              <w:right w:val="single" w:color="000000" w:sz="4" w:space="0"/>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本项目在</w:t>
            </w: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仅为试采工程，不涉及钻井、压裂施工等，不涉及钻井高噪声设备</w:t>
            </w:r>
          </w:p>
        </w:tc>
        <w:tc>
          <w:tcPr>
            <w:tcW w:w="399"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符合</w:t>
            </w:r>
          </w:p>
        </w:tc>
      </w:tr>
      <w:tr>
        <w:tblPrEx>
          <w:tblCellMar>
            <w:top w:w="0" w:type="dxa"/>
            <w:left w:w="0" w:type="dxa"/>
            <w:bottom w:w="0" w:type="dxa"/>
            <w:right w:w="0" w:type="dxa"/>
          </w:tblCellMar>
        </w:tblPrEx>
        <w:trPr>
          <w:trHeight w:val="454" w:hRule="atLeast"/>
          <w:jc w:val="center"/>
        </w:trPr>
        <w:tc>
          <w:tcPr>
            <w:tcW w:w="254"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16</w:t>
            </w:r>
          </w:p>
        </w:tc>
        <w:tc>
          <w:tcPr>
            <w:tcW w:w="2298"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二）合理安排压裂作业时间，压裂作业施工宜在昼间进行。在压裂及测试放喷阶段，针对噪声超标的居民点，应采取功能置换、设置隔声屏障、安装通风式隔声窗或临时撤离等措施，减轻和控制噪声对其的不利影响</w:t>
            </w:r>
          </w:p>
        </w:tc>
        <w:tc>
          <w:tcPr>
            <w:tcW w:w="2048" w:type="pct"/>
            <w:tcBorders>
              <w:top w:val="single" w:color="000000" w:sz="4" w:space="0"/>
              <w:left w:val="single" w:color="000000" w:sz="4" w:space="0"/>
              <w:bottom w:val="single" w:color="000000" w:sz="4" w:space="0"/>
              <w:right w:val="single" w:color="000000" w:sz="4" w:space="0"/>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本项目在</w:t>
            </w: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仅为试采工程，不涉及压裂施工等</w:t>
            </w:r>
          </w:p>
        </w:tc>
        <w:tc>
          <w:tcPr>
            <w:tcW w:w="399"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符合</w:t>
            </w:r>
          </w:p>
        </w:tc>
      </w:tr>
      <w:tr>
        <w:tblPrEx>
          <w:tblCellMar>
            <w:top w:w="0" w:type="dxa"/>
            <w:left w:w="0" w:type="dxa"/>
            <w:bottom w:w="0" w:type="dxa"/>
            <w:right w:w="0" w:type="dxa"/>
          </w:tblCellMar>
        </w:tblPrEx>
        <w:trPr>
          <w:trHeight w:val="454" w:hRule="atLeast"/>
          <w:jc w:val="center"/>
        </w:trPr>
        <w:tc>
          <w:tcPr>
            <w:tcW w:w="5000" w:type="pct"/>
            <w:gridSpan w:val="4"/>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六、环境管理与环境风险防范</w:t>
            </w:r>
          </w:p>
        </w:tc>
      </w:tr>
      <w:tr>
        <w:tblPrEx>
          <w:tblCellMar>
            <w:top w:w="0" w:type="dxa"/>
            <w:left w:w="0" w:type="dxa"/>
            <w:bottom w:w="0" w:type="dxa"/>
            <w:right w:w="0" w:type="dxa"/>
          </w:tblCellMar>
        </w:tblPrEx>
        <w:trPr>
          <w:trHeight w:val="454" w:hRule="atLeast"/>
          <w:jc w:val="center"/>
        </w:trPr>
        <w:tc>
          <w:tcPr>
            <w:tcW w:w="254"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17</w:t>
            </w:r>
          </w:p>
        </w:tc>
        <w:tc>
          <w:tcPr>
            <w:tcW w:w="2298"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（一）制定环境保护管理规章制度，建立并运行健康、安全与环境管理体系</w:t>
            </w:r>
          </w:p>
        </w:tc>
        <w:tc>
          <w:tcPr>
            <w:tcW w:w="2048" w:type="pct"/>
            <w:tcBorders>
              <w:top w:val="single" w:color="000000" w:sz="4" w:space="0"/>
              <w:left w:val="single" w:color="000000" w:sz="4" w:space="0"/>
              <w:bottom w:val="single" w:color="000000" w:sz="4" w:space="0"/>
              <w:right w:val="single" w:color="000000" w:sz="4" w:space="0"/>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建设单位</w:t>
            </w: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建立有完善的环境保护管理规章制度，建立并运行健康、安全与环境管理体系</w:t>
            </w:r>
          </w:p>
        </w:tc>
        <w:tc>
          <w:tcPr>
            <w:tcW w:w="399"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p>
        </w:tc>
      </w:tr>
      <w:tr>
        <w:tblPrEx>
          <w:tblCellMar>
            <w:top w:w="0" w:type="dxa"/>
            <w:left w:w="0" w:type="dxa"/>
            <w:bottom w:w="0" w:type="dxa"/>
            <w:right w:w="0" w:type="dxa"/>
          </w:tblCellMar>
        </w:tblPrEx>
        <w:trPr>
          <w:trHeight w:val="454" w:hRule="atLeast"/>
          <w:jc w:val="center"/>
        </w:trPr>
        <w:tc>
          <w:tcPr>
            <w:tcW w:w="254"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18</w:t>
            </w:r>
          </w:p>
        </w:tc>
        <w:tc>
          <w:tcPr>
            <w:tcW w:w="2298"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（二）委托有资质的环境监测机构跟踪监测页岩气开采区域地下水、地表水及土壤环境质量，密切监控地下水、地表水及土壤环境质量变化，确保监测数据的真实有效，并将监测结果定期上报所在地环保部门</w:t>
            </w:r>
          </w:p>
        </w:tc>
        <w:tc>
          <w:tcPr>
            <w:tcW w:w="2048" w:type="pct"/>
            <w:tcBorders>
              <w:top w:val="single" w:color="000000" w:sz="4" w:space="0"/>
              <w:left w:val="single" w:color="000000" w:sz="4" w:space="0"/>
              <w:bottom w:val="single" w:color="000000" w:sz="4" w:space="0"/>
              <w:right w:val="single" w:color="000000" w:sz="4" w:space="0"/>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项目</w:t>
            </w: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设置了监测计划</w:t>
            </w: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，后期将</w:t>
            </w: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委托有资质的环境监测机构跟踪监测页岩气开采区域地下水、地表水及土壤环境质量，密切监控地下水、地表水及土壤环境质量变化，确保监测数据的真实有效，并将监测结果定期上报所在地环保部门</w:t>
            </w:r>
          </w:p>
        </w:tc>
        <w:tc>
          <w:tcPr>
            <w:tcW w:w="399"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符合</w:t>
            </w:r>
          </w:p>
        </w:tc>
      </w:tr>
      <w:tr>
        <w:tblPrEx>
          <w:tblCellMar>
            <w:top w:w="0" w:type="dxa"/>
            <w:left w:w="0" w:type="dxa"/>
            <w:bottom w:w="0" w:type="dxa"/>
            <w:right w:w="0" w:type="dxa"/>
          </w:tblCellMar>
        </w:tblPrEx>
        <w:trPr>
          <w:trHeight w:val="454" w:hRule="atLeast"/>
          <w:jc w:val="center"/>
        </w:trPr>
        <w:tc>
          <w:tcPr>
            <w:tcW w:w="254"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19</w:t>
            </w:r>
          </w:p>
        </w:tc>
        <w:tc>
          <w:tcPr>
            <w:tcW w:w="2298"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（三）建立环境风险应急管理机制，编制环境应急预案，对可能产生的突发环境事件做到反应迅速、措施有效、应对及时，避免重大环境损害事件的发生</w:t>
            </w:r>
          </w:p>
        </w:tc>
        <w:tc>
          <w:tcPr>
            <w:tcW w:w="2048" w:type="pct"/>
            <w:tcBorders>
              <w:top w:val="single" w:color="000000" w:sz="4" w:space="0"/>
              <w:left w:val="single" w:color="000000" w:sz="4" w:space="0"/>
              <w:bottom w:val="single" w:color="000000" w:sz="4" w:space="0"/>
              <w:right w:val="single" w:color="000000" w:sz="4" w:space="0"/>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建设单位</w:t>
            </w: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建立了完善的环境风险应急管理机制</w:t>
            </w:r>
          </w:p>
        </w:tc>
        <w:tc>
          <w:tcPr>
            <w:tcW w:w="399"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符合</w:t>
            </w:r>
          </w:p>
        </w:tc>
      </w:tr>
      <w:tr>
        <w:tblPrEx>
          <w:tblCellMar>
            <w:top w:w="0" w:type="dxa"/>
            <w:left w:w="0" w:type="dxa"/>
            <w:bottom w:w="0" w:type="dxa"/>
            <w:right w:w="0" w:type="dxa"/>
          </w:tblCellMar>
        </w:tblPrEx>
        <w:trPr>
          <w:trHeight w:val="454" w:hRule="atLeast"/>
          <w:jc w:val="center"/>
        </w:trPr>
        <w:tc>
          <w:tcPr>
            <w:tcW w:w="254"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20</w:t>
            </w:r>
          </w:p>
        </w:tc>
        <w:tc>
          <w:tcPr>
            <w:tcW w:w="2298"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四）加大环境信息公开力度，按照环境信息公开相关管理办法要求，向公众宣传、解释页岩气开采可能产生的环境风险及应对措施，并依法公开环境信息；充分发挥第三方监督职能与作用，建立良好的信息沟通机制</w:t>
            </w:r>
          </w:p>
        </w:tc>
        <w:tc>
          <w:tcPr>
            <w:tcW w:w="2048" w:type="pct"/>
            <w:tcBorders>
              <w:top w:val="single" w:color="000000" w:sz="4" w:space="0"/>
              <w:left w:val="single" w:color="000000" w:sz="4" w:space="0"/>
              <w:bottom w:val="single" w:color="000000" w:sz="4" w:space="0"/>
              <w:right w:val="single" w:color="000000" w:sz="4" w:space="0"/>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建设单位建立有专门的对外信息网，后续建设单位将加</w:t>
            </w: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大环境信息公开力度，按照环境信息 公开相关管理办法要求，向公众宣传、解释页 岩气开采可能产生的环境风险及应对措施，并 依法公开环境信息；充分发挥第三方监督职能 与作用，建立良好的信息沟通机制</w:t>
            </w:r>
          </w:p>
        </w:tc>
        <w:tc>
          <w:tcPr>
            <w:tcW w:w="399"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符合</w:t>
            </w:r>
          </w:p>
        </w:tc>
      </w:tr>
      <w:tr>
        <w:tblPrEx>
          <w:tblCellMar>
            <w:top w:w="0" w:type="dxa"/>
            <w:left w:w="0" w:type="dxa"/>
            <w:bottom w:w="0" w:type="dxa"/>
            <w:right w:w="0" w:type="dxa"/>
          </w:tblCellMar>
        </w:tblPrEx>
        <w:trPr>
          <w:trHeight w:val="454" w:hRule="atLeast"/>
          <w:jc w:val="center"/>
        </w:trPr>
        <w:tc>
          <w:tcPr>
            <w:tcW w:w="254"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21</w:t>
            </w:r>
          </w:p>
        </w:tc>
        <w:tc>
          <w:tcPr>
            <w:tcW w:w="2298"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建立环境保护人员培训制度，环境监测人员、环境统计人员、污染治理设施操作人员应经培训合格后上岗</w:t>
            </w:r>
          </w:p>
        </w:tc>
        <w:tc>
          <w:tcPr>
            <w:tcW w:w="2048" w:type="pct"/>
            <w:tcBorders>
              <w:top w:val="single" w:color="000000" w:sz="4" w:space="0"/>
              <w:left w:val="single" w:color="000000" w:sz="4" w:space="0"/>
              <w:bottom w:val="single" w:color="000000" w:sz="4" w:space="0"/>
              <w:right w:val="single" w:color="000000" w:sz="4" w:space="0"/>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建设单位</w:t>
            </w: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建立</w:t>
            </w:r>
            <w:r>
              <w:rPr>
                <w:rFonts w:hint="eastAsia"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有</w:t>
            </w: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环境保护人员培训制度，环境监测人员、环境统计人员、污染治理设施操作人员 应经培训合格后上岗</w:t>
            </w:r>
          </w:p>
        </w:tc>
        <w:tc>
          <w:tcPr>
            <w:tcW w:w="399" w:type="pc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符合</w:t>
            </w:r>
          </w:p>
        </w:tc>
      </w:tr>
    </w:tbl>
    <w:p>
      <w:pPr>
        <w:pStyle w:val="2"/>
        <w:jc w:val="left"/>
        <w:rPr>
          <w:rFonts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pPr>
    </w:p>
    <w:p>
      <w:pPr>
        <w:pStyle w:val="2"/>
        <w:jc w:val="left"/>
        <w:rPr>
          <w:rFonts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pPr>
      <w:r>
        <w:rPr>
          <w:rFonts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综上所述，本项目的建设与《</w:t>
      </w:r>
      <w:r>
        <w:rPr>
          <w:rFonts w:hint="eastAsia"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四川省页岩气开采业污染防治技术政策</w:t>
      </w:r>
      <w:r>
        <w:rPr>
          <w:rFonts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》相符。</w:t>
      </w:r>
    </w:p>
    <w:p>
      <w:pPr>
        <w:pStyle w:val="5"/>
        <w:pageBreakBefore w:val="0"/>
        <w:widowControl w:val="0"/>
        <w:kinsoku/>
        <w:wordWrap/>
        <w:overflowPunct/>
        <w:topLinePunct w:val="0"/>
        <w:bidi w:val="0"/>
        <w:adjustRightInd w:val="0"/>
        <w:snapToGrid w:val="0"/>
        <w:spacing w:before="0" w:beforeLines="0"/>
        <w:ind w:left="480" w:leftChars="0" w:firstLineChars="0"/>
        <w:textAlignment w:val="auto"/>
        <w:rPr>
          <w:rFonts w:hint="default" w:cs="Times New Roman"/>
          <w:color w:val="000000" w:themeColor="text1"/>
          <w:highlight w:val="none"/>
          <w:lang w:val="en-US" w:eastAsia="zh-CN"/>
          <w14:textFill>
            <w14:solidFill>
              <w14:schemeClr w14:val="tx1"/>
            </w14:solidFill>
          </w14:textFill>
        </w:rPr>
      </w:pPr>
      <w:r>
        <w:rPr>
          <w:rFonts w:hint="default" w:cs="Times New Roman"/>
          <w:color w:val="000000" w:themeColor="text1"/>
          <w:highlight w:val="none"/>
          <w:lang w:val="en-US" w:eastAsia="zh-CN"/>
          <w14:textFill>
            <w14:solidFill>
              <w14:schemeClr w14:val="tx1"/>
            </w14:solidFill>
          </w14:textFill>
        </w:rPr>
        <w:t>与</w:t>
      </w:r>
      <w:r>
        <w:rPr>
          <w:rFonts w:hint="eastAsia" w:cs="Times New Roman"/>
          <w:color w:val="000000" w:themeColor="text1"/>
          <w:highlight w:val="none"/>
          <w:lang w:val="en-US" w:eastAsia="zh-CN"/>
          <w14:textFill>
            <w14:solidFill>
              <w14:schemeClr w14:val="tx1"/>
            </w14:solidFill>
          </w14:textFill>
        </w:rPr>
        <w:t>主体功能区及生态功能区</w:t>
      </w:r>
      <w:r>
        <w:rPr>
          <w:rFonts w:hint="default" w:cs="Times New Roman"/>
          <w:color w:val="000000" w:themeColor="text1"/>
          <w:highlight w:val="none"/>
          <w:lang w:val="en-US" w:eastAsia="zh-CN"/>
          <w14:textFill>
            <w14:solidFill>
              <w14:schemeClr w14:val="tx1"/>
            </w14:solidFill>
          </w14:textFill>
        </w:rPr>
        <w:t>符合性分析</w:t>
      </w:r>
    </w:p>
    <w:p>
      <w:pPr>
        <w:tabs>
          <w:tab w:val="left" w:pos="0"/>
        </w:tabs>
        <w:ind w:firstLine="480"/>
        <w:rPr>
          <w:rFonts w:eastAsia="黑体" w:cs="Times New Roman"/>
          <w:color w:val="000000" w:themeColor="text1"/>
          <w:highlight w:val="none"/>
          <w14:textFill>
            <w14:solidFill>
              <w14:schemeClr w14:val="tx1"/>
            </w14:solidFill>
          </w14:textFill>
        </w:rPr>
      </w:pPr>
      <w:r>
        <w:rPr>
          <w:rFonts w:eastAsia="黑体" w:cs="Times New Roman"/>
          <w:color w:val="000000" w:themeColor="text1"/>
          <w:highlight w:val="none"/>
          <w14:textFill>
            <w14:solidFill>
              <w14:schemeClr w14:val="tx1"/>
            </w14:solidFill>
          </w14:textFill>
        </w:rPr>
        <w:t>1、生态功能区划符合性分析</w:t>
      </w:r>
    </w:p>
    <w:p>
      <w:pPr>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评价区域为</w:t>
      </w:r>
      <w:r>
        <w:rPr>
          <w:rFonts w:hint="eastAsia"/>
          <w:color w:val="000000" w:themeColor="text1"/>
          <w:szCs w:val="24"/>
          <w:highlight w:val="none"/>
          <w14:textFill>
            <w14:solidFill>
              <w14:schemeClr w14:val="tx1"/>
            </w14:solidFill>
          </w14:textFill>
        </w:rPr>
        <w:t>主要为森林</w:t>
      </w:r>
      <w:r>
        <w:rPr>
          <w:color w:val="000000" w:themeColor="text1"/>
          <w:szCs w:val="24"/>
          <w:highlight w:val="none"/>
          <w14:textFill>
            <w14:solidFill>
              <w14:schemeClr w14:val="tx1"/>
            </w14:solidFill>
          </w14:textFill>
        </w:rPr>
        <w:t>生态系统</w:t>
      </w:r>
      <w:r>
        <w:rPr>
          <w:rFonts w:hint="eastAsia"/>
          <w:color w:val="000000" w:themeColor="text1"/>
          <w:szCs w:val="24"/>
          <w:highlight w:val="none"/>
          <w:lang w:eastAsia="zh-CN"/>
          <w14:textFill>
            <w14:solidFill>
              <w14:schemeClr w14:val="tx1"/>
            </w14:solidFill>
          </w14:textFill>
        </w:rPr>
        <w:t>（</w:t>
      </w:r>
      <w:r>
        <w:rPr>
          <w:rFonts w:hint="eastAsia"/>
          <w:color w:val="000000" w:themeColor="text1"/>
          <w:szCs w:val="24"/>
          <w:highlight w:val="none"/>
          <w:lang w:val="en-US" w:eastAsia="zh-CN"/>
          <w14:textFill>
            <w14:solidFill>
              <w14:schemeClr w14:val="tx1"/>
            </w14:solidFill>
          </w14:textFill>
        </w:rPr>
        <w:t>包括针叶林生态系统、阔叶林生态系统、阔叶灌草丛生态系统等），其次为耕地生态系统</w:t>
      </w:r>
      <w:r>
        <w:rPr>
          <w:rStyle w:val="48"/>
          <w:rFonts w:hint="eastAsia" w:ascii="Calibri" w:hAnsi="Calibri" w:cs="Times New Roman"/>
          <w:color w:val="000000" w:themeColor="text1"/>
          <w:kern w:val="0"/>
          <w:highlight w:val="none"/>
          <w:lang w:eastAsia="zh-CN"/>
          <w14:textFill>
            <w14:solidFill>
              <w14:schemeClr w14:val="tx1"/>
            </w14:solidFill>
          </w14:textFill>
        </w:rPr>
        <w:t>，</w:t>
      </w:r>
      <w:r>
        <w:rPr>
          <w:color w:val="000000" w:themeColor="text1"/>
          <w:szCs w:val="24"/>
          <w:highlight w:val="none"/>
          <w14:textFill>
            <w14:solidFill>
              <w14:schemeClr w14:val="tx1"/>
            </w14:solidFill>
          </w14:textFill>
        </w:rPr>
        <w:t>生态系统</w:t>
      </w:r>
      <w:r>
        <w:rPr>
          <w:rFonts w:hint="eastAsia"/>
          <w:color w:val="000000" w:themeColor="text1"/>
          <w:szCs w:val="24"/>
          <w:highlight w:val="none"/>
          <w:lang w:val="en-US" w:eastAsia="zh-CN"/>
          <w14:textFill>
            <w14:solidFill>
              <w14:schemeClr w14:val="tx1"/>
            </w14:solidFill>
          </w14:textFill>
        </w:rPr>
        <w:t>较为</w:t>
      </w:r>
      <w:r>
        <w:rPr>
          <w:color w:val="000000" w:themeColor="text1"/>
          <w:szCs w:val="24"/>
          <w:highlight w:val="none"/>
          <w14:textFill>
            <w14:solidFill>
              <w14:schemeClr w14:val="tx1"/>
            </w14:solidFill>
          </w14:textFill>
        </w:rPr>
        <w:t>单一，结构简单，环境异质性差。区域以自然生境为主，易于恢复。</w:t>
      </w:r>
    </w:p>
    <w:p>
      <w:pPr>
        <w:ind w:firstLine="480"/>
        <w:rPr>
          <w:color w:val="000000" w:themeColor="text1"/>
          <w:highlight w:val="none"/>
          <w14:textFill>
            <w14:solidFill>
              <w14:schemeClr w14:val="tx1"/>
            </w14:solidFill>
          </w14:textFill>
        </w:rPr>
      </w:pPr>
      <w:r>
        <w:rPr>
          <w:bCs/>
          <w:color w:val="000000" w:themeColor="text1"/>
          <w:szCs w:val="24"/>
          <w:highlight w:val="none"/>
          <w14:textFill>
            <w14:solidFill>
              <w14:schemeClr w14:val="tx1"/>
            </w14:solidFill>
          </w14:textFill>
        </w:rPr>
        <w:t>根据《四川省生态功能区划》，本项目位于四川盆地亚热带湿润气候生态区，属于</w:t>
      </w:r>
      <w:r>
        <w:rPr>
          <w:rFonts w:hint="eastAsia"/>
          <w:bCs/>
          <w:color w:val="000000" w:themeColor="text1"/>
          <w:szCs w:val="24"/>
          <w:highlight w:val="none"/>
          <w:lang w:eastAsia="zh-CN"/>
          <w14:textFill>
            <w14:solidFill>
              <w14:schemeClr w14:val="tx1"/>
            </w14:solidFill>
          </w14:textFill>
        </w:rPr>
        <w:t>**</w:t>
      </w:r>
      <w:r>
        <w:rPr>
          <w:bCs/>
          <w:color w:val="000000" w:themeColor="text1"/>
          <w:szCs w:val="24"/>
          <w:highlight w:val="none"/>
          <w14:textFill>
            <w14:solidFill>
              <w14:schemeClr w14:val="tx1"/>
            </w14:solidFill>
          </w14:textFill>
        </w:rPr>
        <w:t>水源涵养与土壤保持生态功能区（I-3-2），该生态功能区的主导功能是水源涵养功能，土壤保持功能</w:t>
      </w:r>
      <w:r>
        <w:rPr>
          <w:color w:val="000000" w:themeColor="text1"/>
          <w:szCs w:val="24"/>
          <w:highlight w:val="none"/>
          <w14:textFill>
            <w14:solidFill>
              <w14:schemeClr w14:val="tx1"/>
            </w14:solidFill>
          </w14:textFill>
        </w:rPr>
        <w:t>，其生态建设与发展方向为：</w:t>
      </w:r>
      <w:r>
        <w:rPr>
          <w:rFonts w:hint="eastAsia"/>
          <w:color w:val="000000" w:themeColor="text1"/>
          <w:szCs w:val="24"/>
          <w:highlight w:val="none"/>
          <w14:textFill>
            <w14:solidFill>
              <w14:schemeClr w14:val="tx1"/>
            </w14:solidFill>
          </w14:textFill>
        </w:rPr>
        <w:t>保护森林植被和生物多样性，巩固长江上游防护林建设、天然林保护和退耕还林成果。合理开发和利用自然资源，发展特色农业，绿色和有机农产品。拓展生态农业产业链，培育新的经济增长点。规范和严格管理矿产、水电、生物资源的开发，防止对生态环境和生态系统的不利影响</w:t>
      </w:r>
      <w:r>
        <w:rPr>
          <w:color w:val="000000" w:themeColor="text1"/>
          <w:szCs w:val="24"/>
          <w:highlight w:val="none"/>
          <w14:textFill>
            <w14:solidFill>
              <w14:schemeClr w14:val="tx1"/>
            </w14:solidFill>
          </w14:textFill>
        </w:rPr>
        <w:t>。拟建项目区不占用自然保护区、森林公园、地质公园和风景名胜区等环境敏感区，占地面积占区域土地面积的比例很小，严格按照水保要求采取水土流失防治措施，项目建设不会明显</w:t>
      </w:r>
      <w:r>
        <w:rPr>
          <w:rFonts w:hint="eastAsia"/>
          <w:color w:val="000000" w:themeColor="text1"/>
          <w:szCs w:val="24"/>
          <w:highlight w:val="none"/>
          <w14:textFill>
            <w14:solidFill>
              <w14:schemeClr w14:val="tx1"/>
            </w14:solidFill>
          </w14:textFill>
        </w:rPr>
        <w:t>破坏森林植被和生物多样性</w:t>
      </w:r>
      <w:r>
        <w:rPr>
          <w:color w:val="000000" w:themeColor="text1"/>
          <w:szCs w:val="24"/>
          <w:highlight w:val="none"/>
          <w14:textFill>
            <w14:solidFill>
              <w14:schemeClr w14:val="tx1"/>
            </w14:solidFill>
          </w14:textFill>
        </w:rPr>
        <w:t>，对天然林资源、动植物资源影响小，因此，项目建设对该生态功能区的生态功能影响很小，符合《四川省生态功能区划》要求。</w:t>
      </w:r>
    </w:p>
    <w:p>
      <w:pPr>
        <w:tabs>
          <w:tab w:val="left" w:pos="0"/>
        </w:tabs>
        <w:ind w:firstLine="480"/>
        <w:rPr>
          <w:rFonts w:eastAsia="黑体" w:cs="Times New Roman"/>
          <w:color w:val="000000" w:themeColor="text1"/>
          <w:highlight w:val="none"/>
          <w14:textFill>
            <w14:solidFill>
              <w14:schemeClr w14:val="tx1"/>
            </w14:solidFill>
          </w14:textFill>
        </w:rPr>
      </w:pPr>
      <w:r>
        <w:rPr>
          <w:rFonts w:eastAsia="黑体" w:cs="Times New Roman"/>
          <w:color w:val="000000" w:themeColor="text1"/>
          <w:highlight w:val="none"/>
          <w14:textFill>
            <w14:solidFill>
              <w14:schemeClr w14:val="tx1"/>
            </w14:solidFill>
          </w14:textFill>
        </w:rPr>
        <w:t>2、与四川省主体功能区规划的符合性分析</w:t>
      </w:r>
    </w:p>
    <w:p>
      <w:pPr>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（1）四川省主体功能区规划概述</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根据《四川省主体功能区规划》（川府发〔2013〕16号文）（以下简称《规划》），全省主体功能区分为以下四个大类：</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1）重点开发区域</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主要包括成都平原、川南、川东北和攀西地区19市（州）中的89个县（市、区），以及与之相连的50个点状开发城镇，该区域面积10.3万平方公里，占全省</w:t>
      </w:r>
      <w:r>
        <w:rPr>
          <w:rFonts w:hint="eastAsia"/>
          <w:color w:val="000000" w:themeColor="text1"/>
          <w:highlight w:val="none"/>
          <w:lang w:eastAsia="zh-CN"/>
          <w14:textFill>
            <w14:solidFill>
              <w14:schemeClr w14:val="tx1"/>
            </w14:solidFill>
          </w14:textFill>
        </w:rPr>
        <w:t>辖区面积</w:t>
      </w:r>
      <w:r>
        <w:rPr>
          <w:color w:val="000000" w:themeColor="text1"/>
          <w:highlight w:val="none"/>
          <w14:textFill>
            <w14:solidFill>
              <w14:schemeClr w14:val="tx1"/>
            </w14:solidFill>
          </w14:textFill>
        </w:rPr>
        <w:t>21.2%；分为国家层面重点开发区域和省级层面重点开发区域。</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该功能区是全省经济增长的重要支撑区，实施加快推进新型工业化新型城镇化的主要承载区，是全省经济和人口密集区。</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2）限制开发区域（农产品主产区）</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限制开发的农产品主产区是指具备较好的农业生产条件，以提供农产品为主体功能，以提供生态产品、服务产品和工业品为其他功能，需要在国土空间开发中限制进行大规模高强度工业化城镇化开发，以保持并提高农产品生产能力的区域。</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全省农产品主产区包括盆地中部平原浅丘区、川南低中山区和盆地东部丘陵低山区、盆地西缘山区和安宁河流域5大农产品主产区，共35个县（市），面积6.7万平方公里，扣除其中重点开发的县城镇及重点镇规划面积1750平方公里，占全省</w:t>
      </w:r>
      <w:r>
        <w:rPr>
          <w:rFonts w:hint="eastAsia"/>
          <w:color w:val="000000" w:themeColor="text1"/>
          <w:highlight w:val="none"/>
          <w:lang w:eastAsia="zh-CN"/>
          <w14:textFill>
            <w14:solidFill>
              <w14:schemeClr w14:val="tx1"/>
            </w14:solidFill>
          </w14:textFill>
        </w:rPr>
        <w:t>辖区面积</w:t>
      </w:r>
      <w:r>
        <w:rPr>
          <w:color w:val="000000" w:themeColor="text1"/>
          <w:highlight w:val="none"/>
          <w14:textFill>
            <w14:solidFill>
              <w14:schemeClr w14:val="tx1"/>
            </w14:solidFill>
          </w14:textFill>
        </w:rPr>
        <w:t>13.4%。</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该功能区是国家优质商品猪战略保障基地，现代农业示范区，现代林业产业基地，优势特色农产品加工业发展的重点区域，农民安居乐业的美好家园。区域应着力保护耕地，加强农业基础设施建设，稳定粮食生产，发展现代农业，增强农业综合生产能力，保障全省主要农产品有效供给，增加农民收入，加快社会主义新农村建设。</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3）限制开发区域（重点生态功能区）</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限制开发的重点生态功能区是指生态系统十分重要，关系较大范围区域的生态安全，目前生态系统有所退化，需要在国土空间开发中限制进行大规模高强度工业化城镇化开发，以保持并提高生态产品供给能力的区域。</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重点生态功能区共57个县（市），总面积31.8万平方公里，扣除其中省级重点生态功能区中重点开发的县城镇及重点镇规划面积，占全省</w:t>
      </w:r>
      <w:r>
        <w:rPr>
          <w:rFonts w:hint="eastAsia"/>
          <w:color w:val="000000" w:themeColor="text1"/>
          <w:highlight w:val="none"/>
          <w:lang w:eastAsia="zh-CN"/>
          <w14:textFill>
            <w14:solidFill>
              <w14:schemeClr w14:val="tx1"/>
            </w14:solidFill>
          </w14:textFill>
        </w:rPr>
        <w:t>辖区面积</w:t>
      </w:r>
      <w:r>
        <w:rPr>
          <w:color w:val="000000" w:themeColor="text1"/>
          <w:highlight w:val="none"/>
          <w14:textFill>
            <w14:solidFill>
              <w14:schemeClr w14:val="tx1"/>
            </w14:solidFill>
          </w14:textFill>
        </w:rPr>
        <w:t>65.4%；分为国家层面的重点生态功能区和省级层面的重点生态功能区。</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国家青藏高原生态屏障和长江上游生态屏障的重要组成部分，国家重要的水源涵养、水土保持与生物多样性保护区域，全省提供生态产品的主体区域与生态财富富集区，保障国家生态安全的重要区域，生态文明建设、人与自然和谐相处的示范区。</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4）禁止开发区域</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禁止开发区域是指依法设立的各级各类自然文化资源保护区域，以及其他禁止进行工业化城镇化开发、需要特殊保护的重点生态功能区。主要包括国家级自然保护区、世界文化自然遗产、国家级风景名胜区、国家森林公园、国家重要湿地、国家湿地公园和国家地质公园；省级及以下各级各类自然文化资源保护区域、重要饮用水水源地以及其他省级人民政府根据需要确定的禁止开发区域。</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该区域是四川省自然文化资源的重要区域，森林、湿地生态、生物多样性和珍稀动植物基因资源保护地，重要水土保持区域与重要饮用水水源保护地。</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禁止开发区域要严格控制人为因素对自然生态的干扰，严禁不符合主体功能区定位的开发活动，引导人口逐步有序转移，实现污染物“零排放”，提高环境质量，提高可持续发展能力。自然保护区、文化自然遗产、风景名胜区、森林公园、湿地公园、地质公园，要逐步达到各类区域规定执行标准。</w:t>
      </w:r>
    </w:p>
    <w:p>
      <w:pPr>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（2）与四川省主体功能区规划的符合性分析</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四川省人民政府关于印发四川省主体功能区规划的通知》（川府发〔2013〕16号），本项目所在地属限制开发区域（农产品主产区），不属于重点生态功能区，该地区无国家级自然保护区、世界文化遗产、国家风景名胜区、国家森林公园和国家地质公园。项目不在禁止开发区，不在重点保护区内，符合《四川省主体功能区规划》要求。</w:t>
      </w:r>
    </w:p>
    <w:tbl>
      <w:tblPr>
        <w:tblStyle w:val="41"/>
        <w:tblW w:w="0" w:type="auto"/>
        <w:tblInd w:w="0" w:type="dxa"/>
        <w:tblLayout w:type="autofit"/>
        <w:tblCellMar>
          <w:top w:w="0" w:type="dxa"/>
          <w:left w:w="108" w:type="dxa"/>
          <w:bottom w:w="0" w:type="dxa"/>
          <w:right w:w="108" w:type="dxa"/>
        </w:tblCellMar>
      </w:tblPr>
      <w:tblGrid>
        <w:gridCol w:w="8306"/>
      </w:tblGrid>
      <w:tr>
        <w:tblPrEx>
          <w:tblCellMar>
            <w:top w:w="0" w:type="dxa"/>
            <w:left w:w="108" w:type="dxa"/>
            <w:bottom w:w="0" w:type="dxa"/>
            <w:right w:w="108" w:type="dxa"/>
          </w:tblCellMar>
        </w:tblPrEx>
        <w:trPr>
          <w:trHeight w:val="5663" w:hRule="atLeast"/>
        </w:trPr>
        <w:tc>
          <w:tcPr>
            <w:tcW w:w="8306" w:type="dxa"/>
            <w:shd w:val="clear" w:color="auto" w:fill="auto"/>
          </w:tcPr>
          <w:p>
            <w:pPr>
              <w:pStyle w:val="76"/>
              <w:spacing w:line="240" w:lineRule="auto"/>
              <w:jc w:val="both"/>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711488" behindDoc="0" locked="0" layoutInCell="1" allowOverlap="1">
                      <wp:simplePos x="0" y="0"/>
                      <wp:positionH relativeFrom="column">
                        <wp:posOffset>3439160</wp:posOffset>
                      </wp:positionH>
                      <wp:positionV relativeFrom="paragraph">
                        <wp:posOffset>945515</wp:posOffset>
                      </wp:positionV>
                      <wp:extent cx="727710" cy="292100"/>
                      <wp:effectExtent l="4445" t="4445" r="17145" b="8255"/>
                      <wp:wrapNone/>
                      <wp:docPr id="793856168" name="文本框 3"/>
                      <wp:cNvGraphicFramePr/>
                      <a:graphic xmlns:a="http://schemas.openxmlformats.org/drawingml/2006/main">
                        <a:graphicData uri="http://schemas.microsoft.com/office/word/2010/wordprocessingShape">
                          <wps:wsp>
                            <wps:cNvSpPr txBox="1">
                              <a:spLocks noChangeArrowheads="1"/>
                            </wps:cNvSpPr>
                            <wps:spPr bwMode="auto">
                              <a:xfrm>
                                <a:off x="0" y="0"/>
                                <a:ext cx="727710" cy="292100"/>
                              </a:xfrm>
                              <a:prstGeom prst="rect">
                                <a:avLst/>
                              </a:prstGeom>
                              <a:solidFill>
                                <a:srgbClr val="FFFFFF"/>
                              </a:solidFill>
                              <a:ln w="9525">
                                <a:solidFill>
                                  <a:srgbClr val="000000"/>
                                </a:solidFill>
                                <a:miter lim="800000"/>
                              </a:ln>
                            </wps:spPr>
                            <wps:txbx>
                              <w:txbxContent>
                                <w:p>
                                  <w:pPr>
                                    <w:ind w:firstLine="0" w:firstLineChars="0"/>
                                  </w:pPr>
                                  <w:r>
                                    <w:rPr>
                                      <w:rFonts w:hint="eastAsia"/>
                                    </w:rPr>
                                    <w:t>本项目</w:t>
                                  </w:r>
                                </w:p>
                              </w:txbxContent>
                            </wps:txbx>
                            <wps:bodyPr rot="0" vert="horz" wrap="square" lIns="91440" tIns="45720" rIns="91440" bIns="45720" anchor="t" anchorCtr="0" upright="1">
                              <a:noAutofit/>
                            </wps:bodyPr>
                          </wps:wsp>
                        </a:graphicData>
                      </a:graphic>
                    </wp:anchor>
                  </w:drawing>
                </mc:Choice>
                <mc:Fallback>
                  <w:pict>
                    <v:shape id="文本框 3" o:spid="_x0000_s1026" o:spt="202" type="#_x0000_t202" style="position:absolute;left:0pt;margin-left:270.8pt;margin-top:74.45pt;height:23pt;width:57.3pt;z-index:251711488;mso-width-relative:page;mso-height-relative:page;" fillcolor="#FFFFFF" filled="t" stroked="t" coordsize="21600,21600" o:gfxdata="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lInFe9oAAAALAQAADwAAAAAAAAAB&#10;ACAAAAAiAAAAZHJzL2Rvd25yZXYueG1sUEsBAhQAFAAAAAgAh07iQDDcPotHAgAAjgQAAA4AAAAA&#10;AAAAAQAgAAAAKQEAAGRycy9lMm9Eb2MueG1sUEsFBgAAAAAGAAYAWQEAAOIFAAAAAA==&#10;">
                      <v:fill on="t" focussize="0,0"/>
                      <v:stroke color="#000000" miterlimit="8" joinstyle="miter"/>
                      <v:imagedata o:title=""/>
                      <o:lock v:ext="edit" aspectratio="f"/>
                      <v:textbox>
                        <w:txbxContent>
                          <w:p>
                            <w:pPr>
                              <w:ind w:firstLine="0" w:firstLineChars="0"/>
                            </w:pPr>
                            <w:r>
                              <w:rPr>
                                <w:rFonts w:hint="eastAsia"/>
                              </w:rPr>
                              <w:t>本项目</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10464" behindDoc="0" locked="0" layoutInCell="1" allowOverlap="1">
                      <wp:simplePos x="0" y="0"/>
                      <wp:positionH relativeFrom="column">
                        <wp:posOffset>4165600</wp:posOffset>
                      </wp:positionH>
                      <wp:positionV relativeFrom="paragraph">
                        <wp:posOffset>1095375</wp:posOffset>
                      </wp:positionV>
                      <wp:extent cx="277495" cy="306070"/>
                      <wp:effectExtent l="3810" t="3175" r="10795" b="8255"/>
                      <wp:wrapNone/>
                      <wp:docPr id="917533131" name="直接箭头连接符 4"/>
                      <wp:cNvGraphicFramePr/>
                      <a:graphic xmlns:a="http://schemas.openxmlformats.org/drawingml/2006/main">
                        <a:graphicData uri="http://schemas.microsoft.com/office/word/2010/wordprocessingShape">
                          <wps:wsp>
                            <wps:cNvCnPr>
                              <a:cxnSpLocks noChangeShapeType="1"/>
                            </wps:cNvCnPr>
                            <wps:spPr bwMode="auto">
                              <a:xfrm>
                                <a:off x="0" y="0"/>
                                <a:ext cx="277728" cy="306121"/>
                              </a:xfrm>
                              <a:prstGeom prst="straightConnector1">
                                <a:avLst/>
                              </a:prstGeom>
                              <a:noFill/>
                              <a:ln w="9525">
                                <a:solidFill>
                                  <a:srgbClr val="000000"/>
                                </a:solidFill>
                                <a:round/>
                                <a:tailEnd type="triangle" w="med" len="med"/>
                              </a:ln>
                            </wps:spPr>
                            <wps:bodyPr/>
                          </wps:wsp>
                        </a:graphicData>
                      </a:graphic>
                    </wp:anchor>
                  </w:drawing>
                </mc:Choice>
                <mc:Fallback>
                  <w:pict>
                    <v:shape id="直接箭头连接符 4" o:spid="_x0000_s1026" o:spt="32" type="#_x0000_t32" style="position:absolute;left:0pt;margin-left:328pt;margin-top:86.25pt;height:24.1pt;width:21.85pt;z-index:251710464;mso-width-relative:page;mso-height-relative:page;" filled="f" stroked="t" coordsize="21600,21600" o:gfxdata="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CTAT0XbAAAA&#10;CwEAAA8AAAAAAAAAAQAgAAAAIgAAAGRycy9kb3ducmV2LnhtbFBLAQIUABQAAAAIAIdO4kBdkQXm&#10;GgIAAPgDAAAOAAAAAAAAAAEAIAAAACoBAABkcnMvZTJvRG9jLnhtbFBLBQYAAAAABgAGAFkBAAC2&#10;BQAAAAA=&#10;">
                      <v:fill on="f" focussize="0,0"/>
                      <v:stroke color="#000000" joinstyle="round" endarrow="block"/>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09440" behindDoc="0" locked="0" layoutInCell="1" allowOverlap="1">
                      <wp:simplePos x="0" y="0"/>
                      <wp:positionH relativeFrom="column">
                        <wp:posOffset>4395470</wp:posOffset>
                      </wp:positionH>
                      <wp:positionV relativeFrom="paragraph">
                        <wp:posOffset>1355090</wp:posOffset>
                      </wp:positionV>
                      <wp:extent cx="147320" cy="158750"/>
                      <wp:effectExtent l="20955" t="24130" r="22225" b="33020"/>
                      <wp:wrapNone/>
                      <wp:docPr id="1654838072" name="星形: 四角 2"/>
                      <wp:cNvGraphicFramePr/>
                      <a:graphic xmlns:a="http://schemas.openxmlformats.org/drawingml/2006/main">
                        <a:graphicData uri="http://schemas.microsoft.com/office/word/2010/wordprocessingShape">
                          <wps:wsp>
                            <wps:cNvSpPr>
                              <a:spLocks noChangeArrowheads="1"/>
                            </wps:cNvSpPr>
                            <wps:spPr bwMode="auto">
                              <a:xfrm>
                                <a:off x="0" y="0"/>
                                <a:ext cx="147320" cy="158750"/>
                              </a:xfrm>
                              <a:prstGeom prst="star4">
                                <a:avLst>
                                  <a:gd name="adj" fmla="val 12500"/>
                                </a:avLst>
                              </a:prstGeom>
                              <a:solidFill>
                                <a:srgbClr val="FFFFFF"/>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shape id="星形: 四角 2" o:spid="_x0000_s1026" o:spt="187" type="#_x0000_t187" style="position:absolute;left:0pt;margin-left:346.1pt;margin-top:106.7pt;height:12.5pt;width:11.6pt;z-index:251709440;mso-width-relative:page;mso-height-relative:page;" fillcolor="#FFFFFF" filled="t" stroked="t" coordsize="21600,21600" o:gfxdata="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I+2&#10;VtXbAAAACwEAAA8AAAAAAAAAAQAgAAAAIgAAAGRycy9kb3ducmV2LnhtbFBLAQIUABQAAAAIAIdO&#10;4kB9Wei2WQIAAKwEAAAOAAAAAAAAAAEAIAAAACoBAABkcnMvZTJvRG9jLnhtbFBLBQYAAAAABgAG&#10;AFkBAAD1BQAAAAA=&#10;" adj="8100">
                      <v:fill on="t" focussize="0,0"/>
                      <v:stroke color="#000000" miterlimit="8" joinstyle="miter"/>
                      <v:imagedata o:title=""/>
                      <o:lock v:ext="edit" aspectratio="f"/>
                    </v:shape>
                  </w:pict>
                </mc:Fallback>
              </mc:AlternateContent>
            </w:r>
            <w:r>
              <w:rPr>
                <w:color w:val="000000" w:themeColor="text1"/>
                <w:highlight w:val="none"/>
                <w14:textFill>
                  <w14:solidFill>
                    <w14:schemeClr w14:val="tx1"/>
                  </w14:solidFill>
                </w14:textFill>
              </w:rPr>
              <w:drawing>
                <wp:anchor distT="0" distB="0" distL="114300" distR="114300" simplePos="0" relativeHeight="251708416" behindDoc="0" locked="0" layoutInCell="1" allowOverlap="1">
                  <wp:simplePos x="0" y="0"/>
                  <wp:positionH relativeFrom="column">
                    <wp:posOffset>343535</wp:posOffset>
                  </wp:positionH>
                  <wp:positionV relativeFrom="paragraph">
                    <wp:posOffset>44450</wp:posOffset>
                  </wp:positionV>
                  <wp:extent cx="4750435" cy="3524250"/>
                  <wp:effectExtent l="0" t="0" r="12065" b="6350"/>
                  <wp:wrapTopAndBottom/>
                  <wp:docPr id="435197355" name="图片 1"/>
                  <wp:cNvGraphicFramePr/>
                  <a:graphic xmlns:a="http://schemas.openxmlformats.org/drawingml/2006/main">
                    <a:graphicData uri="http://schemas.openxmlformats.org/drawingml/2006/picture">
                      <pic:pic xmlns:pic="http://schemas.openxmlformats.org/drawingml/2006/picture">
                        <pic:nvPicPr>
                          <pic:cNvPr id="435197355" name="图片 1"/>
                          <pic:cNvPicPr>
                            <a:picLocks noChangeArrowheads="1"/>
                          </pic:cNvPicPr>
                        </pic:nvPicPr>
                        <pic:blipFill>
                          <a:blip r:embed="rId24" cstate="print">
                            <a:extLst>
                              <a:ext uri="{28A0092B-C50C-407E-A947-70E740481C1C}">
                                <a14:useLocalDpi xmlns:a14="http://schemas.microsoft.com/office/drawing/2010/main" val="0"/>
                              </a:ext>
                            </a:extLst>
                          </a:blip>
                          <a:srcRect l="14778" r="13237"/>
                          <a:stretch>
                            <a:fillRect/>
                          </a:stretch>
                        </pic:blipFill>
                        <pic:spPr>
                          <a:xfrm>
                            <a:off x="0" y="0"/>
                            <a:ext cx="4750435" cy="3524250"/>
                          </a:xfrm>
                          <a:prstGeom prst="rect">
                            <a:avLst/>
                          </a:prstGeom>
                          <a:noFill/>
                          <a:ln>
                            <a:noFill/>
                          </a:ln>
                        </pic:spPr>
                      </pic:pic>
                    </a:graphicData>
                  </a:graphic>
                </wp:anchor>
              </w:drawing>
            </w:r>
          </w:p>
        </w:tc>
      </w:tr>
      <w:tr>
        <w:tblPrEx>
          <w:tblCellMar>
            <w:top w:w="0" w:type="dxa"/>
            <w:left w:w="108" w:type="dxa"/>
            <w:bottom w:w="0" w:type="dxa"/>
            <w:right w:w="108" w:type="dxa"/>
          </w:tblCellMar>
        </w:tblPrEx>
        <w:tc>
          <w:tcPr>
            <w:tcW w:w="8306" w:type="dxa"/>
            <w:shd w:val="clear" w:color="auto" w:fill="auto"/>
          </w:tcPr>
          <w:p>
            <w:pPr>
              <w:pStyle w:val="76"/>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图2.7-1本项目与四川省主体功能区划位置关系图</w:t>
            </w:r>
          </w:p>
        </w:tc>
      </w:tr>
    </w:tbl>
    <w:p>
      <w:pPr>
        <w:pStyle w:val="2"/>
        <w:jc w:val="left"/>
        <w:rPr>
          <w:rFonts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pPr>
    </w:p>
    <w:p>
      <w:pPr>
        <w:pStyle w:val="5"/>
        <w:pageBreakBefore w:val="0"/>
        <w:widowControl w:val="0"/>
        <w:kinsoku/>
        <w:wordWrap/>
        <w:overflowPunct/>
        <w:topLinePunct w:val="0"/>
        <w:bidi w:val="0"/>
        <w:adjustRightInd w:val="0"/>
        <w:snapToGrid w:val="0"/>
        <w:spacing w:before="0" w:beforeLines="0"/>
        <w:ind w:left="480" w:leftChars="0" w:firstLineChars="0"/>
        <w:textAlignment w:val="auto"/>
        <w:rPr>
          <w:rFonts w:hint="default" w:cs="Times New Roman"/>
          <w:color w:val="000000" w:themeColor="text1"/>
          <w:highlight w:val="none"/>
          <w:lang w:val="en-US" w:eastAsia="zh-CN"/>
          <w14:textFill>
            <w14:solidFill>
              <w14:schemeClr w14:val="tx1"/>
            </w14:solidFill>
          </w14:textFill>
        </w:rPr>
      </w:pPr>
      <w:r>
        <w:rPr>
          <w:rFonts w:hint="default" w:cs="Times New Roman"/>
          <w:color w:val="000000" w:themeColor="text1"/>
          <w:highlight w:val="none"/>
          <w:lang w:val="en-US" w:eastAsia="zh-CN"/>
          <w14:textFill>
            <w14:solidFill>
              <w14:schemeClr w14:val="tx1"/>
            </w14:solidFill>
          </w14:textFill>
        </w:rPr>
        <w:t>与</w:t>
      </w:r>
      <w:r>
        <w:rPr>
          <w:rFonts w:hint="eastAsia" w:cs="Times New Roman"/>
          <w:color w:val="000000" w:themeColor="text1"/>
          <w:highlight w:val="none"/>
          <w:lang w:val="en-US" w:eastAsia="zh-CN"/>
          <w14:textFill>
            <w14:solidFill>
              <w14:schemeClr w14:val="tx1"/>
            </w14:solidFill>
          </w14:textFill>
        </w:rPr>
        <w:t>社会经济及能源规划</w:t>
      </w:r>
      <w:r>
        <w:rPr>
          <w:rFonts w:hint="default" w:cs="Times New Roman"/>
          <w:color w:val="000000" w:themeColor="text1"/>
          <w:highlight w:val="none"/>
          <w:lang w:val="en-US" w:eastAsia="zh-CN"/>
          <w14:textFill>
            <w14:solidFill>
              <w14:schemeClr w14:val="tx1"/>
            </w14:solidFill>
          </w14:textFill>
        </w:rPr>
        <w:t>符合性分析</w:t>
      </w:r>
    </w:p>
    <w:p>
      <w:pPr>
        <w:pStyle w:val="6"/>
        <w:keepNext/>
        <w:keepLines/>
        <w:pageBreakBefore w:val="0"/>
        <w:widowControl w:val="0"/>
        <w:kinsoku/>
        <w:wordWrap/>
        <w:overflowPunct/>
        <w:topLinePunct w:val="0"/>
        <w:autoSpaceDE/>
        <w:autoSpaceDN/>
        <w:bidi w:val="0"/>
        <w:adjustRightInd w:val="0"/>
        <w:snapToGrid w:val="0"/>
        <w:spacing w:before="0" w:beforeLines="0"/>
        <w:textAlignment w:val="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与《达州市国民经济和社会发展第十四个五年规划和二〇三五年远景目标纲要》的符合性分析</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《达州市国民经济和社会发展第十四个五年规划和二〇三五年远景目标纲要》中，强调要打造中国“气大庆”，实施中国“气大庆”建设行动，加强天然气产供储销体系建设，</w:t>
      </w:r>
      <w:r>
        <w:rPr>
          <w:rFonts w:cs="Times New Roman"/>
          <w:b/>
          <w:bCs/>
          <w:color w:val="000000" w:themeColor="text1"/>
          <w:highlight w:val="none"/>
          <w14:textFill>
            <w14:solidFill>
              <w14:schemeClr w14:val="tx1"/>
            </w14:solidFill>
          </w14:textFill>
        </w:rPr>
        <w:t>建成全国最大天然气（页岩气）生产基地</w:t>
      </w:r>
      <w:r>
        <w:rPr>
          <w:rFonts w:cs="Times New Roman"/>
          <w:color w:val="000000" w:themeColor="text1"/>
          <w:highlight w:val="none"/>
          <w14:textFill>
            <w14:solidFill>
              <w14:schemeClr w14:val="tx1"/>
            </w14:solidFill>
          </w14:textFill>
        </w:rPr>
        <w:t>，天然气年产量力争达到630亿推进中国“气大庆”建设。对接国有油气企业混合所有制改革，探索央（企）地资源开发利益共享共赢发展模式。</w:t>
      </w:r>
      <w:r>
        <w:rPr>
          <w:rFonts w:cs="Times New Roman"/>
          <w:b/>
          <w:bCs/>
          <w:color w:val="000000" w:themeColor="text1"/>
          <w:highlight w:val="none"/>
          <w14:textFill>
            <w14:solidFill>
              <w14:schemeClr w14:val="tx1"/>
            </w14:solidFill>
          </w14:textFill>
        </w:rPr>
        <w:t>加大勘探开发力度，重点实施中石油川东北高含硫天然气开发项目（二期）、达州致密气勘探开发项目等天然气开发项目，统筹加强中石化普光气田新井和中石油其他区块产能建设，服务国家能源战略、保障天然气供应安全</w:t>
      </w:r>
      <w:r>
        <w:rPr>
          <w:rFonts w:cs="Times New Roman"/>
          <w:color w:val="000000" w:themeColor="text1"/>
          <w:highlight w:val="none"/>
          <w14:textFill>
            <w14:solidFill>
              <w14:schemeClr w14:val="tx1"/>
            </w14:solidFill>
          </w14:textFill>
        </w:rPr>
        <w:t>。全面规范提升天然气供应水平，完善天然气管网公平接入机制，推进市域输气管网与国家干网的互联互通，不断扩大天然气“直供”范围。努力提升天然气综合利用水平，因地制宜发展天然气分布式能源，支持建设四川省天然气调峰发电基地，建设川投气电清洁能源发电项目。有序发展天然气（LNG）车船，加快清洁汽车、船舶推广及加气（注）站建设步伐，提高LNG在长途公共交通、货运物流、内河船舶燃料中的比重，大力提升城市公共交通清洁能源（含新能源）使用率。</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本项目属于中石化普光气田新井钻井与试采发项目，因此本项目符合达州市国民经济和社会发展规划纲要。</w:t>
      </w:r>
    </w:p>
    <w:p>
      <w:pPr>
        <w:pStyle w:val="6"/>
        <w:keepNext/>
        <w:keepLines/>
        <w:pageBreakBefore w:val="0"/>
        <w:widowControl w:val="0"/>
        <w:kinsoku/>
        <w:wordWrap/>
        <w:overflowPunct/>
        <w:topLinePunct w:val="0"/>
        <w:autoSpaceDE/>
        <w:autoSpaceDN/>
        <w:bidi w:val="0"/>
        <w:adjustRightInd w:val="0"/>
        <w:snapToGrid w:val="0"/>
        <w:spacing w:before="0" w:beforeLines="0"/>
        <w:textAlignment w:val="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与能源发展规划符合性分析</w:t>
      </w:r>
    </w:p>
    <w:p>
      <w:pPr>
        <w:autoSpaceDE w:val="0"/>
        <w:autoSpaceDN w:val="0"/>
        <w:spacing w:line="360" w:lineRule="auto"/>
        <w:ind w:firstLine="482" w:firstLineChars="200"/>
        <w:rPr>
          <w:rFonts w:ascii="Times New Roman" w:hAnsi="Times New Roman"/>
          <w:b/>
          <w:bCs/>
          <w:color w:val="000000" w:themeColor="text1"/>
          <w:sz w:val="24"/>
          <w:highlight w:val="none"/>
          <w:lang w:eastAsia="zh-CN"/>
          <w14:textFill>
            <w14:solidFill>
              <w14:schemeClr w14:val="tx1"/>
            </w14:solidFill>
          </w14:textFill>
        </w:rPr>
      </w:pPr>
      <w:r>
        <w:rPr>
          <w:rFonts w:ascii="Times New Roman" w:hAnsi="Times New Roman"/>
          <w:b/>
          <w:bCs/>
          <w:color w:val="000000" w:themeColor="text1"/>
          <w:sz w:val="24"/>
          <w:highlight w:val="none"/>
          <w:lang w:eastAsia="zh-CN"/>
          <w14:textFill>
            <w14:solidFill>
              <w14:schemeClr w14:val="tx1"/>
            </w14:solidFill>
          </w14:textFill>
        </w:rPr>
        <w:t>（1）与《</w:t>
      </w:r>
      <w:bookmarkStart w:id="94" w:name="_Hlk140914417"/>
      <w:r>
        <w:rPr>
          <w:rFonts w:hint="eastAsia" w:ascii="宋体" w:hAnsi="宋体" w:eastAsia="宋体" w:cs="宋体"/>
          <w:b/>
          <w:bCs/>
          <w:color w:val="000000" w:themeColor="text1"/>
          <w:sz w:val="24"/>
          <w:highlight w:val="none"/>
          <w:lang w:eastAsia="zh-CN"/>
          <w14:textFill>
            <w14:solidFill>
              <w14:schemeClr w14:val="tx1"/>
            </w14:solidFill>
          </w14:textFill>
        </w:rPr>
        <w:t>“十四五”</w:t>
      </w:r>
      <w:r>
        <w:rPr>
          <w:rFonts w:ascii="Times New Roman" w:hAnsi="Times New Roman"/>
          <w:b/>
          <w:bCs/>
          <w:color w:val="000000" w:themeColor="text1"/>
          <w:sz w:val="24"/>
          <w:highlight w:val="none"/>
          <w:lang w:eastAsia="zh-CN"/>
          <w14:textFill>
            <w14:solidFill>
              <w14:schemeClr w14:val="tx1"/>
            </w14:solidFill>
          </w14:textFill>
        </w:rPr>
        <w:t>现代能源体系规划</w:t>
      </w:r>
      <w:bookmarkEnd w:id="94"/>
      <w:r>
        <w:rPr>
          <w:rFonts w:ascii="Times New Roman" w:hAnsi="Times New Roman"/>
          <w:b/>
          <w:bCs/>
          <w:color w:val="000000" w:themeColor="text1"/>
          <w:sz w:val="24"/>
          <w:highlight w:val="none"/>
          <w:lang w:eastAsia="zh-CN"/>
          <w14:textFill>
            <w14:solidFill>
              <w14:schemeClr w14:val="tx1"/>
            </w14:solidFill>
          </w14:textFill>
        </w:rPr>
        <w:t>》符合性分析</w:t>
      </w:r>
    </w:p>
    <w:p>
      <w:pPr>
        <w:autoSpaceDE w:val="0"/>
        <w:autoSpaceDN w:val="0"/>
        <w:spacing w:line="360" w:lineRule="auto"/>
        <w:ind w:firstLine="480" w:firstLineChars="200"/>
        <w:rPr>
          <w:rFonts w:ascii="Times New Roman" w:hAnsi="Times New Roman"/>
          <w:color w:val="000000" w:themeColor="text1"/>
          <w:sz w:val="24"/>
          <w:highlight w:val="none"/>
          <w:lang w:eastAsia="zh-CN"/>
          <w14:textFill>
            <w14:solidFill>
              <w14:schemeClr w14:val="tx1"/>
            </w14:solidFill>
          </w14:textFill>
        </w:rPr>
      </w:pPr>
      <w:r>
        <w:rPr>
          <w:rFonts w:ascii="Times New Roman" w:hAnsi="Times New Roman"/>
          <w:color w:val="000000" w:themeColor="text1"/>
          <w:sz w:val="24"/>
          <w:highlight w:val="none"/>
          <w:lang w:eastAsia="zh-CN"/>
          <w14:textFill>
            <w14:solidFill>
              <w14:schemeClr w14:val="tx1"/>
            </w14:solidFill>
          </w14:textFill>
        </w:rPr>
        <w:t>根据国家发展改革委 国家能源局于2022年印发的《</w:t>
      </w:r>
      <w:r>
        <w:rPr>
          <w:rFonts w:hint="eastAsia" w:ascii="宋体" w:hAnsi="宋体" w:eastAsia="宋体" w:cs="宋体"/>
          <w:color w:val="000000" w:themeColor="text1"/>
          <w:sz w:val="24"/>
          <w:highlight w:val="none"/>
          <w:lang w:eastAsia="zh-CN"/>
          <w14:textFill>
            <w14:solidFill>
              <w14:schemeClr w14:val="tx1"/>
            </w14:solidFill>
          </w14:textFill>
        </w:rPr>
        <w:t>“十四五”</w:t>
      </w:r>
      <w:r>
        <w:rPr>
          <w:rFonts w:ascii="Times New Roman" w:hAnsi="Times New Roman"/>
          <w:color w:val="000000" w:themeColor="text1"/>
          <w:sz w:val="24"/>
          <w:highlight w:val="none"/>
          <w:lang w:eastAsia="zh-CN"/>
          <w14:textFill>
            <w14:solidFill>
              <w14:schemeClr w14:val="tx1"/>
            </w14:solidFill>
          </w14:textFill>
        </w:rPr>
        <w:t>现代能源体系规划》（发改能源〔2022〕210号）：油气勘探开发。立足</w:t>
      </w:r>
      <w:r>
        <w:rPr>
          <w:rFonts w:ascii="Times New Roman" w:hAnsi="Times New Roman"/>
          <w:b/>
          <w:bCs/>
          <w:color w:val="000000" w:themeColor="text1"/>
          <w:sz w:val="24"/>
          <w:highlight w:val="none"/>
          <w:lang w:eastAsia="zh-CN"/>
          <w14:textFill>
            <w14:solidFill>
              <w14:schemeClr w14:val="tx1"/>
            </w14:solidFill>
          </w14:textFill>
        </w:rPr>
        <w:t>四川盆地</w:t>
      </w:r>
      <w:r>
        <w:rPr>
          <w:rFonts w:ascii="Times New Roman" w:hAnsi="Times New Roman"/>
          <w:color w:val="000000" w:themeColor="text1"/>
          <w:sz w:val="24"/>
          <w:highlight w:val="none"/>
          <w:lang w:eastAsia="zh-CN"/>
          <w14:textFill>
            <w14:solidFill>
              <w14:schemeClr w14:val="tx1"/>
            </w14:solidFill>
          </w14:textFill>
        </w:rPr>
        <w:t>、塔里木盆地、鄂尔多斯盆地、准噶尔盆地、松辽盆地、渤海湾盆地、柴达木盆地等重点盆地，加强中西部地区和海域风险勘探，强化东部老区精细勘探。推动准噶尔盆地玛湖、吉木萨尔页岩油，鄂尔多斯盆地页岩油、致密气，松辽盆地大庆古龙页岩油，四川盆地川中古隆起、川南页岩气，塔里木盆地顺北、富满、博孜—大北，鄂西、陕南、滇黔北页岩气，海域渤中、垦利、恩平等油气上产工程。加快推进四川盆地“气大庆”、塔里木盆地</w:t>
      </w:r>
      <w:r>
        <w:rPr>
          <w:rFonts w:hint="eastAsia" w:ascii="宋体" w:hAnsi="宋体" w:eastAsia="宋体" w:cs="宋体"/>
          <w:color w:val="000000" w:themeColor="text1"/>
          <w:sz w:val="24"/>
          <w:highlight w:val="none"/>
          <w:lang w:eastAsia="zh-CN"/>
          <w14:textFill>
            <w14:solidFill>
              <w14:schemeClr w14:val="tx1"/>
            </w14:solidFill>
          </w14:textFill>
        </w:rPr>
        <w:t>“深层油气大庆”</w:t>
      </w:r>
      <w:r>
        <w:rPr>
          <w:rFonts w:ascii="Times New Roman" w:hAnsi="Times New Roman"/>
          <w:color w:val="000000" w:themeColor="text1"/>
          <w:sz w:val="24"/>
          <w:highlight w:val="none"/>
          <w:lang w:eastAsia="zh-CN"/>
          <w14:textFill>
            <w14:solidFill>
              <w14:schemeClr w14:val="tx1"/>
            </w14:solidFill>
          </w14:textFill>
        </w:rPr>
        <w:t>、鄂尔多斯亿吨级“油气超级盆地”等标志性工程。加强沁水盆地、鄂尔多斯盆地东缘煤层气勘探开发。开展南海等地区天然气水合物试采。</w:t>
      </w:r>
    </w:p>
    <w:p>
      <w:pPr>
        <w:autoSpaceDE w:val="0"/>
        <w:autoSpaceDN w:val="0"/>
        <w:spacing w:line="360" w:lineRule="auto"/>
        <w:ind w:firstLine="480" w:firstLineChars="200"/>
        <w:rPr>
          <w:rFonts w:ascii="Times New Roman" w:hAnsi="Times New Roman"/>
          <w:color w:val="000000" w:themeColor="text1"/>
          <w:sz w:val="24"/>
          <w:highlight w:val="none"/>
          <w:lang w:eastAsia="zh-CN"/>
          <w14:textFill>
            <w14:solidFill>
              <w14:schemeClr w14:val="tx1"/>
            </w14:solidFill>
          </w14:textFill>
        </w:rPr>
      </w:pPr>
      <w:r>
        <w:rPr>
          <w:rFonts w:ascii="Times New Roman" w:hAnsi="Times New Roman"/>
          <w:color w:val="000000" w:themeColor="text1"/>
          <w:sz w:val="24"/>
          <w:highlight w:val="none"/>
          <w:lang w:eastAsia="zh-CN"/>
          <w14:textFill>
            <w14:solidFill>
              <w14:schemeClr w14:val="tx1"/>
            </w14:solidFill>
          </w14:textFill>
        </w:rPr>
        <w:t>本工程位于四川盆地，属于</w:t>
      </w:r>
      <w:r>
        <w:rPr>
          <w:rFonts w:hint="eastAsia" w:ascii="Times New Roman" w:hAnsi="Times New Roman"/>
          <w:color w:val="000000" w:themeColor="text1"/>
          <w:sz w:val="24"/>
          <w:highlight w:val="none"/>
          <w:lang w:val="en-US" w:eastAsia="zh-CN"/>
          <w14:textFill>
            <w14:solidFill>
              <w14:schemeClr w14:val="tx1"/>
            </w14:solidFill>
          </w14:textFill>
        </w:rPr>
        <w:t>页岩气开采</w:t>
      </w:r>
      <w:r>
        <w:rPr>
          <w:rFonts w:ascii="Times New Roman" w:hAnsi="Times New Roman"/>
          <w:color w:val="000000" w:themeColor="text1"/>
          <w:sz w:val="24"/>
          <w:highlight w:val="none"/>
          <w:lang w:eastAsia="zh-CN"/>
          <w14:textFill>
            <w14:solidFill>
              <w14:schemeClr w14:val="tx1"/>
            </w14:solidFill>
          </w14:textFill>
        </w:rPr>
        <w:t>项目。因此，本工程的建设符合《</w:t>
      </w:r>
      <w:r>
        <w:rPr>
          <w:rFonts w:hint="eastAsia" w:ascii="宋体" w:hAnsi="宋体" w:eastAsia="宋体" w:cs="宋体"/>
          <w:color w:val="000000" w:themeColor="text1"/>
          <w:sz w:val="24"/>
          <w:highlight w:val="none"/>
          <w:lang w:eastAsia="zh-CN"/>
          <w14:textFill>
            <w14:solidFill>
              <w14:schemeClr w14:val="tx1"/>
            </w14:solidFill>
          </w14:textFill>
        </w:rPr>
        <w:t>“十四五”</w:t>
      </w:r>
      <w:r>
        <w:rPr>
          <w:rFonts w:ascii="Times New Roman" w:hAnsi="Times New Roman"/>
          <w:color w:val="000000" w:themeColor="text1"/>
          <w:sz w:val="24"/>
          <w:highlight w:val="none"/>
          <w:lang w:eastAsia="zh-CN"/>
          <w14:textFill>
            <w14:solidFill>
              <w14:schemeClr w14:val="tx1"/>
            </w14:solidFill>
          </w14:textFill>
        </w:rPr>
        <w:t>现代能源体系规划》（发改能源〔2022〕210号）要求。</w:t>
      </w:r>
    </w:p>
    <w:p>
      <w:pPr>
        <w:tabs>
          <w:tab w:val="left" w:pos="0"/>
        </w:tabs>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（2）与《四川省矿产资源总体规划（2021-2025年）》的符合性分析</w:t>
      </w:r>
    </w:p>
    <w:p>
      <w:pPr>
        <w:tabs>
          <w:tab w:val="left" w:pos="0"/>
        </w:tabs>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四川省矿产资源总体规划（2021-2025年）》是在自然资源部工作要求和省委、省政府工作部署下，依据《矿产资源规划编制实施办法》《全国矿产资源规划（2021—2025年）》《四川省国民经济和社会发展第十四个五年规划和二〇三五年远景目标纲要》等，结合四川省实际，由省厅会同省发展改革委、经济和信息化厅、财政厅、生态环境厅、商务厅制定，本项目与之符合性分析见下表。</w:t>
      </w:r>
    </w:p>
    <w:p>
      <w:pPr>
        <w:widowControl/>
        <w:tabs>
          <w:tab w:val="left" w:pos="863"/>
        </w:tabs>
        <w:adjustRightInd/>
        <w:snapToGrid/>
        <w:spacing w:line="240" w:lineRule="auto"/>
        <w:ind w:firstLine="0" w:firstLineChars="0"/>
        <w:jc w:val="center"/>
        <w:rPr>
          <w:rFonts w:eastAsia="黑体" w:cs="Times New Roman"/>
          <w:color w:val="000000" w:themeColor="text1"/>
          <w:kern w:val="0"/>
          <w:sz w:val="21"/>
          <w:szCs w:val="21"/>
          <w:highlight w:val="none"/>
          <w14:textFill>
            <w14:solidFill>
              <w14:schemeClr w14:val="tx1"/>
            </w14:solidFill>
          </w14:textFill>
        </w:rPr>
      </w:pPr>
      <w:r>
        <w:rPr>
          <w:rFonts w:eastAsia="黑体" w:cs="Times New Roman"/>
          <w:color w:val="000000" w:themeColor="text1"/>
          <w:kern w:val="0"/>
          <w:sz w:val="21"/>
          <w:szCs w:val="21"/>
          <w:highlight w:val="none"/>
          <w14:textFill>
            <w14:solidFill>
              <w14:schemeClr w14:val="tx1"/>
            </w14:solidFill>
          </w14:textFill>
        </w:rPr>
        <w:t>表2.7-</w:t>
      </w:r>
      <w:r>
        <w:rPr>
          <w:rFonts w:hint="eastAsia" w:eastAsia="黑体" w:cs="Times New Roman"/>
          <w:color w:val="000000" w:themeColor="text1"/>
          <w:kern w:val="0"/>
          <w:sz w:val="21"/>
          <w:szCs w:val="21"/>
          <w:highlight w:val="none"/>
          <w:lang w:val="en-US" w:eastAsia="zh-CN"/>
          <w14:textFill>
            <w14:solidFill>
              <w14:schemeClr w14:val="tx1"/>
            </w14:solidFill>
          </w14:textFill>
        </w:rPr>
        <w:t>7</w:t>
      </w:r>
      <w:r>
        <w:rPr>
          <w:rFonts w:eastAsia="黑体" w:cs="Times New Roman"/>
          <w:color w:val="000000" w:themeColor="text1"/>
          <w:kern w:val="0"/>
          <w:sz w:val="21"/>
          <w:szCs w:val="21"/>
          <w:highlight w:val="none"/>
          <w14:textFill>
            <w14:solidFill>
              <w14:schemeClr w14:val="tx1"/>
            </w14:solidFill>
          </w14:textFill>
        </w:rPr>
        <w:t xml:space="preserve">  与《四川省矿产资源总体规划（2021-2025年）》符合性分析表</w:t>
      </w:r>
    </w:p>
    <w:tbl>
      <w:tblPr>
        <w:tblStyle w:val="41"/>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5240"/>
        <w:gridCol w:w="2124"/>
        <w:gridCol w:w="8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5240" w:type="dxa"/>
            <w:tcMar>
              <w:left w:w="57" w:type="dxa"/>
              <w:right w:w="57" w:type="dxa"/>
            </w:tcMar>
            <w:vAlign w:val="center"/>
          </w:tcPr>
          <w:p>
            <w:pPr>
              <w:keepNext w:val="0"/>
              <w:keepLines w:val="0"/>
              <w:suppressLineNumbers w:val="0"/>
              <w:spacing w:before="0" w:beforeAutospacing="0" w:after="0" w:afterAutospacing="0" w:line="240" w:lineRule="auto"/>
              <w:ind w:left="0" w:right="0" w:firstLine="0" w:firstLineChars="0"/>
              <w:jc w:val="center"/>
              <w:rPr>
                <w:rFonts w:hint="default" w:eastAsia="等线" w:cs="Times New Roman"/>
                <w:color w:val="000000" w:themeColor="text1"/>
                <w:sz w:val="21"/>
                <w:szCs w:val="21"/>
                <w:highlight w:val="none"/>
                <w14:textFill>
                  <w14:solidFill>
                    <w14:schemeClr w14:val="tx1"/>
                  </w14:solidFill>
                </w14:textFill>
              </w:rPr>
            </w:pPr>
            <w:r>
              <w:rPr>
                <w:rFonts w:hint="default" w:eastAsia="等线" w:cs="Times New Roman"/>
                <w:color w:val="000000" w:themeColor="text1"/>
                <w:sz w:val="21"/>
                <w:szCs w:val="21"/>
                <w:highlight w:val="none"/>
                <w14:textFill>
                  <w14:solidFill>
                    <w14:schemeClr w14:val="tx1"/>
                  </w14:solidFill>
                </w14:textFill>
              </w:rPr>
              <w:t>文件内容</w:t>
            </w:r>
          </w:p>
        </w:tc>
        <w:tc>
          <w:tcPr>
            <w:tcW w:w="2124" w:type="dxa"/>
            <w:tcMar>
              <w:left w:w="57" w:type="dxa"/>
              <w:right w:w="57" w:type="dxa"/>
            </w:tcMar>
            <w:vAlign w:val="center"/>
          </w:tcPr>
          <w:p>
            <w:pPr>
              <w:keepNext w:val="0"/>
              <w:keepLines w:val="0"/>
              <w:suppressLineNumbers w:val="0"/>
              <w:spacing w:before="0" w:beforeAutospacing="0" w:after="0" w:afterAutospacing="0" w:line="240" w:lineRule="auto"/>
              <w:ind w:left="0" w:right="0" w:firstLine="0" w:firstLineChars="0"/>
              <w:jc w:val="center"/>
              <w:rPr>
                <w:rFonts w:hint="default" w:eastAsia="等线" w:cs="Times New Roman"/>
                <w:color w:val="000000" w:themeColor="text1"/>
                <w:sz w:val="21"/>
                <w:szCs w:val="21"/>
                <w:highlight w:val="none"/>
                <w14:textFill>
                  <w14:solidFill>
                    <w14:schemeClr w14:val="tx1"/>
                  </w14:solidFill>
                </w14:textFill>
              </w:rPr>
            </w:pPr>
            <w:r>
              <w:rPr>
                <w:rFonts w:hint="default" w:eastAsia="等线" w:cs="Times New Roman"/>
                <w:color w:val="000000" w:themeColor="text1"/>
                <w:sz w:val="21"/>
                <w:szCs w:val="21"/>
                <w:highlight w:val="none"/>
                <w14:textFill>
                  <w14:solidFill>
                    <w14:schemeClr w14:val="tx1"/>
                  </w14:solidFill>
                </w14:textFill>
              </w:rPr>
              <w:t>本项目情况</w:t>
            </w:r>
          </w:p>
        </w:tc>
        <w:tc>
          <w:tcPr>
            <w:tcW w:w="858" w:type="dxa"/>
            <w:tcMar>
              <w:left w:w="57" w:type="dxa"/>
              <w:right w:w="57" w:type="dxa"/>
            </w:tcMar>
            <w:vAlign w:val="center"/>
          </w:tcPr>
          <w:p>
            <w:pPr>
              <w:keepNext w:val="0"/>
              <w:keepLines w:val="0"/>
              <w:suppressLineNumbers w:val="0"/>
              <w:spacing w:before="0" w:beforeAutospacing="0" w:after="0" w:afterAutospacing="0" w:line="240" w:lineRule="auto"/>
              <w:ind w:left="0" w:right="0" w:firstLine="0" w:firstLineChars="0"/>
              <w:jc w:val="center"/>
              <w:rPr>
                <w:rFonts w:hint="default" w:eastAsia="等线" w:cs="Times New Roman"/>
                <w:color w:val="000000" w:themeColor="text1"/>
                <w:sz w:val="21"/>
                <w:szCs w:val="21"/>
                <w:highlight w:val="none"/>
                <w14:textFill>
                  <w14:solidFill>
                    <w14:schemeClr w14:val="tx1"/>
                  </w14:solidFill>
                </w14:textFill>
              </w:rPr>
            </w:pPr>
            <w:r>
              <w:rPr>
                <w:rFonts w:hint="default" w:eastAsia="等线" w:cs="Times New Roman"/>
                <w:color w:val="000000" w:themeColor="text1"/>
                <w:sz w:val="21"/>
                <w:szCs w:val="21"/>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5240" w:type="dxa"/>
            <w:tcMar>
              <w:left w:w="57" w:type="dxa"/>
              <w:right w:w="57" w:type="dxa"/>
            </w:tcMar>
            <w:vAlign w:val="center"/>
          </w:tcPr>
          <w:p>
            <w:pPr>
              <w:keepNext w:val="0"/>
              <w:keepLines w:val="0"/>
              <w:suppressLineNumbers w:val="0"/>
              <w:spacing w:before="0" w:beforeAutospacing="0" w:after="0" w:afterAutospacing="0" w:line="240" w:lineRule="auto"/>
              <w:ind w:left="0" w:right="0" w:firstLine="0" w:firstLineChars="0"/>
              <w:jc w:val="center"/>
              <w:rPr>
                <w:rFonts w:hint="default" w:cs="Times New Roman"/>
                <w:color w:val="000000" w:themeColor="text1"/>
                <w:sz w:val="21"/>
                <w:szCs w:val="21"/>
                <w:highlight w:val="none"/>
                <w14:textFill>
                  <w14:solidFill>
                    <w14:schemeClr w14:val="tx1"/>
                  </w14:solidFill>
                </w14:textFill>
              </w:rPr>
            </w:pPr>
            <w:r>
              <w:rPr>
                <w:rFonts w:hint="default" w:cs="Times New Roman"/>
                <w:color w:val="000000" w:themeColor="text1"/>
                <w:sz w:val="21"/>
                <w:szCs w:val="21"/>
                <w:highlight w:val="none"/>
                <w14:textFill>
                  <w14:solidFill>
                    <w14:schemeClr w14:val="tx1"/>
                  </w14:solidFill>
                </w14:textFill>
              </w:rPr>
              <w:t>第二章、第三节：一、2025年目标：</w:t>
            </w:r>
          </w:p>
          <w:p>
            <w:pPr>
              <w:keepNext w:val="0"/>
              <w:keepLines w:val="0"/>
              <w:suppressLineNumbers w:val="0"/>
              <w:spacing w:before="0" w:beforeAutospacing="0" w:after="0" w:afterAutospacing="0" w:line="240" w:lineRule="auto"/>
              <w:ind w:left="0" w:right="0" w:firstLine="0" w:firstLineChars="0"/>
              <w:jc w:val="center"/>
              <w:rPr>
                <w:rFonts w:hint="default" w:cs="Times New Roman"/>
                <w:color w:val="000000" w:themeColor="text1"/>
                <w:sz w:val="21"/>
                <w:szCs w:val="21"/>
                <w:highlight w:val="none"/>
                <w14:textFill>
                  <w14:solidFill>
                    <w14:schemeClr w14:val="tx1"/>
                  </w14:solidFill>
                </w14:textFill>
              </w:rPr>
            </w:pPr>
            <w:r>
              <w:rPr>
                <w:rFonts w:hint="default" w:cs="Times New Roman"/>
                <w:color w:val="000000" w:themeColor="text1"/>
                <w:sz w:val="21"/>
                <w:szCs w:val="21"/>
                <w:highlight w:val="none"/>
                <w14:textFill>
                  <w14:solidFill>
                    <w14:schemeClr w14:val="tx1"/>
                  </w14:solidFill>
                </w14:textFill>
              </w:rPr>
              <w:t>···重要矿产实现找矿新突破。加大财政投资矿产勘查力度，提高重要矿产资源综合勘查水平和保障程度，新发现战略性矿产资源大中型矿产地10至15处。国家天然气（页岩气）千亿立方米级产能基地、攀西战略资源创新开发试验区建设得到有力支撑</w:t>
            </w:r>
          </w:p>
        </w:tc>
        <w:tc>
          <w:tcPr>
            <w:tcW w:w="2124" w:type="dxa"/>
            <w:tcMar>
              <w:left w:w="57" w:type="dxa"/>
              <w:right w:w="57" w:type="dxa"/>
            </w:tcMar>
            <w:vAlign w:val="center"/>
          </w:tcPr>
          <w:p>
            <w:pPr>
              <w:keepNext w:val="0"/>
              <w:keepLines w:val="0"/>
              <w:suppressLineNumbers w:val="0"/>
              <w:spacing w:before="0" w:beforeAutospacing="0" w:after="0" w:afterAutospacing="0" w:line="240" w:lineRule="auto"/>
              <w:ind w:left="0" w:right="0" w:firstLine="0" w:firstLineChars="0"/>
              <w:jc w:val="center"/>
              <w:rPr>
                <w:rFonts w:hint="eastAsia" w:eastAsia="宋体" w:cs="Times New Roman"/>
                <w:color w:val="000000" w:themeColor="text1"/>
                <w:sz w:val="21"/>
                <w:szCs w:val="21"/>
                <w:highlight w:val="none"/>
                <w:lang w:eastAsia="zh-CN"/>
                <w14:textFill>
                  <w14:solidFill>
                    <w14:schemeClr w14:val="tx1"/>
                  </w14:solidFill>
                </w14:textFill>
              </w:rPr>
            </w:pPr>
            <w:r>
              <w:rPr>
                <w:rFonts w:hint="default" w:cs="Times New Roman"/>
                <w:color w:val="000000" w:themeColor="text1"/>
                <w:sz w:val="21"/>
                <w:szCs w:val="21"/>
                <w:highlight w:val="none"/>
                <w14:textFill>
                  <w14:solidFill>
                    <w14:schemeClr w14:val="tx1"/>
                  </w14:solidFill>
                </w14:textFill>
              </w:rPr>
              <w:t>本项目属于</w:t>
            </w:r>
            <w:r>
              <w:rPr>
                <w:rFonts w:hint="eastAsia" w:cs="Times New Roman"/>
                <w:color w:val="000000" w:themeColor="text1"/>
                <w:sz w:val="21"/>
                <w:szCs w:val="21"/>
                <w:highlight w:val="none"/>
                <w:lang w:eastAsia="zh-CN"/>
                <w14:textFill>
                  <w14:solidFill>
                    <w14:schemeClr w14:val="tx1"/>
                  </w14:solidFill>
                </w14:textFill>
              </w:rPr>
              <w:t>天然气（</w:t>
            </w:r>
            <w:r>
              <w:rPr>
                <w:rFonts w:hint="eastAsia" w:cs="Times New Roman"/>
                <w:color w:val="000000" w:themeColor="text1"/>
                <w:sz w:val="21"/>
                <w:szCs w:val="21"/>
                <w:highlight w:val="none"/>
                <w:lang w:val="en-US" w:eastAsia="zh-CN"/>
                <w14:textFill>
                  <w14:solidFill>
                    <w14:schemeClr w14:val="tx1"/>
                  </w14:solidFill>
                </w14:textFill>
              </w:rPr>
              <w:t>页岩气）</w:t>
            </w:r>
            <w:r>
              <w:rPr>
                <w:rFonts w:hint="eastAsia" w:cs="Times New Roman"/>
                <w:color w:val="000000" w:themeColor="text1"/>
                <w:sz w:val="21"/>
                <w:szCs w:val="21"/>
                <w:highlight w:val="none"/>
                <w:lang w:eastAsia="zh-CN"/>
                <w14:textFill>
                  <w14:solidFill>
                    <w14:schemeClr w14:val="tx1"/>
                  </w14:solidFill>
                </w14:textFill>
              </w:rPr>
              <w:t>试采项目</w:t>
            </w:r>
          </w:p>
        </w:tc>
        <w:tc>
          <w:tcPr>
            <w:tcW w:w="858" w:type="dxa"/>
            <w:tcMar>
              <w:left w:w="57" w:type="dxa"/>
              <w:right w:w="57" w:type="dxa"/>
            </w:tcMar>
            <w:vAlign w:val="center"/>
          </w:tcPr>
          <w:p>
            <w:pPr>
              <w:keepNext w:val="0"/>
              <w:keepLines w:val="0"/>
              <w:suppressLineNumbers w:val="0"/>
              <w:spacing w:before="0" w:beforeAutospacing="0" w:after="0" w:afterAutospacing="0" w:line="240" w:lineRule="auto"/>
              <w:ind w:left="0" w:right="0" w:firstLine="0" w:firstLineChars="0"/>
              <w:jc w:val="center"/>
              <w:rPr>
                <w:rFonts w:hint="default" w:cs="Times New Roman"/>
                <w:color w:val="000000" w:themeColor="text1"/>
                <w:sz w:val="21"/>
                <w:szCs w:val="21"/>
                <w:highlight w:val="none"/>
                <w14:textFill>
                  <w14:solidFill>
                    <w14:schemeClr w14:val="tx1"/>
                  </w14:solidFill>
                </w14:textFill>
              </w:rPr>
            </w:pPr>
            <w:r>
              <w:rPr>
                <w:rFonts w:hint="default"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5240" w:type="dxa"/>
            <w:tcMar>
              <w:left w:w="57" w:type="dxa"/>
              <w:right w:w="57" w:type="dxa"/>
            </w:tcMar>
            <w:vAlign w:val="center"/>
          </w:tcPr>
          <w:p>
            <w:pPr>
              <w:keepNext w:val="0"/>
              <w:keepLines w:val="0"/>
              <w:suppressLineNumbers w:val="0"/>
              <w:spacing w:before="0" w:beforeAutospacing="0" w:after="0" w:afterAutospacing="0" w:line="240" w:lineRule="auto"/>
              <w:ind w:left="0" w:right="0" w:firstLine="0" w:firstLineChars="0"/>
              <w:jc w:val="center"/>
              <w:rPr>
                <w:rFonts w:hint="default" w:cs="Times New Roman"/>
                <w:color w:val="000000" w:themeColor="text1"/>
                <w:sz w:val="21"/>
                <w:szCs w:val="21"/>
                <w:highlight w:val="none"/>
                <w14:textFill>
                  <w14:solidFill>
                    <w14:schemeClr w14:val="tx1"/>
                  </w14:solidFill>
                </w14:textFill>
              </w:rPr>
            </w:pPr>
            <w:r>
              <w:rPr>
                <w:rFonts w:hint="default" w:cs="Times New Roman"/>
                <w:color w:val="000000" w:themeColor="text1"/>
                <w:sz w:val="21"/>
                <w:szCs w:val="21"/>
                <w:highlight w:val="none"/>
                <w14:textFill>
                  <w14:solidFill>
                    <w14:schemeClr w14:val="tx1"/>
                  </w14:solidFill>
                </w14:textFill>
              </w:rPr>
              <w:t>第三章、第一节：···</w:t>
            </w:r>
            <w:r>
              <w:rPr>
                <w:rFonts w:hint="default" w:cs="Times New Roman"/>
                <w:b/>
                <w:bCs/>
                <w:color w:val="000000" w:themeColor="text1"/>
                <w:sz w:val="21"/>
                <w:szCs w:val="21"/>
                <w:highlight w:val="none"/>
                <w14:textFill>
                  <w14:solidFill>
                    <w14:schemeClr w14:val="tx1"/>
                  </w14:solidFill>
                </w14:textFill>
              </w:rPr>
              <w:t>川东北能源建材勘查开发区</w:t>
            </w:r>
            <w:r>
              <w:rPr>
                <w:rFonts w:hint="default" w:cs="Times New Roman"/>
                <w:color w:val="000000" w:themeColor="text1"/>
                <w:sz w:val="21"/>
                <w:szCs w:val="21"/>
                <w:highlight w:val="none"/>
                <w14:textFill>
                  <w14:solidFill>
                    <w14:schemeClr w14:val="tx1"/>
                  </w14:solidFill>
                </w14:textFill>
              </w:rPr>
              <w:t>。包括南充、</w:t>
            </w:r>
            <w:r>
              <w:rPr>
                <w:rFonts w:hint="default" w:cs="Times New Roman"/>
                <w:b/>
                <w:bCs/>
                <w:color w:val="000000" w:themeColor="text1"/>
                <w:sz w:val="21"/>
                <w:szCs w:val="21"/>
                <w:highlight w:val="none"/>
                <w14:textFill>
                  <w14:solidFill>
                    <w14:schemeClr w14:val="tx1"/>
                  </w14:solidFill>
                </w14:textFill>
              </w:rPr>
              <w:t>达州</w:t>
            </w:r>
            <w:r>
              <w:rPr>
                <w:rFonts w:hint="default" w:cs="Times New Roman"/>
                <w:color w:val="000000" w:themeColor="text1"/>
                <w:sz w:val="21"/>
                <w:szCs w:val="21"/>
                <w:highlight w:val="none"/>
                <w14:textFill>
                  <w14:solidFill>
                    <w14:schemeClr w14:val="tx1"/>
                  </w14:solidFill>
                </w14:textFill>
              </w:rPr>
              <w:t>、广安、巴中、广元5市，大力发展清洁能源化工、特色矿产品精深加工，推动川东北经济区振兴发展。</w:t>
            </w:r>
            <w:r>
              <w:rPr>
                <w:rFonts w:hint="default" w:cs="Times New Roman"/>
                <w:b/>
                <w:bCs/>
                <w:color w:val="000000" w:themeColor="text1"/>
                <w:sz w:val="21"/>
                <w:szCs w:val="21"/>
                <w:highlight w:val="none"/>
                <w14:textFill>
                  <w14:solidFill>
                    <w14:schemeClr w14:val="tx1"/>
                  </w14:solidFill>
                </w14:textFill>
              </w:rPr>
              <w:t>重点加强达州、广元、广安、巴中地区天然气、页岩油、致密气勘探开发</w:t>
            </w:r>
          </w:p>
        </w:tc>
        <w:tc>
          <w:tcPr>
            <w:tcW w:w="2124" w:type="dxa"/>
            <w:tcMar>
              <w:left w:w="57" w:type="dxa"/>
              <w:right w:w="57" w:type="dxa"/>
            </w:tcMar>
            <w:vAlign w:val="center"/>
          </w:tcPr>
          <w:p>
            <w:pPr>
              <w:keepNext w:val="0"/>
              <w:keepLines w:val="0"/>
              <w:suppressLineNumbers w:val="0"/>
              <w:spacing w:before="0" w:beforeAutospacing="0" w:after="0" w:afterAutospacing="0" w:line="240" w:lineRule="auto"/>
              <w:ind w:left="0" w:right="0" w:firstLine="0" w:firstLineChars="0"/>
              <w:jc w:val="center"/>
              <w:rPr>
                <w:rFonts w:hint="eastAsia" w:eastAsia="宋体" w:cs="Times New Roman"/>
                <w:color w:val="000000" w:themeColor="text1"/>
                <w:sz w:val="21"/>
                <w:szCs w:val="21"/>
                <w:highlight w:val="none"/>
                <w:lang w:eastAsia="zh-CN"/>
                <w14:textFill>
                  <w14:solidFill>
                    <w14:schemeClr w14:val="tx1"/>
                  </w14:solidFill>
                </w14:textFill>
              </w:rPr>
            </w:pPr>
            <w:r>
              <w:rPr>
                <w:rFonts w:hint="default" w:cs="Times New Roman"/>
                <w:color w:val="000000" w:themeColor="text1"/>
                <w:sz w:val="21"/>
                <w:szCs w:val="21"/>
                <w:highlight w:val="none"/>
                <w14:textFill>
                  <w14:solidFill>
                    <w14:schemeClr w14:val="tx1"/>
                  </w14:solidFill>
                </w14:textFill>
              </w:rPr>
              <w:t>本项目位于达州，属于</w:t>
            </w:r>
            <w:r>
              <w:rPr>
                <w:rFonts w:hint="eastAsia" w:cs="Times New Roman"/>
                <w:color w:val="000000" w:themeColor="text1"/>
                <w:sz w:val="21"/>
                <w:szCs w:val="21"/>
                <w:highlight w:val="none"/>
                <w:lang w:eastAsia="zh-CN"/>
                <w14:textFill>
                  <w14:solidFill>
                    <w14:schemeClr w14:val="tx1"/>
                  </w14:solidFill>
                </w14:textFill>
              </w:rPr>
              <w:t>天然气（</w:t>
            </w:r>
            <w:r>
              <w:rPr>
                <w:rFonts w:hint="eastAsia" w:cs="Times New Roman"/>
                <w:color w:val="000000" w:themeColor="text1"/>
                <w:sz w:val="21"/>
                <w:szCs w:val="21"/>
                <w:highlight w:val="none"/>
                <w:lang w:val="en-US" w:eastAsia="zh-CN"/>
                <w14:textFill>
                  <w14:solidFill>
                    <w14:schemeClr w14:val="tx1"/>
                  </w14:solidFill>
                </w14:textFill>
              </w:rPr>
              <w:t>页岩气）</w:t>
            </w:r>
            <w:r>
              <w:rPr>
                <w:rFonts w:hint="eastAsia" w:cs="Times New Roman"/>
                <w:color w:val="000000" w:themeColor="text1"/>
                <w:sz w:val="21"/>
                <w:szCs w:val="21"/>
                <w:highlight w:val="none"/>
                <w:lang w:eastAsia="zh-CN"/>
                <w14:textFill>
                  <w14:solidFill>
                    <w14:schemeClr w14:val="tx1"/>
                  </w14:solidFill>
                </w14:textFill>
              </w:rPr>
              <w:t>试采项目</w:t>
            </w:r>
          </w:p>
        </w:tc>
        <w:tc>
          <w:tcPr>
            <w:tcW w:w="858" w:type="dxa"/>
            <w:tcMar>
              <w:left w:w="57" w:type="dxa"/>
              <w:right w:w="57" w:type="dxa"/>
            </w:tcMar>
            <w:vAlign w:val="center"/>
          </w:tcPr>
          <w:p>
            <w:pPr>
              <w:keepNext w:val="0"/>
              <w:keepLines w:val="0"/>
              <w:suppressLineNumbers w:val="0"/>
              <w:spacing w:before="0" w:beforeAutospacing="0" w:after="0" w:afterAutospacing="0" w:line="240" w:lineRule="auto"/>
              <w:ind w:left="0" w:right="0" w:firstLine="0" w:firstLineChars="0"/>
              <w:jc w:val="center"/>
              <w:rPr>
                <w:rFonts w:hint="default" w:cs="Times New Roman"/>
                <w:color w:val="000000" w:themeColor="text1"/>
                <w:sz w:val="21"/>
                <w:szCs w:val="21"/>
                <w:highlight w:val="none"/>
                <w14:textFill>
                  <w14:solidFill>
                    <w14:schemeClr w14:val="tx1"/>
                  </w14:solidFill>
                </w14:textFill>
              </w:rPr>
            </w:pPr>
            <w:r>
              <w:rPr>
                <w:rFonts w:hint="default"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5240" w:type="dxa"/>
            <w:tcMar>
              <w:left w:w="57" w:type="dxa"/>
              <w:right w:w="57" w:type="dxa"/>
            </w:tcMar>
            <w:vAlign w:val="center"/>
          </w:tcPr>
          <w:p>
            <w:pPr>
              <w:keepNext w:val="0"/>
              <w:keepLines w:val="0"/>
              <w:suppressLineNumbers w:val="0"/>
              <w:spacing w:before="0" w:beforeAutospacing="0" w:after="0" w:afterAutospacing="0" w:line="240" w:lineRule="auto"/>
              <w:ind w:left="0" w:right="0" w:firstLine="0" w:firstLineChars="0"/>
              <w:jc w:val="center"/>
              <w:rPr>
                <w:rFonts w:hint="default" w:cs="Times New Roman"/>
                <w:color w:val="000000" w:themeColor="text1"/>
                <w:sz w:val="21"/>
                <w:szCs w:val="21"/>
                <w:highlight w:val="none"/>
                <w14:textFill>
                  <w14:solidFill>
                    <w14:schemeClr w14:val="tx1"/>
                  </w14:solidFill>
                </w14:textFill>
              </w:rPr>
            </w:pPr>
            <w:r>
              <w:rPr>
                <w:rFonts w:hint="default" w:cs="Times New Roman"/>
                <w:color w:val="000000" w:themeColor="text1"/>
                <w:sz w:val="21"/>
                <w:szCs w:val="21"/>
                <w:highlight w:val="none"/>
                <w14:textFill>
                  <w14:solidFill>
                    <w14:schemeClr w14:val="tx1"/>
                  </w14:solidFill>
                </w14:textFill>
              </w:rPr>
              <w:t>第五章、第一节：···大力支持天然气、页岩气开采，2025年底全省天然气（页岩气）产量达到630亿立方米/年，2035年建成国家天然气（页岩气）千亿立方米级产能基地</w:t>
            </w:r>
          </w:p>
        </w:tc>
        <w:tc>
          <w:tcPr>
            <w:tcW w:w="2124" w:type="dxa"/>
            <w:tcMar>
              <w:left w:w="57" w:type="dxa"/>
              <w:right w:w="57" w:type="dxa"/>
            </w:tcMar>
            <w:vAlign w:val="center"/>
          </w:tcPr>
          <w:p>
            <w:pPr>
              <w:keepNext w:val="0"/>
              <w:keepLines w:val="0"/>
              <w:suppressLineNumbers w:val="0"/>
              <w:spacing w:before="0" w:beforeAutospacing="0" w:after="0" w:afterAutospacing="0" w:line="240" w:lineRule="auto"/>
              <w:ind w:left="0" w:right="0" w:firstLine="0" w:firstLineChars="0"/>
              <w:jc w:val="center"/>
              <w:rPr>
                <w:rFonts w:hint="default" w:cs="Times New Roman"/>
                <w:color w:val="000000" w:themeColor="text1"/>
                <w:sz w:val="21"/>
                <w:szCs w:val="21"/>
                <w:highlight w:val="none"/>
                <w14:textFill>
                  <w14:solidFill>
                    <w14:schemeClr w14:val="tx1"/>
                  </w14:solidFill>
                </w14:textFill>
              </w:rPr>
            </w:pPr>
            <w:r>
              <w:rPr>
                <w:rFonts w:hint="default" w:cs="Times New Roman"/>
                <w:color w:val="000000" w:themeColor="text1"/>
                <w:sz w:val="21"/>
                <w:szCs w:val="21"/>
                <w:highlight w:val="none"/>
                <w14:textFill>
                  <w14:solidFill>
                    <w14:schemeClr w14:val="tx1"/>
                  </w14:solidFill>
                </w14:textFill>
              </w:rPr>
              <w:t>本项目属于</w:t>
            </w:r>
            <w:r>
              <w:rPr>
                <w:rFonts w:hint="eastAsia" w:cs="Times New Roman"/>
                <w:color w:val="000000" w:themeColor="text1"/>
                <w:sz w:val="21"/>
                <w:szCs w:val="21"/>
                <w:highlight w:val="none"/>
                <w:lang w:eastAsia="zh-CN"/>
                <w14:textFill>
                  <w14:solidFill>
                    <w14:schemeClr w14:val="tx1"/>
                  </w14:solidFill>
                </w14:textFill>
              </w:rPr>
              <w:t>天然气试采项目（</w:t>
            </w:r>
            <w:r>
              <w:rPr>
                <w:rFonts w:hint="eastAsia" w:cs="Times New Roman"/>
                <w:color w:val="000000" w:themeColor="text1"/>
                <w:sz w:val="21"/>
                <w:szCs w:val="21"/>
                <w:highlight w:val="none"/>
                <w:lang w:val="en-US" w:eastAsia="zh-CN"/>
                <w14:textFill>
                  <w14:solidFill>
                    <w14:schemeClr w14:val="tx1"/>
                  </w14:solidFill>
                </w14:textFill>
              </w:rPr>
              <w:t>页岩气）</w:t>
            </w:r>
            <w:r>
              <w:rPr>
                <w:rFonts w:hint="default" w:cs="Times New Roman"/>
                <w:color w:val="000000" w:themeColor="text1"/>
                <w:sz w:val="21"/>
                <w:szCs w:val="21"/>
                <w:highlight w:val="none"/>
                <w14:textFill>
                  <w14:solidFill>
                    <w14:schemeClr w14:val="tx1"/>
                  </w14:solidFill>
                </w14:textFill>
              </w:rPr>
              <w:t>，试采期将对天然气进行试采，有利于提高全省天然气产量</w:t>
            </w:r>
          </w:p>
        </w:tc>
        <w:tc>
          <w:tcPr>
            <w:tcW w:w="858" w:type="dxa"/>
            <w:tcMar>
              <w:left w:w="57" w:type="dxa"/>
              <w:right w:w="57" w:type="dxa"/>
            </w:tcMar>
            <w:vAlign w:val="center"/>
          </w:tcPr>
          <w:p>
            <w:pPr>
              <w:keepNext w:val="0"/>
              <w:keepLines w:val="0"/>
              <w:suppressLineNumbers w:val="0"/>
              <w:spacing w:before="0" w:beforeAutospacing="0" w:after="0" w:afterAutospacing="0" w:line="240" w:lineRule="auto"/>
              <w:ind w:left="0" w:right="0" w:firstLine="0" w:firstLineChars="0"/>
              <w:jc w:val="center"/>
              <w:rPr>
                <w:rFonts w:hint="default" w:cs="Times New Roman"/>
                <w:color w:val="000000" w:themeColor="text1"/>
                <w:sz w:val="21"/>
                <w:szCs w:val="21"/>
                <w:highlight w:val="none"/>
                <w14:textFill>
                  <w14:solidFill>
                    <w14:schemeClr w14:val="tx1"/>
                  </w14:solidFill>
                </w14:textFill>
              </w:rPr>
            </w:pPr>
            <w:r>
              <w:rPr>
                <w:rFonts w:hint="default" w:cs="Times New Roman"/>
                <w:color w:val="000000" w:themeColor="text1"/>
                <w:sz w:val="21"/>
                <w:szCs w:val="21"/>
                <w:highlight w:val="none"/>
                <w14:textFill>
                  <w14:solidFill>
                    <w14:schemeClr w14:val="tx1"/>
                  </w14:solidFill>
                </w14:textFill>
              </w:rPr>
              <w:t>符合</w:t>
            </w:r>
          </w:p>
        </w:tc>
      </w:tr>
    </w:tbl>
    <w:p>
      <w:pPr>
        <w:tabs>
          <w:tab w:val="left" w:pos="0"/>
        </w:tabs>
        <w:spacing w:before="163" w:beforeLines="50"/>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本项目为</w:t>
      </w:r>
      <w:r>
        <w:rPr>
          <w:rFonts w:hint="eastAsia" w:cs="Times New Roman"/>
          <w:color w:val="000000" w:themeColor="text1"/>
          <w:szCs w:val="24"/>
          <w:highlight w:val="none"/>
          <w:lang w:eastAsia="zh-CN"/>
          <w14:textFill>
            <w14:solidFill>
              <w14:schemeClr w14:val="tx1"/>
            </w14:solidFill>
          </w14:textFill>
        </w:rPr>
        <w:t>天然气试采项目</w:t>
      </w:r>
      <w:r>
        <w:rPr>
          <w:rFonts w:cs="Times New Roman"/>
          <w:color w:val="000000" w:themeColor="text1"/>
          <w:szCs w:val="24"/>
          <w:highlight w:val="none"/>
          <w14:textFill>
            <w14:solidFill>
              <w14:schemeClr w14:val="tx1"/>
            </w14:solidFill>
          </w14:textFill>
        </w:rPr>
        <w:t>，不属于限制开采的矿产资源，</w:t>
      </w:r>
      <w:r>
        <w:rPr>
          <w:rFonts w:hint="eastAsia" w:cs="Times New Roman"/>
          <w:color w:val="000000" w:themeColor="text1"/>
          <w:kern w:val="0"/>
          <w:highlight w:val="none"/>
          <w14:textFill>
            <w14:solidFill>
              <w14:schemeClr w14:val="tx1"/>
            </w14:solidFill>
          </w14:textFill>
        </w:rPr>
        <w:t>本项目试采站位于达州市宣汉县</w:t>
      </w:r>
      <w:r>
        <w:rPr>
          <w:rFonts w:hint="eastAsia" w:cs="Times New Roman"/>
          <w:color w:val="000000" w:themeColor="text1"/>
          <w:kern w:val="0"/>
          <w:highlight w:val="none"/>
          <w:lang w:eastAsia="zh-CN"/>
          <w14:textFill>
            <w14:solidFill>
              <w14:schemeClr w14:val="tx1"/>
            </w14:solidFill>
          </w14:textFill>
        </w:rPr>
        <w:t>**</w:t>
      </w:r>
      <w:r>
        <w:rPr>
          <w:rFonts w:hint="eastAsia" w:cs="Times New Roman"/>
          <w:color w:val="000000" w:themeColor="text1"/>
          <w:kern w:val="0"/>
          <w:highlight w:val="none"/>
          <w14:textFill>
            <w14:solidFill>
              <w14:schemeClr w14:val="tx1"/>
            </w14:solidFill>
          </w14:textFill>
        </w:rPr>
        <w:t>，外输管线涉及达州市宣汉县</w:t>
      </w:r>
      <w:r>
        <w:rPr>
          <w:rFonts w:hint="eastAsia" w:cs="Times New Roman"/>
          <w:color w:val="000000" w:themeColor="text1"/>
          <w:kern w:val="0"/>
          <w:highlight w:val="none"/>
          <w:lang w:eastAsia="zh-CN"/>
          <w14:textFill>
            <w14:solidFill>
              <w14:schemeClr w14:val="tx1"/>
            </w14:solidFill>
          </w14:textFill>
        </w:rPr>
        <w:t>**</w:t>
      </w:r>
      <w:r>
        <w:rPr>
          <w:rFonts w:hint="eastAsia" w:cs="Times New Roman"/>
          <w:color w:val="000000" w:themeColor="text1"/>
          <w:kern w:val="0"/>
          <w:highlight w:val="none"/>
          <w14:textFill>
            <w14:solidFill>
              <w14:schemeClr w14:val="tx1"/>
            </w14:solidFill>
          </w14:textFill>
        </w:rPr>
        <w:t>、红岭镇（原红岭乡）和达州市通川区魏兴镇</w:t>
      </w:r>
      <w:r>
        <w:rPr>
          <w:rFonts w:cs="Times New Roman"/>
          <w:color w:val="000000" w:themeColor="text1"/>
          <w:szCs w:val="24"/>
          <w:highlight w:val="none"/>
          <w14:textFill>
            <w14:solidFill>
              <w14:schemeClr w14:val="tx1"/>
            </w14:solidFill>
          </w14:textFill>
        </w:rPr>
        <w:t>，所在区域属于川东北能源建材勘查开发区，不属于国家和省的规划矿区、储备和保护矿区、限制开采区和禁止开采区，同时也不涉及自然保护区、饮用水水源保护区、风景名胜区等环境敏感区及四川省生态保护红线。拟建项目属于天然气钻采项目，符合《四川省矿产资源总体规划（2021-2025年）》要求。</w:t>
      </w:r>
    </w:p>
    <w:p>
      <w:pPr>
        <w:tabs>
          <w:tab w:val="left" w:pos="0"/>
        </w:tabs>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（3）与《四川省矿产资源总体规划（2021-2025年）环境影响报告书》符合性分析</w:t>
      </w:r>
    </w:p>
    <w:p>
      <w:pPr>
        <w:tabs>
          <w:tab w:val="left" w:pos="0"/>
        </w:tabs>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生态环境部出具了《关于〈四川省矿产资源总体规划（2021-2025年）环境影响报告书〉的审查意见》（环审〔2022〕105号），该规划提出规划目标：到2025年，主要矿产资源量稳步增长，战略性矿产资源安全保障能力明显提高，勘查开发利用与保护空间布局进一步优化，资源节约集约和高效利用水平进一步提升，绿色矿业发展取得积极成效，全面落实构筑长江黄河上游生态安全屏障要求，基本形成矿产资源勘查开发与生态环境保护协调发展新格局。新增天然气资源量</w:t>
      </w:r>
      <w:r>
        <w:rPr>
          <w:rFonts w:cs="Times New Roman"/>
          <w:color w:val="000000" w:themeColor="text1"/>
          <w:szCs w:val="20"/>
          <w:highlight w:val="none"/>
          <w:lang w:bidi="ar"/>
          <w14:textFill>
            <w14:solidFill>
              <w14:schemeClr w14:val="tx1"/>
            </w14:solidFill>
          </w14:textFill>
        </w:rPr>
        <w:t>≥10000亿立方米。</w:t>
      </w:r>
    </w:p>
    <w:p>
      <w:pPr>
        <w:tabs>
          <w:tab w:val="left" w:pos="0"/>
        </w:tabs>
        <w:ind w:firstLine="480"/>
        <w:rPr>
          <w:rFonts w:cs="Times New Roman"/>
          <w:color w:val="000000" w:themeColor="text1"/>
          <w:szCs w:val="20"/>
          <w:highlight w:val="none"/>
          <w:lang w:bidi="ar"/>
          <w14:textFill>
            <w14:solidFill>
              <w14:schemeClr w14:val="tx1"/>
            </w14:solidFill>
          </w14:textFill>
        </w:rPr>
      </w:pPr>
      <w:r>
        <w:rPr>
          <w:rFonts w:cs="Times New Roman"/>
          <w:color w:val="000000" w:themeColor="text1"/>
          <w:szCs w:val="20"/>
          <w:highlight w:val="none"/>
          <w:lang w:bidi="ar"/>
          <w14:textFill>
            <w14:solidFill>
              <w14:schemeClr w14:val="tx1"/>
            </w14:solidFill>
          </w14:textFill>
        </w:rPr>
        <w:t>到2035年，</w:t>
      </w:r>
      <w:r>
        <w:rPr>
          <w:rFonts w:cs="Times New Roman"/>
          <w:b/>
          <w:bCs/>
          <w:color w:val="000000" w:themeColor="text1"/>
          <w:szCs w:val="20"/>
          <w:highlight w:val="none"/>
          <w:lang w:bidi="ar"/>
          <w14:textFill>
            <w14:solidFill>
              <w14:schemeClr w14:val="tx1"/>
            </w14:solidFill>
          </w14:textFill>
        </w:rPr>
        <w:t>建设完成国家天然气（页岩气）千亿立方米级产能基地</w:t>
      </w:r>
      <w:r>
        <w:rPr>
          <w:rFonts w:cs="Times New Roman"/>
          <w:color w:val="000000" w:themeColor="text1"/>
          <w:szCs w:val="20"/>
          <w:highlight w:val="none"/>
          <w:lang w:bidi="ar"/>
          <w14:textFill>
            <w14:solidFill>
              <w14:schemeClr w14:val="tx1"/>
            </w14:solidFill>
          </w14:textFill>
        </w:rPr>
        <w:t>，形成攀西钒钛磁铁矿、川南煤炭煤层气和川西锂矿资源产业集群。全省重要矿产资源量明显增加，矿业空间布局更加科学，矿山规模结构更趋合理，基本实现重要矿产资源稳定供应。矿产资源利用技术实现新突破，资源利用效率显著提升。矿政管理机制更加完善，基本实现矿产资源领域</w:t>
      </w:r>
      <w:r>
        <w:rPr>
          <w:rFonts w:hint="eastAsia" w:cs="Times New Roman"/>
          <w:color w:val="000000" w:themeColor="text1"/>
          <w:szCs w:val="20"/>
          <w:highlight w:val="none"/>
          <w:lang w:eastAsia="zh-CN" w:bidi="ar"/>
          <w14:textFill>
            <w14:solidFill>
              <w14:schemeClr w14:val="tx1"/>
            </w14:solidFill>
          </w14:textFill>
        </w:rPr>
        <w:t>治理体系和治理能力现代化</w:t>
      </w:r>
      <w:r>
        <w:rPr>
          <w:rFonts w:cs="Times New Roman"/>
          <w:color w:val="000000" w:themeColor="text1"/>
          <w:szCs w:val="20"/>
          <w:highlight w:val="none"/>
          <w:lang w:bidi="ar"/>
          <w14:textFill>
            <w14:solidFill>
              <w14:schemeClr w14:val="tx1"/>
            </w14:solidFill>
          </w14:textFill>
        </w:rPr>
        <w:t>。生态保护、资源开发与民生改善协调发展，矿业走上内涵式、集约型、绿色化的高质量发展新路子，有力支撑“碳达峰、碳中和”战略目标的实施。</w:t>
      </w:r>
    </w:p>
    <w:p>
      <w:pPr>
        <w:tabs>
          <w:tab w:val="left" w:pos="0"/>
        </w:tabs>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项目属于石油天然气行业的试采项目，本项目的建设有利于评价下一步天然气清洁能源的开采供应，保障资源储量的稳定增长。因此，本项目建设符合《四川省矿产资源总体规划（2021-2025年）环境影响报告书》的相关要求。</w:t>
      </w:r>
    </w:p>
    <w:p>
      <w:pPr>
        <w:tabs>
          <w:tab w:val="left" w:pos="0"/>
        </w:tabs>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（4）与《达州市矿产资源总体规划（2021-2025年）》的符合性分析</w:t>
      </w:r>
    </w:p>
    <w:p>
      <w:pPr>
        <w:tabs>
          <w:tab w:val="left" w:pos="0"/>
        </w:tabs>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本项目与《达州市矿产资源总体规划（2021-2025年）》符合性分析见下表。</w:t>
      </w:r>
    </w:p>
    <w:p>
      <w:pPr>
        <w:widowControl/>
        <w:tabs>
          <w:tab w:val="left" w:pos="863"/>
        </w:tabs>
        <w:adjustRightInd/>
        <w:snapToGrid/>
        <w:spacing w:line="240" w:lineRule="auto"/>
        <w:ind w:firstLine="0" w:firstLineChars="0"/>
        <w:jc w:val="center"/>
        <w:rPr>
          <w:rFonts w:eastAsia="黑体" w:cs="Times New Roman"/>
          <w:color w:val="000000" w:themeColor="text1"/>
          <w:kern w:val="0"/>
          <w:sz w:val="21"/>
          <w:szCs w:val="21"/>
          <w:highlight w:val="none"/>
          <w14:textFill>
            <w14:solidFill>
              <w14:schemeClr w14:val="tx1"/>
            </w14:solidFill>
          </w14:textFill>
        </w:rPr>
      </w:pPr>
      <w:r>
        <w:rPr>
          <w:rFonts w:eastAsia="黑体" w:cs="Times New Roman"/>
          <w:color w:val="000000" w:themeColor="text1"/>
          <w:kern w:val="0"/>
          <w:sz w:val="21"/>
          <w:szCs w:val="21"/>
          <w:highlight w:val="none"/>
          <w14:textFill>
            <w14:solidFill>
              <w14:schemeClr w14:val="tx1"/>
            </w14:solidFill>
          </w14:textFill>
        </w:rPr>
        <w:t>表2.7-</w:t>
      </w:r>
      <w:r>
        <w:rPr>
          <w:rFonts w:hint="eastAsia" w:eastAsia="黑体" w:cs="Times New Roman"/>
          <w:color w:val="000000" w:themeColor="text1"/>
          <w:kern w:val="0"/>
          <w:sz w:val="21"/>
          <w:szCs w:val="21"/>
          <w:highlight w:val="none"/>
          <w:lang w:val="en-US" w:eastAsia="zh-CN"/>
          <w14:textFill>
            <w14:solidFill>
              <w14:schemeClr w14:val="tx1"/>
            </w14:solidFill>
          </w14:textFill>
        </w:rPr>
        <w:t>8</w:t>
      </w:r>
      <w:r>
        <w:rPr>
          <w:rFonts w:eastAsia="黑体" w:cs="Times New Roman"/>
          <w:color w:val="000000" w:themeColor="text1"/>
          <w:kern w:val="0"/>
          <w:sz w:val="21"/>
          <w:szCs w:val="21"/>
          <w:highlight w:val="none"/>
          <w14:textFill>
            <w14:solidFill>
              <w14:schemeClr w14:val="tx1"/>
            </w14:solidFill>
          </w14:textFill>
        </w:rPr>
        <w:t xml:space="preserve">  与《达州市矿产资源总体规划（2021-2025年）》符合性分析表</w:t>
      </w:r>
    </w:p>
    <w:tbl>
      <w:tblPr>
        <w:tblStyle w:val="41"/>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5239"/>
        <w:gridCol w:w="2124"/>
        <w:gridCol w:w="8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keepNext w:val="0"/>
              <w:keepLines w:val="0"/>
              <w:suppressLineNumbers w:val="0"/>
              <w:spacing w:before="0" w:beforeAutospacing="0" w:after="0" w:afterAutospacing="0" w:line="240" w:lineRule="auto"/>
              <w:ind w:left="0" w:right="0" w:firstLine="0" w:firstLineChars="0"/>
              <w:jc w:val="center"/>
              <w:rPr>
                <w:rFonts w:hint="default" w:cs="Times New Roman"/>
                <w:b/>
                <w:bCs/>
                <w:color w:val="000000" w:themeColor="text1"/>
                <w:sz w:val="21"/>
                <w:szCs w:val="21"/>
                <w:highlight w:val="none"/>
                <w14:textFill>
                  <w14:solidFill>
                    <w14:schemeClr w14:val="tx1"/>
                  </w14:solidFill>
                </w14:textFill>
              </w:rPr>
            </w:pPr>
            <w:r>
              <w:rPr>
                <w:rFonts w:hint="default" w:cs="Times New Roman"/>
                <w:b/>
                <w:bCs/>
                <w:color w:val="000000" w:themeColor="text1"/>
                <w:sz w:val="21"/>
                <w:szCs w:val="21"/>
                <w:highlight w:val="none"/>
                <w14:textFill>
                  <w14:solidFill>
                    <w14:schemeClr w14:val="tx1"/>
                  </w14:solidFill>
                </w14:textFill>
              </w:rPr>
              <w:t>文件内容</w:t>
            </w:r>
          </w:p>
        </w:tc>
        <w:tc>
          <w:tcPr>
            <w:tcW w:w="1292" w:type="pct"/>
            <w:tcMar>
              <w:left w:w="57" w:type="dxa"/>
              <w:right w:w="57" w:type="dxa"/>
            </w:tcMar>
            <w:vAlign w:val="center"/>
          </w:tcPr>
          <w:p>
            <w:pPr>
              <w:keepNext w:val="0"/>
              <w:keepLines w:val="0"/>
              <w:suppressLineNumbers w:val="0"/>
              <w:spacing w:before="0" w:beforeAutospacing="0" w:after="0" w:afterAutospacing="0" w:line="240" w:lineRule="auto"/>
              <w:ind w:left="0" w:right="0" w:firstLine="0" w:firstLineChars="0"/>
              <w:jc w:val="center"/>
              <w:rPr>
                <w:rFonts w:hint="default" w:cs="Times New Roman"/>
                <w:b/>
                <w:bCs/>
                <w:color w:val="000000" w:themeColor="text1"/>
                <w:sz w:val="21"/>
                <w:szCs w:val="21"/>
                <w:highlight w:val="none"/>
                <w14:textFill>
                  <w14:solidFill>
                    <w14:schemeClr w14:val="tx1"/>
                  </w14:solidFill>
                </w14:textFill>
              </w:rPr>
            </w:pPr>
            <w:r>
              <w:rPr>
                <w:rFonts w:hint="default" w:cs="Times New Roman"/>
                <w:b/>
                <w:bCs/>
                <w:color w:val="000000" w:themeColor="text1"/>
                <w:sz w:val="21"/>
                <w:szCs w:val="21"/>
                <w:highlight w:val="none"/>
                <w14:textFill>
                  <w14:solidFill>
                    <w14:schemeClr w14:val="tx1"/>
                  </w14:solidFill>
                </w14:textFill>
              </w:rPr>
              <w:t>本项目情况</w:t>
            </w:r>
          </w:p>
        </w:tc>
        <w:tc>
          <w:tcPr>
            <w:tcW w:w="521" w:type="pct"/>
            <w:tcMar>
              <w:left w:w="57" w:type="dxa"/>
              <w:right w:w="57" w:type="dxa"/>
            </w:tcMar>
            <w:vAlign w:val="center"/>
          </w:tcPr>
          <w:p>
            <w:pPr>
              <w:keepNext w:val="0"/>
              <w:keepLines w:val="0"/>
              <w:suppressLineNumbers w:val="0"/>
              <w:spacing w:before="0" w:beforeAutospacing="0" w:after="0" w:afterAutospacing="0" w:line="240" w:lineRule="auto"/>
              <w:ind w:left="0" w:right="0" w:firstLine="0" w:firstLineChars="0"/>
              <w:jc w:val="center"/>
              <w:rPr>
                <w:rFonts w:hint="default" w:cs="Times New Roman"/>
                <w:b/>
                <w:bCs/>
                <w:color w:val="000000" w:themeColor="text1"/>
                <w:sz w:val="21"/>
                <w:szCs w:val="21"/>
                <w:highlight w:val="none"/>
                <w14:textFill>
                  <w14:solidFill>
                    <w14:schemeClr w14:val="tx1"/>
                  </w14:solidFill>
                </w14:textFill>
              </w:rPr>
            </w:pPr>
            <w:r>
              <w:rPr>
                <w:rFonts w:hint="default" w:cs="Times New Roman"/>
                <w:b/>
                <w:bCs/>
                <w:color w:val="000000" w:themeColor="text1"/>
                <w:sz w:val="21"/>
                <w:szCs w:val="21"/>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keepNext w:val="0"/>
              <w:keepLines w:val="0"/>
              <w:suppressLineNumbers w:val="0"/>
              <w:spacing w:before="0" w:beforeAutospacing="0" w:after="0" w:afterAutospacing="0" w:line="240" w:lineRule="auto"/>
              <w:ind w:left="0" w:right="0" w:firstLine="0" w:firstLineChars="0"/>
              <w:jc w:val="center"/>
              <w:rPr>
                <w:rFonts w:hint="default" w:cs="Times New Roman"/>
                <w:color w:val="000000" w:themeColor="text1"/>
                <w:sz w:val="21"/>
                <w:szCs w:val="21"/>
                <w:highlight w:val="none"/>
                <w14:textFill>
                  <w14:solidFill>
                    <w14:schemeClr w14:val="tx1"/>
                  </w14:solidFill>
                </w14:textFill>
              </w:rPr>
            </w:pPr>
            <w:r>
              <w:rPr>
                <w:rFonts w:hint="default" w:cs="Times New Roman"/>
                <w:color w:val="000000" w:themeColor="text1"/>
                <w:sz w:val="21"/>
                <w:szCs w:val="21"/>
                <w:highlight w:val="none"/>
                <w14:textFill>
                  <w14:solidFill>
                    <w14:schemeClr w14:val="tx1"/>
                  </w14:solidFill>
                </w14:textFill>
              </w:rPr>
              <w:t>···到2025年，实现天然气、煤、石灰岩、地热等矿产资源储量稳步增长···</w:t>
            </w:r>
          </w:p>
        </w:tc>
        <w:tc>
          <w:tcPr>
            <w:tcW w:w="1292" w:type="pct"/>
            <w:vMerge w:val="restart"/>
            <w:tcMar>
              <w:left w:w="57" w:type="dxa"/>
              <w:right w:w="57" w:type="dxa"/>
            </w:tcMar>
            <w:vAlign w:val="center"/>
          </w:tcPr>
          <w:p>
            <w:pPr>
              <w:keepNext w:val="0"/>
              <w:keepLines w:val="0"/>
              <w:suppressLineNumbers w:val="0"/>
              <w:spacing w:before="0" w:beforeAutospacing="0" w:after="0" w:afterAutospacing="0" w:line="240" w:lineRule="auto"/>
              <w:ind w:left="0" w:right="0" w:firstLine="0" w:firstLineChars="0"/>
              <w:jc w:val="center"/>
              <w:rPr>
                <w:rFonts w:hint="default" w:cs="Times New Roman"/>
                <w:color w:val="000000" w:themeColor="text1"/>
                <w:sz w:val="21"/>
                <w:szCs w:val="21"/>
                <w:highlight w:val="none"/>
                <w14:textFill>
                  <w14:solidFill>
                    <w14:schemeClr w14:val="tx1"/>
                  </w14:solidFill>
                </w14:textFill>
              </w:rPr>
            </w:pPr>
            <w:r>
              <w:rPr>
                <w:rFonts w:hint="default" w:cs="Times New Roman"/>
                <w:color w:val="000000" w:themeColor="text1"/>
                <w:sz w:val="21"/>
                <w:szCs w:val="21"/>
                <w:highlight w:val="none"/>
                <w14:textFill>
                  <w14:solidFill>
                    <w14:schemeClr w14:val="tx1"/>
                  </w14:solidFill>
                </w14:textFill>
              </w:rPr>
              <w:t>本</w:t>
            </w:r>
            <w:r>
              <w:rPr>
                <w:rFonts w:hint="default" w:ascii="Times New Roman" w:hAnsi="Times New Roman" w:eastAsia="宋体" w:cs="Times New Roman"/>
                <w:color w:val="000000" w:themeColor="text1"/>
                <w:sz w:val="21"/>
                <w:szCs w:val="21"/>
                <w:highlight w:val="none"/>
                <w14:textFill>
                  <w14:solidFill>
                    <w14:schemeClr w14:val="tx1"/>
                  </w14:solidFill>
                </w14:textFill>
              </w:rPr>
              <w:t>项目属于</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天然气试采项目（</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页岩气）</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eastAsia" w:ascii="Times New Roman" w:hAnsi="Times New Roman" w:eastAsia="宋体" w:cs="Times New Roman"/>
                <w:color w:val="000000" w:themeColor="text1"/>
                <w:sz w:val="21"/>
                <w:szCs w:val="21"/>
                <w:highlight w:val="none"/>
                <w14:textFill>
                  <w14:solidFill>
                    <w14:schemeClr w14:val="tx1"/>
                  </w14:solidFill>
                </w14:textFill>
              </w:rPr>
              <w:t>试采站位于达州市宣汉县</w:t>
            </w:r>
            <w:r>
              <w:rPr>
                <w:rFonts w:hint="eastAsia" w:cs="Times New Roman"/>
                <w:color w:val="000000" w:themeColor="text1"/>
                <w:sz w:val="21"/>
                <w:szCs w:val="21"/>
                <w:highlight w:val="none"/>
                <w:lang w:eastAsia="zh-CN"/>
                <w14:textFill>
                  <w14:solidFill>
                    <w14:schemeClr w14:val="tx1"/>
                  </w14:solidFill>
                </w14:textFill>
              </w:rPr>
              <w:t>**</w:t>
            </w:r>
            <w:r>
              <w:rPr>
                <w:rFonts w:hint="eastAsia" w:ascii="Times New Roman" w:hAnsi="Times New Roman" w:eastAsia="宋体" w:cs="Times New Roman"/>
                <w:color w:val="000000" w:themeColor="text1"/>
                <w:sz w:val="21"/>
                <w:szCs w:val="21"/>
                <w:highlight w:val="none"/>
                <w14:textFill>
                  <w14:solidFill>
                    <w14:schemeClr w14:val="tx1"/>
                  </w14:solidFill>
                </w14:textFill>
              </w:rPr>
              <w:t>，外输管线涉及达州市宣汉县</w:t>
            </w:r>
            <w:r>
              <w:rPr>
                <w:rFonts w:hint="eastAsia" w:cs="Times New Roman"/>
                <w:color w:val="000000" w:themeColor="text1"/>
                <w:sz w:val="21"/>
                <w:szCs w:val="21"/>
                <w:highlight w:val="none"/>
                <w:lang w:eastAsia="zh-CN"/>
                <w14:textFill>
                  <w14:solidFill>
                    <w14:schemeClr w14:val="tx1"/>
                  </w14:solidFill>
                </w14:textFill>
              </w:rPr>
              <w:t>**</w:t>
            </w:r>
            <w:r>
              <w:rPr>
                <w:rFonts w:hint="eastAsia" w:ascii="Times New Roman" w:hAnsi="Times New Roman" w:eastAsia="宋体" w:cs="Times New Roman"/>
                <w:color w:val="000000" w:themeColor="text1"/>
                <w:sz w:val="21"/>
                <w:szCs w:val="21"/>
                <w:highlight w:val="none"/>
                <w14:textFill>
                  <w14:solidFill>
                    <w14:schemeClr w14:val="tx1"/>
                  </w14:solidFill>
                </w14:textFill>
              </w:rPr>
              <w:t>、红岭镇（原红岭乡）和达州市通川区魏兴镇</w:t>
            </w:r>
          </w:p>
        </w:tc>
        <w:tc>
          <w:tcPr>
            <w:tcW w:w="521" w:type="pct"/>
            <w:tcMar>
              <w:left w:w="57" w:type="dxa"/>
              <w:right w:w="57" w:type="dxa"/>
            </w:tcMar>
            <w:vAlign w:val="center"/>
          </w:tcPr>
          <w:p>
            <w:pPr>
              <w:keepNext w:val="0"/>
              <w:keepLines w:val="0"/>
              <w:suppressLineNumbers w:val="0"/>
              <w:spacing w:before="0" w:beforeAutospacing="0" w:after="0" w:afterAutospacing="0" w:line="240" w:lineRule="auto"/>
              <w:ind w:left="0" w:right="0" w:firstLine="0" w:firstLineChars="0"/>
              <w:jc w:val="center"/>
              <w:rPr>
                <w:rFonts w:hint="default" w:cs="Times New Roman"/>
                <w:color w:val="000000" w:themeColor="text1"/>
                <w:sz w:val="21"/>
                <w:szCs w:val="21"/>
                <w:highlight w:val="none"/>
                <w14:textFill>
                  <w14:solidFill>
                    <w14:schemeClr w14:val="tx1"/>
                  </w14:solidFill>
                </w14:textFill>
              </w:rPr>
            </w:pPr>
            <w:r>
              <w:rPr>
                <w:rFonts w:hint="default"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keepNext w:val="0"/>
              <w:keepLines w:val="0"/>
              <w:suppressLineNumbers w:val="0"/>
              <w:spacing w:before="0" w:beforeAutospacing="0" w:after="0" w:afterAutospacing="0" w:line="240" w:lineRule="auto"/>
              <w:ind w:left="0" w:right="0" w:firstLine="0" w:firstLineChars="0"/>
              <w:jc w:val="center"/>
              <w:rPr>
                <w:rFonts w:hint="default" w:cs="Times New Roman"/>
                <w:color w:val="000000" w:themeColor="text1"/>
                <w:sz w:val="21"/>
                <w:szCs w:val="21"/>
                <w:highlight w:val="none"/>
                <w14:textFill>
                  <w14:solidFill>
                    <w14:schemeClr w14:val="tx1"/>
                  </w14:solidFill>
                </w14:textFill>
              </w:rPr>
            </w:pPr>
            <w:r>
              <w:rPr>
                <w:rFonts w:hint="default" w:cs="Times New Roman"/>
                <w:color w:val="000000" w:themeColor="text1"/>
                <w:sz w:val="21"/>
                <w:szCs w:val="21"/>
                <w:highlight w:val="none"/>
                <w14:textFill>
                  <w14:solidFill>
                    <w14:schemeClr w14:val="tx1"/>
                  </w14:solidFill>
                </w14:textFill>
              </w:rPr>
              <w:t>到2035年，实现天然气（页岩气）找矿取得重大突破，加快建设万达开天然气锂钾综合利用集聚区，打造天然气、锂钾等千亿级特色产业集群，推进砂石资源基地建设</w:t>
            </w:r>
          </w:p>
        </w:tc>
        <w:tc>
          <w:tcPr>
            <w:tcW w:w="1292" w:type="pct"/>
            <w:vMerge w:val="continue"/>
            <w:tcMar>
              <w:left w:w="57" w:type="dxa"/>
              <w:right w:w="57" w:type="dxa"/>
            </w:tcMar>
            <w:vAlign w:val="center"/>
          </w:tcPr>
          <w:p>
            <w:pPr>
              <w:keepNext w:val="0"/>
              <w:keepLines w:val="0"/>
              <w:suppressLineNumbers w:val="0"/>
              <w:spacing w:before="0" w:beforeAutospacing="0" w:after="0" w:afterAutospacing="0" w:line="240" w:lineRule="auto"/>
              <w:ind w:left="0" w:right="0" w:firstLine="0" w:firstLineChars="0"/>
              <w:jc w:val="center"/>
              <w:rPr>
                <w:rFonts w:hint="default" w:cs="Times New Roman"/>
                <w:color w:val="000000" w:themeColor="text1"/>
                <w:sz w:val="21"/>
                <w:szCs w:val="21"/>
                <w:highlight w:val="none"/>
                <w14:textFill>
                  <w14:solidFill>
                    <w14:schemeClr w14:val="tx1"/>
                  </w14:solidFill>
                </w14:textFill>
              </w:rPr>
            </w:pPr>
          </w:p>
        </w:tc>
        <w:tc>
          <w:tcPr>
            <w:tcW w:w="521" w:type="pct"/>
            <w:tcMar>
              <w:left w:w="57" w:type="dxa"/>
              <w:right w:w="57" w:type="dxa"/>
            </w:tcMar>
            <w:vAlign w:val="center"/>
          </w:tcPr>
          <w:p>
            <w:pPr>
              <w:keepNext w:val="0"/>
              <w:keepLines w:val="0"/>
              <w:suppressLineNumbers w:val="0"/>
              <w:spacing w:before="0" w:beforeAutospacing="0" w:after="0" w:afterAutospacing="0" w:line="240" w:lineRule="auto"/>
              <w:ind w:left="0" w:right="0" w:firstLine="0" w:firstLineChars="0"/>
              <w:jc w:val="center"/>
              <w:rPr>
                <w:rFonts w:hint="default" w:cs="Times New Roman"/>
                <w:color w:val="000000" w:themeColor="text1"/>
                <w:sz w:val="21"/>
                <w:szCs w:val="21"/>
                <w:highlight w:val="none"/>
                <w14:textFill>
                  <w14:solidFill>
                    <w14:schemeClr w14:val="tx1"/>
                  </w14:solidFill>
                </w14:textFill>
              </w:rPr>
            </w:pPr>
            <w:r>
              <w:rPr>
                <w:rFonts w:hint="default"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keepNext w:val="0"/>
              <w:keepLines w:val="0"/>
              <w:suppressLineNumbers w:val="0"/>
              <w:spacing w:before="0" w:beforeAutospacing="0" w:after="0" w:afterAutospacing="0" w:line="240" w:lineRule="auto"/>
              <w:ind w:left="0" w:right="0" w:firstLine="0" w:firstLineChars="0"/>
              <w:jc w:val="center"/>
              <w:rPr>
                <w:rFonts w:hint="default" w:cs="Times New Roman"/>
                <w:color w:val="000000" w:themeColor="text1"/>
                <w:sz w:val="21"/>
                <w:szCs w:val="21"/>
                <w:highlight w:val="none"/>
                <w14:textFill>
                  <w14:solidFill>
                    <w14:schemeClr w14:val="tx1"/>
                  </w14:solidFill>
                </w14:textFill>
              </w:rPr>
            </w:pPr>
            <w:r>
              <w:rPr>
                <w:rFonts w:hint="default" w:cs="Times New Roman"/>
                <w:color w:val="000000" w:themeColor="text1"/>
                <w:sz w:val="21"/>
                <w:szCs w:val="21"/>
                <w:highlight w:val="none"/>
                <w14:textFill>
                  <w14:solidFill>
                    <w14:schemeClr w14:val="tx1"/>
                  </w14:solidFill>
                </w14:textFill>
              </w:rPr>
              <w:t>重点开采矿种：天然气、炼焦用煤、地热、石灰岩、砂岩及钾盐。在符合准入条件的前提下，优先出让采矿权，适度扩大开发规模，提高资源供应能力</w:t>
            </w:r>
          </w:p>
        </w:tc>
        <w:tc>
          <w:tcPr>
            <w:tcW w:w="1292" w:type="pct"/>
            <w:vMerge w:val="continue"/>
            <w:tcMar>
              <w:left w:w="57" w:type="dxa"/>
              <w:right w:w="57" w:type="dxa"/>
            </w:tcMar>
            <w:vAlign w:val="center"/>
          </w:tcPr>
          <w:p>
            <w:pPr>
              <w:keepNext w:val="0"/>
              <w:keepLines w:val="0"/>
              <w:suppressLineNumbers w:val="0"/>
              <w:spacing w:before="0" w:beforeAutospacing="0" w:after="0" w:afterAutospacing="0" w:line="240" w:lineRule="auto"/>
              <w:ind w:left="0" w:right="0" w:firstLine="0" w:firstLineChars="0"/>
              <w:jc w:val="center"/>
              <w:rPr>
                <w:rFonts w:hint="default" w:cs="Times New Roman"/>
                <w:color w:val="000000" w:themeColor="text1"/>
                <w:sz w:val="21"/>
                <w:szCs w:val="21"/>
                <w:highlight w:val="none"/>
                <w14:textFill>
                  <w14:solidFill>
                    <w14:schemeClr w14:val="tx1"/>
                  </w14:solidFill>
                </w14:textFill>
              </w:rPr>
            </w:pPr>
          </w:p>
        </w:tc>
        <w:tc>
          <w:tcPr>
            <w:tcW w:w="521" w:type="pct"/>
            <w:tcMar>
              <w:left w:w="57" w:type="dxa"/>
              <w:right w:w="57" w:type="dxa"/>
            </w:tcMar>
            <w:vAlign w:val="center"/>
          </w:tcPr>
          <w:p>
            <w:pPr>
              <w:keepNext w:val="0"/>
              <w:keepLines w:val="0"/>
              <w:suppressLineNumbers w:val="0"/>
              <w:spacing w:before="0" w:beforeAutospacing="0" w:after="0" w:afterAutospacing="0" w:line="240" w:lineRule="auto"/>
              <w:ind w:left="0" w:right="0" w:firstLine="0" w:firstLineChars="0"/>
              <w:jc w:val="center"/>
              <w:rPr>
                <w:rFonts w:hint="default" w:cs="Times New Roman"/>
                <w:color w:val="000000" w:themeColor="text1"/>
                <w:sz w:val="21"/>
                <w:szCs w:val="21"/>
                <w:highlight w:val="none"/>
                <w14:textFill>
                  <w14:solidFill>
                    <w14:schemeClr w14:val="tx1"/>
                  </w14:solidFill>
                </w14:textFill>
              </w:rPr>
            </w:pPr>
            <w:r>
              <w:rPr>
                <w:rFonts w:hint="default"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keepNext w:val="0"/>
              <w:keepLines w:val="0"/>
              <w:suppressLineNumbers w:val="0"/>
              <w:spacing w:before="0" w:beforeAutospacing="0" w:after="0" w:afterAutospacing="0" w:line="240" w:lineRule="auto"/>
              <w:ind w:left="0" w:right="0" w:firstLine="0" w:firstLineChars="0"/>
              <w:jc w:val="center"/>
              <w:rPr>
                <w:rFonts w:hint="default" w:cs="Times New Roman"/>
                <w:color w:val="000000" w:themeColor="text1"/>
                <w:sz w:val="21"/>
                <w:szCs w:val="21"/>
                <w:highlight w:val="none"/>
                <w14:textFill>
                  <w14:solidFill>
                    <w14:schemeClr w14:val="tx1"/>
                  </w14:solidFill>
                </w14:textFill>
              </w:rPr>
            </w:pPr>
            <w:r>
              <w:rPr>
                <w:rFonts w:hint="default" w:cs="Times New Roman"/>
                <w:color w:val="000000" w:themeColor="text1"/>
                <w:sz w:val="21"/>
                <w:szCs w:val="21"/>
                <w:highlight w:val="none"/>
                <w14:textFill>
                  <w14:solidFill>
                    <w14:schemeClr w14:val="tx1"/>
                  </w14:solidFill>
                </w14:textFill>
              </w:rPr>
              <w:t>中部能源化工勘查开发区。包括宣汉县、开江县。加强天然气、页岩气勘探开发，提升天然气资源综合利用水平</w:t>
            </w:r>
          </w:p>
        </w:tc>
        <w:tc>
          <w:tcPr>
            <w:tcW w:w="1292" w:type="pct"/>
            <w:vMerge w:val="continue"/>
            <w:tcMar>
              <w:left w:w="57" w:type="dxa"/>
              <w:right w:w="57" w:type="dxa"/>
            </w:tcMar>
            <w:vAlign w:val="center"/>
          </w:tcPr>
          <w:p>
            <w:pPr>
              <w:keepNext w:val="0"/>
              <w:keepLines w:val="0"/>
              <w:suppressLineNumbers w:val="0"/>
              <w:spacing w:before="0" w:beforeAutospacing="0" w:after="0" w:afterAutospacing="0" w:line="240" w:lineRule="auto"/>
              <w:ind w:left="0" w:right="0" w:firstLine="0" w:firstLineChars="0"/>
              <w:jc w:val="center"/>
              <w:rPr>
                <w:rFonts w:hint="default" w:cs="Times New Roman"/>
                <w:color w:val="000000" w:themeColor="text1"/>
                <w:sz w:val="21"/>
                <w:szCs w:val="21"/>
                <w:highlight w:val="none"/>
                <w14:textFill>
                  <w14:solidFill>
                    <w14:schemeClr w14:val="tx1"/>
                  </w14:solidFill>
                </w14:textFill>
              </w:rPr>
            </w:pPr>
          </w:p>
        </w:tc>
        <w:tc>
          <w:tcPr>
            <w:tcW w:w="521" w:type="pct"/>
            <w:tcMar>
              <w:left w:w="57" w:type="dxa"/>
              <w:right w:w="57" w:type="dxa"/>
            </w:tcMar>
            <w:vAlign w:val="center"/>
          </w:tcPr>
          <w:p>
            <w:pPr>
              <w:keepNext w:val="0"/>
              <w:keepLines w:val="0"/>
              <w:suppressLineNumbers w:val="0"/>
              <w:spacing w:before="0" w:beforeAutospacing="0" w:after="0" w:afterAutospacing="0" w:line="240" w:lineRule="auto"/>
              <w:ind w:left="0" w:right="0" w:firstLine="0" w:firstLineChars="0"/>
              <w:jc w:val="center"/>
              <w:rPr>
                <w:rFonts w:hint="default" w:cs="Times New Roman"/>
                <w:color w:val="000000" w:themeColor="text1"/>
                <w:sz w:val="21"/>
                <w:szCs w:val="21"/>
                <w:highlight w:val="none"/>
                <w14:textFill>
                  <w14:solidFill>
                    <w14:schemeClr w14:val="tx1"/>
                  </w14:solidFill>
                </w14:textFill>
              </w:rPr>
            </w:pPr>
            <w:r>
              <w:rPr>
                <w:rFonts w:hint="default" w:cs="Times New Roman"/>
                <w:color w:val="000000" w:themeColor="text1"/>
                <w:sz w:val="21"/>
                <w:szCs w:val="21"/>
                <w:highlight w:val="none"/>
                <w14:textFill>
                  <w14:solidFill>
                    <w14:schemeClr w14:val="tx1"/>
                  </w14:solidFill>
                </w14:textFill>
              </w:rPr>
              <w:t>符合</w:t>
            </w:r>
          </w:p>
        </w:tc>
      </w:tr>
    </w:tbl>
    <w:p>
      <w:pPr>
        <w:tabs>
          <w:tab w:val="left" w:pos="0"/>
        </w:tabs>
        <w:spacing w:before="163" w:beforeLines="50"/>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综上所述，本项目符合《达州市矿产资源总体规划（2021-2025年）》要求。</w:t>
      </w:r>
    </w:p>
    <w:p>
      <w:pPr>
        <w:tabs>
          <w:tab w:val="left" w:pos="0"/>
        </w:tabs>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（5）与《宣汉县矿产资源总体规划（2021-2025年）》的符合性分析</w:t>
      </w:r>
    </w:p>
    <w:p>
      <w:pPr>
        <w:tabs>
          <w:tab w:val="left" w:pos="0"/>
        </w:tabs>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本项目与《宣汉县矿产资源总体规划（2021-2025年）》符合性分析见下表。</w:t>
      </w:r>
    </w:p>
    <w:p>
      <w:pPr>
        <w:widowControl/>
        <w:tabs>
          <w:tab w:val="left" w:pos="863"/>
        </w:tabs>
        <w:adjustRightInd/>
        <w:snapToGrid/>
        <w:spacing w:line="240" w:lineRule="auto"/>
        <w:ind w:firstLine="0" w:firstLineChars="0"/>
        <w:jc w:val="center"/>
        <w:rPr>
          <w:rFonts w:eastAsia="黑体" w:cs="Times New Roman"/>
          <w:color w:val="000000" w:themeColor="text1"/>
          <w:kern w:val="0"/>
          <w:sz w:val="21"/>
          <w:szCs w:val="21"/>
          <w:highlight w:val="none"/>
          <w14:textFill>
            <w14:solidFill>
              <w14:schemeClr w14:val="tx1"/>
            </w14:solidFill>
          </w14:textFill>
        </w:rPr>
      </w:pPr>
      <w:r>
        <w:rPr>
          <w:rFonts w:eastAsia="黑体" w:cs="Times New Roman"/>
          <w:color w:val="000000" w:themeColor="text1"/>
          <w:kern w:val="0"/>
          <w:sz w:val="21"/>
          <w:szCs w:val="21"/>
          <w:highlight w:val="none"/>
          <w14:textFill>
            <w14:solidFill>
              <w14:schemeClr w14:val="tx1"/>
            </w14:solidFill>
          </w14:textFill>
        </w:rPr>
        <w:t>表</w:t>
      </w:r>
      <w:r>
        <w:rPr>
          <w:rFonts w:eastAsia="黑体" w:cs="Times New Roman"/>
          <w:color w:val="000000" w:themeColor="text1"/>
          <w:kern w:val="0"/>
          <w:sz w:val="21"/>
          <w:szCs w:val="21"/>
          <w:highlight w:val="none"/>
          <w14:textFill>
            <w14:solidFill>
              <w14:schemeClr w14:val="tx1"/>
            </w14:solidFill>
          </w14:textFill>
        </w:rPr>
        <w:fldChar w:fldCharType="begin"/>
      </w:r>
      <w:r>
        <w:rPr>
          <w:rFonts w:eastAsia="黑体" w:cs="Times New Roman"/>
          <w:color w:val="000000" w:themeColor="text1"/>
          <w:kern w:val="0"/>
          <w:sz w:val="21"/>
          <w:szCs w:val="21"/>
          <w:highlight w:val="none"/>
          <w14:textFill>
            <w14:solidFill>
              <w14:schemeClr w14:val="tx1"/>
            </w14:solidFill>
          </w14:textFill>
        </w:rPr>
        <w:instrText xml:space="preserve"> STYLEREF 2 \s </w:instrText>
      </w:r>
      <w:r>
        <w:rPr>
          <w:rFonts w:eastAsia="黑体" w:cs="Times New Roman"/>
          <w:color w:val="000000" w:themeColor="text1"/>
          <w:kern w:val="0"/>
          <w:sz w:val="21"/>
          <w:szCs w:val="21"/>
          <w:highlight w:val="none"/>
          <w14:textFill>
            <w14:solidFill>
              <w14:schemeClr w14:val="tx1"/>
            </w14:solidFill>
          </w14:textFill>
        </w:rPr>
        <w:fldChar w:fldCharType="separate"/>
      </w:r>
      <w:r>
        <w:rPr>
          <w:rFonts w:eastAsia="黑体" w:cs="Times New Roman"/>
          <w:color w:val="000000" w:themeColor="text1"/>
          <w:kern w:val="0"/>
          <w:sz w:val="21"/>
          <w:szCs w:val="21"/>
          <w:highlight w:val="none"/>
          <w14:textFill>
            <w14:solidFill>
              <w14:schemeClr w14:val="tx1"/>
            </w14:solidFill>
          </w14:textFill>
        </w:rPr>
        <w:t>2.7</w:t>
      </w:r>
      <w:r>
        <w:rPr>
          <w:rFonts w:eastAsia="黑体" w:cs="Times New Roman"/>
          <w:color w:val="000000" w:themeColor="text1"/>
          <w:kern w:val="0"/>
          <w:sz w:val="21"/>
          <w:szCs w:val="21"/>
          <w:highlight w:val="none"/>
          <w14:textFill>
            <w14:solidFill>
              <w14:schemeClr w14:val="tx1"/>
            </w14:solidFill>
          </w14:textFill>
        </w:rPr>
        <w:fldChar w:fldCharType="end"/>
      </w:r>
      <w:r>
        <w:rPr>
          <w:rFonts w:eastAsia="黑体" w:cs="Times New Roman"/>
          <w:color w:val="000000" w:themeColor="text1"/>
          <w:kern w:val="0"/>
          <w:sz w:val="21"/>
          <w:szCs w:val="21"/>
          <w:highlight w:val="none"/>
          <w14:textFill>
            <w14:solidFill>
              <w14:schemeClr w14:val="tx1"/>
            </w14:solidFill>
          </w14:textFill>
        </w:rPr>
        <w:noBreakHyphen/>
      </w:r>
      <w:r>
        <w:rPr>
          <w:rFonts w:hint="eastAsia" w:eastAsia="黑体" w:cs="Times New Roman"/>
          <w:color w:val="000000" w:themeColor="text1"/>
          <w:kern w:val="0"/>
          <w:sz w:val="21"/>
          <w:szCs w:val="21"/>
          <w:highlight w:val="none"/>
          <w:lang w:val="en-US" w:eastAsia="zh-CN"/>
          <w14:textFill>
            <w14:solidFill>
              <w14:schemeClr w14:val="tx1"/>
            </w14:solidFill>
          </w14:textFill>
        </w:rPr>
        <w:t xml:space="preserve">9  </w:t>
      </w:r>
      <w:r>
        <w:rPr>
          <w:rFonts w:eastAsia="黑体" w:cs="Times New Roman"/>
          <w:color w:val="000000" w:themeColor="text1"/>
          <w:kern w:val="0"/>
          <w:sz w:val="21"/>
          <w:szCs w:val="21"/>
          <w:highlight w:val="none"/>
          <w14:textFill>
            <w14:solidFill>
              <w14:schemeClr w14:val="tx1"/>
            </w14:solidFill>
          </w14:textFill>
        </w:rPr>
        <w:t>与《宣汉县矿产资源总体规划（2021-2025年）》符合性分析表</w:t>
      </w:r>
    </w:p>
    <w:tbl>
      <w:tblPr>
        <w:tblStyle w:val="41"/>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5239"/>
        <w:gridCol w:w="2124"/>
        <w:gridCol w:w="8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cs="Times New Roman"/>
                <w:b/>
                <w:bCs/>
                <w:color w:val="000000" w:themeColor="text1"/>
                <w:sz w:val="21"/>
                <w:szCs w:val="20"/>
                <w:highlight w:val="none"/>
                <w14:textFill>
                  <w14:solidFill>
                    <w14:schemeClr w14:val="tx1"/>
                  </w14:solidFill>
                </w14:textFill>
              </w:rPr>
            </w:pPr>
            <w:r>
              <w:rPr>
                <w:rFonts w:hint="default" w:cs="Times New Roman"/>
                <w:b/>
                <w:bCs/>
                <w:color w:val="000000" w:themeColor="text1"/>
                <w:sz w:val="21"/>
                <w:szCs w:val="20"/>
                <w:highlight w:val="none"/>
                <w14:textFill>
                  <w14:solidFill>
                    <w14:schemeClr w14:val="tx1"/>
                  </w14:solidFill>
                </w14:textFill>
              </w:rPr>
              <w:t>文件内容</w:t>
            </w:r>
          </w:p>
        </w:tc>
        <w:tc>
          <w:tcPr>
            <w:tcW w:w="1292" w:type="pct"/>
            <w:tcMar>
              <w:left w:w="57" w:type="dxa"/>
              <w:right w:w="57" w:type="dxa"/>
            </w:tcMar>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cs="Times New Roman"/>
                <w:b/>
                <w:bCs/>
                <w:color w:val="000000" w:themeColor="text1"/>
                <w:sz w:val="21"/>
                <w:szCs w:val="20"/>
                <w:highlight w:val="none"/>
                <w14:textFill>
                  <w14:solidFill>
                    <w14:schemeClr w14:val="tx1"/>
                  </w14:solidFill>
                </w14:textFill>
              </w:rPr>
            </w:pPr>
            <w:r>
              <w:rPr>
                <w:rFonts w:hint="default" w:cs="Times New Roman"/>
                <w:b/>
                <w:bCs/>
                <w:color w:val="000000" w:themeColor="text1"/>
                <w:sz w:val="21"/>
                <w:szCs w:val="20"/>
                <w:highlight w:val="none"/>
                <w14:textFill>
                  <w14:solidFill>
                    <w14:schemeClr w14:val="tx1"/>
                  </w14:solidFill>
                </w14:textFill>
              </w:rPr>
              <w:t>本项目情况</w:t>
            </w:r>
          </w:p>
        </w:tc>
        <w:tc>
          <w:tcPr>
            <w:tcW w:w="521" w:type="pct"/>
            <w:tcMar>
              <w:left w:w="57" w:type="dxa"/>
              <w:right w:w="57" w:type="dxa"/>
            </w:tcMar>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cs="Times New Roman"/>
                <w:b/>
                <w:bCs/>
                <w:color w:val="000000" w:themeColor="text1"/>
                <w:sz w:val="21"/>
                <w:szCs w:val="20"/>
                <w:highlight w:val="none"/>
                <w14:textFill>
                  <w14:solidFill>
                    <w14:schemeClr w14:val="tx1"/>
                  </w14:solidFill>
                </w14:textFill>
              </w:rPr>
            </w:pPr>
            <w:r>
              <w:rPr>
                <w:rFonts w:hint="default" w:cs="Times New Roman"/>
                <w:b/>
                <w:bCs/>
                <w:color w:val="000000" w:themeColor="text1"/>
                <w:sz w:val="21"/>
                <w:szCs w:val="20"/>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keepNext w:val="0"/>
              <w:keepLines w:val="0"/>
              <w:widowControl/>
              <w:suppressLineNumbers w:val="0"/>
              <w:spacing w:before="0" w:beforeAutospacing="0" w:after="0" w:afterAutospacing="0" w:line="240" w:lineRule="auto"/>
              <w:ind w:left="0" w:right="0" w:firstLine="0" w:firstLineChars="0"/>
              <w:jc w:val="left"/>
              <w:rPr>
                <w:rFonts w:hint="default" w:cs="Times New Roman"/>
                <w:color w:val="000000" w:themeColor="text1"/>
                <w:sz w:val="21"/>
                <w:szCs w:val="20"/>
                <w:highlight w:val="none"/>
                <w14:textFill>
                  <w14:solidFill>
                    <w14:schemeClr w14:val="tx1"/>
                  </w14:solidFill>
                </w14:textFill>
              </w:rPr>
            </w:pPr>
            <w:r>
              <w:rPr>
                <w:rFonts w:hint="default" w:cs="Times New Roman"/>
                <w:color w:val="000000" w:themeColor="text1"/>
                <w:sz w:val="21"/>
                <w:szCs w:val="20"/>
                <w:highlight w:val="none"/>
                <w14:textFill>
                  <w14:solidFill>
                    <w14:schemeClr w14:val="tx1"/>
                  </w14:solidFill>
                </w14:textFill>
              </w:rPr>
              <w:t>2035年，实现页岩气找矿重大突破，建成全国首个深部卤水锂钾综合开发示范产业园，打造天然气、锂钾等千亿级特色产业集群。</w:t>
            </w:r>
          </w:p>
        </w:tc>
        <w:tc>
          <w:tcPr>
            <w:tcW w:w="1292" w:type="pct"/>
            <w:vMerge w:val="restart"/>
            <w:tcMar>
              <w:left w:w="57" w:type="dxa"/>
              <w:right w:w="57" w:type="dxa"/>
            </w:tcMar>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cs="Times New Roman"/>
                <w:color w:val="000000" w:themeColor="text1"/>
                <w:sz w:val="21"/>
                <w:szCs w:val="20"/>
                <w:highlight w:val="none"/>
                <w14:textFill>
                  <w14:solidFill>
                    <w14:schemeClr w14:val="tx1"/>
                  </w14:solidFill>
                </w14:textFill>
              </w:rPr>
            </w:pPr>
            <w:r>
              <w:rPr>
                <w:rFonts w:hint="default" w:ascii="Times New Roman" w:hAnsi="Times New Roman" w:cs="Times New Roman"/>
                <w:color w:val="000000" w:themeColor="text1"/>
                <w:sz w:val="21"/>
                <w:szCs w:val="20"/>
                <w:highlight w:val="none"/>
                <w14:textFill>
                  <w14:solidFill>
                    <w14:schemeClr w14:val="tx1"/>
                  </w14:solidFill>
                </w14:textFill>
              </w:rPr>
              <w:t>本项目属于</w:t>
            </w:r>
            <w:r>
              <w:rPr>
                <w:rFonts w:hint="eastAsia" w:ascii="Times New Roman" w:hAnsi="Times New Roman" w:cs="Times New Roman"/>
                <w:color w:val="000000" w:themeColor="text1"/>
                <w:sz w:val="21"/>
                <w:szCs w:val="20"/>
                <w:highlight w:val="none"/>
                <w:lang w:eastAsia="zh-CN"/>
                <w14:textFill>
                  <w14:solidFill>
                    <w14:schemeClr w14:val="tx1"/>
                  </w14:solidFill>
                </w14:textFill>
              </w:rPr>
              <w:t>天然气试采项目（页岩气）</w:t>
            </w:r>
            <w:r>
              <w:rPr>
                <w:rFonts w:hint="default" w:ascii="Times New Roman" w:hAnsi="Times New Roman" w:cs="Times New Roman"/>
                <w:color w:val="000000" w:themeColor="text1"/>
                <w:sz w:val="21"/>
                <w:szCs w:val="20"/>
                <w:highlight w:val="none"/>
                <w14:textFill>
                  <w14:solidFill>
                    <w14:schemeClr w14:val="tx1"/>
                  </w14:solidFill>
                </w14:textFill>
              </w:rPr>
              <w:t>，</w:t>
            </w:r>
            <w:r>
              <w:rPr>
                <w:rFonts w:hint="eastAsia" w:ascii="Times New Roman" w:hAnsi="Times New Roman" w:cs="Times New Roman"/>
                <w:color w:val="000000" w:themeColor="text1"/>
                <w:sz w:val="21"/>
                <w:szCs w:val="20"/>
                <w:highlight w:val="none"/>
                <w:lang w:val="en-US" w:eastAsia="zh-CN"/>
                <w14:textFill>
                  <w14:solidFill>
                    <w14:schemeClr w14:val="tx1"/>
                  </w14:solidFill>
                </w14:textFill>
              </w:rPr>
              <w:t>试采站</w:t>
            </w:r>
            <w:r>
              <w:rPr>
                <w:rFonts w:hint="default" w:ascii="Times New Roman" w:hAnsi="Times New Roman" w:cs="Times New Roman"/>
                <w:color w:val="000000" w:themeColor="text1"/>
                <w:sz w:val="21"/>
                <w:szCs w:val="20"/>
                <w:highlight w:val="none"/>
                <w14:textFill>
                  <w14:solidFill>
                    <w14:schemeClr w14:val="tx1"/>
                  </w14:solidFill>
                </w14:textFill>
              </w:rPr>
              <w:t>位于宣汉县，属于有助于宣汉县境内提升天然气资源综合利用水平的项目</w:t>
            </w:r>
          </w:p>
        </w:tc>
        <w:tc>
          <w:tcPr>
            <w:tcW w:w="521" w:type="pct"/>
            <w:tcMar>
              <w:left w:w="57" w:type="dxa"/>
              <w:right w:w="57" w:type="dxa"/>
            </w:tcMar>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cs="Times New Roman"/>
                <w:color w:val="000000" w:themeColor="text1"/>
                <w:sz w:val="21"/>
                <w:szCs w:val="20"/>
                <w:highlight w:val="none"/>
                <w14:textFill>
                  <w14:solidFill>
                    <w14:schemeClr w14:val="tx1"/>
                  </w14:solidFill>
                </w14:textFill>
              </w:rPr>
            </w:pPr>
            <w:r>
              <w:rPr>
                <w:rFonts w:hint="default" w:cs="Times New Roman"/>
                <w:color w:val="000000" w:themeColor="text1"/>
                <w:sz w:val="21"/>
                <w:szCs w:val="20"/>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keepNext w:val="0"/>
              <w:keepLines w:val="0"/>
              <w:widowControl/>
              <w:suppressLineNumbers w:val="0"/>
              <w:spacing w:before="0" w:beforeAutospacing="0" w:after="0" w:afterAutospacing="0" w:line="240" w:lineRule="auto"/>
              <w:ind w:left="0" w:right="0" w:firstLine="0" w:firstLineChars="0"/>
              <w:jc w:val="left"/>
              <w:rPr>
                <w:rFonts w:hint="default" w:cs="Times New Roman"/>
                <w:color w:val="000000" w:themeColor="text1"/>
                <w:sz w:val="21"/>
                <w:szCs w:val="20"/>
                <w:highlight w:val="none"/>
                <w14:textFill>
                  <w14:solidFill>
                    <w14:schemeClr w14:val="tx1"/>
                  </w14:solidFill>
                </w14:textFill>
              </w:rPr>
            </w:pPr>
            <w:r>
              <w:rPr>
                <w:rFonts w:hint="default" w:cs="Times New Roman"/>
                <w:color w:val="000000" w:themeColor="text1"/>
                <w:sz w:val="21"/>
                <w:szCs w:val="20"/>
                <w:highlight w:val="none"/>
                <w14:textFill>
                  <w14:solidFill>
                    <w14:schemeClr w14:val="tx1"/>
                  </w14:solidFill>
                </w14:textFill>
              </w:rPr>
              <w:t>重点勘查矿种：天然气、钾盐和地热。争取财政投资勘查的同时，引导社会资金投入，争取实现找矿突破。</w:t>
            </w:r>
          </w:p>
        </w:tc>
        <w:tc>
          <w:tcPr>
            <w:tcW w:w="1292" w:type="pct"/>
            <w:vMerge w:val="continue"/>
            <w:tcMar>
              <w:left w:w="57" w:type="dxa"/>
              <w:right w:w="57" w:type="dxa"/>
            </w:tcMar>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cs="Times New Roman"/>
                <w:color w:val="000000" w:themeColor="text1"/>
                <w:sz w:val="21"/>
                <w:szCs w:val="20"/>
                <w:highlight w:val="none"/>
                <w14:textFill>
                  <w14:solidFill>
                    <w14:schemeClr w14:val="tx1"/>
                  </w14:solidFill>
                </w14:textFill>
              </w:rPr>
            </w:pPr>
          </w:p>
        </w:tc>
        <w:tc>
          <w:tcPr>
            <w:tcW w:w="521" w:type="pct"/>
            <w:tcMar>
              <w:left w:w="57" w:type="dxa"/>
              <w:right w:w="57" w:type="dxa"/>
            </w:tcMar>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cs="Times New Roman"/>
                <w:color w:val="000000" w:themeColor="text1"/>
                <w:sz w:val="21"/>
                <w:szCs w:val="20"/>
                <w:highlight w:val="none"/>
                <w14:textFill>
                  <w14:solidFill>
                    <w14:schemeClr w14:val="tx1"/>
                  </w14:solidFill>
                </w14:textFill>
              </w:rPr>
            </w:pPr>
            <w:r>
              <w:rPr>
                <w:rFonts w:hint="default" w:cs="Times New Roman"/>
                <w:color w:val="000000" w:themeColor="text1"/>
                <w:sz w:val="21"/>
                <w:szCs w:val="20"/>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keepNext w:val="0"/>
              <w:keepLines w:val="0"/>
              <w:widowControl/>
              <w:suppressLineNumbers w:val="0"/>
              <w:spacing w:before="0" w:beforeAutospacing="0" w:after="0" w:afterAutospacing="0" w:line="240" w:lineRule="auto"/>
              <w:ind w:left="0" w:right="0" w:firstLine="0" w:firstLineChars="0"/>
              <w:jc w:val="left"/>
              <w:rPr>
                <w:rFonts w:hint="default" w:cs="Times New Roman"/>
                <w:color w:val="000000" w:themeColor="text1"/>
                <w:sz w:val="21"/>
                <w:szCs w:val="20"/>
                <w:highlight w:val="none"/>
                <w14:textFill>
                  <w14:solidFill>
                    <w14:schemeClr w14:val="tx1"/>
                  </w14:solidFill>
                </w14:textFill>
              </w:rPr>
            </w:pPr>
            <w:r>
              <w:rPr>
                <w:rFonts w:hint="default" w:cs="Times New Roman"/>
                <w:color w:val="000000" w:themeColor="text1"/>
                <w:sz w:val="21"/>
                <w:szCs w:val="20"/>
                <w:highlight w:val="none"/>
                <w14:textFill>
                  <w14:solidFill>
                    <w14:schemeClr w14:val="tx1"/>
                  </w14:solidFill>
                </w14:textFill>
              </w:rPr>
              <w:t>充分发挥服务和监督管理职能，积极落实省、市安排宣汉县的矿产地质调查和资源潜力评价工作，主攻矿种为天然气、杂卤石型钾盐和地热，圈定找矿靶区和新发现矿产地。</w:t>
            </w:r>
          </w:p>
        </w:tc>
        <w:tc>
          <w:tcPr>
            <w:tcW w:w="1292" w:type="pct"/>
            <w:vMerge w:val="continue"/>
            <w:tcMar>
              <w:left w:w="57" w:type="dxa"/>
              <w:right w:w="57" w:type="dxa"/>
            </w:tcMar>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cs="Times New Roman"/>
                <w:color w:val="000000" w:themeColor="text1"/>
                <w:sz w:val="21"/>
                <w:szCs w:val="20"/>
                <w:highlight w:val="none"/>
                <w14:textFill>
                  <w14:solidFill>
                    <w14:schemeClr w14:val="tx1"/>
                  </w14:solidFill>
                </w14:textFill>
              </w:rPr>
            </w:pPr>
          </w:p>
        </w:tc>
        <w:tc>
          <w:tcPr>
            <w:tcW w:w="521" w:type="pct"/>
            <w:tcMar>
              <w:left w:w="57" w:type="dxa"/>
              <w:right w:w="57" w:type="dxa"/>
            </w:tcMar>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cs="Times New Roman"/>
                <w:color w:val="000000" w:themeColor="text1"/>
                <w:sz w:val="21"/>
                <w:szCs w:val="20"/>
                <w:highlight w:val="none"/>
                <w14:textFill>
                  <w14:solidFill>
                    <w14:schemeClr w14:val="tx1"/>
                  </w14:solidFill>
                </w14:textFill>
              </w:rPr>
            </w:pPr>
            <w:r>
              <w:rPr>
                <w:rFonts w:hint="default" w:cs="Times New Roman"/>
                <w:color w:val="000000" w:themeColor="text1"/>
                <w:sz w:val="21"/>
                <w:szCs w:val="20"/>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keepNext w:val="0"/>
              <w:keepLines w:val="0"/>
              <w:widowControl/>
              <w:suppressLineNumbers w:val="0"/>
              <w:spacing w:before="0" w:beforeAutospacing="0" w:after="0" w:afterAutospacing="0" w:line="240" w:lineRule="auto"/>
              <w:ind w:left="0" w:right="0" w:firstLine="0" w:firstLineChars="0"/>
              <w:jc w:val="left"/>
              <w:rPr>
                <w:rFonts w:hint="default" w:cs="Times New Roman"/>
                <w:color w:val="000000" w:themeColor="text1"/>
                <w:sz w:val="21"/>
                <w:szCs w:val="20"/>
                <w:highlight w:val="none"/>
                <w14:textFill>
                  <w14:solidFill>
                    <w14:schemeClr w14:val="tx1"/>
                  </w14:solidFill>
                </w14:textFill>
              </w:rPr>
            </w:pPr>
            <w:r>
              <w:rPr>
                <w:rFonts w:hint="default" w:cs="Times New Roman"/>
                <w:color w:val="000000" w:themeColor="text1"/>
                <w:sz w:val="21"/>
                <w:szCs w:val="20"/>
                <w:highlight w:val="none"/>
                <w14:textFill>
                  <w14:solidFill>
                    <w14:schemeClr w14:val="tx1"/>
                  </w14:solidFill>
                </w14:textFill>
              </w:rPr>
              <w:t>重点开采矿种：天然气、地热及钾盐。在符合准入条件下，优先出让采矿权，适度扩大开发规模，提高资源供应能力。天然气采矿权出让及开采应符合国家相关管控要求。</w:t>
            </w:r>
          </w:p>
        </w:tc>
        <w:tc>
          <w:tcPr>
            <w:tcW w:w="1292" w:type="pct"/>
            <w:vMerge w:val="continue"/>
            <w:tcMar>
              <w:left w:w="57" w:type="dxa"/>
              <w:right w:w="57" w:type="dxa"/>
            </w:tcMar>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cs="Times New Roman"/>
                <w:color w:val="000000" w:themeColor="text1"/>
                <w:sz w:val="21"/>
                <w:szCs w:val="20"/>
                <w:highlight w:val="none"/>
                <w14:textFill>
                  <w14:solidFill>
                    <w14:schemeClr w14:val="tx1"/>
                  </w14:solidFill>
                </w14:textFill>
              </w:rPr>
            </w:pPr>
          </w:p>
        </w:tc>
        <w:tc>
          <w:tcPr>
            <w:tcW w:w="521" w:type="pct"/>
            <w:tcMar>
              <w:left w:w="57" w:type="dxa"/>
              <w:right w:w="57" w:type="dxa"/>
            </w:tcMar>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cs="Times New Roman"/>
                <w:color w:val="000000" w:themeColor="text1"/>
                <w:sz w:val="21"/>
                <w:szCs w:val="20"/>
                <w:highlight w:val="none"/>
                <w14:textFill>
                  <w14:solidFill>
                    <w14:schemeClr w14:val="tx1"/>
                  </w14:solidFill>
                </w14:textFill>
              </w:rPr>
            </w:pPr>
            <w:r>
              <w:rPr>
                <w:rFonts w:hint="default" w:cs="Times New Roman"/>
                <w:color w:val="000000" w:themeColor="text1"/>
                <w:sz w:val="21"/>
                <w:szCs w:val="20"/>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keepNext w:val="0"/>
              <w:keepLines w:val="0"/>
              <w:widowControl/>
              <w:suppressLineNumbers w:val="0"/>
              <w:spacing w:before="0" w:beforeAutospacing="0" w:after="0" w:afterAutospacing="0" w:line="240" w:lineRule="auto"/>
              <w:ind w:left="0" w:right="0" w:firstLine="0" w:firstLineChars="0"/>
              <w:jc w:val="left"/>
              <w:rPr>
                <w:rFonts w:hint="default" w:cs="Times New Roman"/>
                <w:color w:val="000000" w:themeColor="text1"/>
                <w:sz w:val="21"/>
                <w:szCs w:val="20"/>
                <w:highlight w:val="none"/>
                <w14:textFill>
                  <w14:solidFill>
                    <w14:schemeClr w14:val="tx1"/>
                  </w14:solidFill>
                </w14:textFill>
              </w:rPr>
            </w:pPr>
            <w:r>
              <w:rPr>
                <w:rFonts w:hint="default" w:cs="Times New Roman"/>
                <w:color w:val="000000" w:themeColor="text1"/>
                <w:sz w:val="21"/>
                <w:szCs w:val="20"/>
                <w:highlight w:val="none"/>
                <w14:textFill>
                  <w14:solidFill>
                    <w14:schemeClr w14:val="tx1"/>
                  </w14:solidFill>
                </w14:textFill>
              </w:rPr>
              <w:t>规划期内，落实四川省安排宣汉县的重点矿种矿产资源调查工程：川南、川东北煤层气调查评价</w:t>
            </w:r>
          </w:p>
        </w:tc>
        <w:tc>
          <w:tcPr>
            <w:tcW w:w="1292" w:type="pct"/>
            <w:vMerge w:val="continue"/>
            <w:tcMar>
              <w:left w:w="57" w:type="dxa"/>
              <w:right w:w="57" w:type="dxa"/>
            </w:tcMar>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cs="Times New Roman"/>
                <w:color w:val="000000" w:themeColor="text1"/>
                <w:sz w:val="21"/>
                <w:szCs w:val="20"/>
                <w:highlight w:val="none"/>
                <w14:textFill>
                  <w14:solidFill>
                    <w14:schemeClr w14:val="tx1"/>
                  </w14:solidFill>
                </w14:textFill>
              </w:rPr>
            </w:pPr>
          </w:p>
        </w:tc>
        <w:tc>
          <w:tcPr>
            <w:tcW w:w="521" w:type="pct"/>
            <w:tcMar>
              <w:left w:w="57" w:type="dxa"/>
              <w:right w:w="57" w:type="dxa"/>
            </w:tcMar>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cs="Times New Roman"/>
                <w:color w:val="000000" w:themeColor="text1"/>
                <w:sz w:val="21"/>
                <w:szCs w:val="20"/>
                <w:highlight w:val="none"/>
                <w14:textFill>
                  <w14:solidFill>
                    <w14:schemeClr w14:val="tx1"/>
                  </w14:solidFill>
                </w14:textFill>
              </w:rPr>
            </w:pPr>
            <w:r>
              <w:rPr>
                <w:rFonts w:hint="default" w:cs="Times New Roman"/>
                <w:color w:val="000000" w:themeColor="text1"/>
                <w:sz w:val="21"/>
                <w:szCs w:val="20"/>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keepNext w:val="0"/>
              <w:keepLines w:val="0"/>
              <w:widowControl/>
              <w:suppressLineNumbers w:val="0"/>
              <w:spacing w:before="0" w:beforeAutospacing="0" w:after="0" w:afterAutospacing="0" w:line="240" w:lineRule="auto"/>
              <w:ind w:left="0" w:right="0" w:firstLine="0" w:firstLineChars="0"/>
              <w:jc w:val="left"/>
              <w:rPr>
                <w:rFonts w:hint="default" w:cs="Times New Roman"/>
                <w:color w:val="000000" w:themeColor="text1"/>
                <w:sz w:val="21"/>
                <w:szCs w:val="20"/>
                <w:highlight w:val="none"/>
                <w14:textFill>
                  <w14:solidFill>
                    <w14:schemeClr w14:val="tx1"/>
                  </w14:solidFill>
                </w14:textFill>
              </w:rPr>
            </w:pPr>
            <w:r>
              <w:rPr>
                <w:rFonts w:hint="default" w:cs="Times New Roman"/>
                <w:color w:val="000000" w:themeColor="text1"/>
                <w:sz w:val="21"/>
                <w:szCs w:val="20"/>
                <w:highlight w:val="none"/>
                <w14:textFill>
                  <w14:solidFill>
                    <w14:schemeClr w14:val="tx1"/>
                  </w14:solidFill>
                </w14:textFill>
              </w:rPr>
              <w:t>稳定推进天然气、钾盐矿产资源勘查，加强矿区外围及深部找矿工作，加强富锂卤水综合利用攻关，提升共伴生矿产综合利用水平。</w:t>
            </w:r>
          </w:p>
        </w:tc>
        <w:tc>
          <w:tcPr>
            <w:tcW w:w="1292" w:type="pct"/>
            <w:vMerge w:val="continue"/>
            <w:tcMar>
              <w:left w:w="57" w:type="dxa"/>
              <w:right w:w="57" w:type="dxa"/>
            </w:tcMar>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cs="Times New Roman"/>
                <w:color w:val="000000" w:themeColor="text1"/>
                <w:sz w:val="21"/>
                <w:szCs w:val="20"/>
                <w:highlight w:val="none"/>
                <w14:textFill>
                  <w14:solidFill>
                    <w14:schemeClr w14:val="tx1"/>
                  </w14:solidFill>
                </w14:textFill>
              </w:rPr>
            </w:pPr>
          </w:p>
        </w:tc>
        <w:tc>
          <w:tcPr>
            <w:tcW w:w="521" w:type="pct"/>
            <w:tcMar>
              <w:left w:w="57" w:type="dxa"/>
              <w:right w:w="57" w:type="dxa"/>
            </w:tcMar>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cs="Times New Roman"/>
                <w:color w:val="000000" w:themeColor="text1"/>
                <w:sz w:val="21"/>
                <w:szCs w:val="20"/>
                <w:highlight w:val="none"/>
                <w14:textFill>
                  <w14:solidFill>
                    <w14:schemeClr w14:val="tx1"/>
                  </w14:solidFill>
                </w14:textFill>
              </w:rPr>
            </w:pPr>
            <w:r>
              <w:rPr>
                <w:rFonts w:hint="default" w:cs="Times New Roman"/>
                <w:color w:val="000000" w:themeColor="text1"/>
                <w:sz w:val="21"/>
                <w:szCs w:val="20"/>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keepNext w:val="0"/>
              <w:keepLines w:val="0"/>
              <w:widowControl/>
              <w:suppressLineNumbers w:val="0"/>
              <w:spacing w:before="0" w:beforeAutospacing="0" w:after="0" w:afterAutospacing="0" w:line="240" w:lineRule="auto"/>
              <w:ind w:left="0" w:right="0" w:firstLine="0" w:firstLineChars="0"/>
              <w:jc w:val="left"/>
              <w:rPr>
                <w:rFonts w:hint="default" w:cs="Times New Roman"/>
                <w:color w:val="000000" w:themeColor="text1"/>
                <w:sz w:val="21"/>
                <w:szCs w:val="20"/>
                <w:highlight w:val="none"/>
                <w14:textFill>
                  <w14:solidFill>
                    <w14:schemeClr w14:val="tx1"/>
                  </w14:solidFill>
                </w14:textFill>
              </w:rPr>
            </w:pPr>
            <w:r>
              <w:rPr>
                <w:rFonts w:hint="default" w:cs="Times New Roman"/>
                <w:color w:val="000000" w:themeColor="text1"/>
                <w:sz w:val="21"/>
                <w:szCs w:val="20"/>
                <w:highlight w:val="none"/>
                <w14:textFill>
                  <w14:solidFill>
                    <w14:schemeClr w14:val="tx1"/>
                  </w14:solidFill>
                </w14:textFill>
              </w:rPr>
              <w:t>实施上级落实宣汉县油气资源调查评价，对区域内天然气成因、物性、分布、规模、质量、演化规律、开发利用条件、经济价值及其在国民经济、社会公益事业中的地位和作用等方面进行的全方位分析、评估和预测。</w:t>
            </w:r>
          </w:p>
        </w:tc>
        <w:tc>
          <w:tcPr>
            <w:tcW w:w="1292" w:type="pct"/>
            <w:vMerge w:val="continue"/>
            <w:tcMar>
              <w:left w:w="57" w:type="dxa"/>
              <w:right w:w="57" w:type="dxa"/>
            </w:tcMar>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cs="Times New Roman"/>
                <w:color w:val="000000" w:themeColor="text1"/>
                <w:sz w:val="21"/>
                <w:szCs w:val="20"/>
                <w:highlight w:val="none"/>
                <w14:textFill>
                  <w14:solidFill>
                    <w14:schemeClr w14:val="tx1"/>
                  </w14:solidFill>
                </w14:textFill>
              </w:rPr>
            </w:pPr>
          </w:p>
        </w:tc>
        <w:tc>
          <w:tcPr>
            <w:tcW w:w="521" w:type="pct"/>
            <w:tcMar>
              <w:left w:w="57" w:type="dxa"/>
              <w:right w:w="57" w:type="dxa"/>
            </w:tcMar>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cs="Times New Roman"/>
                <w:color w:val="000000" w:themeColor="text1"/>
                <w:sz w:val="21"/>
                <w:szCs w:val="20"/>
                <w:highlight w:val="none"/>
                <w14:textFill>
                  <w14:solidFill>
                    <w14:schemeClr w14:val="tx1"/>
                  </w14:solidFill>
                </w14:textFill>
              </w:rPr>
            </w:pPr>
            <w:r>
              <w:rPr>
                <w:rFonts w:hint="default" w:cs="Times New Roman"/>
                <w:color w:val="000000" w:themeColor="text1"/>
                <w:sz w:val="21"/>
                <w:szCs w:val="20"/>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keepNext w:val="0"/>
              <w:keepLines w:val="0"/>
              <w:widowControl/>
              <w:suppressLineNumbers w:val="0"/>
              <w:spacing w:before="0" w:beforeAutospacing="0" w:after="0" w:afterAutospacing="0" w:line="240" w:lineRule="auto"/>
              <w:ind w:left="0" w:right="0" w:firstLine="0" w:firstLineChars="0"/>
              <w:jc w:val="left"/>
              <w:rPr>
                <w:rFonts w:hint="default" w:cs="Times New Roman"/>
                <w:color w:val="000000" w:themeColor="text1"/>
                <w:sz w:val="21"/>
                <w:szCs w:val="20"/>
                <w:highlight w:val="none"/>
                <w14:textFill>
                  <w14:solidFill>
                    <w14:schemeClr w14:val="tx1"/>
                  </w14:solidFill>
                </w14:textFill>
              </w:rPr>
            </w:pPr>
            <w:r>
              <w:rPr>
                <w:rFonts w:hint="default" w:cs="Times New Roman"/>
                <w:color w:val="000000" w:themeColor="text1"/>
                <w:sz w:val="21"/>
                <w:szCs w:val="20"/>
                <w:highlight w:val="none"/>
                <w14:textFill>
                  <w14:solidFill>
                    <w14:schemeClr w14:val="tx1"/>
                  </w14:solidFill>
                </w14:textFill>
              </w:rPr>
              <w:t>中部能源化工勘查开发区。包括宣汉县、开江县。加强天然气、页岩气勘探开发，提升天然气资源综合利用水平</w:t>
            </w:r>
          </w:p>
        </w:tc>
        <w:tc>
          <w:tcPr>
            <w:tcW w:w="1292" w:type="pct"/>
            <w:vMerge w:val="continue"/>
            <w:tcMar>
              <w:left w:w="57" w:type="dxa"/>
              <w:right w:w="57" w:type="dxa"/>
            </w:tcMar>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cs="Times New Roman"/>
                <w:color w:val="000000" w:themeColor="text1"/>
                <w:sz w:val="21"/>
                <w:szCs w:val="20"/>
                <w:highlight w:val="none"/>
                <w14:textFill>
                  <w14:solidFill>
                    <w14:schemeClr w14:val="tx1"/>
                  </w14:solidFill>
                </w14:textFill>
              </w:rPr>
            </w:pPr>
          </w:p>
        </w:tc>
        <w:tc>
          <w:tcPr>
            <w:tcW w:w="521" w:type="pct"/>
            <w:tcMar>
              <w:left w:w="57" w:type="dxa"/>
              <w:right w:w="57" w:type="dxa"/>
            </w:tcMar>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cs="Times New Roman"/>
                <w:color w:val="000000" w:themeColor="text1"/>
                <w:sz w:val="21"/>
                <w:szCs w:val="20"/>
                <w:highlight w:val="none"/>
                <w14:textFill>
                  <w14:solidFill>
                    <w14:schemeClr w14:val="tx1"/>
                  </w14:solidFill>
                </w14:textFill>
              </w:rPr>
            </w:pPr>
            <w:r>
              <w:rPr>
                <w:rFonts w:hint="default" w:cs="Times New Roman"/>
                <w:color w:val="000000" w:themeColor="text1"/>
                <w:sz w:val="21"/>
                <w:szCs w:val="20"/>
                <w:highlight w:val="none"/>
                <w14:textFill>
                  <w14:solidFill>
                    <w14:schemeClr w14:val="tx1"/>
                  </w14:solidFill>
                </w14:textFill>
              </w:rPr>
              <w:t>符合</w:t>
            </w:r>
          </w:p>
        </w:tc>
      </w:tr>
    </w:tbl>
    <w:p>
      <w:pPr>
        <w:pStyle w:val="2"/>
        <w:jc w:val="left"/>
        <w:rPr>
          <w:rFonts w:hint="eastAsia" w:cs="Times New Roman"/>
          <w:color w:val="000000" w:themeColor="text1"/>
          <w:szCs w:val="24"/>
          <w:highlight w:val="none"/>
          <w:lang w:eastAsia="zh-CN"/>
          <w14:textFill>
            <w14:solidFill>
              <w14:schemeClr w14:val="tx1"/>
            </w14:solidFill>
          </w14:textFill>
        </w:rPr>
      </w:pPr>
      <w:r>
        <w:rPr>
          <w:rFonts w:cs="Times New Roman"/>
          <w:color w:val="000000" w:themeColor="text1"/>
          <w:szCs w:val="24"/>
          <w:highlight w:val="none"/>
          <w14:textFill>
            <w14:solidFill>
              <w14:schemeClr w14:val="tx1"/>
            </w14:solidFill>
          </w14:textFill>
        </w:rPr>
        <w:t>综上所述，本项目符合《宣汉县矿产资源总体规划（2021-2025年）》要求</w:t>
      </w:r>
      <w:r>
        <w:rPr>
          <w:rFonts w:hint="eastAsia" w:cs="Times New Roman"/>
          <w:color w:val="000000" w:themeColor="text1"/>
          <w:szCs w:val="24"/>
          <w:highlight w:val="none"/>
          <w:lang w:eastAsia="zh-CN"/>
          <w14:textFill>
            <w14:solidFill>
              <w14:schemeClr w14:val="tx1"/>
            </w14:solidFill>
          </w14:textFill>
        </w:rPr>
        <w:t>。</w:t>
      </w:r>
    </w:p>
    <w:p>
      <w:pPr>
        <w:pStyle w:val="5"/>
        <w:keepNext/>
        <w:keepLines/>
        <w:pageBreakBefore w:val="0"/>
        <w:widowControl w:val="0"/>
        <w:kinsoku/>
        <w:wordWrap/>
        <w:overflowPunct/>
        <w:topLinePunct w:val="0"/>
        <w:autoSpaceDE/>
        <w:autoSpaceDN/>
        <w:bidi w:val="0"/>
        <w:adjustRightInd w:val="0"/>
        <w:snapToGrid w:val="0"/>
        <w:spacing w:before="0" w:beforeLines="0"/>
        <w:textAlignment w:val="auto"/>
        <w:rPr>
          <w:rFonts w:hint="default" w:ascii="黑体" w:hAnsi="黑体" w:eastAsia="黑体" w:cs="黑体"/>
          <w:color w:val="000000" w:themeColor="text1"/>
          <w:highlight w:val="none"/>
          <w:lang w:eastAsia="zh-CN"/>
          <w14:textFill>
            <w14:solidFill>
              <w14:schemeClr w14:val="tx1"/>
            </w14:solidFill>
          </w14:textFill>
        </w:rPr>
      </w:pPr>
      <w:r>
        <w:rPr>
          <w:rFonts w:hint="default" w:ascii="黑体" w:hAnsi="黑体" w:eastAsia="黑体" w:cs="黑体"/>
          <w:color w:val="000000" w:themeColor="text1"/>
          <w:highlight w:val="none"/>
          <w:lang w:eastAsia="zh-CN"/>
          <w14:textFill>
            <w14:solidFill>
              <w14:schemeClr w14:val="tx1"/>
            </w14:solidFill>
          </w14:textFill>
        </w:rPr>
        <w:t>与环保政策及规定的符合性分析</w:t>
      </w:r>
    </w:p>
    <w:p>
      <w:pPr>
        <w:tabs>
          <w:tab w:val="left" w:pos="0"/>
        </w:tabs>
        <w:ind w:firstLine="480"/>
        <w:rPr>
          <w:rFonts w:eastAsia="黑体" w:cs="Times New Roman"/>
          <w:color w:val="000000" w:themeColor="text1"/>
          <w:highlight w:val="none"/>
          <w14:textFill>
            <w14:solidFill>
              <w14:schemeClr w14:val="tx1"/>
            </w14:solidFill>
          </w14:textFill>
        </w:rPr>
      </w:pPr>
      <w:r>
        <w:rPr>
          <w:rFonts w:hint="eastAsia" w:eastAsia="黑体" w:cs="Times New Roman"/>
          <w:color w:val="000000" w:themeColor="text1"/>
          <w:highlight w:val="none"/>
          <w:lang w:val="en-US" w:eastAsia="zh-CN"/>
          <w14:textFill>
            <w14:solidFill>
              <w14:schemeClr w14:val="tx1"/>
            </w14:solidFill>
          </w14:textFill>
        </w:rPr>
        <w:t>1</w:t>
      </w:r>
      <w:r>
        <w:rPr>
          <w:rFonts w:eastAsia="黑体" w:cs="Times New Roman"/>
          <w:color w:val="000000" w:themeColor="text1"/>
          <w:highlight w:val="none"/>
          <w14:textFill>
            <w14:solidFill>
              <w14:schemeClr w14:val="tx1"/>
            </w14:solidFill>
          </w14:textFill>
        </w:rPr>
        <w:t>、项目与相关大气污染防治规范符合性分析</w:t>
      </w:r>
    </w:p>
    <w:p>
      <w:pPr>
        <w:tabs>
          <w:tab w:val="left" w:pos="0"/>
        </w:tabs>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本项目与相关大气污染防治相关法规、规范符合性分析见下表。</w:t>
      </w:r>
    </w:p>
    <w:p>
      <w:pPr>
        <w:pStyle w:val="96"/>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STYLEREF 2 \s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lang w:val="en-US" w:eastAsia="zh-CN"/>
          <w14:textFill>
            <w14:solidFill>
              <w14:schemeClr w14:val="tx1"/>
            </w14:solidFill>
          </w14:textFill>
        </w:rPr>
        <w:t xml:space="preserve">10 </w:t>
      </w:r>
      <w:r>
        <w:rPr>
          <w:color w:val="000000" w:themeColor="text1"/>
          <w:highlight w:val="none"/>
          <w14:textFill>
            <w14:solidFill>
              <w14:schemeClr w14:val="tx1"/>
            </w14:solidFill>
          </w14:textFill>
        </w:rPr>
        <w:t>本项目与相关大气污染物防治规范符合性分析表</w:t>
      </w:r>
    </w:p>
    <w:tbl>
      <w:tblPr>
        <w:tblStyle w:val="41"/>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1592"/>
        <w:gridCol w:w="4499"/>
        <w:gridCol w:w="1374"/>
        <w:gridCol w:w="7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592" w:type="dxa"/>
            <w:vAlign w:val="center"/>
          </w:tcPr>
          <w:p>
            <w:pPr>
              <w:spacing w:line="240" w:lineRule="auto"/>
              <w:ind w:firstLine="0" w:firstLineChars="0"/>
              <w:jc w:val="center"/>
              <w:rPr>
                <w:rFonts w:cs="Times New Roman"/>
                <w:b/>
                <w:bCs/>
                <w:color w:val="000000" w:themeColor="text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法规、规范</w:t>
            </w:r>
          </w:p>
        </w:tc>
        <w:tc>
          <w:tcPr>
            <w:tcW w:w="4499" w:type="dxa"/>
            <w:vAlign w:val="center"/>
          </w:tcPr>
          <w:p>
            <w:pPr>
              <w:spacing w:line="240" w:lineRule="auto"/>
              <w:ind w:firstLine="0" w:firstLineChars="0"/>
              <w:jc w:val="center"/>
              <w:rPr>
                <w:rFonts w:cs="Times New Roman"/>
                <w:b/>
                <w:bCs/>
                <w:color w:val="000000" w:themeColor="text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相关要求</w:t>
            </w:r>
          </w:p>
        </w:tc>
        <w:tc>
          <w:tcPr>
            <w:tcW w:w="1374" w:type="dxa"/>
            <w:vAlign w:val="center"/>
          </w:tcPr>
          <w:p>
            <w:pPr>
              <w:spacing w:line="240" w:lineRule="auto"/>
              <w:ind w:firstLine="0" w:firstLineChars="0"/>
              <w:jc w:val="center"/>
              <w:rPr>
                <w:rFonts w:cs="Times New Roman"/>
                <w:b/>
                <w:bCs/>
                <w:color w:val="000000" w:themeColor="text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对照分析</w:t>
            </w:r>
          </w:p>
        </w:tc>
        <w:tc>
          <w:tcPr>
            <w:tcW w:w="755" w:type="dxa"/>
            <w:vAlign w:val="center"/>
          </w:tcPr>
          <w:p>
            <w:pPr>
              <w:spacing w:line="240" w:lineRule="auto"/>
              <w:ind w:firstLine="0" w:firstLineChars="0"/>
              <w:jc w:val="center"/>
              <w:rPr>
                <w:rFonts w:cs="Times New Roman"/>
                <w:b/>
                <w:bCs/>
                <w:color w:val="000000" w:themeColor="text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592"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《中华人民共和国大气污染防治法》</w:t>
            </w:r>
          </w:p>
        </w:tc>
        <w:tc>
          <w:tcPr>
            <w:tcW w:w="4499" w:type="dxa"/>
            <w:vAlign w:val="center"/>
          </w:tcPr>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施工单位应当在施工工地设置硬质围挡，并采取覆盖、分段作业、择时施工、洒水抑尘、冲洗地面和车辆等有效防尘降尘措施。建筑土方、工程渣土、建筑垃圾应当及时清运；在场地内堆存的，应当采用密闭式防尘网遮盖。工程渣土、建筑垃圾应当进行资源化处理。</w:t>
            </w:r>
          </w:p>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钢铁、建材、有色金属、石油、化工、制药、矿产开采等企业，应当加强精细化管理，采取集中收集处理等措施，严格控制粉尘和气态污染物的排放</w:t>
            </w:r>
          </w:p>
        </w:tc>
        <w:tc>
          <w:tcPr>
            <w:tcW w:w="1374" w:type="dxa"/>
            <w:vMerge w:val="restart"/>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本项目</w:t>
            </w:r>
            <w:r>
              <w:rPr>
                <w:rFonts w:hint="eastAsia" w:cs="Times New Roman"/>
                <w:color w:val="000000" w:themeColor="text1"/>
                <w:sz w:val="21"/>
                <w:szCs w:val="21"/>
                <w:highlight w:val="none"/>
                <w14:textFill>
                  <w14:solidFill>
                    <w14:schemeClr w14:val="tx1"/>
                  </w14:solidFill>
                </w14:textFill>
              </w:rPr>
              <w:t>施工期</w:t>
            </w:r>
            <w:r>
              <w:rPr>
                <w:rFonts w:cs="Times New Roman"/>
                <w:color w:val="000000" w:themeColor="text1"/>
                <w:sz w:val="21"/>
                <w:szCs w:val="21"/>
                <w:highlight w:val="none"/>
                <w14:textFill>
                  <w14:solidFill>
                    <w14:schemeClr w14:val="tx1"/>
                  </w14:solidFill>
                </w14:textFill>
              </w:rPr>
              <w:t>作业采取洒水降尘等措施，加强施工扬尘监管</w:t>
            </w:r>
            <w:r>
              <w:rPr>
                <w:rFonts w:hint="eastAsia" w:cs="Times New Roman"/>
                <w:color w:val="000000" w:themeColor="text1"/>
                <w:sz w:val="21"/>
                <w:szCs w:val="21"/>
                <w:highlight w:val="none"/>
                <w14:textFill>
                  <w14:solidFill>
                    <w14:schemeClr w14:val="tx1"/>
                  </w14:solidFill>
                </w14:textFill>
              </w:rPr>
              <w:t>，试采期</w:t>
            </w:r>
            <w:r>
              <w:rPr>
                <w:rFonts w:cs="Times New Roman"/>
                <w:color w:val="000000" w:themeColor="text1"/>
                <w:sz w:val="21"/>
                <w:szCs w:val="21"/>
                <w:highlight w:val="none"/>
                <w14:textFill>
                  <w14:solidFill>
                    <w14:schemeClr w14:val="tx1"/>
                  </w14:solidFill>
                </w14:textFill>
              </w:rPr>
              <w:t>废气能达标排放</w:t>
            </w:r>
          </w:p>
        </w:tc>
        <w:tc>
          <w:tcPr>
            <w:tcW w:w="755"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592"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大气污染防治行动计划</w:t>
            </w:r>
          </w:p>
        </w:tc>
        <w:tc>
          <w:tcPr>
            <w:tcW w:w="4499" w:type="dxa"/>
            <w:vAlign w:val="center"/>
          </w:tcPr>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加强施工扬尘监管，积极推进绿色施工，建设工程施工现场应全封闭设置围挡墙，严禁敞开式作业，施工现场道路应进行地面硬化。渣土运输车辆应采取密闭措施，并逐步安装卫星定位系统。推行道路机械化清扫等低尘作业方式。</w:t>
            </w:r>
          </w:p>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开展餐饮油烟污染治理。城区餐饮服务经营场所应安装高效油烟净化设施，推广使用高效净化型家用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"https://baike.baidu.com/item/%E5%90%B8%E6%B2%B9%E7%83%9F%E6%9C%BA/5803775?fromModule=lemma_inlink" \t "https://baike.baidu.com/item/_blank" </w:instrText>
            </w:r>
            <w:r>
              <w:rPr>
                <w:color w:val="000000" w:themeColor="text1"/>
                <w:highlight w:val="none"/>
                <w14:textFill>
                  <w14:solidFill>
                    <w14:schemeClr w14:val="tx1"/>
                  </w14:solidFill>
                </w14:textFill>
              </w:rPr>
              <w:fldChar w:fldCharType="separate"/>
            </w:r>
            <w:r>
              <w:rPr>
                <w:rFonts w:cs="Times New Roman"/>
                <w:color w:val="000000" w:themeColor="text1"/>
                <w:sz w:val="21"/>
                <w:szCs w:val="21"/>
                <w:highlight w:val="none"/>
                <w14:textFill>
                  <w14:solidFill>
                    <w14:schemeClr w14:val="tx1"/>
                  </w14:solidFill>
                </w14:textFill>
              </w:rPr>
              <w:t>吸油烟机</w:t>
            </w:r>
            <w:r>
              <w:rPr>
                <w:rFonts w:cs="Times New Roman"/>
                <w:color w:val="000000" w:themeColor="text1"/>
                <w:sz w:val="21"/>
                <w:szCs w:val="21"/>
                <w:highlight w:val="none"/>
                <w14:textFill>
                  <w14:solidFill>
                    <w14:schemeClr w14:val="tx1"/>
                  </w14:solidFill>
                </w14:textFill>
              </w:rPr>
              <w:fldChar w:fldCharType="end"/>
            </w:r>
          </w:p>
        </w:tc>
        <w:tc>
          <w:tcPr>
            <w:tcW w:w="1374" w:type="dxa"/>
            <w:vMerge w:val="continue"/>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p>
        </w:tc>
        <w:tc>
          <w:tcPr>
            <w:tcW w:w="755"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bl>
    <w:p>
      <w:pPr>
        <w:tabs>
          <w:tab w:val="left" w:pos="0"/>
        </w:tabs>
        <w:spacing w:before="120" w:beforeLines="50"/>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从以上分析可以看出，本项目的建设符合大气污染防治相关法规、规范相关要求。</w:t>
      </w:r>
    </w:p>
    <w:p>
      <w:pPr>
        <w:tabs>
          <w:tab w:val="left" w:pos="0"/>
        </w:tabs>
        <w:ind w:firstLine="480"/>
        <w:rPr>
          <w:rFonts w:eastAsia="黑体" w:cs="Times New Roman"/>
          <w:color w:val="000000" w:themeColor="text1"/>
          <w:highlight w:val="none"/>
          <w14:textFill>
            <w14:solidFill>
              <w14:schemeClr w14:val="tx1"/>
            </w14:solidFill>
          </w14:textFill>
        </w:rPr>
      </w:pPr>
      <w:r>
        <w:rPr>
          <w:rFonts w:hint="eastAsia" w:eastAsia="黑体" w:cs="Times New Roman"/>
          <w:color w:val="000000" w:themeColor="text1"/>
          <w:highlight w:val="none"/>
          <w:lang w:val="en-US" w:eastAsia="zh-CN"/>
          <w14:textFill>
            <w14:solidFill>
              <w14:schemeClr w14:val="tx1"/>
            </w14:solidFill>
          </w14:textFill>
        </w:rPr>
        <w:t>2</w:t>
      </w:r>
      <w:r>
        <w:rPr>
          <w:rFonts w:eastAsia="黑体" w:cs="Times New Roman"/>
          <w:color w:val="000000" w:themeColor="text1"/>
          <w:highlight w:val="none"/>
          <w14:textFill>
            <w14:solidFill>
              <w14:schemeClr w14:val="tx1"/>
            </w14:solidFill>
          </w14:textFill>
        </w:rPr>
        <w:t>、与相关土壤污染防治行动计划符合性</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项目与土壤污染防治行动计划“国发〔2016〕31号”及《土壤污染防治行动计划四川省工作方案》符合性如下表：</w:t>
      </w:r>
    </w:p>
    <w:p>
      <w:pPr>
        <w:pStyle w:val="96"/>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STYLEREF 2 \s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SEQ 表 \* ARABIC \s 2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rFonts w:hint="eastAsia"/>
          <w:color w:val="000000" w:themeColor="text1"/>
          <w:highlight w:val="none"/>
          <w:lang w:val="en-US" w:eastAsia="zh-CN"/>
          <w14:textFill>
            <w14:solidFill>
              <w14:schemeClr w14:val="tx1"/>
            </w14:solidFill>
          </w14:textFill>
        </w:rPr>
        <w:t>1</w:t>
      </w:r>
      <w:r>
        <w:rPr>
          <w:color w:val="000000" w:themeColor="text1"/>
          <w:highlight w:val="none"/>
          <w14:textFill>
            <w14:solidFill>
              <w14:schemeClr w14:val="tx1"/>
            </w14:solidFill>
          </w14:textFill>
        </w:rPr>
        <w:fldChar w:fldCharType="end"/>
      </w:r>
      <w:r>
        <w:rPr>
          <w:rFonts w:hint="eastAsia"/>
          <w:color w:val="000000" w:themeColor="text1"/>
          <w:highlight w:val="none"/>
          <w:lang w:val="en-US" w:eastAsia="zh-CN"/>
          <w14:textFill>
            <w14:solidFill>
              <w14:schemeClr w14:val="tx1"/>
            </w14:solidFill>
          </w14:textFill>
        </w:rPr>
        <w:t xml:space="preserve"> </w:t>
      </w:r>
      <w:r>
        <w:rPr>
          <w:color w:val="000000" w:themeColor="text1"/>
          <w:highlight w:val="none"/>
          <w14:textFill>
            <w14:solidFill>
              <w14:schemeClr w14:val="tx1"/>
            </w14:solidFill>
          </w14:textFill>
        </w:rPr>
        <w:t>与土壤污染防治行动计划符合性</w:t>
      </w:r>
    </w:p>
    <w:tbl>
      <w:tblPr>
        <w:tblStyle w:val="41"/>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435"/>
        <w:gridCol w:w="5370"/>
        <w:gridCol w:w="885"/>
        <w:gridCol w:w="5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3" w:hRule="atLeast"/>
          <w:tblHeader/>
          <w:jc w:val="center"/>
        </w:trPr>
        <w:tc>
          <w:tcPr>
            <w:tcW w:w="1435" w:type="dxa"/>
            <w:vAlign w:val="center"/>
          </w:tcPr>
          <w:p>
            <w:pPr>
              <w:spacing w:line="240" w:lineRule="auto"/>
              <w:ind w:firstLine="0" w:firstLineChars="0"/>
              <w:jc w:val="center"/>
              <w:rPr>
                <w:rFonts w:cs="Times New Roman"/>
                <w:b/>
                <w:color w:val="000000" w:themeColor="text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土壤污染防治行动计划</w:t>
            </w:r>
          </w:p>
        </w:tc>
        <w:tc>
          <w:tcPr>
            <w:tcW w:w="5370" w:type="dxa"/>
            <w:vAlign w:val="center"/>
          </w:tcPr>
          <w:p>
            <w:pPr>
              <w:spacing w:line="240" w:lineRule="auto"/>
              <w:ind w:firstLine="0" w:firstLineChars="0"/>
              <w:jc w:val="center"/>
              <w:rPr>
                <w:rFonts w:cs="Times New Roman"/>
                <w:b/>
                <w:color w:val="000000" w:themeColor="text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相关要求</w:t>
            </w:r>
          </w:p>
        </w:tc>
        <w:tc>
          <w:tcPr>
            <w:tcW w:w="885" w:type="dxa"/>
            <w:vAlign w:val="center"/>
          </w:tcPr>
          <w:p>
            <w:pPr>
              <w:spacing w:line="240" w:lineRule="auto"/>
              <w:ind w:firstLine="0" w:firstLineChars="0"/>
              <w:jc w:val="center"/>
              <w:rPr>
                <w:rFonts w:cs="Times New Roman"/>
                <w:b/>
                <w:color w:val="000000" w:themeColor="text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本项目情况</w:t>
            </w:r>
          </w:p>
        </w:tc>
        <w:tc>
          <w:tcPr>
            <w:tcW w:w="530" w:type="dxa"/>
            <w:vAlign w:val="center"/>
          </w:tcPr>
          <w:p>
            <w:pPr>
              <w:spacing w:line="240" w:lineRule="auto"/>
              <w:ind w:firstLine="0" w:firstLineChars="0"/>
              <w:jc w:val="center"/>
              <w:rPr>
                <w:rFonts w:cs="Times New Roman"/>
                <w:b/>
                <w:color w:val="000000" w:themeColor="text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435" w:type="dxa"/>
            <w:vMerge w:val="restart"/>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《土壤污染防治行动计划》（国发〔2016〕31号）</w:t>
            </w:r>
          </w:p>
        </w:tc>
        <w:tc>
          <w:tcPr>
            <w:tcW w:w="5370" w:type="dxa"/>
            <w:vAlign w:val="center"/>
          </w:tcPr>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自2017年起，对拟收回土地使用权的有色金属冶炼、石油加工、化工、焦化、电镀、制革等行业企业用地，以及用途拟变更为居住和商业、学校、医疗、养老机构等公共设施的上述企业用地，由土地使用权人负责开展土壤环境状况调查评估</w:t>
            </w:r>
          </w:p>
        </w:tc>
        <w:tc>
          <w:tcPr>
            <w:tcW w:w="885"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不属于回收土地使用权的项目</w:t>
            </w:r>
          </w:p>
        </w:tc>
        <w:tc>
          <w:tcPr>
            <w:tcW w:w="530"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9" w:hRule="atLeast"/>
          <w:jc w:val="center"/>
        </w:trPr>
        <w:tc>
          <w:tcPr>
            <w:tcW w:w="1435" w:type="dxa"/>
            <w:vMerge w:val="continue"/>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p>
        </w:tc>
        <w:tc>
          <w:tcPr>
            <w:tcW w:w="5370" w:type="dxa"/>
            <w:vAlign w:val="center"/>
          </w:tcPr>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排放重点污染物的建设项目，在开展环境影响评价时，要增加对土壤环境影响的评价内容，并提出防范土壤污染的具体措施；需要建设的土壤污染防治设施，要与主体工程同时设计、同时施工、同时投产使用</w:t>
            </w:r>
          </w:p>
        </w:tc>
        <w:tc>
          <w:tcPr>
            <w:tcW w:w="885"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不涉及重点污染物的排放</w:t>
            </w:r>
          </w:p>
        </w:tc>
        <w:tc>
          <w:tcPr>
            <w:tcW w:w="530"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88" w:hRule="atLeast"/>
          <w:jc w:val="center"/>
        </w:trPr>
        <w:tc>
          <w:tcPr>
            <w:tcW w:w="1435" w:type="dxa"/>
            <w:vMerge w:val="continue"/>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p>
        </w:tc>
        <w:tc>
          <w:tcPr>
            <w:tcW w:w="5370" w:type="dxa"/>
            <w:vAlign w:val="center"/>
          </w:tcPr>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严格执行相关行业企业布局选址要求，禁止在居民区、学校、医疗和养老机构等周边新建有色金属冶炼、焦化等行业企业</w:t>
            </w:r>
          </w:p>
        </w:tc>
        <w:tc>
          <w:tcPr>
            <w:tcW w:w="885"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不涉及</w:t>
            </w:r>
          </w:p>
        </w:tc>
        <w:tc>
          <w:tcPr>
            <w:tcW w:w="530"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48" w:hRule="atLeast"/>
          <w:jc w:val="center"/>
        </w:trPr>
        <w:tc>
          <w:tcPr>
            <w:tcW w:w="1435" w:type="dxa"/>
            <w:vMerge w:val="continue"/>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p>
        </w:tc>
        <w:tc>
          <w:tcPr>
            <w:tcW w:w="5370" w:type="dxa"/>
            <w:vAlign w:val="center"/>
          </w:tcPr>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加强电器电子、汽车等工业产品中有害物质控制。有色金属冶炼、石油加工、化工、焦化、电镀、制革等行业企业拆除生产设施设备、构筑物和污染治理设施，要事先制定残留污染物清理和安全处置方案，并报所在地县级环境保护、工业和信息化部门备案；要严格按照有关规定实施安全处理处置，防范拆除活动污染土壤。</w:t>
            </w:r>
          </w:p>
        </w:tc>
        <w:tc>
          <w:tcPr>
            <w:tcW w:w="885" w:type="dxa"/>
            <w:vAlign w:val="center"/>
          </w:tcPr>
          <w:p>
            <w:pPr>
              <w:spacing w:line="240" w:lineRule="auto"/>
              <w:ind w:firstLine="0" w:firstLineChars="0"/>
              <w:rPr>
                <w:color w:val="000000" w:themeColor="text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不属于电器电子、汽车等行业</w:t>
            </w:r>
          </w:p>
        </w:tc>
        <w:tc>
          <w:tcPr>
            <w:tcW w:w="530"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3" w:hRule="atLeast"/>
          <w:jc w:val="center"/>
        </w:trPr>
        <w:tc>
          <w:tcPr>
            <w:tcW w:w="1435" w:type="dxa"/>
            <w:vMerge w:val="continue"/>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p>
        </w:tc>
        <w:tc>
          <w:tcPr>
            <w:tcW w:w="5370" w:type="dxa"/>
            <w:vAlign w:val="center"/>
          </w:tcPr>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继续淘汰涉重金属重点行业落后产能，完善重金属相关行业准入条件，禁止新建落后产能或产能严重过剩行业的建设项目</w:t>
            </w:r>
          </w:p>
        </w:tc>
        <w:tc>
          <w:tcPr>
            <w:tcW w:w="885"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不属于涉重企业</w:t>
            </w:r>
          </w:p>
        </w:tc>
        <w:tc>
          <w:tcPr>
            <w:tcW w:w="530"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3" w:hRule="atLeast"/>
          <w:jc w:val="center"/>
        </w:trPr>
        <w:tc>
          <w:tcPr>
            <w:tcW w:w="1435"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土壤污染防治行动计划四川省工作方案</w:t>
            </w:r>
          </w:p>
        </w:tc>
        <w:tc>
          <w:tcPr>
            <w:tcW w:w="5370" w:type="dxa"/>
            <w:vAlign w:val="center"/>
          </w:tcPr>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严格控制在优先保护类耕地集中区域新建有色金属矿采选、有色金属冶炼、石油加工、化工、焦化、电镀、制革、天然（页岩）气开采、铅蓄电池、汽车制造、农药、危废处置、电子拆解、涉重等行业企业。</w:t>
            </w:r>
          </w:p>
        </w:tc>
        <w:tc>
          <w:tcPr>
            <w:tcW w:w="885"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不涉及</w:t>
            </w:r>
          </w:p>
        </w:tc>
        <w:tc>
          <w:tcPr>
            <w:tcW w:w="530"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bl>
    <w:p>
      <w:pPr>
        <w:tabs>
          <w:tab w:val="left" w:pos="0"/>
        </w:tabs>
        <w:spacing w:before="120" w:beforeLines="50"/>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经上表分析，项目建设与《国务院关于印发土壤污染防治行动计划的通知》（国发〔2016〕31号）相符。</w:t>
      </w:r>
    </w:p>
    <w:p>
      <w:pPr>
        <w:tabs>
          <w:tab w:val="left" w:pos="0"/>
        </w:tabs>
        <w:ind w:firstLine="480"/>
        <w:rPr>
          <w:rFonts w:eastAsia="黑体" w:cs="Times New Roman"/>
          <w:color w:val="000000" w:themeColor="text1"/>
          <w:highlight w:val="none"/>
          <w14:textFill>
            <w14:solidFill>
              <w14:schemeClr w14:val="tx1"/>
            </w14:solidFill>
          </w14:textFill>
        </w:rPr>
      </w:pPr>
      <w:r>
        <w:rPr>
          <w:rFonts w:hint="eastAsia" w:eastAsia="黑体" w:cs="Times New Roman"/>
          <w:color w:val="000000" w:themeColor="text1"/>
          <w:highlight w:val="none"/>
          <w:lang w:val="en-US" w:eastAsia="zh-CN"/>
          <w14:textFill>
            <w14:solidFill>
              <w14:schemeClr w14:val="tx1"/>
            </w14:solidFill>
          </w14:textFill>
        </w:rPr>
        <w:t>3</w:t>
      </w:r>
      <w:r>
        <w:rPr>
          <w:rFonts w:eastAsia="黑体" w:cs="Times New Roman"/>
          <w:color w:val="000000" w:themeColor="text1"/>
          <w:highlight w:val="none"/>
          <w14:textFill>
            <w14:solidFill>
              <w14:schemeClr w14:val="tx1"/>
            </w14:solidFill>
          </w14:textFill>
        </w:rPr>
        <w:t>、项目与相关水污染防治行动计划符合性分析</w:t>
      </w:r>
    </w:p>
    <w:p>
      <w:pPr>
        <w:tabs>
          <w:tab w:val="left" w:pos="0"/>
        </w:tabs>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本项目与水污染防治行动计划符合性分析见下表。</w:t>
      </w:r>
    </w:p>
    <w:p>
      <w:pPr>
        <w:pStyle w:val="96"/>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STYLEREF 2 \s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SEQ 表 \* ARABIC \s 2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rFonts w:hint="eastAsia"/>
          <w:color w:val="000000" w:themeColor="text1"/>
          <w:highlight w:val="none"/>
          <w:lang w:val="en-US" w:eastAsia="zh-CN"/>
          <w14:textFill>
            <w14:solidFill>
              <w14:schemeClr w14:val="tx1"/>
            </w14:solidFill>
          </w14:textFill>
        </w:rPr>
        <w:t>2</w:t>
      </w:r>
      <w:r>
        <w:rPr>
          <w:color w:val="000000" w:themeColor="text1"/>
          <w:highlight w:val="none"/>
          <w14:textFill>
            <w14:solidFill>
              <w14:schemeClr w14:val="tx1"/>
            </w14:solidFill>
          </w14:textFill>
        </w:rPr>
        <w:fldChar w:fldCharType="end"/>
      </w:r>
      <w:r>
        <w:rPr>
          <w:rFonts w:hint="eastAsia"/>
          <w:color w:val="000000" w:themeColor="text1"/>
          <w:highlight w:val="none"/>
          <w:lang w:val="en-US" w:eastAsia="zh-CN"/>
          <w14:textFill>
            <w14:solidFill>
              <w14:schemeClr w14:val="tx1"/>
            </w14:solidFill>
          </w14:textFill>
        </w:rPr>
        <w:t xml:space="preserve"> </w:t>
      </w:r>
      <w:r>
        <w:rPr>
          <w:color w:val="000000" w:themeColor="text1"/>
          <w:highlight w:val="none"/>
          <w14:textFill>
            <w14:solidFill>
              <w14:schemeClr w14:val="tx1"/>
            </w14:solidFill>
          </w14:textFill>
        </w:rPr>
        <w:t>本项目与相关水污染物防治规范符合性分析表</w:t>
      </w:r>
    </w:p>
    <w:tbl>
      <w:tblPr>
        <w:tblStyle w:val="41"/>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1592"/>
        <w:gridCol w:w="4114"/>
        <w:gridCol w:w="1760"/>
        <w:gridCol w:w="7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592" w:type="dxa"/>
            <w:vAlign w:val="center"/>
          </w:tcPr>
          <w:p>
            <w:pPr>
              <w:spacing w:line="240" w:lineRule="auto"/>
              <w:ind w:firstLine="0" w:firstLineChars="0"/>
              <w:jc w:val="center"/>
              <w:rPr>
                <w:rFonts w:cs="Times New Roman"/>
                <w:b/>
                <w:bCs/>
                <w:color w:val="000000" w:themeColor="text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法规、规范</w:t>
            </w:r>
          </w:p>
        </w:tc>
        <w:tc>
          <w:tcPr>
            <w:tcW w:w="4114" w:type="dxa"/>
            <w:vAlign w:val="center"/>
          </w:tcPr>
          <w:p>
            <w:pPr>
              <w:spacing w:line="240" w:lineRule="auto"/>
              <w:ind w:firstLine="0" w:firstLineChars="0"/>
              <w:jc w:val="center"/>
              <w:rPr>
                <w:rFonts w:cs="Times New Roman"/>
                <w:b/>
                <w:bCs/>
                <w:color w:val="000000" w:themeColor="text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相关要求</w:t>
            </w:r>
          </w:p>
        </w:tc>
        <w:tc>
          <w:tcPr>
            <w:tcW w:w="1760" w:type="dxa"/>
            <w:vAlign w:val="center"/>
          </w:tcPr>
          <w:p>
            <w:pPr>
              <w:spacing w:line="240" w:lineRule="auto"/>
              <w:ind w:firstLine="0" w:firstLineChars="0"/>
              <w:jc w:val="center"/>
              <w:rPr>
                <w:rFonts w:cs="Times New Roman"/>
                <w:b/>
                <w:bCs/>
                <w:color w:val="000000" w:themeColor="text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对照分析</w:t>
            </w:r>
          </w:p>
        </w:tc>
        <w:tc>
          <w:tcPr>
            <w:tcW w:w="754" w:type="dxa"/>
            <w:vAlign w:val="center"/>
          </w:tcPr>
          <w:p>
            <w:pPr>
              <w:spacing w:line="240" w:lineRule="auto"/>
              <w:ind w:firstLine="0" w:firstLineChars="0"/>
              <w:jc w:val="center"/>
              <w:rPr>
                <w:rFonts w:cs="Times New Roman"/>
                <w:b/>
                <w:bCs/>
                <w:color w:val="000000" w:themeColor="text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592"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水污染防治行动计划</w:t>
            </w:r>
          </w:p>
        </w:tc>
        <w:tc>
          <w:tcPr>
            <w:tcW w:w="4114" w:type="dxa"/>
            <w:vAlign w:val="center"/>
          </w:tcPr>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全面排查装备水平低、环保设施差的小型工业企业。2016年底前，按照水污染防治法律法规要求，全部取缔不符合国家产业政策的小型造纸、制革、印染、染料、炼焦、炼硫、炼砷、炼油、电镀、农药等严重污染水环境的生产项目。</w:t>
            </w:r>
          </w:p>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制定造纸、焦化、氮肥、有色金属、印染、农副食品加工、原料药制造、制革、农药、电镀等行业专项治理方案，实施清洁化改造。新建、改建、扩建上述行业建设项目实行主要污染物排放等量或减量置换。</w:t>
            </w:r>
          </w:p>
        </w:tc>
        <w:tc>
          <w:tcPr>
            <w:tcW w:w="1760" w:type="dxa"/>
            <w:vMerge w:val="restart"/>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本项目为天然气试采项目，不属于上述严重污染水环境的生产项目，本项目</w:t>
            </w:r>
            <w:r>
              <w:rPr>
                <w:rFonts w:hint="eastAsia" w:cs="Times New Roman"/>
                <w:color w:val="000000" w:themeColor="text1"/>
                <w:sz w:val="21"/>
                <w:szCs w:val="21"/>
                <w:highlight w:val="none"/>
                <w14:textFill>
                  <w14:solidFill>
                    <w14:schemeClr w14:val="tx1"/>
                  </w14:solidFill>
                </w14:textFill>
              </w:rPr>
              <w:t>采气</w:t>
            </w:r>
            <w:r>
              <w:rPr>
                <w:rFonts w:cs="Times New Roman"/>
                <w:color w:val="000000" w:themeColor="text1"/>
                <w:sz w:val="21"/>
                <w:szCs w:val="21"/>
                <w:highlight w:val="none"/>
                <w14:textFill>
                  <w14:solidFill>
                    <w14:schemeClr w14:val="tx1"/>
                  </w14:solidFill>
                </w14:textFill>
              </w:rPr>
              <w:t>废水回注</w:t>
            </w:r>
            <w:r>
              <w:rPr>
                <w:rFonts w:hint="eastAsia" w:cs="Times New Roman"/>
                <w:color w:val="000000" w:themeColor="text1"/>
                <w:sz w:val="21"/>
                <w:szCs w:val="21"/>
                <w:highlight w:val="none"/>
                <w14:textFill>
                  <w14:solidFill>
                    <w14:schemeClr w14:val="tx1"/>
                  </w14:solidFill>
                </w14:textFill>
              </w:rPr>
              <w:t>处理，不外排。</w:t>
            </w:r>
          </w:p>
        </w:tc>
        <w:tc>
          <w:tcPr>
            <w:tcW w:w="754"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592"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水污染防治行动计划四川省工作方案</w:t>
            </w:r>
          </w:p>
        </w:tc>
        <w:tc>
          <w:tcPr>
            <w:tcW w:w="4114" w:type="dxa"/>
            <w:vAlign w:val="center"/>
          </w:tcPr>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环境保护、经济和信息化部门联合制定造纸、焦化、氮肥、有色金属、印染、农副食品加工、原料药制造、制革、农药、电镀和磷化工等行业专项治理方案并组织实施；新建、改建、扩建上述行业的建设项目执行氨氮、化学需氧量等量或减量置换。</w:t>
            </w:r>
          </w:p>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从严控制新建、改建、扩建涉磷行业的项目建设，总磷超标地方执行总磷排放减量置换，2017年底前，所有涉磷重点工业企业应完善厂区冲洗水和初期雨水收集系统，落实涉磷矿山渣场和尾矿库的防渗、防风、防洪措施，建设规范的雨水收集池、回水池、渗滤液收集池和应急污水处理系统，并推进安装总磷在线监控装置。</w:t>
            </w:r>
          </w:p>
        </w:tc>
        <w:tc>
          <w:tcPr>
            <w:tcW w:w="1760" w:type="dxa"/>
            <w:vMerge w:val="continue"/>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p>
        </w:tc>
        <w:tc>
          <w:tcPr>
            <w:tcW w:w="754"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592"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关于加强长江黄金水道环境污染防控治理的指导意见</w:t>
            </w:r>
          </w:p>
        </w:tc>
        <w:tc>
          <w:tcPr>
            <w:tcW w:w="4114" w:type="dxa"/>
            <w:vAlign w:val="center"/>
          </w:tcPr>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落实主体功能区战略，实施差别化的区域产业政策。科学划定岸线功能分区边界，严格分区管理和用途管制。坚持“以水定发展”，统筹规划沿江岸线资源，严控下游高污染、高排放企业向上游转移。除在建项目外，严禁在干流及主要支流岸线1公里范围内新建布局重化工园区，严控在中上游沿岸地区新建石油化工和煤化工项目。</w:t>
            </w:r>
          </w:p>
        </w:tc>
        <w:tc>
          <w:tcPr>
            <w:tcW w:w="1760" w:type="dxa"/>
            <w:vMerge w:val="continue"/>
            <w:vAlign w:val="center"/>
          </w:tcPr>
          <w:p>
            <w:pPr>
              <w:widowControl/>
              <w:spacing w:line="240" w:lineRule="auto"/>
              <w:ind w:firstLine="0" w:firstLineChars="0"/>
              <w:jc w:val="center"/>
              <w:rPr>
                <w:rFonts w:cs="Times New Roman"/>
                <w:color w:val="000000" w:themeColor="text1"/>
                <w:szCs w:val="21"/>
                <w:highlight w:val="none"/>
                <w14:textFill>
                  <w14:solidFill>
                    <w14:schemeClr w14:val="tx1"/>
                  </w14:solidFill>
                </w14:textFill>
              </w:rPr>
            </w:pPr>
          </w:p>
        </w:tc>
        <w:tc>
          <w:tcPr>
            <w:tcW w:w="754" w:type="dxa"/>
            <w:vAlign w:val="center"/>
          </w:tcPr>
          <w:p>
            <w:pPr>
              <w:widowControl/>
              <w:spacing w:line="240" w:lineRule="auto"/>
              <w:ind w:firstLine="0" w:firstLineChars="0"/>
              <w:jc w:val="center"/>
              <w:rPr>
                <w:rFonts w:cs="Times New Roman"/>
                <w:color w:val="000000" w:themeColor="text1"/>
                <w:kern w:val="0"/>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符合</w:t>
            </w:r>
          </w:p>
        </w:tc>
      </w:tr>
    </w:tbl>
    <w:p>
      <w:pPr>
        <w:tabs>
          <w:tab w:val="left" w:pos="0"/>
        </w:tabs>
        <w:spacing w:before="120" w:beforeLines="50"/>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综上，项目建设符合《水污染防治行动计划</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水污染防治行动计划</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四川省工作方案</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关于加强长江黄金水道环境污染防控治理的指导意见》的要求。</w:t>
      </w:r>
    </w:p>
    <w:p>
      <w:pPr>
        <w:tabs>
          <w:tab w:val="left" w:pos="0"/>
        </w:tabs>
        <w:ind w:firstLine="480"/>
        <w:rPr>
          <w:rFonts w:eastAsia="黑体" w:cs="Times New Roman"/>
          <w:color w:val="000000" w:themeColor="text1"/>
          <w:highlight w:val="none"/>
          <w14:textFill>
            <w14:solidFill>
              <w14:schemeClr w14:val="tx1"/>
            </w14:solidFill>
          </w14:textFill>
        </w:rPr>
      </w:pPr>
      <w:r>
        <w:rPr>
          <w:rFonts w:hint="eastAsia" w:eastAsia="黑体" w:cs="Times New Roman"/>
          <w:color w:val="000000" w:themeColor="text1"/>
          <w:highlight w:val="none"/>
          <w:lang w:val="en-US" w:eastAsia="zh-CN"/>
          <w14:textFill>
            <w14:solidFill>
              <w14:schemeClr w14:val="tx1"/>
            </w14:solidFill>
          </w14:textFill>
        </w:rPr>
        <w:t>4</w:t>
      </w:r>
      <w:r>
        <w:rPr>
          <w:rFonts w:eastAsia="黑体" w:cs="Times New Roman"/>
          <w:color w:val="000000" w:themeColor="text1"/>
          <w:highlight w:val="none"/>
          <w14:textFill>
            <w14:solidFill>
              <w14:schemeClr w14:val="tx1"/>
            </w14:solidFill>
          </w14:textFill>
        </w:rPr>
        <w:t>、与《“十四五”噪声污染防治行动计划》的符合性分析</w:t>
      </w:r>
    </w:p>
    <w:p>
      <w:pPr>
        <w:tabs>
          <w:tab w:val="left" w:pos="0"/>
        </w:tabs>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本项目与噪声污染防治行动计划符合性分析见下表。</w:t>
      </w:r>
    </w:p>
    <w:p>
      <w:pPr>
        <w:pStyle w:val="96"/>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STYLEREF 2 \s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SEQ 表 \* ARABIC \s 2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rFonts w:hint="eastAsia"/>
          <w:color w:val="000000" w:themeColor="text1"/>
          <w:highlight w:val="none"/>
          <w:lang w:val="en-US" w:eastAsia="zh-CN"/>
          <w14:textFill>
            <w14:solidFill>
              <w14:schemeClr w14:val="tx1"/>
            </w14:solidFill>
          </w14:textFill>
        </w:rPr>
        <w:t>3</w:t>
      </w:r>
      <w:r>
        <w:rPr>
          <w:color w:val="000000" w:themeColor="text1"/>
          <w:highlight w:val="none"/>
          <w14:textFill>
            <w14:solidFill>
              <w14:schemeClr w14:val="tx1"/>
            </w14:solidFill>
          </w14:textFill>
        </w:rPr>
        <w:fldChar w:fldCharType="end"/>
      </w:r>
      <w:r>
        <w:rPr>
          <w:rFonts w:hint="eastAsia"/>
          <w:color w:val="000000" w:themeColor="text1"/>
          <w:highlight w:val="none"/>
          <w:lang w:val="en-US" w:eastAsia="zh-CN"/>
          <w14:textFill>
            <w14:solidFill>
              <w14:schemeClr w14:val="tx1"/>
            </w14:solidFill>
          </w14:textFill>
        </w:rPr>
        <w:t xml:space="preserve"> </w:t>
      </w:r>
      <w:r>
        <w:rPr>
          <w:color w:val="000000" w:themeColor="text1"/>
          <w:highlight w:val="none"/>
          <w14:textFill>
            <w14:solidFill>
              <w14:schemeClr w14:val="tx1"/>
            </w14:solidFill>
          </w14:textFill>
        </w:rPr>
        <w:t>与《“十四五”噪声污染防治行动计划》符合性分析表</w:t>
      </w:r>
    </w:p>
    <w:tbl>
      <w:tblPr>
        <w:tblStyle w:val="41"/>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1339"/>
        <w:gridCol w:w="4566"/>
        <w:gridCol w:w="1820"/>
        <w:gridCol w:w="7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339" w:type="dxa"/>
            <w:vAlign w:val="center"/>
          </w:tcPr>
          <w:p>
            <w:pPr>
              <w:spacing w:line="240" w:lineRule="auto"/>
              <w:ind w:firstLine="0" w:firstLineChars="0"/>
              <w:jc w:val="center"/>
              <w:rPr>
                <w:rFonts w:cs="Times New Roman"/>
                <w:b/>
                <w:bCs/>
                <w:color w:val="000000" w:themeColor="text1"/>
                <w:sz w:val="2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法规、规范</w:t>
            </w:r>
          </w:p>
        </w:tc>
        <w:tc>
          <w:tcPr>
            <w:tcW w:w="4566" w:type="dxa"/>
            <w:vAlign w:val="center"/>
          </w:tcPr>
          <w:p>
            <w:pPr>
              <w:spacing w:line="240" w:lineRule="auto"/>
              <w:ind w:firstLine="0" w:firstLineChars="0"/>
              <w:jc w:val="center"/>
              <w:rPr>
                <w:rFonts w:cs="Times New Roman"/>
                <w:b/>
                <w:bCs/>
                <w:color w:val="000000" w:themeColor="text1"/>
                <w:sz w:val="2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相关要求</w:t>
            </w:r>
          </w:p>
        </w:tc>
        <w:tc>
          <w:tcPr>
            <w:tcW w:w="1820" w:type="dxa"/>
            <w:vAlign w:val="center"/>
          </w:tcPr>
          <w:p>
            <w:pPr>
              <w:spacing w:line="240" w:lineRule="auto"/>
              <w:ind w:firstLine="0" w:firstLineChars="0"/>
              <w:jc w:val="center"/>
              <w:rPr>
                <w:rFonts w:cs="Times New Roman"/>
                <w:b/>
                <w:bCs/>
                <w:color w:val="000000" w:themeColor="text1"/>
                <w:sz w:val="2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对照分析</w:t>
            </w:r>
          </w:p>
        </w:tc>
        <w:tc>
          <w:tcPr>
            <w:tcW w:w="779" w:type="dxa"/>
            <w:vAlign w:val="center"/>
          </w:tcPr>
          <w:p>
            <w:pPr>
              <w:spacing w:line="240" w:lineRule="auto"/>
              <w:ind w:firstLine="0" w:firstLineChars="0"/>
              <w:jc w:val="center"/>
              <w:rPr>
                <w:rFonts w:cs="Times New Roman"/>
                <w:b/>
                <w:bCs/>
                <w:color w:val="000000" w:themeColor="text1"/>
                <w:sz w:val="2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339"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噪声污染防治行动计划</w:t>
            </w:r>
          </w:p>
        </w:tc>
        <w:tc>
          <w:tcPr>
            <w:tcW w:w="4566" w:type="dxa"/>
            <w:vAlign w:val="center"/>
          </w:tcPr>
          <w:p>
            <w:pPr>
              <w:spacing w:line="240" w:lineRule="auto"/>
              <w:ind w:firstLine="0" w:firstLineChars="0"/>
              <w:jc w:val="left"/>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优化噪声敏感建筑物建设布局。在交通干线两侧、工业企业周边等地方建设噪声敏感建筑物，应间隔一定距离，提出相应规划设计要求。科学规划住宅、学校等噪声敏感建筑物位置，避免受到周边噪声的影响；中小学校合理布置操场等课外活动场地，加强校内广播管理，降低对周边环境的影响。噪声敏感建筑物隔声设计、检测、验收等应符合建筑环境通用规范、民用建筑隔声设计规范等相关标准要求。</w:t>
            </w:r>
          </w:p>
          <w:p>
            <w:pPr>
              <w:spacing w:line="240" w:lineRule="auto"/>
              <w:ind w:firstLine="0" w:firstLineChars="0"/>
              <w:jc w:val="left"/>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树立工业噪声污染治理标杆。排放噪声的工业企业应切实采取减振降噪措施，加强厂区内固定设备、运输工具、货物装卸等噪声源管理，同时避免突发噪声扰民。鼓励企业采用先进治理技术，打造行业噪声污染治理示范典型。中央企业要主动承担社会责任，切实发挥模范带头和引领示范作用，创建一批行业标杆</w:t>
            </w:r>
          </w:p>
          <w:p>
            <w:pPr>
              <w:spacing w:line="240" w:lineRule="auto"/>
              <w:ind w:firstLine="0" w:firstLineChars="0"/>
              <w:jc w:val="left"/>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推广低噪声施工设备。制定房屋建筑和市政基础设施工程禁止和限制使用技术目录，限制或禁用易产生噪声污染的落后施工工艺和设备。2023年5月底前，发布低噪声施工设备指导目录。</w:t>
            </w:r>
          </w:p>
        </w:tc>
        <w:tc>
          <w:tcPr>
            <w:tcW w:w="1820" w:type="dxa"/>
            <w:vMerge w:val="restart"/>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本项目依法开展环评，优化噪声敏感建筑物</w:t>
            </w:r>
            <w:r>
              <w:rPr>
                <w:rFonts w:hint="eastAsia" w:cs="Times New Roman"/>
                <w:color w:val="000000" w:themeColor="text1"/>
                <w:sz w:val="21"/>
                <w:szCs w:val="21"/>
                <w:highlight w:val="none"/>
                <w:lang w:val="en-US" w:eastAsia="zh-CN"/>
                <w14:textFill>
                  <w14:solidFill>
                    <w14:schemeClr w14:val="tx1"/>
                  </w14:solidFill>
                </w14:textFill>
              </w:rPr>
              <w:t>的平面</w:t>
            </w:r>
            <w:r>
              <w:rPr>
                <w:rFonts w:hint="eastAsia" w:cs="Times New Roman"/>
                <w:color w:val="000000" w:themeColor="text1"/>
                <w:sz w:val="21"/>
                <w:szCs w:val="21"/>
                <w:highlight w:val="none"/>
                <w14:textFill>
                  <w14:solidFill>
                    <w14:schemeClr w14:val="tx1"/>
                  </w14:solidFill>
                </w14:textFill>
              </w:rPr>
              <w:t>布局，对可能产生的噪声进行了影响预测与评估，并提出了相应的防治措施。建设单位在建设时将落实噪声污染防治设施应当与主体工程同时设计、同时施工、同时投产使用的要求，同时在施工期与运营期将开展定期监测，确保措施落地见效</w:t>
            </w:r>
            <w:r>
              <w:rPr>
                <w:rFonts w:cs="Times New Roman"/>
                <w:color w:val="000000" w:themeColor="text1"/>
                <w:sz w:val="21"/>
                <w:szCs w:val="21"/>
                <w:highlight w:val="none"/>
                <w14:textFill>
                  <w14:solidFill>
                    <w14:schemeClr w14:val="tx1"/>
                  </w14:solidFill>
                </w14:textFill>
              </w:rPr>
              <w:t>。</w:t>
            </w:r>
          </w:p>
        </w:tc>
        <w:tc>
          <w:tcPr>
            <w:tcW w:w="779"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339"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四川省噪声污染防治行动计划实施方案</w:t>
            </w:r>
          </w:p>
        </w:tc>
        <w:tc>
          <w:tcPr>
            <w:tcW w:w="4566" w:type="dxa"/>
            <w:vAlign w:val="center"/>
          </w:tcPr>
          <w:p>
            <w:pPr>
              <w:spacing w:line="240" w:lineRule="auto"/>
              <w:ind w:firstLine="0" w:firstLineChars="0"/>
              <w:jc w:val="left"/>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优化噪声敏感建筑物建设布局。优化社区周边配套设施建设布局，防止、减轻噪声污染对周边敏感建筑物的影响。新建噪声敏感建筑物时，建设单位应全面执行绿色建筑标准，合理确定建筑物与交通干线等的防噪声距离，落实隔声减噪措施。中小学合理布置操场等课外活动场地，加强校内广播管理，降低对周边环境的影响。噪声敏感建筑物室内噪声和隔声设计、检测、验收等应符合建筑环境通用规范、民用建筑隔声设计规范等相关标准要求。</w:t>
            </w:r>
          </w:p>
          <w:p>
            <w:pPr>
              <w:spacing w:line="240" w:lineRule="auto"/>
              <w:ind w:firstLine="0" w:firstLineChars="0"/>
              <w:jc w:val="left"/>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加强重点企业噪声监管。严格落实国家关于工业噪声排污许可管理要求，依法核发排污许可证或进行排污登记，并加强监管。市（州）生态环境主管部门编制本行政区域噪声重点排污单位名录，并按要求发布和更新。噪声重点排污单位应制定噪声削减计划，减少对周边噪声敏感建筑物集中区域的影响；依法开展噪声自动监测，及时与生态环境主管部门的监控设备联网。</w:t>
            </w:r>
          </w:p>
          <w:p>
            <w:pPr>
              <w:spacing w:line="240" w:lineRule="auto"/>
              <w:ind w:firstLine="0" w:firstLineChars="0"/>
              <w:jc w:val="left"/>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打造工业企业噪声污染治理标杆。鼓励工业企业采用先进治理技术，打造行业噪声污染治理典型示范。中央企业、国有企业、行业龙头企业要主动承担社会责任，切实发挥模范带头和引领示范作用，创建一批行业标杆。</w:t>
            </w:r>
          </w:p>
        </w:tc>
        <w:tc>
          <w:tcPr>
            <w:tcW w:w="1820" w:type="dxa"/>
            <w:vMerge w:val="continue"/>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779"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339" w:type="dxa"/>
            <w:vMerge w:val="restart"/>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《“十四五”噪声污染防治行动计划》</w:t>
            </w:r>
          </w:p>
        </w:tc>
        <w:tc>
          <w:tcPr>
            <w:tcW w:w="4566"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严格落实噪声污染防治要求。制定修改相关规划、建设对环境有影响的项目时，应依法开展环评，对可能产生噪声与振动的影响进行分析、预测和评估，积极采取噪声污染防治对策措施。建设项目的噪声污染防治设施应当与主体工程同时设计、同时施工、同时投产使用。督促建设单位依法开展竣工环境保护验收，加大事中事后监管力度，确保各项措施落地见效。</w:t>
            </w:r>
          </w:p>
        </w:tc>
        <w:tc>
          <w:tcPr>
            <w:tcW w:w="1820"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本项目依法开展环评，对可能产生的噪声进行了影响预测与评估，并提出了相应的防治措施。建设单位在建设时将落实噪声污染防治设施应当与主体工程同时设计、同时施工、同时投产使用的要求，同时在施工期与运营期将开展定期监测，确保措施落地见效</w:t>
            </w:r>
          </w:p>
        </w:tc>
        <w:tc>
          <w:tcPr>
            <w:tcW w:w="779"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lang w:eastAsia="en-US"/>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339" w:type="dxa"/>
            <w:vMerge w:val="continue"/>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4566"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推广低噪声施工设备。制定房屋建筑和市政基础设施工程禁止和限制使用技术目录，限制或禁用易产生噪声污染的落后施工工艺和设备。</w:t>
            </w:r>
          </w:p>
        </w:tc>
        <w:tc>
          <w:tcPr>
            <w:tcW w:w="1820"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本项目所使用的设备及施工工艺均不属于限制或禁用易产生噪声污染的落后施工工艺和设备</w:t>
            </w:r>
          </w:p>
        </w:tc>
        <w:tc>
          <w:tcPr>
            <w:tcW w:w="779"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lang w:eastAsia="en-US"/>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339" w:type="dxa"/>
            <w:vMerge w:val="continue"/>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4566"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落实管控责任。修订建设工程施工合同示范文本，明确建设单位、施工单位噪声污染防治责任和任务措施等要求。施工单位编制并落实噪声污染防治工作方案，采取有效隔声降噪设备、设施或施工工艺。鼓励噪声污染防治示范工地分类分级管理，探索从评优评先、资金补贴等方面，推动建筑施工企业加强噪声污染防治。</w:t>
            </w:r>
          </w:p>
        </w:tc>
        <w:tc>
          <w:tcPr>
            <w:tcW w:w="1820"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评价要求施工单位编制并落实噪声污染防治工作方案，采取有效隔声降噪设备、设施或施工工艺，确保项目施工不扰民</w:t>
            </w:r>
          </w:p>
        </w:tc>
        <w:tc>
          <w:tcPr>
            <w:tcW w:w="779"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lang w:eastAsia="en-US"/>
                <w14:textFill>
                  <w14:solidFill>
                    <w14:schemeClr w14:val="tx1"/>
                  </w14:solidFill>
                </w14:textFill>
              </w:rPr>
              <w:t>符合</w:t>
            </w:r>
          </w:p>
        </w:tc>
      </w:tr>
    </w:tbl>
    <w:p>
      <w:pPr>
        <w:tabs>
          <w:tab w:val="left" w:pos="0"/>
        </w:tabs>
        <w:spacing w:before="120"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综上所述，本项目的建设与《“十四五”噪声污染防治行动计划》相符。</w:t>
      </w:r>
    </w:p>
    <w:p>
      <w:pPr>
        <w:tabs>
          <w:tab w:val="left" w:pos="0"/>
        </w:tabs>
        <w:ind w:firstLine="480"/>
        <w:rPr>
          <w:rFonts w:eastAsia="黑体" w:cs="Times New Roman"/>
          <w:color w:val="000000" w:themeColor="text1"/>
          <w:highlight w:val="none"/>
          <w14:textFill>
            <w14:solidFill>
              <w14:schemeClr w14:val="tx1"/>
            </w14:solidFill>
          </w14:textFill>
        </w:rPr>
      </w:pPr>
      <w:r>
        <w:rPr>
          <w:rFonts w:hint="eastAsia" w:eastAsia="黑体" w:cs="Times New Roman"/>
          <w:color w:val="000000" w:themeColor="text1"/>
          <w:highlight w:val="none"/>
          <w:lang w:val="en-US" w:eastAsia="zh-CN"/>
          <w14:textFill>
            <w14:solidFill>
              <w14:schemeClr w14:val="tx1"/>
            </w14:solidFill>
          </w14:textFill>
        </w:rPr>
        <w:t>5</w:t>
      </w:r>
      <w:r>
        <w:rPr>
          <w:rFonts w:hint="eastAsia" w:eastAsia="黑体" w:cs="Times New Roman"/>
          <w:color w:val="000000" w:themeColor="text1"/>
          <w:highlight w:val="none"/>
          <w14:textFill>
            <w14:solidFill>
              <w14:schemeClr w14:val="tx1"/>
            </w14:solidFill>
          </w14:textFill>
        </w:rPr>
        <w:t>、</w:t>
      </w:r>
      <w:r>
        <w:rPr>
          <w:rFonts w:eastAsia="黑体" w:cs="Times New Roman"/>
          <w:color w:val="000000" w:themeColor="text1"/>
          <w:highlight w:val="none"/>
          <w14:textFill>
            <w14:solidFill>
              <w14:schemeClr w14:val="tx1"/>
            </w14:solidFill>
          </w14:textFill>
        </w:rPr>
        <w:t>与《长江经济带生态环境保护规划》的符合性分析</w:t>
      </w:r>
    </w:p>
    <w:p>
      <w:pPr>
        <w:autoSpaceDE w:val="0"/>
        <w:autoSpaceDN w:val="0"/>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根据《长江经济带生态环境保护规划》专栏11城乡环境综合整治-大气污染治理：开展燃煤电厂超低排放和节能改造。……建设完善天然气输送管道、城市燃气管网、天然气储气库、城市调峰站储气罐等基础设施，实施民用部</w:t>
      </w:r>
      <w:r>
        <w:rPr>
          <w:rFonts w:ascii="宋体" w:hAnsi="宋体" w:cs="Times New Roman"/>
          <w:color w:val="000000" w:themeColor="text1"/>
          <w:highlight w:val="none"/>
          <w14:textFill>
            <w14:solidFill>
              <w14:schemeClr w14:val="tx1"/>
            </w14:solidFill>
          </w14:textFill>
        </w:rPr>
        <w:t>门“煤改电”“煤改气”工</w:t>
      </w:r>
      <w:r>
        <w:rPr>
          <w:rFonts w:cs="Times New Roman"/>
          <w:color w:val="000000" w:themeColor="text1"/>
          <w:highlight w:val="none"/>
          <w14:textFill>
            <w14:solidFill>
              <w14:schemeClr w14:val="tx1"/>
            </w14:solidFill>
          </w14:textFill>
        </w:rPr>
        <w:t>程。本工程属于天然气试采建设项目，</w:t>
      </w:r>
      <w:r>
        <w:rPr>
          <w:rFonts w:hint="eastAsia" w:cs="Times New Roman"/>
          <w:color w:val="000000" w:themeColor="text1"/>
          <w:highlight w:val="none"/>
          <w14:textFill>
            <w14:solidFill>
              <w14:schemeClr w14:val="tx1"/>
            </w14:solidFill>
          </w14:textFill>
        </w:rPr>
        <w:t>试采</w:t>
      </w:r>
      <w:r>
        <w:rPr>
          <w:rFonts w:cs="Times New Roman"/>
          <w:color w:val="000000" w:themeColor="text1"/>
          <w:highlight w:val="none"/>
          <w14:textFill>
            <w14:solidFill>
              <w14:schemeClr w14:val="tx1"/>
            </w14:solidFill>
          </w14:textFill>
        </w:rPr>
        <w:t>天然气</w:t>
      </w:r>
      <w:r>
        <w:rPr>
          <w:rFonts w:hint="eastAsia" w:cs="Times New Roman"/>
          <w:color w:val="000000" w:themeColor="text1"/>
          <w:highlight w:val="none"/>
          <w14:textFill>
            <w14:solidFill>
              <w14:schemeClr w14:val="tx1"/>
            </w14:solidFill>
          </w14:textFill>
        </w:rPr>
        <w:t>通过</w:t>
      </w:r>
      <w:r>
        <w:rPr>
          <w:rFonts w:cs="Times New Roman"/>
          <w:color w:val="000000" w:themeColor="text1"/>
          <w:highlight w:val="none"/>
          <w14:textFill>
            <w14:solidFill>
              <w14:schemeClr w14:val="tx1"/>
            </w14:solidFill>
          </w14:textFill>
        </w:rPr>
        <w:t>管道输送，符合建设完善天然气输送管道的要求。</w:t>
      </w:r>
    </w:p>
    <w:p>
      <w:pPr>
        <w:tabs>
          <w:tab w:val="left" w:pos="0"/>
        </w:tabs>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因此，本工程的建设符合《长江经济带生态环境保护规划》要求。</w:t>
      </w:r>
    </w:p>
    <w:p>
      <w:pPr>
        <w:tabs>
          <w:tab w:val="left" w:pos="0"/>
        </w:tabs>
        <w:ind w:firstLine="480"/>
        <w:rPr>
          <w:rFonts w:eastAsia="黑体" w:cs="Times New Roman"/>
          <w:color w:val="000000" w:themeColor="text1"/>
          <w:highlight w:val="none"/>
          <w14:textFill>
            <w14:solidFill>
              <w14:schemeClr w14:val="tx1"/>
            </w14:solidFill>
          </w14:textFill>
        </w:rPr>
      </w:pPr>
      <w:r>
        <w:rPr>
          <w:rFonts w:hint="eastAsia" w:eastAsia="黑体" w:cs="Times New Roman"/>
          <w:color w:val="000000" w:themeColor="text1"/>
          <w:highlight w:val="none"/>
          <w:lang w:val="en-US" w:eastAsia="zh-CN"/>
          <w14:textFill>
            <w14:solidFill>
              <w14:schemeClr w14:val="tx1"/>
            </w14:solidFill>
          </w14:textFill>
        </w:rPr>
        <w:t>6</w:t>
      </w:r>
      <w:r>
        <w:rPr>
          <w:rFonts w:hint="eastAsia" w:eastAsia="黑体" w:cs="Times New Roman"/>
          <w:color w:val="000000" w:themeColor="text1"/>
          <w:highlight w:val="none"/>
          <w14:textFill>
            <w14:solidFill>
              <w14:schemeClr w14:val="tx1"/>
            </w14:solidFill>
          </w14:textFill>
        </w:rPr>
        <w:t>、</w:t>
      </w:r>
      <w:r>
        <w:rPr>
          <w:rFonts w:eastAsia="黑体" w:cs="Times New Roman"/>
          <w:color w:val="000000" w:themeColor="text1"/>
          <w:highlight w:val="none"/>
          <w14:textFill>
            <w14:solidFill>
              <w14:schemeClr w14:val="tx1"/>
            </w14:solidFill>
          </w14:textFill>
        </w:rPr>
        <w:t>与《中华人民共和国长江保护法》（中华人民共和国主席令第六十五号）的符合性分析</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中华人民共和国长江保护法》，“禁止在长江干支流岸线一公里范围内新建、扩建化工园区和化工项目。禁止在长江干流岸线三公里范围内和重要支流岸线一公里范围内新建、改建、扩建尾矿库；但是以提升安全、生态环境保护水平为目的的改建除外。”本项目位于宣汉县，项目为天然气试采项目，不设置尾矿库，不属于化工项目、尾矿库项目，故项目建设不违背《中华人民共和国长江保护法》的要求。</w:t>
      </w:r>
    </w:p>
    <w:p>
      <w:pPr>
        <w:tabs>
          <w:tab w:val="left" w:pos="0"/>
        </w:tabs>
        <w:ind w:firstLine="480"/>
        <w:rPr>
          <w:rFonts w:ascii="Times New Roman" w:hAnsi="Times New Roman" w:eastAsia="黑体" w:cs="Times New Roman"/>
          <w:color w:val="000000" w:themeColor="text1"/>
          <w:highlight w:val="none"/>
          <w14:textFill>
            <w14:solidFill>
              <w14:schemeClr w14:val="tx1"/>
            </w14:solidFill>
          </w14:textFill>
        </w:rPr>
      </w:pPr>
      <w:r>
        <w:rPr>
          <w:rFonts w:hint="eastAsia" w:ascii="Times New Roman" w:hAnsi="Times New Roman" w:eastAsia="黑体" w:cs="Times New Roman"/>
          <w:color w:val="000000" w:themeColor="text1"/>
          <w:highlight w:val="none"/>
          <w:lang w:val="en-US" w:eastAsia="zh-CN"/>
          <w14:textFill>
            <w14:solidFill>
              <w14:schemeClr w14:val="tx1"/>
            </w14:solidFill>
          </w14:textFill>
        </w:rPr>
        <w:t>7</w:t>
      </w:r>
      <w:r>
        <w:rPr>
          <w:rFonts w:hint="eastAsia" w:ascii="Times New Roman" w:hAnsi="Times New Roman" w:eastAsia="黑体" w:cs="Times New Roman"/>
          <w:color w:val="000000" w:themeColor="text1"/>
          <w:highlight w:val="none"/>
          <w14:textFill>
            <w14:solidFill>
              <w14:schemeClr w14:val="tx1"/>
            </w14:solidFill>
          </w14:textFill>
        </w:rPr>
        <w:t>、</w:t>
      </w:r>
      <w:r>
        <w:rPr>
          <w:rFonts w:ascii="Times New Roman" w:hAnsi="Times New Roman" w:eastAsia="黑体" w:cs="Times New Roman"/>
          <w:color w:val="000000" w:themeColor="text1"/>
          <w:highlight w:val="none"/>
          <w14:textFill>
            <w14:solidFill>
              <w14:schemeClr w14:val="tx1"/>
            </w14:solidFill>
          </w14:textFill>
        </w:rPr>
        <w:t>与《长江经济带生态环境保护规划》（环规财〔2017〕88号）符合性</w:t>
      </w:r>
      <w:r>
        <w:rPr>
          <w:rFonts w:hint="eastAsia" w:ascii="Times New Roman" w:hAnsi="Times New Roman" w:eastAsia="黑体" w:cs="Times New Roman"/>
          <w:color w:val="000000" w:themeColor="text1"/>
          <w:highlight w:val="none"/>
          <w14:textFill>
            <w14:solidFill>
              <w14:schemeClr w14:val="tx1"/>
            </w14:solidFill>
          </w14:textFill>
        </w:rPr>
        <w:t>分析</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长江经济带生态环境保护规划》中第六条指出：“全面推进环境污染治理，建设宜居城乡环境专栏”，该条要求中提出改善城市环境质量，推进成渝城市大气污染防治。增加天然气的开发程度，提供天然气供应量，有利于加速产业升级和能源结构的调整，本项目属于天然气试采项目，项目的建设能够改善川渝地区区域大气环境质量，符合《长江经济带生态环境保护规划》要求。</w:t>
      </w:r>
    </w:p>
    <w:p>
      <w:pPr>
        <w:pStyle w:val="2"/>
        <w:jc w:val="left"/>
        <w:rPr>
          <w:rFonts w:hint="eastAsia" w:ascii="Times New Roman" w:hAnsi="Times New Roman" w:eastAsia="黑体" w:cs="Times New Roman"/>
          <w:color w:val="000000" w:themeColor="text1"/>
          <w:kern w:val="2"/>
          <w:sz w:val="24"/>
          <w:szCs w:val="22"/>
          <w:highlight w:val="none"/>
          <w:lang w:val="en-US" w:eastAsia="zh-CN" w:bidi="ar-SA"/>
          <w14:textFill>
            <w14:solidFill>
              <w14:schemeClr w14:val="tx1"/>
            </w14:solidFill>
          </w14:textFill>
        </w:rPr>
      </w:pPr>
      <w:r>
        <w:rPr>
          <w:rFonts w:hint="eastAsia" w:ascii="Times New Roman" w:hAnsi="Times New Roman" w:eastAsia="黑体" w:cs="Times New Roman"/>
          <w:color w:val="000000" w:themeColor="text1"/>
          <w:kern w:val="2"/>
          <w:sz w:val="24"/>
          <w:szCs w:val="22"/>
          <w:highlight w:val="none"/>
          <w:lang w:val="en-US" w:eastAsia="zh-CN" w:bidi="ar-SA"/>
          <w14:textFill>
            <w14:solidFill>
              <w14:schemeClr w14:val="tx1"/>
            </w14:solidFill>
          </w14:textFill>
        </w:rPr>
        <w:t>8、项目与《达州市“十四五”生态环境保护规划》的符合性分析</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本项目与《地下水管理条例》</w:t>
      </w:r>
      <w:r>
        <w:rPr>
          <w:rFonts w:hint="eastAsia" w:cs="Times New Roman"/>
          <w:color w:val="000000" w:themeColor="text1"/>
          <w:highlight w:val="none"/>
          <w14:textFill>
            <w14:solidFill>
              <w14:schemeClr w14:val="tx1"/>
            </w14:solidFill>
          </w14:textFill>
        </w:rPr>
        <w:t>（2021年12月1日实施）的</w:t>
      </w:r>
      <w:r>
        <w:rPr>
          <w:rFonts w:cs="Times New Roman"/>
          <w:color w:val="000000" w:themeColor="text1"/>
          <w:highlight w:val="none"/>
          <w14:textFill>
            <w14:solidFill>
              <w14:schemeClr w14:val="tx1"/>
            </w14:solidFill>
          </w14:textFill>
        </w:rPr>
        <w:t>符合性分析见表2.7-</w:t>
      </w:r>
      <w:r>
        <w:rPr>
          <w:rFonts w:hint="eastAsia" w:cs="Times New Roman"/>
          <w:color w:val="000000" w:themeColor="text1"/>
          <w:highlight w:val="none"/>
          <w:lang w:val="en-US" w:eastAsia="zh-CN"/>
          <w14:textFill>
            <w14:solidFill>
              <w14:schemeClr w14:val="tx1"/>
            </w14:solidFill>
          </w14:textFill>
        </w:rPr>
        <w:t>14</w:t>
      </w:r>
      <w:r>
        <w:rPr>
          <w:rFonts w:cs="Times New Roman"/>
          <w:color w:val="000000" w:themeColor="text1"/>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lang w:val="en-US" w:eastAsia="zh-CN"/>
          <w14:textFill>
            <w14:solidFill>
              <w14:schemeClr w14:val="tx1"/>
            </w14:solidFill>
          </w14:textFill>
        </w:rPr>
        <w:t xml:space="preserve">14  </w:t>
      </w:r>
      <w:r>
        <w:rPr>
          <w:rFonts w:hint="eastAsia"/>
          <w:color w:val="000000" w:themeColor="text1"/>
          <w:highlight w:val="none"/>
          <w14:textFill>
            <w14:solidFill>
              <w14:schemeClr w14:val="tx1"/>
            </w14:solidFill>
          </w14:textFill>
        </w:rPr>
        <w:t>与《地下水管理条例》符合性分析</w:t>
      </w:r>
    </w:p>
    <w:tbl>
      <w:tblPr>
        <w:tblStyle w:val="4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2"/>
        <w:gridCol w:w="4421"/>
        <w:gridCol w:w="3123"/>
        <w:gridCol w:w="4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0" w:type="auto"/>
            <w:tcMar>
              <w:left w:w="57" w:type="dxa"/>
              <w:right w:w="57" w:type="dxa"/>
            </w:tcMar>
            <w:vAlign w:val="center"/>
          </w:tcPr>
          <w:p>
            <w:pPr>
              <w:pStyle w:val="118"/>
              <w:rPr>
                <w:b/>
                <w:bCs/>
                <w:color w:val="000000" w:themeColor="text1"/>
                <w:highlight w:val="none"/>
                <w14:textFill>
                  <w14:solidFill>
                    <w14:schemeClr w14:val="tx1"/>
                  </w14:solidFill>
                </w14:textFill>
              </w:rPr>
            </w:pPr>
            <w:bookmarkStart w:id="95" w:name="_Hlk95470983"/>
            <w:r>
              <w:rPr>
                <w:b/>
                <w:bCs/>
                <w:color w:val="000000" w:themeColor="text1"/>
                <w:highlight w:val="none"/>
                <w14:textFill>
                  <w14:solidFill>
                    <w14:schemeClr w14:val="tx1"/>
                  </w14:solidFill>
                </w14:textFill>
              </w:rPr>
              <w:t>序号</w:t>
            </w:r>
          </w:p>
        </w:tc>
        <w:tc>
          <w:tcPr>
            <w:tcW w:w="4421" w:type="dxa"/>
            <w:tcMar>
              <w:left w:w="57" w:type="dxa"/>
              <w:right w:w="57" w:type="dxa"/>
            </w:tcMar>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相关要求（摘录）</w:t>
            </w:r>
          </w:p>
        </w:tc>
        <w:tc>
          <w:tcPr>
            <w:tcW w:w="3123" w:type="dxa"/>
            <w:tcMar>
              <w:left w:w="57" w:type="dxa"/>
              <w:right w:w="57" w:type="dxa"/>
            </w:tcMar>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本项目情况</w:t>
            </w:r>
          </w:p>
        </w:tc>
        <w:tc>
          <w:tcPr>
            <w:tcW w:w="0" w:type="auto"/>
            <w:tcMar>
              <w:left w:w="57" w:type="dxa"/>
              <w:right w:w="57" w:type="dxa"/>
            </w:tcMar>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Mar>
              <w:left w:w="57" w:type="dxa"/>
              <w:right w:w="57"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4421" w:type="dxa"/>
            <w:tcMar>
              <w:left w:w="57" w:type="dxa"/>
              <w:right w:w="57"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单位和个人应当采取措施防止地下工程建设对地下水补给、径流、排泄等造成重大不利影响。对开挖达到一定深度或者达到一定排水规模的地下工程，建设单位和个人应当于工程开工前，将工程建设方案和防止对地下水产生不利影响的措施方案报有管理权限的水行政主管部门备案。开挖深度和排水规模由省、自治区、直辖市人民政府制定、公布。</w:t>
            </w:r>
          </w:p>
        </w:tc>
        <w:tc>
          <w:tcPr>
            <w:tcW w:w="3123" w:type="dxa"/>
            <w:tcMar>
              <w:left w:w="57" w:type="dxa"/>
              <w:right w:w="57"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本项目仅为天然气</w:t>
            </w:r>
            <w:r>
              <w:rPr>
                <w:rFonts w:hint="eastAsia"/>
                <w:color w:val="000000" w:themeColor="text1"/>
                <w:highlight w:val="none"/>
                <w14:textFill>
                  <w14:solidFill>
                    <w14:schemeClr w14:val="tx1"/>
                  </w14:solidFill>
                </w14:textFill>
              </w:rPr>
              <w:t>试采</w:t>
            </w:r>
            <w:r>
              <w:rPr>
                <w:color w:val="000000" w:themeColor="text1"/>
                <w:highlight w:val="none"/>
                <w14:textFill>
                  <w14:solidFill>
                    <w14:schemeClr w14:val="tx1"/>
                  </w14:solidFill>
                </w14:textFill>
              </w:rPr>
              <w:t>工程，不涉及钻井施工；本项目还采取了严格措施（设置了分区防渗等）防止工程建设对地下水补给、径流、排泄等造成重大不利影响</w:t>
            </w:r>
            <w:r>
              <w:rPr>
                <w:rFonts w:hint="eastAsia"/>
                <w:color w:val="000000" w:themeColor="text1"/>
                <w:highlight w:val="none"/>
                <w14:textFill>
                  <w14:solidFill>
                    <w14:schemeClr w14:val="tx1"/>
                  </w14:solidFill>
                </w14:textFill>
              </w:rPr>
              <w:t>。</w:t>
            </w:r>
          </w:p>
        </w:tc>
        <w:tc>
          <w:tcPr>
            <w:tcW w:w="0" w:type="auto"/>
            <w:tcMar>
              <w:left w:w="57" w:type="dxa"/>
              <w:right w:w="57"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Mar>
              <w:left w:w="57" w:type="dxa"/>
              <w:right w:w="57"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4421" w:type="dxa"/>
            <w:tcMar>
              <w:left w:w="57" w:type="dxa"/>
              <w:right w:w="57"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禁止下列污染或者可能污染地下水的行为：</w:t>
            </w:r>
          </w:p>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（一）利用渗井、渗坑、裂隙、溶洞以及私设暗管等逃避监管的方式排放水污染物；</w:t>
            </w:r>
          </w:p>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（二）利用岩层孔隙、裂隙、溶洞、废弃矿坑等贮存石化原料及产品、农药、危险废物、城镇污水处理设施产生的污泥和处理后的污泥或者其他有毒有害物质；</w:t>
            </w:r>
          </w:p>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（三）利用无防渗漏措施的沟渠、坑塘等输送或者贮存含有毒污染物的废水、含病原体的污水和其他废弃物；</w:t>
            </w:r>
          </w:p>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（四）法律、法规禁止的其他污染或者可能污染地下水的行为</w:t>
            </w:r>
          </w:p>
        </w:tc>
        <w:tc>
          <w:tcPr>
            <w:tcW w:w="3123" w:type="dxa"/>
            <w:tcMar>
              <w:left w:w="57" w:type="dxa"/>
              <w:right w:w="57"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本项目制定了严格措施防止项目建设运营对地下水造成污染</w:t>
            </w:r>
          </w:p>
        </w:tc>
        <w:tc>
          <w:tcPr>
            <w:tcW w:w="0" w:type="auto"/>
            <w:tcMar>
              <w:left w:w="57" w:type="dxa"/>
              <w:right w:w="57"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Mar>
              <w:left w:w="57" w:type="dxa"/>
              <w:right w:w="57"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4421" w:type="dxa"/>
            <w:tcMar>
              <w:left w:w="57" w:type="dxa"/>
              <w:right w:w="57"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企业事业单位和其他生产经营者应当采取下列措施，防止地下水污染：</w:t>
            </w:r>
          </w:p>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（一）兴建地下工程设施或者进行地下勘探、采矿等活动，依法编制的环境影响评价文件中，应当包括地下水污染防治的内容，并采取防护性措施；</w:t>
            </w:r>
          </w:p>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（二）化学品生产企业以及工业集聚区、矿山开采区、尾矿库、危险废物处置场、垃圾填埋场等的运营、管理单位，应当采取防渗漏等措施，并建设地下水水质监测井进行监测；</w:t>
            </w:r>
          </w:p>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（三）加油站等的地下油罐应当使用双层罐或者采取建造防渗池等其他有效措施，并进行防渗漏监测；</w:t>
            </w:r>
          </w:p>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（四）存放可溶性剧毒废渣的场所，应当采取防水、防渗漏、防流失的措施；</w:t>
            </w:r>
          </w:p>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（五）法律、法规规定应当采取的其他防止地下水污染的措施</w:t>
            </w:r>
          </w:p>
        </w:tc>
        <w:tc>
          <w:tcPr>
            <w:tcW w:w="3123" w:type="dxa"/>
            <w:tcMar>
              <w:left w:w="57" w:type="dxa"/>
              <w:right w:w="57"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（一）本项目依法编制的环境影响评价文件中，包括了地下水污染防治的内容，并</w:t>
            </w:r>
            <w:r>
              <w:rPr>
                <w:rFonts w:hint="eastAsia"/>
                <w:color w:val="000000" w:themeColor="text1"/>
                <w:highlight w:val="none"/>
                <w14:textFill>
                  <w14:solidFill>
                    <w14:schemeClr w14:val="tx1"/>
                  </w14:solidFill>
                </w14:textFill>
              </w:rPr>
              <w:t>采取了</w:t>
            </w:r>
            <w:r>
              <w:rPr>
                <w:color w:val="000000" w:themeColor="text1"/>
                <w:highlight w:val="none"/>
                <w14:textFill>
                  <w14:solidFill>
                    <w14:schemeClr w14:val="tx1"/>
                  </w14:solidFill>
                </w14:textFill>
              </w:rPr>
              <w:t>防护性措施；</w:t>
            </w:r>
          </w:p>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（二）本项目不属于化学品生产企业以及工业集聚区、矿山开采区、尾矿库、危险废物处置场、垃圾填埋场等的运营、管理单位；</w:t>
            </w:r>
          </w:p>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（三）本项目没有地下油罐，同时项目采取了分区防渗措施；</w:t>
            </w:r>
          </w:p>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（四）本项目</w:t>
            </w:r>
            <w:r>
              <w:rPr>
                <w:rFonts w:hint="eastAsia"/>
                <w:color w:val="000000" w:themeColor="text1"/>
                <w:highlight w:val="none"/>
                <w14:textFill>
                  <w14:solidFill>
                    <w14:schemeClr w14:val="tx1"/>
                  </w14:solidFill>
                </w14:textFill>
              </w:rPr>
              <w:t>不涉及</w:t>
            </w:r>
            <w:r>
              <w:rPr>
                <w:color w:val="000000" w:themeColor="text1"/>
                <w:highlight w:val="none"/>
                <w14:textFill>
                  <w14:solidFill>
                    <w14:schemeClr w14:val="tx1"/>
                  </w14:solidFill>
                </w14:textFill>
              </w:rPr>
              <w:t>存放可溶性剧毒废渣的场所；</w:t>
            </w:r>
          </w:p>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（五）本项目落实了法律、法规规定的应当采取的其他防止地下水污染的措施</w:t>
            </w:r>
            <w:r>
              <w:rPr>
                <w:rFonts w:hint="eastAsia"/>
                <w:color w:val="000000" w:themeColor="text1"/>
                <w:highlight w:val="none"/>
                <w14:textFill>
                  <w14:solidFill>
                    <w14:schemeClr w14:val="tx1"/>
                  </w14:solidFill>
                </w14:textFill>
              </w:rPr>
              <w:t>。</w:t>
            </w:r>
          </w:p>
        </w:tc>
        <w:tc>
          <w:tcPr>
            <w:tcW w:w="0" w:type="auto"/>
            <w:tcMar>
              <w:left w:w="57" w:type="dxa"/>
              <w:right w:w="57"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Mar>
              <w:left w:w="57" w:type="dxa"/>
              <w:right w:w="57"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c>
          <w:tcPr>
            <w:tcW w:w="4421" w:type="dxa"/>
            <w:tcMar>
              <w:left w:w="57" w:type="dxa"/>
              <w:right w:w="57"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在泉域保护范围以及岩溶强发育、存在较多落水洞和岩溶漏斗的区域内，不得新建、改建、扩建可能造成地下水污染的建设项目</w:t>
            </w:r>
          </w:p>
        </w:tc>
        <w:tc>
          <w:tcPr>
            <w:tcW w:w="3123" w:type="dxa"/>
            <w:tcMar>
              <w:left w:w="57" w:type="dxa"/>
              <w:right w:w="57"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本项目不</w:t>
            </w:r>
            <w:r>
              <w:rPr>
                <w:rFonts w:hint="eastAsia"/>
                <w:color w:val="000000" w:themeColor="text1"/>
                <w:highlight w:val="none"/>
                <w14:textFill>
                  <w14:solidFill>
                    <w14:schemeClr w14:val="tx1"/>
                  </w14:solidFill>
                </w14:textFill>
              </w:rPr>
              <w:t>涉及</w:t>
            </w:r>
            <w:r>
              <w:rPr>
                <w:color w:val="000000" w:themeColor="text1"/>
                <w:highlight w:val="none"/>
                <w14:textFill>
                  <w14:solidFill>
                    <w14:schemeClr w14:val="tx1"/>
                  </w14:solidFill>
                </w14:textFill>
              </w:rPr>
              <w:t>泉域保护范围</w:t>
            </w:r>
            <w:r>
              <w:rPr>
                <w:rFonts w:hint="eastAsia"/>
                <w:color w:val="000000" w:themeColor="text1"/>
                <w:highlight w:val="none"/>
                <w14:textFill>
                  <w14:solidFill>
                    <w14:schemeClr w14:val="tx1"/>
                  </w14:solidFill>
                </w14:textFill>
              </w:rPr>
              <w:t>、不涉及</w:t>
            </w:r>
            <w:r>
              <w:rPr>
                <w:color w:val="000000" w:themeColor="text1"/>
                <w:highlight w:val="none"/>
                <w14:textFill>
                  <w14:solidFill>
                    <w14:schemeClr w14:val="tx1"/>
                  </w14:solidFill>
                </w14:textFill>
              </w:rPr>
              <w:t>岩溶强发育、存在较多落水洞和岩溶漏斗的区域</w:t>
            </w:r>
          </w:p>
        </w:tc>
        <w:tc>
          <w:tcPr>
            <w:tcW w:w="0" w:type="auto"/>
            <w:tcMar>
              <w:left w:w="57" w:type="dxa"/>
              <w:right w:w="57"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bookmarkEnd w:id="95"/>
    </w:tbl>
    <w:p>
      <w:pPr>
        <w:autoSpaceDE w:val="0"/>
        <w:autoSpaceDN w:val="0"/>
        <w:spacing w:before="120" w:beforeLines="50"/>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综上所述，本项目的建设与《地下水管理条例》</w:t>
      </w:r>
      <w:r>
        <w:rPr>
          <w:rFonts w:hint="eastAsia" w:cs="Times New Roman"/>
          <w:color w:val="000000" w:themeColor="text1"/>
          <w:highlight w:val="none"/>
          <w14:textFill>
            <w14:solidFill>
              <w14:schemeClr w14:val="tx1"/>
            </w14:solidFill>
          </w14:textFill>
        </w:rPr>
        <w:t>（2021年12月1日实施）</w:t>
      </w:r>
      <w:r>
        <w:rPr>
          <w:rFonts w:cs="Times New Roman"/>
          <w:color w:val="000000" w:themeColor="text1"/>
          <w:highlight w:val="none"/>
          <w14:textFill>
            <w14:solidFill>
              <w14:schemeClr w14:val="tx1"/>
            </w14:solidFill>
          </w14:textFill>
        </w:rPr>
        <w:t>相符。</w:t>
      </w:r>
    </w:p>
    <w:p>
      <w:pPr>
        <w:tabs>
          <w:tab w:val="left" w:pos="0"/>
        </w:tabs>
        <w:ind w:firstLine="480"/>
        <w:rPr>
          <w:rFonts w:hint="eastAsia" w:ascii="Times New Roman" w:hAnsi="Times New Roman" w:eastAsia="黑体" w:cs="Times New Roman"/>
          <w:color w:val="000000" w:themeColor="text1"/>
          <w:highlight w:val="none"/>
          <w14:textFill>
            <w14:solidFill>
              <w14:schemeClr w14:val="tx1"/>
            </w14:solidFill>
          </w14:textFill>
        </w:rPr>
      </w:pPr>
      <w:r>
        <w:rPr>
          <w:rFonts w:hint="eastAsia" w:ascii="Times New Roman" w:hAnsi="Times New Roman" w:eastAsia="黑体" w:cs="Times New Roman"/>
          <w:color w:val="000000" w:themeColor="text1"/>
          <w:highlight w:val="none"/>
          <w:lang w:val="en-US" w:eastAsia="zh-CN"/>
          <w14:textFill>
            <w14:solidFill>
              <w14:schemeClr w14:val="tx1"/>
            </w14:solidFill>
          </w14:textFill>
        </w:rPr>
        <w:t>9、</w:t>
      </w:r>
      <w:r>
        <w:rPr>
          <w:rFonts w:hint="eastAsia" w:ascii="Times New Roman" w:hAnsi="Times New Roman" w:eastAsia="黑体" w:cs="Times New Roman"/>
          <w:color w:val="000000" w:themeColor="text1"/>
          <w:highlight w:val="none"/>
          <w:lang w:eastAsia="zh-CN"/>
          <w14:textFill>
            <w14:solidFill>
              <w14:schemeClr w14:val="tx1"/>
            </w14:solidFill>
          </w14:textFill>
        </w:rPr>
        <w:t>项目与《</w:t>
      </w:r>
      <w:r>
        <w:rPr>
          <w:rFonts w:hint="eastAsia" w:ascii="Times New Roman" w:hAnsi="Times New Roman" w:eastAsia="黑体" w:cs="Times New Roman"/>
          <w:color w:val="000000" w:themeColor="text1"/>
          <w:highlight w:val="none"/>
          <w:lang w:val="en-US" w:eastAsia="zh-CN"/>
          <w14:textFill>
            <w14:solidFill>
              <w14:schemeClr w14:val="tx1"/>
            </w14:solidFill>
          </w14:textFill>
        </w:rPr>
        <w:t>甲烷排放控制行动方案</w:t>
      </w:r>
      <w:r>
        <w:rPr>
          <w:rFonts w:hint="eastAsia" w:ascii="Times New Roman" w:hAnsi="Times New Roman" w:eastAsia="黑体" w:cs="Times New Roman"/>
          <w:color w:val="000000" w:themeColor="text1"/>
          <w:highlight w:val="none"/>
          <w:lang w:eastAsia="zh-CN"/>
          <w14:textFill>
            <w14:solidFill>
              <w14:schemeClr w14:val="tx1"/>
            </w14:solidFill>
          </w14:textFill>
        </w:rPr>
        <w:t>》符合性分析</w:t>
      </w:r>
    </w:p>
    <w:p>
      <w:pPr>
        <w:pStyle w:val="19"/>
        <w:keepNext w:val="0"/>
        <w:keepLines w:val="0"/>
        <w:pageBreakBefore w:val="0"/>
        <w:widowControl/>
        <w:numPr>
          <w:ilvl w:val="0"/>
          <w:numId w:val="0"/>
        </w:numPr>
        <w:kinsoku/>
        <w:wordWrap/>
        <w:overflowPunct/>
        <w:topLinePunct w:val="0"/>
        <w:autoSpaceDE/>
        <w:autoSpaceDN/>
        <w:bidi w:val="0"/>
        <w:adjustRightInd w:val="0"/>
        <w:snapToGrid w:val="0"/>
        <w:spacing w:before="0" w:line="360" w:lineRule="auto"/>
        <w:ind w:firstLine="480" w:firstLineChars="200"/>
        <w:jc w:val="both"/>
        <w:textAlignment w:val="auto"/>
        <w:rPr>
          <w:rFonts w:hint="eastAsia" w:cs="Times New Roman"/>
          <w:bCs/>
          <w:color w:val="000000" w:themeColor="text1"/>
          <w:szCs w:val="24"/>
          <w:highlight w:val="none"/>
          <w:lang w:eastAsia="zh-CN"/>
          <w14:textFill>
            <w14:solidFill>
              <w14:schemeClr w14:val="tx1"/>
            </w14:solidFill>
          </w14:textFill>
        </w:rPr>
      </w:pPr>
      <w:r>
        <w:rPr>
          <w:rFonts w:hint="eastAsia" w:ascii="Times New Roman" w:hAnsi="Times New Roman" w:cs="Times New Roman"/>
          <w:color w:val="000000" w:themeColor="text1"/>
          <w:kern w:val="21"/>
          <w:sz w:val="24"/>
          <w:szCs w:val="24"/>
          <w:highlight w:val="none"/>
          <w:lang w:val="en-US" w:eastAsia="zh-CN" w:bidi="ar-SA"/>
          <w14:textFill>
            <w14:solidFill>
              <w14:schemeClr w14:val="tx1"/>
            </w14:solidFill>
          </w14:textFill>
        </w:rPr>
        <w:t>根据</w:t>
      </w:r>
      <w:r>
        <w:rPr>
          <w:rFonts w:ascii="Times New Roman" w:hAnsi="Times New Roman" w:eastAsia="宋体" w:cs="Times New Roman"/>
          <w:color w:val="000000" w:themeColor="text1"/>
          <w:kern w:val="21"/>
          <w:sz w:val="24"/>
          <w:szCs w:val="24"/>
          <w:highlight w:val="none"/>
          <w:lang w:val="en-US" w:eastAsia="zh-CN" w:bidi="ar-SA"/>
          <w14:textFill>
            <w14:solidFill>
              <w14:schemeClr w14:val="tx1"/>
            </w14:solidFill>
          </w14:textFill>
        </w:rPr>
        <w:t>生态环境部、外交部、国家发展改革委、科技部、工业和信息化部、 财政部、自然资源部、</w:t>
      </w:r>
      <w:r>
        <w:rPr>
          <w:rFonts w:hint="eastAsia" w:ascii="Times New Roman" w:hAnsi="Times New Roman" w:cs="Times New Roman"/>
          <w:color w:val="000000" w:themeColor="text1"/>
          <w:kern w:val="21"/>
          <w:sz w:val="24"/>
          <w:szCs w:val="24"/>
          <w:highlight w:val="none"/>
          <w:lang w:val="en-US" w:eastAsia="zh-CN" w:bidi="ar-SA"/>
          <w14:textFill>
            <w14:solidFill>
              <w14:schemeClr w14:val="tx1"/>
            </w14:solidFill>
          </w14:textFill>
        </w:rPr>
        <w:t>住房和城乡建设</w:t>
      </w:r>
      <w:r>
        <w:rPr>
          <w:rFonts w:ascii="Times New Roman" w:hAnsi="Times New Roman" w:eastAsia="宋体" w:cs="Times New Roman"/>
          <w:color w:val="000000" w:themeColor="text1"/>
          <w:kern w:val="21"/>
          <w:sz w:val="24"/>
          <w:szCs w:val="24"/>
          <w:highlight w:val="none"/>
          <w:lang w:val="en-US" w:eastAsia="zh-CN" w:bidi="ar-SA"/>
          <w14:textFill>
            <w14:solidFill>
              <w14:schemeClr w14:val="tx1"/>
            </w14:solidFill>
          </w14:textFill>
        </w:rPr>
        <w:t>、农业农村部、应急管理部、国家能源局于2023年11月7日印发实施</w:t>
      </w:r>
      <w:r>
        <w:rPr>
          <w:rFonts w:hint="eastAsia" w:ascii="Times New Roman" w:hAnsi="Times New Roman" w:eastAsia="宋体" w:cs="Times New Roman"/>
          <w:color w:val="000000" w:themeColor="text1"/>
          <w:kern w:val="21"/>
          <w:sz w:val="24"/>
          <w:szCs w:val="24"/>
          <w:highlight w:val="none"/>
          <w:lang w:val="en-US" w:eastAsia="zh-CN" w:bidi="ar-SA"/>
          <w14:textFill>
            <w14:solidFill>
              <w14:schemeClr w14:val="tx1"/>
            </w14:solidFill>
          </w14:textFill>
        </w:rPr>
        <w:t>的《甲烷排放控制行动方案》，</w:t>
      </w:r>
      <w:r>
        <w:rPr>
          <w:rFonts w:ascii="Times New Roman" w:hAnsi="Times New Roman" w:eastAsia="宋体" w:cs="Times New Roman"/>
          <w:color w:val="000000" w:themeColor="text1"/>
          <w:kern w:val="21"/>
          <w:sz w:val="24"/>
          <w:szCs w:val="24"/>
          <w:highlight w:val="none"/>
          <w:lang w:val="en-US" w:eastAsia="zh-CN" w:bidi="ar-SA"/>
          <w14:textFill>
            <w14:solidFill>
              <w14:schemeClr w14:val="tx1"/>
            </w14:solidFill>
          </w14:textFill>
        </w:rPr>
        <w:t>本项目与其符合性分析如下：</w:t>
      </w:r>
    </w:p>
    <w:p>
      <w:pPr>
        <w:pStyle w:val="96"/>
        <w:spacing w:before="0" w:beforeLines="0"/>
        <w:rPr>
          <w:color w:val="000000" w:themeColor="text1"/>
          <w:highlight w:val="none"/>
          <w14:textFill>
            <w14:solidFill>
              <w14:schemeClr w14:val="tx1"/>
            </w14:solidFill>
          </w14:textFill>
        </w:rPr>
      </w:pPr>
    </w:p>
    <w:p>
      <w:pPr>
        <w:pStyle w:val="96"/>
        <w:spacing w:before="0" w:beforeLines="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STYLEREF 2 \s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lang w:val="en-US" w:eastAsia="zh-CN"/>
          <w14:textFill>
            <w14:solidFill>
              <w14:schemeClr w14:val="tx1"/>
            </w14:solidFill>
          </w14:textFill>
        </w:rPr>
        <w:t>15</w:t>
      </w:r>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t xml:space="preserve"> 与</w:t>
      </w:r>
      <w:r>
        <w:rPr>
          <w:rFonts w:hint="eastAsia"/>
          <w:color w:val="000000" w:themeColor="text1"/>
          <w:highlight w:val="none"/>
          <w:lang w:val="en-US" w:eastAsia="zh-CN"/>
          <w14:textFill>
            <w14:solidFill>
              <w14:schemeClr w14:val="tx1"/>
            </w14:solidFill>
          </w14:textFill>
        </w:rPr>
        <w:t>《甲烷排放控制行动方案》</w:t>
      </w:r>
      <w:r>
        <w:rPr>
          <w:color w:val="000000" w:themeColor="text1"/>
          <w:highlight w:val="none"/>
          <w14:textFill>
            <w14:solidFill>
              <w14:schemeClr w14:val="tx1"/>
            </w14:solidFill>
          </w14:textFill>
        </w:rPr>
        <w:t>符合性分析</w:t>
      </w:r>
    </w:p>
    <w:tbl>
      <w:tblPr>
        <w:tblStyle w:val="4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4272"/>
        <w:gridCol w:w="3089"/>
        <w:gridCol w:w="10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2" w:hRule="atLeast"/>
          <w:tblHeader/>
          <w:jc w:val="center"/>
        </w:trPr>
        <w:tc>
          <w:tcPr>
            <w:tcW w:w="4272" w:type="dxa"/>
            <w:vAlign w:val="center"/>
          </w:tcPr>
          <w:p>
            <w:pPr>
              <w:pStyle w:val="118"/>
              <w:keepNext w:val="0"/>
              <w:keepLines w:val="0"/>
              <w:pageBreakBefore w:val="0"/>
              <w:widowControl/>
              <w:kinsoku/>
              <w:wordWrap/>
              <w:overflowPunct/>
              <w:topLinePunct w:val="0"/>
              <w:autoSpaceDE/>
              <w:autoSpaceDN/>
              <w:bidi w:val="0"/>
              <w:adjustRightInd w:val="0"/>
              <w:snapToGrid w:val="0"/>
              <w:spacing w:line="240" w:lineRule="auto"/>
              <w:rPr>
                <w:rFonts w:hint="default" w:eastAsia="宋体"/>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方案中与本项目有关的具体要求</w:t>
            </w:r>
          </w:p>
        </w:tc>
        <w:tc>
          <w:tcPr>
            <w:tcW w:w="3089" w:type="dxa"/>
            <w:vAlign w:val="center"/>
          </w:tcPr>
          <w:p>
            <w:pPr>
              <w:pStyle w:val="118"/>
              <w:keepNext w:val="0"/>
              <w:keepLines w:val="0"/>
              <w:pageBreakBefore w:val="0"/>
              <w:widowControl/>
              <w:kinsoku/>
              <w:wordWrap/>
              <w:overflowPunct/>
              <w:topLinePunct w:val="0"/>
              <w:autoSpaceDE/>
              <w:autoSpaceDN/>
              <w:bidi w:val="0"/>
              <w:adjustRightInd w:val="0"/>
              <w:snapToGrid w:val="0"/>
              <w:spacing w:line="240" w:lineRule="auto"/>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项目内容</w:t>
            </w:r>
          </w:p>
        </w:tc>
        <w:tc>
          <w:tcPr>
            <w:tcW w:w="1001" w:type="dxa"/>
            <w:vAlign w:val="center"/>
          </w:tcPr>
          <w:p>
            <w:pPr>
              <w:pStyle w:val="118"/>
              <w:keepNext w:val="0"/>
              <w:keepLines w:val="0"/>
              <w:pageBreakBefore w:val="0"/>
              <w:widowControl/>
              <w:kinsoku/>
              <w:wordWrap/>
              <w:overflowPunct/>
              <w:topLinePunct w:val="0"/>
              <w:autoSpaceDE/>
              <w:autoSpaceDN/>
              <w:bidi w:val="0"/>
              <w:adjustRightInd w:val="0"/>
              <w:snapToGrid w:val="0"/>
              <w:spacing w:line="240" w:lineRule="auto"/>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146" w:hRule="atLeast"/>
          <w:jc w:val="center"/>
        </w:trPr>
        <w:tc>
          <w:tcPr>
            <w:tcW w:w="4272"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left"/>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shd w:val="clear" w:color="auto" w:fill="FFFFFF"/>
                <w:lang w:val="en-US" w:eastAsia="zh-CN" w:bidi="ar-SA"/>
                <w14:textFill>
                  <w14:solidFill>
                    <w14:schemeClr w14:val="tx1"/>
                  </w14:solidFill>
                </w14:textFill>
              </w:rPr>
              <w:t>4.强化甲烷综合利用。促进油气田放空甲烷排放管控，鼓励企业</w:t>
            </w:r>
            <w:r>
              <w:rPr>
                <w:rFonts w:hint="eastAsia" w:ascii="Times New Roman" w:hAnsi="Times New Roman" w:eastAsia="宋体" w:cs="Times New Roman"/>
                <w:color w:val="000000" w:themeColor="text1"/>
                <w:kern w:val="2"/>
                <w:sz w:val="21"/>
                <w:szCs w:val="20"/>
                <w:highlight w:val="none"/>
                <w:shd w:val="clear" w:color="auto" w:fill="FFFFFF"/>
                <w:lang w:val="en-US" w:eastAsia="zh-CN" w:bidi="ar-SA"/>
                <w14:textFill>
                  <w14:solidFill>
                    <w14:schemeClr w14:val="tx1"/>
                  </w14:solidFill>
                </w14:textFill>
              </w:rPr>
              <w:t>因地制宜开展伴生气与放空气回收利用，不能回收或难以回收的，应经燃烧后放空。鼓励引导煤炭企业加大煤矿瓦斯抽采利用。到2025 年，煤矿瓦斯年利用量达到 60 亿立方米；到 2030 年，油田伴生气集气率达到国际先进水平。</w:t>
            </w:r>
          </w:p>
        </w:tc>
        <w:tc>
          <w:tcPr>
            <w:tcW w:w="3089" w:type="dxa"/>
            <w:vAlign w:val="center"/>
          </w:tcPr>
          <w:p>
            <w:pPr>
              <w:pStyle w:val="118"/>
              <w:keepNext w:val="0"/>
              <w:keepLines w:val="0"/>
              <w:pageBreakBefore w:val="0"/>
              <w:widowControl/>
              <w:kinsoku/>
              <w:wordWrap/>
              <w:overflowPunct/>
              <w:topLinePunct w:val="0"/>
              <w:autoSpaceDE/>
              <w:autoSpaceDN/>
              <w:bidi w:val="0"/>
              <w:adjustRightInd w:val="0"/>
              <w:snapToGrid w:val="0"/>
              <w:spacing w:line="240" w:lineRule="auto"/>
              <w:jc w:val="left"/>
              <w:rPr>
                <w:rFonts w:hint="default" w:eastAsia="宋体"/>
                <w:color w:val="000000" w:themeColor="text1"/>
                <w:highlight w:val="none"/>
                <w:lang w:val="en-US" w:eastAsia="zh-CN"/>
                <w14:textFill>
                  <w14:solidFill>
                    <w14:schemeClr w14:val="tx1"/>
                  </w14:solidFill>
                </w14:textFill>
              </w:rPr>
            </w:pPr>
            <w:r>
              <w:rPr>
                <w:rFonts w:hint="eastAsia" w:cs="Times New Roman"/>
                <w:color w:val="000000" w:themeColor="text1"/>
                <w:kern w:val="2"/>
                <w:sz w:val="21"/>
                <w:szCs w:val="20"/>
                <w:highlight w:val="none"/>
                <w:shd w:val="clear" w:color="auto" w:fill="FFFFFF"/>
                <w:lang w:val="en-US" w:eastAsia="zh-CN" w:bidi="ar-SA"/>
                <w14:textFill>
                  <w14:solidFill>
                    <w14:schemeClr w14:val="tx1"/>
                  </w14:solidFill>
                </w14:textFill>
              </w:rPr>
              <w:t>本项目为天然气钻井及试采工程项目，且为页岩气开采项目的地面工程，开采过程中全密闭输气，</w:t>
            </w:r>
            <w:r>
              <w:rPr>
                <w:color w:val="000000" w:themeColor="text1"/>
                <w:highlight w:val="none"/>
                <w14:textFill>
                  <w14:solidFill>
                    <w14:schemeClr w14:val="tx1"/>
                  </w14:solidFill>
                </w14:textFill>
              </w:rPr>
              <w:t>本项目</w:t>
            </w:r>
            <w:r>
              <w:rPr>
                <w:rFonts w:hint="eastAsia"/>
                <w:color w:val="000000" w:themeColor="text1"/>
                <w:highlight w:val="none"/>
                <w14:textFill>
                  <w14:solidFill>
                    <w14:schemeClr w14:val="tx1"/>
                  </w14:solidFill>
                </w14:textFill>
              </w:rPr>
              <w:t>试采工程中将</w:t>
            </w:r>
            <w:r>
              <w:rPr>
                <w:color w:val="000000" w:themeColor="text1"/>
                <w:highlight w:val="none"/>
                <w14:textFill>
                  <w14:solidFill>
                    <w14:schemeClr w14:val="tx1"/>
                  </w14:solidFill>
                </w14:textFill>
              </w:rPr>
              <w:t>对异常超压和检修时不具备利用条件</w:t>
            </w:r>
            <w:r>
              <w:rPr>
                <w:rFonts w:hint="eastAsia"/>
                <w:color w:val="000000" w:themeColor="text1"/>
                <w:highlight w:val="none"/>
                <w14:textFill>
                  <w14:solidFill>
                    <w14:schemeClr w14:val="tx1"/>
                  </w14:solidFill>
                </w14:textFill>
              </w:rPr>
              <w:t>的</w:t>
            </w:r>
            <w:r>
              <w:rPr>
                <w:color w:val="000000" w:themeColor="text1"/>
                <w:highlight w:val="none"/>
                <w14:textFill>
                  <w14:solidFill>
                    <w14:schemeClr w14:val="tx1"/>
                  </w14:solidFill>
                </w14:textFill>
              </w:rPr>
              <w:t>天然气，通过放</w:t>
            </w:r>
            <w:r>
              <w:rPr>
                <w:rFonts w:hint="eastAsia"/>
                <w:color w:val="000000" w:themeColor="text1"/>
                <w:highlight w:val="none"/>
                <w14:textFill>
                  <w14:solidFill>
                    <w14:schemeClr w14:val="tx1"/>
                  </w14:solidFill>
                </w14:textFill>
              </w:rPr>
              <w:t>空立管</w:t>
            </w:r>
            <w:r>
              <w:rPr>
                <w:color w:val="000000" w:themeColor="text1"/>
                <w:highlight w:val="none"/>
                <w14:textFill>
                  <w14:solidFill>
                    <w14:schemeClr w14:val="tx1"/>
                  </w14:solidFill>
                </w14:textFill>
              </w:rPr>
              <w:t>进行充分燃烧</w:t>
            </w:r>
            <w:r>
              <w:rPr>
                <w:rFonts w:hint="eastAsia" w:cs="Times New Roman"/>
                <w:color w:val="000000" w:themeColor="text1"/>
                <w:kern w:val="2"/>
                <w:sz w:val="21"/>
                <w:szCs w:val="20"/>
                <w:highlight w:val="none"/>
                <w:shd w:val="clear" w:color="auto" w:fill="FFFFFF"/>
                <w:lang w:val="en-US" w:eastAsia="zh-CN" w:bidi="ar-SA"/>
                <w14:textFill>
                  <w14:solidFill>
                    <w14:schemeClr w14:val="tx1"/>
                  </w14:solidFill>
                </w14:textFill>
              </w:rPr>
              <w:t>。</w:t>
            </w:r>
          </w:p>
        </w:tc>
        <w:tc>
          <w:tcPr>
            <w:tcW w:w="1001" w:type="dxa"/>
            <w:vAlign w:val="center"/>
          </w:tcPr>
          <w:p>
            <w:pPr>
              <w:pStyle w:val="118"/>
              <w:keepNext w:val="0"/>
              <w:keepLines w:val="0"/>
              <w:pageBreakBefore w:val="0"/>
              <w:widowControl/>
              <w:kinsoku/>
              <w:wordWrap/>
              <w:overflowPunct/>
              <w:topLinePunct w:val="0"/>
              <w:autoSpaceDE/>
              <w:autoSpaceDN/>
              <w:bidi w:val="0"/>
              <w:adjustRightInd w:val="0"/>
              <w:snapToGrid w:val="0"/>
              <w:spacing w:line="240" w:lineRule="auto"/>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6" w:hRule="atLeast"/>
          <w:jc w:val="center"/>
        </w:trPr>
        <w:tc>
          <w:tcPr>
            <w:tcW w:w="4272"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left"/>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1"/>
                <w:szCs w:val="20"/>
                <w:highlight w:val="none"/>
                <w:shd w:val="clear" w:color="auto" w:fill="FFFFFF"/>
                <w:lang w:val="en-US" w:eastAsia="zh-CN" w:bidi="ar-SA"/>
                <w14:textFill>
                  <w14:solidFill>
                    <w14:schemeClr w14:val="tx1"/>
                  </w14:solidFill>
                </w14:textFill>
              </w:rPr>
              <w:t>6.推动逐步减少油气系统常规火炬。优化油气田地面工程建设与</w:t>
            </w:r>
            <w:r>
              <w:rPr>
                <w:rFonts w:hint="eastAsia" w:ascii="Times New Roman" w:hAnsi="Times New Roman" w:eastAsia="宋体" w:cs="Times New Roman"/>
                <w:color w:val="000000" w:themeColor="text1"/>
                <w:kern w:val="2"/>
                <w:sz w:val="21"/>
                <w:szCs w:val="20"/>
                <w:highlight w:val="none"/>
                <w:shd w:val="clear" w:color="auto" w:fill="FFFFFF"/>
                <w:lang w:val="en-US" w:eastAsia="zh-CN" w:bidi="ar-SA"/>
                <w14:textFill>
                  <w14:solidFill>
                    <w14:schemeClr w14:val="tx1"/>
                  </w14:solidFill>
                </w14:textFill>
              </w:rPr>
              <w:t>管理，减少火炬系统天然气燃烧量。科学规划设计新建油气作业</w:t>
            </w:r>
            <w:r>
              <w:rPr>
                <w:rFonts w:hint="eastAsia" w:cs="Times New Roman"/>
                <w:color w:val="000000" w:themeColor="text1"/>
                <w:kern w:val="2"/>
                <w:sz w:val="21"/>
                <w:szCs w:val="20"/>
                <w:highlight w:val="none"/>
                <w:shd w:val="clear" w:color="auto" w:fill="FFFFFF"/>
                <w:lang w:val="en-US" w:eastAsia="zh-CN" w:bidi="ar-SA"/>
                <w14:textFill>
                  <w14:solidFill>
                    <w14:schemeClr w14:val="tx1"/>
                  </w14:solidFill>
                </w14:textFill>
              </w:rPr>
              <w:t>项目</w:t>
            </w:r>
            <w:r>
              <w:rPr>
                <w:rFonts w:hint="eastAsia" w:ascii="Times New Roman" w:hAnsi="Times New Roman" w:eastAsia="宋体" w:cs="Times New Roman"/>
                <w:color w:val="000000" w:themeColor="text1"/>
                <w:kern w:val="2"/>
                <w:sz w:val="21"/>
                <w:szCs w:val="20"/>
                <w:highlight w:val="none"/>
                <w:shd w:val="clear" w:color="auto" w:fill="FFFFFF"/>
                <w:lang w:val="en-US" w:eastAsia="zh-CN" w:bidi="ar-SA"/>
                <w14:textFill>
                  <w14:solidFill>
                    <w14:schemeClr w14:val="tx1"/>
                  </w14:solidFill>
                </w14:textFill>
              </w:rPr>
              <w:t>，在确保生产安全的基础上，努力逐步减少常规火炬燃放。</w:t>
            </w:r>
          </w:p>
        </w:tc>
        <w:tc>
          <w:tcPr>
            <w:tcW w:w="3089" w:type="dxa"/>
            <w:vAlign w:val="center"/>
          </w:tcPr>
          <w:p>
            <w:pPr>
              <w:pStyle w:val="118"/>
              <w:keepNext w:val="0"/>
              <w:keepLines w:val="0"/>
              <w:pageBreakBefore w:val="0"/>
              <w:widowControl/>
              <w:kinsoku/>
              <w:wordWrap/>
              <w:overflowPunct/>
              <w:topLinePunct w:val="0"/>
              <w:autoSpaceDE/>
              <w:autoSpaceDN/>
              <w:bidi w:val="0"/>
              <w:adjustRightInd w:val="0"/>
              <w:snapToGrid w:val="0"/>
              <w:spacing w:line="240" w:lineRule="auto"/>
              <w:jc w:val="left"/>
              <w:rPr>
                <w:color w:val="000000" w:themeColor="text1"/>
                <w:highlight w:val="none"/>
                <w14:textFill>
                  <w14:solidFill>
                    <w14:schemeClr w14:val="tx1"/>
                  </w14:solidFill>
                </w14:textFill>
              </w:rPr>
            </w:pPr>
            <w:r>
              <w:rPr>
                <w:rFonts w:hint="eastAsia" w:ascii="Times New Roman" w:hAnsi="Times New Roman" w:eastAsia="宋体" w:cs="Times New Roman"/>
                <w:color w:val="000000" w:themeColor="text1"/>
                <w:kern w:val="2"/>
                <w:sz w:val="21"/>
                <w:szCs w:val="20"/>
                <w:highlight w:val="none"/>
                <w:shd w:val="clear" w:color="auto" w:fill="FFFFFF"/>
                <w:lang w:val="en-US" w:eastAsia="zh-CN" w:bidi="ar-SA"/>
                <w14:textFill>
                  <w14:solidFill>
                    <w14:schemeClr w14:val="tx1"/>
                  </w14:solidFill>
                </w14:textFill>
              </w:rPr>
              <w:t>本项目将根据环境、气象及生产负荷波动情况建立火炬系统燃烧管控方案，合理控制燃气量。同时在试采期还将加强井口装置的定期维护保养，有效减少 CH</w:t>
            </w:r>
            <w:r>
              <w:rPr>
                <w:rFonts w:hint="eastAsia" w:ascii="Times New Roman" w:hAnsi="Times New Roman" w:eastAsia="宋体" w:cs="Times New Roman"/>
                <w:color w:val="000000" w:themeColor="text1"/>
                <w:kern w:val="2"/>
                <w:sz w:val="21"/>
                <w:szCs w:val="20"/>
                <w:highlight w:val="none"/>
                <w:shd w:val="clear" w:color="auto" w:fill="FFFFFF"/>
                <w:vertAlign w:val="subscript"/>
                <w:lang w:val="en-US" w:eastAsia="zh-CN" w:bidi="ar-SA"/>
                <w14:textFill>
                  <w14:solidFill>
                    <w14:schemeClr w14:val="tx1"/>
                  </w14:solidFill>
                </w14:textFill>
              </w:rPr>
              <w:t>4</w:t>
            </w:r>
            <w:r>
              <w:rPr>
                <w:rFonts w:hint="eastAsia" w:ascii="Times New Roman" w:hAnsi="Times New Roman" w:eastAsia="宋体" w:cs="Times New Roman"/>
                <w:color w:val="000000" w:themeColor="text1"/>
                <w:kern w:val="2"/>
                <w:sz w:val="21"/>
                <w:szCs w:val="20"/>
                <w:highlight w:val="none"/>
                <w:shd w:val="clear" w:color="auto" w:fill="FFFFFF"/>
                <w:lang w:val="en-US" w:eastAsia="zh-CN" w:bidi="ar-SA"/>
                <w14:textFill>
                  <w14:solidFill>
                    <w14:schemeClr w14:val="tx1"/>
                  </w14:solidFill>
                </w14:textFill>
              </w:rPr>
              <w:t>的逸散。</w:t>
            </w:r>
          </w:p>
        </w:tc>
        <w:tc>
          <w:tcPr>
            <w:tcW w:w="1001" w:type="dxa"/>
            <w:vAlign w:val="center"/>
          </w:tcPr>
          <w:p>
            <w:pPr>
              <w:pStyle w:val="118"/>
              <w:keepNext w:val="0"/>
              <w:keepLines w:val="0"/>
              <w:pageBreakBefore w:val="0"/>
              <w:widowControl/>
              <w:kinsoku/>
              <w:wordWrap/>
              <w:overflowPunct/>
              <w:topLinePunct w:val="0"/>
              <w:autoSpaceDE/>
              <w:autoSpaceDN/>
              <w:bidi w:val="0"/>
              <w:adjustRightInd w:val="0"/>
              <w:snapToGrid w:val="0"/>
              <w:spacing w:line="240" w:lineRule="auto"/>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符合</w:t>
            </w:r>
          </w:p>
        </w:tc>
      </w:tr>
    </w:tbl>
    <w:p>
      <w:pPr>
        <w:pStyle w:val="2"/>
        <w:pageBreakBefore w:val="0"/>
        <w:kinsoku/>
        <w:wordWrap/>
        <w:overflowPunct/>
        <w:topLinePunct w:val="0"/>
        <w:autoSpaceDE/>
        <w:autoSpaceDN/>
        <w:bidi w:val="0"/>
        <w:adjustRightInd w:val="0"/>
        <w:snapToGrid w:val="0"/>
        <w:spacing w:line="360" w:lineRule="auto"/>
        <w:jc w:val="both"/>
        <w:textAlignment w:val="auto"/>
        <w:rPr>
          <w:rFonts w:ascii="Times New Roman" w:hAnsi="Times New Roman" w:eastAsia="宋体" w:cs="Times New Roman"/>
          <w:color w:val="000000" w:themeColor="text1"/>
          <w:kern w:val="21"/>
          <w:sz w:val="24"/>
          <w:szCs w:val="24"/>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1"/>
          <w:sz w:val="24"/>
          <w:szCs w:val="24"/>
          <w:highlight w:val="none"/>
          <w:lang w:val="en-US" w:eastAsia="zh-CN" w:bidi="ar-SA"/>
          <w14:textFill>
            <w14:solidFill>
              <w14:schemeClr w14:val="tx1"/>
            </w14:solidFill>
          </w14:textFill>
        </w:rPr>
        <w:t>综上所述，本项目</w:t>
      </w:r>
      <w:r>
        <w:rPr>
          <w:rFonts w:hint="eastAsia" w:ascii="Times New Roman" w:hAnsi="Times New Roman" w:eastAsia="宋体" w:cs="Times New Roman"/>
          <w:color w:val="000000" w:themeColor="text1"/>
          <w:kern w:val="21"/>
          <w:sz w:val="24"/>
          <w:szCs w:val="24"/>
          <w:highlight w:val="none"/>
          <w:lang w:val="en-US" w:eastAsia="zh-CN" w:bidi="ar-SA"/>
          <w14:textFill>
            <w14:solidFill>
              <w14:schemeClr w14:val="tx1"/>
            </w14:solidFill>
          </w14:textFill>
        </w:rPr>
        <w:t>与《甲烷排放控制行动方案》</w:t>
      </w:r>
      <w:r>
        <w:rPr>
          <w:rFonts w:ascii="Times New Roman" w:hAnsi="Times New Roman" w:eastAsia="宋体" w:cs="Times New Roman"/>
          <w:color w:val="000000" w:themeColor="text1"/>
          <w:kern w:val="21"/>
          <w:sz w:val="24"/>
          <w:szCs w:val="24"/>
          <w:highlight w:val="none"/>
          <w:lang w:val="en-US" w:eastAsia="zh-CN" w:bidi="ar-SA"/>
          <w14:textFill>
            <w14:solidFill>
              <w14:schemeClr w14:val="tx1"/>
            </w14:solidFill>
          </w14:textFill>
        </w:rPr>
        <w:t>相符合。</w:t>
      </w:r>
    </w:p>
    <w:p>
      <w:pPr>
        <w:tabs>
          <w:tab w:val="left" w:pos="0"/>
        </w:tabs>
        <w:ind w:firstLine="480"/>
        <w:rPr>
          <w:rFonts w:hint="eastAsia" w:ascii="Times New Roman" w:hAnsi="Times New Roman" w:eastAsia="黑体" w:cs="Times New Roman"/>
          <w:color w:val="000000" w:themeColor="text1"/>
          <w:highlight w:val="none"/>
          <w:lang w:val="en-US" w:eastAsia="zh-CN"/>
          <w14:textFill>
            <w14:solidFill>
              <w14:schemeClr w14:val="tx1"/>
            </w14:solidFill>
          </w14:textFill>
        </w:rPr>
      </w:pPr>
      <w:r>
        <w:rPr>
          <w:rFonts w:hint="eastAsia" w:ascii="Times New Roman" w:hAnsi="Times New Roman" w:eastAsia="黑体" w:cs="Times New Roman"/>
          <w:color w:val="000000" w:themeColor="text1"/>
          <w:highlight w:val="none"/>
          <w:lang w:val="en-US" w:eastAsia="zh-CN"/>
          <w14:textFill>
            <w14:solidFill>
              <w14:schemeClr w14:val="tx1"/>
            </w14:solidFill>
          </w14:textFill>
        </w:rPr>
        <w:t>10、项目与《四川省土壤污染防治条例》符合性分析</w:t>
      </w:r>
    </w:p>
    <w:p>
      <w:pPr>
        <w:pStyle w:val="19"/>
        <w:keepNext w:val="0"/>
        <w:keepLines w:val="0"/>
        <w:pageBreakBefore w:val="0"/>
        <w:widowControl/>
        <w:numPr>
          <w:ilvl w:val="0"/>
          <w:numId w:val="0"/>
        </w:numPr>
        <w:kinsoku/>
        <w:wordWrap/>
        <w:overflowPunct/>
        <w:topLinePunct w:val="0"/>
        <w:autoSpaceDE/>
        <w:autoSpaceDN/>
        <w:bidi w:val="0"/>
        <w:adjustRightInd w:val="0"/>
        <w:snapToGrid w:val="0"/>
        <w:spacing w:before="0" w:line="360" w:lineRule="auto"/>
        <w:ind w:firstLine="480" w:firstLineChars="200"/>
        <w:jc w:val="both"/>
        <w:textAlignment w:val="auto"/>
        <w:rPr>
          <w:rFonts w:hint="eastAsia" w:cs="Times New Roman"/>
          <w:bCs/>
          <w:color w:val="000000" w:themeColor="text1"/>
          <w:szCs w:val="24"/>
          <w:highlight w:val="none"/>
          <w:lang w:eastAsia="zh-CN"/>
          <w14:textFill>
            <w14:solidFill>
              <w14:schemeClr w14:val="tx1"/>
            </w14:solidFill>
          </w14:textFill>
        </w:rPr>
      </w:pPr>
      <w:r>
        <w:rPr>
          <w:rFonts w:hint="eastAsia" w:ascii="Times New Roman" w:hAnsi="Times New Roman" w:cs="Times New Roman"/>
          <w:color w:val="000000" w:themeColor="text1"/>
          <w:kern w:val="21"/>
          <w:sz w:val="24"/>
          <w:szCs w:val="24"/>
          <w:highlight w:val="none"/>
          <w:lang w:val="en-US" w:eastAsia="zh-CN" w:bidi="ar-SA"/>
          <w14:textFill>
            <w14:solidFill>
              <w14:schemeClr w14:val="tx1"/>
            </w14:solidFill>
          </w14:textFill>
        </w:rPr>
        <w:t>根据四川省第十四届人民代表大会常务委员会第二次会议于2023年3月30日通过，自2023年7月1日起施行的《四川省土壤污染防治条例》，本</w:t>
      </w:r>
      <w:r>
        <w:rPr>
          <w:rFonts w:ascii="Times New Roman" w:hAnsi="Times New Roman" w:eastAsia="宋体" w:cs="Times New Roman"/>
          <w:color w:val="000000" w:themeColor="text1"/>
          <w:kern w:val="21"/>
          <w:sz w:val="24"/>
          <w:szCs w:val="24"/>
          <w:highlight w:val="none"/>
          <w:lang w:val="en-US" w:eastAsia="zh-CN" w:bidi="ar-SA"/>
          <w14:textFill>
            <w14:solidFill>
              <w14:schemeClr w14:val="tx1"/>
            </w14:solidFill>
          </w14:textFill>
        </w:rPr>
        <w:t>项目与其符合性分析如下：</w:t>
      </w:r>
    </w:p>
    <w:p>
      <w:pPr>
        <w:pStyle w:val="96"/>
        <w:spacing w:before="0" w:beforeLines="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STYLEREF 2 \s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lang w:val="en-US" w:eastAsia="zh-CN"/>
          <w14:textFill>
            <w14:solidFill>
              <w14:schemeClr w14:val="tx1"/>
            </w14:solidFill>
          </w14:textFill>
        </w:rPr>
        <w:t xml:space="preserve">16  </w:t>
      </w:r>
      <w:r>
        <w:rPr>
          <w:color w:val="000000" w:themeColor="text1"/>
          <w:highlight w:val="none"/>
          <w14:textFill>
            <w14:solidFill>
              <w14:schemeClr w14:val="tx1"/>
            </w14:solidFill>
          </w14:textFill>
        </w:rPr>
        <w:t>与</w:t>
      </w:r>
      <w:r>
        <w:rPr>
          <w:rFonts w:hint="eastAsia"/>
          <w:color w:val="000000" w:themeColor="text1"/>
          <w:highlight w:val="none"/>
          <w:lang w:val="en-US" w:eastAsia="zh-CN"/>
          <w14:textFill>
            <w14:solidFill>
              <w14:schemeClr w14:val="tx1"/>
            </w14:solidFill>
          </w14:textFill>
        </w:rPr>
        <w:t>《四川省土壤污染防治条例》</w:t>
      </w:r>
      <w:r>
        <w:rPr>
          <w:color w:val="000000" w:themeColor="text1"/>
          <w:highlight w:val="none"/>
          <w14:textFill>
            <w14:solidFill>
              <w14:schemeClr w14:val="tx1"/>
            </w14:solidFill>
          </w14:textFill>
        </w:rPr>
        <w:t>符合性</w:t>
      </w:r>
      <w:r>
        <w:rPr>
          <w:rFonts w:hint="eastAsia"/>
          <w:color w:val="000000" w:themeColor="text1"/>
          <w:highlight w:val="none"/>
          <w:lang w:val="en-US" w:eastAsia="zh-CN"/>
          <w14:textFill>
            <w14:solidFill>
              <w14:schemeClr w14:val="tx1"/>
            </w14:solidFill>
          </w14:textFill>
        </w:rPr>
        <w:t>分</w:t>
      </w:r>
      <w:r>
        <w:rPr>
          <w:color w:val="000000" w:themeColor="text1"/>
          <w:highlight w:val="none"/>
          <w14:textFill>
            <w14:solidFill>
              <w14:schemeClr w14:val="tx1"/>
            </w14:solidFill>
          </w14:textFill>
        </w:rPr>
        <w:t>析</w:t>
      </w:r>
    </w:p>
    <w:tbl>
      <w:tblPr>
        <w:tblStyle w:val="4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4272"/>
        <w:gridCol w:w="3089"/>
        <w:gridCol w:w="10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2" w:hRule="atLeast"/>
          <w:tblHeader/>
          <w:jc w:val="center"/>
        </w:trPr>
        <w:tc>
          <w:tcPr>
            <w:tcW w:w="4272" w:type="dxa"/>
            <w:vAlign w:val="center"/>
          </w:tcPr>
          <w:p>
            <w:pPr>
              <w:pStyle w:val="118"/>
              <w:keepNext w:val="0"/>
              <w:keepLines w:val="0"/>
              <w:pageBreakBefore w:val="0"/>
              <w:widowControl/>
              <w:kinsoku/>
              <w:wordWrap/>
              <w:overflowPunct/>
              <w:topLinePunct w:val="0"/>
              <w:autoSpaceDE/>
              <w:autoSpaceDN/>
              <w:bidi w:val="0"/>
              <w:adjustRightInd w:val="0"/>
              <w:snapToGrid w:val="0"/>
              <w:spacing w:line="240" w:lineRule="auto"/>
              <w:rPr>
                <w:rFonts w:hint="default" w:eastAsia="宋体"/>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条例中与本项目有关的具体要求</w:t>
            </w:r>
          </w:p>
        </w:tc>
        <w:tc>
          <w:tcPr>
            <w:tcW w:w="3089" w:type="dxa"/>
            <w:vAlign w:val="center"/>
          </w:tcPr>
          <w:p>
            <w:pPr>
              <w:pStyle w:val="118"/>
              <w:keepNext w:val="0"/>
              <w:keepLines w:val="0"/>
              <w:pageBreakBefore w:val="0"/>
              <w:widowControl/>
              <w:kinsoku/>
              <w:wordWrap/>
              <w:overflowPunct/>
              <w:topLinePunct w:val="0"/>
              <w:autoSpaceDE/>
              <w:autoSpaceDN/>
              <w:bidi w:val="0"/>
              <w:adjustRightInd w:val="0"/>
              <w:snapToGrid w:val="0"/>
              <w:spacing w:line="240" w:lineRule="auto"/>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项目内容</w:t>
            </w:r>
          </w:p>
        </w:tc>
        <w:tc>
          <w:tcPr>
            <w:tcW w:w="1001" w:type="dxa"/>
            <w:vAlign w:val="center"/>
          </w:tcPr>
          <w:p>
            <w:pPr>
              <w:pStyle w:val="118"/>
              <w:keepNext w:val="0"/>
              <w:keepLines w:val="0"/>
              <w:pageBreakBefore w:val="0"/>
              <w:widowControl/>
              <w:kinsoku/>
              <w:wordWrap/>
              <w:overflowPunct/>
              <w:topLinePunct w:val="0"/>
              <w:autoSpaceDE/>
              <w:autoSpaceDN/>
              <w:bidi w:val="0"/>
              <w:adjustRightInd w:val="0"/>
              <w:snapToGrid w:val="0"/>
              <w:spacing w:line="240" w:lineRule="auto"/>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146" w:hRule="atLeast"/>
          <w:jc w:val="center"/>
        </w:trPr>
        <w:tc>
          <w:tcPr>
            <w:tcW w:w="4272"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left"/>
              <w:rPr>
                <w:rFonts w:hint="eastAsia" w:ascii="Times New Roman" w:hAnsi="Times New Roman" w:eastAsia="宋体" w:cs="Times New Roman"/>
                <w:color w:val="000000" w:themeColor="text1"/>
                <w:kern w:val="2"/>
                <w:sz w:val="21"/>
                <w:szCs w:val="20"/>
                <w:highlight w:val="none"/>
                <w:shd w:val="clear" w:color="auto" w:fill="FFFFFF"/>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0"/>
                <w:highlight w:val="none"/>
                <w:shd w:val="clear" w:color="auto" w:fill="FFFFFF"/>
                <w:lang w:val="en-US" w:eastAsia="zh-CN" w:bidi="ar-SA"/>
                <w14:textFill>
                  <w14:solidFill>
                    <w14:schemeClr w14:val="tx1"/>
                  </w14:solidFill>
                </w14:textFill>
              </w:rPr>
              <w:t>第二十三条</w:t>
            </w:r>
            <w:r>
              <w:rPr>
                <w:rFonts w:hint="default" w:ascii="Times New Roman" w:hAnsi="Times New Roman" w:eastAsia="宋体" w:cs="Times New Roman"/>
                <w:color w:val="000000" w:themeColor="text1"/>
                <w:kern w:val="2"/>
                <w:sz w:val="21"/>
                <w:szCs w:val="20"/>
                <w:highlight w:val="none"/>
                <w:shd w:val="clear" w:color="auto" w:fill="FFFFFF"/>
                <w:lang w:val="en-US" w:eastAsia="zh-CN" w:bidi="ar-SA"/>
                <w14:textFill>
                  <w14:solidFill>
                    <w14:schemeClr w14:val="tx1"/>
                  </w14:solidFill>
                </w14:textFill>
              </w:rPr>
              <w:t> 输油管、加油站、排污管、地下储罐、填埋场和存放或者处理有毒有害物质的地下水池、半地下水池等设施设备的设计、建设、使用应当符合防腐蚀、防渗漏、防挥发等要求，设施设备的所有者和运营者应当对设施设备定期开展腐蚀、泄漏检测，防止污染土壤和地下水</w:t>
            </w:r>
          </w:p>
        </w:tc>
        <w:tc>
          <w:tcPr>
            <w:tcW w:w="3089" w:type="dxa"/>
            <w:vAlign w:val="center"/>
          </w:tcPr>
          <w:p>
            <w:pPr>
              <w:pStyle w:val="118"/>
              <w:keepNext w:val="0"/>
              <w:keepLines w:val="0"/>
              <w:pageBreakBefore w:val="0"/>
              <w:widowControl/>
              <w:kinsoku/>
              <w:wordWrap/>
              <w:overflowPunct/>
              <w:topLinePunct w:val="0"/>
              <w:autoSpaceDE/>
              <w:autoSpaceDN/>
              <w:bidi w:val="0"/>
              <w:adjustRightInd w:val="0"/>
              <w:snapToGrid w:val="0"/>
              <w:spacing w:line="240" w:lineRule="auto"/>
              <w:jc w:val="left"/>
              <w:rPr>
                <w:rFonts w:hint="default" w:ascii="Times New Roman" w:hAnsi="Times New Roman" w:eastAsia="宋体" w:cs="Times New Roman"/>
                <w:color w:val="000000" w:themeColor="text1"/>
                <w:kern w:val="2"/>
                <w:sz w:val="21"/>
                <w:szCs w:val="20"/>
                <w:highlight w:val="none"/>
                <w:shd w:val="clear" w:color="auto" w:fill="FFFFFF"/>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0"/>
                <w:highlight w:val="none"/>
                <w:shd w:val="clear" w:color="auto" w:fill="FFFFFF"/>
                <w:lang w:val="en-US" w:eastAsia="zh-CN" w:bidi="ar-SA"/>
                <w14:textFill>
                  <w14:solidFill>
                    <w14:schemeClr w14:val="tx1"/>
                  </w14:solidFill>
                </w14:textFill>
              </w:rPr>
              <w:t>本项目为天然气钻井及试采工程项目，</w:t>
            </w:r>
            <w:r>
              <w:rPr>
                <w:rFonts w:hint="default" w:ascii="Times New Roman" w:hAnsi="Times New Roman" w:eastAsia="宋体" w:cs="Times New Roman"/>
                <w:color w:val="000000" w:themeColor="text1"/>
                <w:kern w:val="2"/>
                <w:sz w:val="21"/>
                <w:szCs w:val="20"/>
                <w:highlight w:val="none"/>
                <w:shd w:val="clear" w:color="auto" w:fill="FFFFFF"/>
                <w:lang w:val="en-US" w:eastAsia="zh-CN" w:bidi="ar-SA"/>
                <w14:textFill>
                  <w14:solidFill>
                    <w14:schemeClr w14:val="tx1"/>
                  </w14:solidFill>
                </w14:textFill>
              </w:rPr>
              <w:t>本项目</w:t>
            </w:r>
            <w:r>
              <w:rPr>
                <w:rFonts w:hint="eastAsia" w:ascii="Times New Roman" w:hAnsi="Times New Roman" w:eastAsia="宋体" w:cs="Times New Roman"/>
                <w:color w:val="000000" w:themeColor="text1"/>
                <w:kern w:val="2"/>
                <w:sz w:val="21"/>
                <w:szCs w:val="20"/>
                <w:highlight w:val="none"/>
                <w:shd w:val="clear" w:color="auto" w:fill="FFFFFF"/>
                <w:lang w:val="en-US" w:eastAsia="zh-CN" w:bidi="ar-SA"/>
                <w14:textFill>
                  <w14:solidFill>
                    <w14:schemeClr w14:val="tx1"/>
                  </w14:solidFill>
                </w14:textFill>
              </w:rPr>
              <w:t>对</w:t>
            </w:r>
            <w:r>
              <w:rPr>
                <w:rFonts w:hint="default" w:ascii="Times New Roman" w:hAnsi="Times New Roman" w:eastAsia="宋体" w:cs="Times New Roman"/>
                <w:color w:val="000000" w:themeColor="text1"/>
                <w:kern w:val="2"/>
                <w:sz w:val="21"/>
                <w:szCs w:val="20"/>
                <w:highlight w:val="none"/>
                <w:shd w:val="clear" w:color="auto" w:fill="FFFFFF"/>
                <w:lang w:val="en-US" w:eastAsia="zh-CN" w:bidi="ar-SA"/>
                <w14:textFill>
                  <w14:solidFill>
                    <w14:schemeClr w14:val="tx1"/>
                  </w14:solidFill>
                </w14:textFill>
              </w:rPr>
              <w:t>设置的危险废物暂存区</w:t>
            </w:r>
            <w:r>
              <w:rPr>
                <w:rFonts w:hint="eastAsia" w:ascii="Times New Roman" w:hAnsi="Times New Roman" w:eastAsia="宋体" w:cs="Times New Roman"/>
                <w:color w:val="000000" w:themeColor="text1"/>
                <w:kern w:val="2"/>
                <w:sz w:val="21"/>
                <w:szCs w:val="20"/>
                <w:highlight w:val="none"/>
                <w:shd w:val="clear" w:color="auto" w:fill="FFFFFF"/>
                <w:lang w:val="en-US" w:eastAsia="zh-CN" w:bidi="ar-SA"/>
                <w14:textFill>
                  <w14:solidFill>
                    <w14:schemeClr w14:val="tx1"/>
                  </w14:solidFill>
                </w14:textFill>
              </w:rPr>
              <w:t>、废水储存设施邓均</w:t>
            </w:r>
            <w:r>
              <w:rPr>
                <w:rFonts w:hint="default" w:ascii="Times New Roman" w:hAnsi="Times New Roman" w:eastAsia="宋体" w:cs="Times New Roman"/>
                <w:color w:val="000000" w:themeColor="text1"/>
                <w:kern w:val="2"/>
                <w:sz w:val="21"/>
                <w:szCs w:val="20"/>
                <w:highlight w:val="none"/>
                <w:shd w:val="clear" w:color="auto" w:fill="FFFFFF"/>
                <w:lang w:val="en-US" w:eastAsia="zh-CN" w:bidi="ar-SA"/>
                <w14:textFill>
                  <w14:solidFill>
                    <w14:schemeClr w14:val="tx1"/>
                  </w14:solidFill>
                </w14:textFill>
              </w:rPr>
              <w:t>采取了重点防渗措施，满足防腐蚀、防渗漏、防挥发等</w:t>
            </w:r>
            <w:r>
              <w:rPr>
                <w:rFonts w:hint="eastAsia" w:ascii="Times New Roman" w:hAnsi="Times New Roman" w:eastAsia="宋体" w:cs="Times New Roman"/>
                <w:color w:val="000000" w:themeColor="text1"/>
                <w:kern w:val="2"/>
                <w:sz w:val="21"/>
                <w:szCs w:val="20"/>
                <w:highlight w:val="none"/>
                <w:shd w:val="clear" w:color="auto" w:fill="FFFFFF"/>
                <w:lang w:val="en-US" w:eastAsia="zh-CN" w:bidi="ar-SA"/>
                <w14:textFill>
                  <w14:solidFill>
                    <w14:schemeClr w14:val="tx1"/>
                  </w14:solidFill>
                </w14:textFill>
              </w:rPr>
              <w:t>要</w:t>
            </w:r>
            <w:r>
              <w:rPr>
                <w:rFonts w:hint="default" w:ascii="Times New Roman" w:hAnsi="Times New Roman" w:eastAsia="宋体" w:cs="Times New Roman"/>
                <w:color w:val="000000" w:themeColor="text1"/>
                <w:kern w:val="2"/>
                <w:sz w:val="21"/>
                <w:szCs w:val="20"/>
                <w:highlight w:val="none"/>
                <w:shd w:val="clear" w:color="auto" w:fill="FFFFFF"/>
                <w:lang w:val="en-US" w:eastAsia="zh-CN" w:bidi="ar-SA"/>
                <w14:textFill>
                  <w14:solidFill>
                    <w14:schemeClr w14:val="tx1"/>
                  </w14:solidFill>
                </w14:textFill>
              </w:rPr>
              <w:t>求</w:t>
            </w:r>
            <w:r>
              <w:rPr>
                <w:rFonts w:hint="eastAsia" w:ascii="Times New Roman" w:hAnsi="Times New Roman" w:eastAsia="宋体" w:cs="Times New Roman"/>
                <w:color w:val="000000" w:themeColor="text1"/>
                <w:kern w:val="2"/>
                <w:sz w:val="21"/>
                <w:szCs w:val="20"/>
                <w:highlight w:val="none"/>
                <w:shd w:val="clear" w:color="auto" w:fill="FFFFFF"/>
                <w:lang w:val="en-US" w:eastAsia="zh-CN" w:bidi="ar-SA"/>
                <w14:textFill>
                  <w14:solidFill>
                    <w14:schemeClr w14:val="tx1"/>
                  </w14:solidFill>
                </w14:textFill>
              </w:rPr>
              <w:t>。</w:t>
            </w:r>
          </w:p>
        </w:tc>
        <w:tc>
          <w:tcPr>
            <w:tcW w:w="1001" w:type="dxa"/>
            <w:vAlign w:val="center"/>
          </w:tcPr>
          <w:p>
            <w:pPr>
              <w:pStyle w:val="118"/>
              <w:keepNext w:val="0"/>
              <w:keepLines w:val="0"/>
              <w:pageBreakBefore w:val="0"/>
              <w:widowControl/>
              <w:kinsoku/>
              <w:wordWrap/>
              <w:overflowPunct/>
              <w:topLinePunct w:val="0"/>
              <w:autoSpaceDE/>
              <w:autoSpaceDN/>
              <w:bidi w:val="0"/>
              <w:adjustRightInd w:val="0"/>
              <w:snapToGrid w:val="0"/>
              <w:spacing w:line="240" w:lineRule="auto"/>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6" w:hRule="atLeast"/>
          <w:jc w:val="center"/>
        </w:trPr>
        <w:tc>
          <w:tcPr>
            <w:tcW w:w="4272"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left"/>
              <w:rPr>
                <w:rFonts w:hint="eastAsia" w:ascii="Times New Roman" w:hAnsi="Times New Roman" w:eastAsia="宋体" w:cs="Times New Roman"/>
                <w:color w:val="000000" w:themeColor="text1"/>
                <w:kern w:val="2"/>
                <w:sz w:val="21"/>
                <w:szCs w:val="20"/>
                <w:highlight w:val="none"/>
                <w:shd w:val="clear" w:color="auto" w:fill="FFFFFF"/>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0"/>
                <w:highlight w:val="none"/>
                <w:shd w:val="clear" w:color="auto" w:fill="FFFFFF"/>
                <w:lang w:val="en-US" w:eastAsia="zh-CN" w:bidi="ar-SA"/>
                <w14:textFill>
                  <w14:solidFill>
                    <w14:schemeClr w14:val="tx1"/>
                  </w14:solidFill>
                </w14:textFill>
              </w:rPr>
              <w:t>第二十八条 页岩气勘探开发单位应当采用先进清洁生产技术，减少勘探、开采、封井、回注等环节中污染物的产生和排放；开展页岩气开发区域土壤及地表水、地下水污染状况监测，对产生的废弃钻井液、废水、岩屑、污油等污染物进行无害化处置和资源化利用，防止有毒有害物质污染土壤及地表水、地下水。</w:t>
            </w:r>
          </w:p>
        </w:tc>
        <w:tc>
          <w:tcPr>
            <w:tcW w:w="3089" w:type="dxa"/>
            <w:vAlign w:val="center"/>
          </w:tcPr>
          <w:p>
            <w:pPr>
              <w:pStyle w:val="118"/>
              <w:keepNext w:val="0"/>
              <w:keepLines w:val="0"/>
              <w:pageBreakBefore w:val="0"/>
              <w:widowControl/>
              <w:kinsoku/>
              <w:wordWrap/>
              <w:overflowPunct/>
              <w:topLinePunct w:val="0"/>
              <w:autoSpaceDE/>
              <w:autoSpaceDN/>
              <w:bidi w:val="0"/>
              <w:adjustRightInd w:val="0"/>
              <w:snapToGrid w:val="0"/>
              <w:spacing w:line="240" w:lineRule="auto"/>
              <w:jc w:val="left"/>
              <w:rPr>
                <w:rFonts w:hint="default" w:ascii="Times New Roman" w:hAnsi="Times New Roman" w:eastAsia="宋体" w:cs="Times New Roman"/>
                <w:color w:val="000000" w:themeColor="text1"/>
                <w:kern w:val="2"/>
                <w:sz w:val="21"/>
                <w:szCs w:val="20"/>
                <w:highlight w:val="none"/>
                <w:shd w:val="clear" w:color="auto" w:fill="FFFFFF"/>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0"/>
                <w:highlight w:val="none"/>
                <w:shd w:val="clear" w:color="auto" w:fill="FFFFFF"/>
                <w:lang w:val="en-US" w:eastAsia="zh-CN" w:bidi="ar-SA"/>
                <w14:textFill>
                  <w14:solidFill>
                    <w14:schemeClr w14:val="tx1"/>
                  </w14:solidFill>
                </w14:textFill>
              </w:rPr>
              <w:t>本项目为页岩气井的试采工程项目，仅涉及开采阶段。在试采生产过程中，采取了较为先进的清洁生产技术，试采过程中产生的气田水等均外运处理，试采过程水套加热炉使用的燃气为清洁燃气，废气污染物产生较小，符合清洁生产相关要求。本项目设置了3个地下水跟踪监测点，设置了1个土壤跟踪监测点，满足项目土壤、地下水监测要求。</w:t>
            </w:r>
          </w:p>
        </w:tc>
        <w:tc>
          <w:tcPr>
            <w:tcW w:w="1001" w:type="dxa"/>
            <w:vAlign w:val="center"/>
          </w:tcPr>
          <w:p>
            <w:pPr>
              <w:pStyle w:val="118"/>
              <w:keepNext w:val="0"/>
              <w:keepLines w:val="0"/>
              <w:pageBreakBefore w:val="0"/>
              <w:widowControl/>
              <w:kinsoku/>
              <w:wordWrap/>
              <w:overflowPunct/>
              <w:topLinePunct w:val="0"/>
              <w:autoSpaceDE/>
              <w:autoSpaceDN/>
              <w:bidi w:val="0"/>
              <w:adjustRightInd w:val="0"/>
              <w:snapToGrid w:val="0"/>
              <w:spacing w:line="240" w:lineRule="auto"/>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6" w:hRule="atLeast"/>
          <w:jc w:val="center"/>
        </w:trPr>
        <w:tc>
          <w:tcPr>
            <w:tcW w:w="4272" w:type="dxa"/>
            <w:vAlign w:val="center"/>
          </w:tcPr>
          <w:p>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val="0"/>
              <w:snapToGrid w:val="0"/>
              <w:spacing w:before="0" w:beforeAutospacing="0" w:afterAutospacing="0" w:line="240" w:lineRule="auto"/>
              <w:ind w:left="0" w:right="0" w:firstLine="420"/>
              <w:jc w:val="left"/>
              <w:textAlignment w:val="auto"/>
              <w:rPr>
                <w:rFonts w:hint="eastAsia" w:ascii="Times New Roman" w:hAnsi="Times New Roman" w:eastAsia="宋体" w:cs="Times New Roman"/>
                <w:color w:val="000000" w:themeColor="text1"/>
                <w:kern w:val="2"/>
                <w:sz w:val="21"/>
                <w:szCs w:val="20"/>
                <w:highlight w:val="none"/>
                <w:shd w:val="clear" w:color="auto" w:fill="FFFFFF"/>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shd w:val="clear" w:color="auto" w:fill="FFFFFF"/>
                <w:lang w:val="en-US" w:eastAsia="zh-CN" w:bidi="ar-SA"/>
                <w14:textFill>
                  <w14:solidFill>
                    <w14:schemeClr w14:val="tx1"/>
                  </w14:solidFill>
                </w14:textFill>
              </w:rPr>
              <w:t>第四十七条 建设用地有下列情形之一的，土地使用权人应当按照国家、省有关规定开展土壤污染状况调查：</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val="0"/>
              <w:snapToGrid w:val="0"/>
              <w:spacing w:before="0" w:beforeAutospacing="0" w:afterAutospacing="0" w:line="240" w:lineRule="auto"/>
              <w:ind w:left="0" w:right="0" w:firstLine="420"/>
              <w:jc w:val="left"/>
              <w:textAlignment w:val="auto"/>
              <w:rPr>
                <w:rFonts w:hint="eastAsia" w:ascii="Times New Roman" w:hAnsi="Times New Roman" w:eastAsia="宋体" w:cs="Times New Roman"/>
                <w:color w:val="000000" w:themeColor="text1"/>
                <w:kern w:val="2"/>
                <w:sz w:val="21"/>
                <w:szCs w:val="20"/>
                <w:highlight w:val="none"/>
                <w:shd w:val="clear" w:color="auto" w:fill="FFFFFF"/>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shd w:val="clear" w:color="auto" w:fill="FFFFFF"/>
                <w:lang w:val="en-US" w:eastAsia="zh-CN" w:bidi="ar-SA"/>
                <w14:textFill>
                  <w14:solidFill>
                    <w14:schemeClr w14:val="tx1"/>
                  </w14:solidFill>
                </w14:textFill>
              </w:rPr>
              <w:t>（一）有色和黑色金属矿采选、有色和黑色金属冶炼、石油和天然气开采、石油加工、化学原料和化学制品制造、汽车制造以及铅蓄电池、焦化、电镀、制革、电子废弃物拆解、垃圾焚烧等行业企业关停、搬迁的；</w:t>
            </w:r>
          </w:p>
        </w:tc>
        <w:tc>
          <w:tcPr>
            <w:tcW w:w="3089" w:type="dxa"/>
            <w:vAlign w:val="center"/>
          </w:tcPr>
          <w:p>
            <w:pPr>
              <w:pStyle w:val="118"/>
              <w:keepNext w:val="0"/>
              <w:keepLines w:val="0"/>
              <w:pageBreakBefore w:val="0"/>
              <w:widowControl/>
              <w:kinsoku/>
              <w:wordWrap/>
              <w:overflowPunct/>
              <w:topLinePunct w:val="0"/>
              <w:autoSpaceDE/>
              <w:autoSpaceDN/>
              <w:bidi w:val="0"/>
              <w:adjustRightInd w:val="0"/>
              <w:snapToGrid w:val="0"/>
              <w:spacing w:line="240" w:lineRule="auto"/>
              <w:jc w:val="left"/>
              <w:rPr>
                <w:rFonts w:hint="default" w:ascii="Times New Roman" w:hAnsi="Times New Roman" w:eastAsia="宋体" w:cs="Times New Roman"/>
                <w:color w:val="000000" w:themeColor="text1"/>
                <w:kern w:val="2"/>
                <w:sz w:val="21"/>
                <w:szCs w:val="20"/>
                <w:highlight w:val="none"/>
                <w:shd w:val="clear" w:color="auto" w:fill="FFFFFF"/>
                <w:lang w:val="en-US" w:eastAsia="zh-CN" w:bidi="ar-SA"/>
                <w14:textFill>
                  <w14:solidFill>
                    <w14:schemeClr w14:val="tx1"/>
                  </w14:solidFill>
                </w14:textFill>
              </w:rPr>
            </w:pPr>
            <w:r>
              <w:rPr>
                <w:rFonts w:hint="eastAsia" w:cs="Times New Roman"/>
                <w:color w:val="000000" w:themeColor="text1"/>
                <w:kern w:val="2"/>
                <w:sz w:val="21"/>
                <w:szCs w:val="20"/>
                <w:highlight w:val="none"/>
                <w:shd w:val="clear" w:color="auto" w:fill="FFFFFF"/>
                <w:lang w:val="en-US" w:eastAsia="zh-CN" w:bidi="ar-SA"/>
                <w14:textFill>
                  <w14:solidFill>
                    <w14:schemeClr w14:val="tx1"/>
                  </w14:solidFill>
                </w14:textFill>
              </w:rPr>
              <w:t>本项目</w:t>
            </w:r>
            <w:r>
              <w:rPr>
                <w:rFonts w:hint="eastAsia" w:ascii="Times New Roman" w:hAnsi="Times New Roman" w:eastAsia="宋体" w:cs="Times New Roman"/>
                <w:color w:val="000000" w:themeColor="text1"/>
                <w:kern w:val="2"/>
                <w:sz w:val="21"/>
                <w:szCs w:val="20"/>
                <w:highlight w:val="none"/>
                <w:shd w:val="clear" w:color="auto" w:fill="FFFFFF"/>
                <w:lang w:val="en-US" w:eastAsia="zh-CN" w:bidi="ar-SA"/>
                <w14:textFill>
                  <w14:solidFill>
                    <w14:schemeClr w14:val="tx1"/>
                  </w14:solidFill>
                </w14:textFill>
              </w:rPr>
              <w:t>天然气侧钻井及试采工程项目，</w:t>
            </w:r>
            <w:r>
              <w:rPr>
                <w:rFonts w:hint="eastAsia" w:cs="Times New Roman"/>
                <w:color w:val="000000" w:themeColor="text1"/>
                <w:kern w:val="2"/>
                <w:sz w:val="21"/>
                <w:szCs w:val="20"/>
                <w:highlight w:val="none"/>
                <w:shd w:val="clear" w:color="auto" w:fill="FFFFFF"/>
                <w:lang w:val="en-US" w:eastAsia="zh-CN" w:bidi="ar-SA"/>
                <w14:textFill>
                  <w14:solidFill>
                    <w14:schemeClr w14:val="tx1"/>
                  </w14:solidFill>
                </w14:textFill>
              </w:rPr>
              <w:t>在后期天然气井停产时的闭井期，将进行封井和土地复垦作业，同时还将按要求对项目所在地开展</w:t>
            </w:r>
            <w:r>
              <w:rPr>
                <w:rFonts w:hint="default" w:ascii="Times New Roman" w:hAnsi="Times New Roman" w:eastAsia="宋体" w:cs="Times New Roman"/>
                <w:color w:val="000000" w:themeColor="text1"/>
                <w:kern w:val="2"/>
                <w:sz w:val="21"/>
                <w:szCs w:val="20"/>
                <w:highlight w:val="none"/>
                <w:shd w:val="clear" w:color="auto" w:fill="FFFFFF"/>
                <w:lang w:val="en-US" w:eastAsia="zh-CN" w:bidi="ar-SA"/>
                <w14:textFill>
                  <w14:solidFill>
                    <w14:schemeClr w14:val="tx1"/>
                  </w14:solidFill>
                </w14:textFill>
              </w:rPr>
              <w:t>土壤污染状况调查</w:t>
            </w:r>
            <w:r>
              <w:rPr>
                <w:rFonts w:hint="eastAsia" w:cs="Times New Roman"/>
                <w:color w:val="000000" w:themeColor="text1"/>
                <w:kern w:val="2"/>
                <w:sz w:val="21"/>
                <w:szCs w:val="20"/>
                <w:highlight w:val="none"/>
                <w:shd w:val="clear" w:color="auto" w:fill="FFFFFF"/>
                <w:lang w:val="en-US" w:eastAsia="zh-CN" w:bidi="ar-SA"/>
                <w14:textFill>
                  <w14:solidFill>
                    <w14:schemeClr w14:val="tx1"/>
                  </w14:solidFill>
                </w14:textFill>
              </w:rPr>
              <w:t>。</w:t>
            </w:r>
          </w:p>
        </w:tc>
        <w:tc>
          <w:tcPr>
            <w:tcW w:w="1001" w:type="dxa"/>
            <w:vAlign w:val="center"/>
          </w:tcPr>
          <w:p>
            <w:pPr>
              <w:pStyle w:val="118"/>
              <w:keepNext w:val="0"/>
              <w:keepLines w:val="0"/>
              <w:pageBreakBefore w:val="0"/>
              <w:widowControl/>
              <w:kinsoku/>
              <w:wordWrap/>
              <w:overflowPunct/>
              <w:topLinePunct w:val="0"/>
              <w:autoSpaceDE/>
              <w:autoSpaceDN/>
              <w:bidi w:val="0"/>
              <w:adjustRightInd w:val="0"/>
              <w:snapToGrid w:val="0"/>
              <w:spacing w:line="240" w:lineRule="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符合</w:t>
            </w:r>
          </w:p>
        </w:tc>
      </w:tr>
    </w:tbl>
    <w:p>
      <w:pPr>
        <w:pStyle w:val="19"/>
        <w:keepNext w:val="0"/>
        <w:keepLines w:val="0"/>
        <w:pageBreakBefore w:val="0"/>
        <w:widowControl/>
        <w:numPr>
          <w:ilvl w:val="0"/>
          <w:numId w:val="0"/>
        </w:numPr>
        <w:kinsoku/>
        <w:wordWrap/>
        <w:overflowPunct/>
        <w:topLinePunct w:val="0"/>
        <w:autoSpaceDE/>
        <w:autoSpaceDN/>
        <w:bidi w:val="0"/>
        <w:adjustRightInd w:val="0"/>
        <w:snapToGrid w:val="0"/>
        <w:spacing w:before="0" w:line="360" w:lineRule="auto"/>
        <w:ind w:firstLine="480" w:firstLineChars="200"/>
        <w:jc w:val="both"/>
        <w:textAlignment w:val="auto"/>
        <w:rPr>
          <w:rFonts w:ascii="Times New Roman" w:hAnsi="Times New Roman" w:eastAsia="宋体" w:cs="Times New Roman"/>
          <w:color w:val="000000" w:themeColor="text1"/>
          <w:kern w:val="21"/>
          <w:sz w:val="24"/>
          <w:szCs w:val="24"/>
          <w:highlight w:val="none"/>
          <w:lang w:val="en-US" w:eastAsia="zh-CN" w:bidi="ar-SA"/>
          <w14:textFill>
            <w14:solidFill>
              <w14:schemeClr w14:val="tx1"/>
            </w14:solidFill>
          </w14:textFill>
        </w:rPr>
      </w:pPr>
    </w:p>
    <w:p>
      <w:pPr>
        <w:pStyle w:val="19"/>
        <w:keepNext w:val="0"/>
        <w:keepLines w:val="0"/>
        <w:pageBreakBefore w:val="0"/>
        <w:widowControl/>
        <w:numPr>
          <w:ilvl w:val="0"/>
          <w:numId w:val="0"/>
        </w:numPr>
        <w:kinsoku/>
        <w:wordWrap/>
        <w:overflowPunct/>
        <w:topLinePunct w:val="0"/>
        <w:autoSpaceDE/>
        <w:autoSpaceDN/>
        <w:bidi w:val="0"/>
        <w:adjustRightInd w:val="0"/>
        <w:snapToGrid w:val="0"/>
        <w:spacing w:before="0" w:line="360" w:lineRule="auto"/>
        <w:ind w:firstLine="480" w:firstLineChars="200"/>
        <w:jc w:val="both"/>
        <w:textAlignment w:val="auto"/>
        <w:rPr>
          <w:rFonts w:ascii="Times New Roman" w:hAnsi="Times New Roman" w:eastAsia="宋体" w:cs="Times New Roman"/>
          <w:color w:val="000000" w:themeColor="text1"/>
          <w:kern w:val="21"/>
          <w:sz w:val="24"/>
          <w:szCs w:val="24"/>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1"/>
          <w:sz w:val="24"/>
          <w:szCs w:val="24"/>
          <w:highlight w:val="none"/>
          <w:lang w:val="en-US" w:eastAsia="zh-CN" w:bidi="ar-SA"/>
          <w14:textFill>
            <w14:solidFill>
              <w14:schemeClr w14:val="tx1"/>
            </w14:solidFill>
          </w14:textFill>
        </w:rPr>
        <w:t>综上所述，本项目</w:t>
      </w:r>
      <w:r>
        <w:rPr>
          <w:rFonts w:hint="eastAsia" w:ascii="Times New Roman" w:hAnsi="Times New Roman" w:eastAsia="宋体" w:cs="Times New Roman"/>
          <w:color w:val="000000" w:themeColor="text1"/>
          <w:kern w:val="21"/>
          <w:sz w:val="24"/>
          <w:szCs w:val="24"/>
          <w:highlight w:val="none"/>
          <w:lang w:val="en-US" w:eastAsia="zh-CN" w:bidi="ar-SA"/>
          <w14:textFill>
            <w14:solidFill>
              <w14:schemeClr w14:val="tx1"/>
            </w14:solidFill>
          </w14:textFill>
        </w:rPr>
        <w:t>与《四川省土壤污染防治条例》</w:t>
      </w:r>
      <w:r>
        <w:rPr>
          <w:rFonts w:ascii="Times New Roman" w:hAnsi="Times New Roman" w:eastAsia="宋体" w:cs="Times New Roman"/>
          <w:color w:val="000000" w:themeColor="text1"/>
          <w:kern w:val="21"/>
          <w:sz w:val="24"/>
          <w:szCs w:val="24"/>
          <w:highlight w:val="none"/>
          <w:lang w:val="en-US" w:eastAsia="zh-CN" w:bidi="ar-SA"/>
          <w14:textFill>
            <w14:solidFill>
              <w14:schemeClr w14:val="tx1"/>
            </w14:solidFill>
          </w14:textFill>
        </w:rPr>
        <w:t>相符合。</w:t>
      </w:r>
    </w:p>
    <w:p>
      <w:pPr>
        <w:pStyle w:val="5"/>
        <w:spacing w:before="120"/>
        <w:ind w:firstLine="480"/>
        <w:rPr>
          <w:color w:val="000000" w:themeColor="text1"/>
          <w:highlight w:val="none"/>
          <w:lang w:eastAsia="zh-CN"/>
          <w14:textFill>
            <w14:solidFill>
              <w14:schemeClr w14:val="tx1"/>
            </w14:solidFill>
          </w14:textFill>
        </w:rPr>
      </w:pPr>
      <w:bookmarkStart w:id="96" w:name="_Toc120173080"/>
      <w:r>
        <w:rPr>
          <w:rFonts w:ascii="黑体" w:hAnsi="黑体"/>
          <w:color w:val="000000" w:themeColor="text1"/>
          <w:highlight w:val="none"/>
          <w:lang w:eastAsia="zh-CN"/>
          <w14:textFill>
            <w14:solidFill>
              <w14:schemeClr w14:val="tx1"/>
            </w14:solidFill>
          </w14:textFill>
        </w:rPr>
        <w:t>“</w:t>
      </w:r>
      <w:r>
        <w:rPr>
          <w:color w:val="000000" w:themeColor="text1"/>
          <w:highlight w:val="none"/>
          <w:lang w:eastAsia="zh-CN"/>
          <w14:textFill>
            <w14:solidFill>
              <w14:schemeClr w14:val="tx1"/>
            </w14:solidFill>
          </w14:textFill>
        </w:rPr>
        <w:t>三线一单</w:t>
      </w:r>
      <w:r>
        <w:rPr>
          <w:rFonts w:ascii="黑体" w:hAnsi="黑体"/>
          <w:color w:val="000000" w:themeColor="text1"/>
          <w:highlight w:val="none"/>
          <w:lang w:eastAsia="zh-CN"/>
          <w14:textFill>
            <w14:solidFill>
              <w14:schemeClr w14:val="tx1"/>
            </w14:solidFill>
          </w14:textFill>
        </w:rPr>
        <w:t>”</w:t>
      </w:r>
      <w:r>
        <w:rPr>
          <w:color w:val="000000" w:themeColor="text1"/>
          <w:highlight w:val="none"/>
          <w:lang w:eastAsia="zh-CN"/>
          <w14:textFill>
            <w14:solidFill>
              <w14:schemeClr w14:val="tx1"/>
            </w14:solidFill>
          </w14:textFill>
        </w:rPr>
        <w:t>符合性分析</w:t>
      </w:r>
      <w:bookmarkEnd w:id="96"/>
    </w:p>
    <w:p>
      <w:pPr>
        <w:overflowPunct w:val="0"/>
        <w:ind w:firstLine="480"/>
        <w:jc w:val="left"/>
        <w:rPr>
          <w:b/>
          <w:bCs/>
          <w:color w:val="000000" w:themeColor="text1"/>
          <w:kern w:val="21"/>
          <w:highlight w:val="none"/>
          <w14:textFill>
            <w14:solidFill>
              <w14:schemeClr w14:val="tx1"/>
            </w14:solidFill>
          </w14:textFill>
        </w:rPr>
      </w:pPr>
      <w:r>
        <w:rPr>
          <w:color w:val="000000" w:themeColor="text1"/>
          <w:kern w:val="21"/>
          <w:highlight w:val="none"/>
          <w14:textFill>
            <w14:solidFill>
              <w14:schemeClr w14:val="tx1"/>
            </w14:solidFill>
          </w14:textFill>
        </w:rPr>
        <w:t>2021年12月27日，四川省生态环境厅办公室发布了</w:t>
      </w:r>
      <w:r>
        <w:rPr>
          <w:rFonts w:hint="eastAsia"/>
          <w:color w:val="000000" w:themeColor="text1"/>
          <w:kern w:val="21"/>
          <w:highlight w:val="none"/>
          <w14:textFill>
            <w14:solidFill>
              <w14:schemeClr w14:val="tx1"/>
            </w14:solidFill>
          </w14:textFill>
        </w:rPr>
        <w:t>“</w:t>
      </w:r>
      <w:r>
        <w:rPr>
          <w:color w:val="000000" w:themeColor="text1"/>
          <w:kern w:val="21"/>
          <w:highlight w:val="none"/>
          <w14:textFill>
            <w14:solidFill>
              <w14:schemeClr w14:val="tx1"/>
            </w14:solidFill>
          </w14:textFill>
        </w:rPr>
        <w:t>关于印发《产业园区规划环评</w:t>
      </w:r>
      <w:r>
        <w:rPr>
          <w:rFonts w:hint="eastAsia"/>
          <w:color w:val="000000" w:themeColor="text1"/>
          <w:kern w:val="21"/>
          <w:highlight w:val="none"/>
          <w14:textFill>
            <w14:solidFill>
              <w14:schemeClr w14:val="tx1"/>
            </w14:solidFill>
          </w14:textFill>
        </w:rPr>
        <w:t>“</w:t>
      </w:r>
      <w:r>
        <w:rPr>
          <w:color w:val="000000" w:themeColor="text1"/>
          <w:kern w:val="21"/>
          <w:highlight w:val="none"/>
          <w14:textFill>
            <w14:solidFill>
              <w14:schemeClr w14:val="tx1"/>
            </w14:solidFill>
          </w14:textFill>
        </w:rPr>
        <w:t>三线一单</w:t>
      </w:r>
      <w:r>
        <w:rPr>
          <w:rFonts w:hint="eastAsia"/>
          <w:color w:val="000000" w:themeColor="text1"/>
          <w:kern w:val="21"/>
          <w:highlight w:val="none"/>
          <w14:textFill>
            <w14:solidFill>
              <w14:schemeClr w14:val="tx1"/>
            </w14:solidFill>
          </w14:textFill>
        </w:rPr>
        <w:t>”</w:t>
      </w:r>
      <w:r>
        <w:rPr>
          <w:color w:val="000000" w:themeColor="text1"/>
          <w:kern w:val="21"/>
          <w:highlight w:val="none"/>
          <w14:textFill>
            <w14:solidFill>
              <w14:schemeClr w14:val="tx1"/>
            </w14:solidFill>
          </w14:textFill>
        </w:rPr>
        <w:t>符合性分析技术要点（试行</w:t>
      </w:r>
      <w:r>
        <w:rPr>
          <w:rFonts w:hint="eastAsia"/>
          <w:color w:val="000000" w:themeColor="text1"/>
          <w:kern w:val="21"/>
          <w:highlight w:val="none"/>
          <w14:textFill>
            <w14:solidFill>
              <w14:schemeClr w14:val="tx1"/>
            </w14:solidFill>
          </w14:textFill>
        </w:rPr>
        <w:t>）》《</w:t>
      </w:r>
      <w:r>
        <w:rPr>
          <w:color w:val="000000" w:themeColor="text1"/>
          <w:kern w:val="21"/>
          <w:highlight w:val="none"/>
          <w14:textFill>
            <w14:solidFill>
              <w14:schemeClr w14:val="tx1"/>
            </w14:solidFill>
          </w14:textFill>
        </w:rPr>
        <w:t>项目环评</w:t>
      </w:r>
      <w:r>
        <w:rPr>
          <w:rFonts w:hint="eastAsia"/>
          <w:color w:val="000000" w:themeColor="text1"/>
          <w:kern w:val="21"/>
          <w:highlight w:val="none"/>
          <w14:textFill>
            <w14:solidFill>
              <w14:schemeClr w14:val="tx1"/>
            </w14:solidFill>
          </w14:textFill>
        </w:rPr>
        <w:t>“</w:t>
      </w:r>
      <w:r>
        <w:rPr>
          <w:color w:val="000000" w:themeColor="text1"/>
          <w:kern w:val="21"/>
          <w:highlight w:val="none"/>
          <w14:textFill>
            <w14:solidFill>
              <w14:schemeClr w14:val="tx1"/>
            </w14:solidFill>
          </w14:textFill>
        </w:rPr>
        <w:t>三线一单</w:t>
      </w:r>
      <w:r>
        <w:rPr>
          <w:rFonts w:hint="eastAsia"/>
          <w:color w:val="000000" w:themeColor="text1"/>
          <w:kern w:val="21"/>
          <w:highlight w:val="none"/>
          <w14:textFill>
            <w14:solidFill>
              <w14:schemeClr w14:val="tx1"/>
            </w14:solidFill>
          </w14:textFill>
        </w:rPr>
        <w:t>”</w:t>
      </w:r>
      <w:r>
        <w:rPr>
          <w:color w:val="000000" w:themeColor="text1"/>
          <w:kern w:val="21"/>
          <w:highlight w:val="none"/>
          <w14:textFill>
            <w14:solidFill>
              <w14:schemeClr w14:val="tx1"/>
            </w14:solidFill>
          </w14:textFill>
        </w:rPr>
        <w:t>符合性分析技术要点</w:t>
      </w:r>
      <w:r>
        <w:rPr>
          <w:rFonts w:hint="eastAsia"/>
          <w:color w:val="000000" w:themeColor="text1"/>
          <w:kern w:val="21"/>
          <w:highlight w:val="none"/>
          <w14:textFill>
            <w14:solidFill>
              <w14:schemeClr w14:val="tx1"/>
            </w14:solidFill>
          </w14:textFill>
        </w:rPr>
        <w:t>（</w:t>
      </w:r>
      <w:r>
        <w:rPr>
          <w:color w:val="000000" w:themeColor="text1"/>
          <w:kern w:val="21"/>
          <w:highlight w:val="none"/>
          <w14:textFill>
            <w14:solidFill>
              <w14:schemeClr w14:val="tx1"/>
            </w14:solidFill>
          </w14:textFill>
        </w:rPr>
        <w:t>试行</w:t>
      </w:r>
      <w:r>
        <w:rPr>
          <w:rFonts w:hint="eastAsia"/>
          <w:color w:val="000000" w:themeColor="text1"/>
          <w:kern w:val="21"/>
          <w:highlight w:val="none"/>
          <w14:textFill>
            <w14:solidFill>
              <w14:schemeClr w14:val="tx1"/>
            </w14:solidFill>
          </w14:textFill>
        </w:rPr>
        <w:t>）</w:t>
      </w:r>
      <w:r>
        <w:rPr>
          <w:color w:val="000000" w:themeColor="text1"/>
          <w:kern w:val="21"/>
          <w:highlight w:val="none"/>
          <w14:textFill>
            <w14:solidFill>
              <w14:schemeClr w14:val="tx1"/>
            </w14:solidFill>
          </w14:textFill>
        </w:rPr>
        <w:t>》的通知</w:t>
      </w:r>
      <w:r>
        <w:rPr>
          <w:rFonts w:hint="eastAsia"/>
          <w:color w:val="000000" w:themeColor="text1"/>
          <w:kern w:val="21"/>
          <w:highlight w:val="none"/>
          <w14:textFill>
            <w14:solidFill>
              <w14:schemeClr w14:val="tx1"/>
            </w14:solidFill>
          </w14:textFill>
        </w:rPr>
        <w:t>”</w:t>
      </w:r>
      <w:r>
        <w:rPr>
          <w:color w:val="000000" w:themeColor="text1"/>
          <w:kern w:val="21"/>
          <w:highlight w:val="none"/>
          <w14:textFill>
            <w14:solidFill>
              <w14:schemeClr w14:val="tx1"/>
            </w14:solidFill>
          </w14:textFill>
        </w:rPr>
        <w:t>（川环办函〔2021〕469号）</w:t>
      </w:r>
      <w:r>
        <w:rPr>
          <w:rFonts w:hint="eastAsia"/>
          <w:color w:val="000000" w:themeColor="text1"/>
          <w:kern w:val="21"/>
          <w:highlight w:val="none"/>
          <w14:textFill>
            <w14:solidFill>
              <w14:schemeClr w14:val="tx1"/>
            </w14:solidFill>
          </w14:textFill>
        </w:rPr>
        <w:t>，根据该文件，若生态影响类项目的上位规划环评中未论述规划与“三线一单”的协调性分析</w:t>
      </w:r>
      <w:r>
        <w:rPr>
          <w:rFonts w:hint="eastAsia"/>
          <w:color w:val="000000" w:themeColor="text1"/>
          <w:kern w:val="21"/>
          <w:highlight w:val="none"/>
          <w:lang w:bidi="ar"/>
          <w14:textFill>
            <w14:solidFill>
              <w14:schemeClr w14:val="tx1"/>
            </w14:solidFill>
          </w14:textFill>
        </w:rPr>
        <w:t>，则项目环评需从空间符合性分析以及管控要求方面分析与“三线一单”的符合性。本项目涉及的上位规划环评中未详细论述本项目与“三线一单”的协调性，本项目从空间符合性分析以及管控要求两个方面分析其与“三线一单”的协调性。</w:t>
      </w:r>
    </w:p>
    <w:p>
      <w:pPr>
        <w:overflowPunct w:val="0"/>
        <w:adjustRightInd/>
        <w:snapToGrid/>
        <w:ind w:firstLine="0" w:firstLineChars="0"/>
        <w:rPr>
          <w:rFonts w:cs="Times New Roman"/>
          <w:b/>
          <w:bCs/>
          <w:color w:val="000000" w:themeColor="text1"/>
          <w:szCs w:val="24"/>
          <w:highlight w:val="none"/>
          <w14:textFill>
            <w14:solidFill>
              <w14:schemeClr w14:val="tx1"/>
            </w14:solidFill>
          </w14:textFill>
        </w:rPr>
      </w:pPr>
      <w:r>
        <w:rPr>
          <w:rFonts w:hint="eastAsia" w:cs="Times New Roman"/>
          <w:b/>
          <w:bCs/>
          <w:color w:val="000000" w:themeColor="text1"/>
          <w:szCs w:val="24"/>
          <w:highlight w:val="none"/>
          <w14:textFill>
            <w14:solidFill>
              <w14:schemeClr w14:val="tx1"/>
            </w14:solidFill>
          </w14:textFill>
        </w:rPr>
        <w:t>（一）空间符合性分析</w:t>
      </w:r>
    </w:p>
    <w:p>
      <w:pPr>
        <w:overflowPunct w:val="0"/>
        <w:adjustRightInd/>
        <w:snapToGrid/>
        <w:ind w:firstLine="0" w:firstLineChars="0"/>
        <w:rPr>
          <w:rFonts w:cs="Times New Roman"/>
          <w:b/>
          <w:bCs/>
          <w:color w:val="000000" w:themeColor="text1"/>
          <w:szCs w:val="24"/>
          <w:highlight w:val="none"/>
          <w14:textFill>
            <w14:solidFill>
              <w14:schemeClr w14:val="tx1"/>
            </w14:solidFill>
          </w14:textFill>
        </w:rPr>
      </w:pPr>
      <w:r>
        <w:rPr>
          <w:rFonts w:hint="eastAsia" w:cs="Times New Roman"/>
          <w:b/>
          <w:bCs/>
          <w:color w:val="000000" w:themeColor="text1"/>
          <w:szCs w:val="24"/>
          <w:highlight w:val="none"/>
          <w14:textFill>
            <w14:solidFill>
              <w14:schemeClr w14:val="tx1"/>
            </w14:solidFill>
          </w14:textFill>
        </w:rPr>
        <w:t>1、项目所属环境管控单元情况</w:t>
      </w:r>
    </w:p>
    <w:p>
      <w:pPr>
        <w:ind w:firstLine="480"/>
        <w:rPr>
          <w:color w:val="000000" w:themeColor="text1"/>
          <w:kern w:val="21"/>
          <w:highlight w:val="none"/>
          <w14:textFill>
            <w14:solidFill>
              <w14:schemeClr w14:val="tx1"/>
            </w14:solidFill>
          </w14:textFill>
        </w:rPr>
      </w:pPr>
      <w:r>
        <w:rPr>
          <w:rFonts w:hint="eastAsia"/>
          <w:color w:val="000000" w:themeColor="text1"/>
          <w:kern w:val="21"/>
          <w:highlight w:val="none"/>
          <w14:textFill>
            <w14:solidFill>
              <w14:schemeClr w14:val="tx1"/>
            </w14:solidFill>
          </w14:textFill>
        </w:rPr>
        <w:t>项目位于达州市</w:t>
      </w:r>
      <w:r>
        <w:rPr>
          <w:rFonts w:hint="eastAsia"/>
          <w:color w:val="000000" w:themeColor="text1"/>
          <w:kern w:val="21"/>
          <w:szCs w:val="32"/>
          <w:highlight w:val="none"/>
          <w14:textFill>
            <w14:solidFill>
              <w14:schemeClr w14:val="tx1"/>
            </w14:solidFill>
          </w14:textFill>
        </w:rPr>
        <w:t>宣汉县镇境内，</w:t>
      </w:r>
      <w:r>
        <w:rPr>
          <w:rFonts w:hint="eastAsia" w:cs="Times New Roman"/>
          <w:bCs/>
          <w:color w:val="000000" w:themeColor="text1"/>
          <w:szCs w:val="24"/>
          <w:highlight w:val="none"/>
          <w14:textFill>
            <w14:solidFill>
              <w14:schemeClr w14:val="tx1"/>
            </w14:solidFill>
          </w14:textFill>
        </w:rPr>
        <w:t>外输管线涉及</w:t>
      </w:r>
      <w:r>
        <w:rPr>
          <w:rFonts w:cs="Times New Roman"/>
          <w:bCs/>
          <w:color w:val="000000" w:themeColor="text1"/>
          <w:szCs w:val="24"/>
          <w:highlight w:val="none"/>
          <w14:textFill>
            <w14:solidFill>
              <w14:schemeClr w14:val="tx1"/>
            </w14:solidFill>
          </w14:textFill>
        </w:rPr>
        <w:t>宣汉县</w:t>
      </w:r>
      <w:r>
        <w:rPr>
          <w:rFonts w:hint="eastAsia" w:cs="Times New Roman"/>
          <w:bCs/>
          <w:color w:val="000000" w:themeColor="text1"/>
          <w:szCs w:val="24"/>
          <w:highlight w:val="none"/>
          <w:lang w:eastAsia="zh-CN"/>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、红岭镇、通川区魏兴镇</w:t>
      </w:r>
      <w:r>
        <w:rPr>
          <w:rFonts w:hint="eastAsia"/>
          <w:color w:val="000000" w:themeColor="text1"/>
          <w:kern w:val="21"/>
          <w:szCs w:val="32"/>
          <w:highlight w:val="none"/>
          <w14:textFill>
            <w14:solidFill>
              <w14:schemeClr w14:val="tx1"/>
            </w14:solidFill>
          </w14:textFill>
        </w:rPr>
        <w:t>，通过查询</w:t>
      </w:r>
      <w:r>
        <w:rPr>
          <w:color w:val="000000" w:themeColor="text1"/>
          <w:kern w:val="21"/>
          <w:highlight w:val="none"/>
          <w14:textFill>
            <w14:solidFill>
              <w14:schemeClr w14:val="tx1"/>
            </w14:solidFill>
          </w14:textFill>
        </w:rPr>
        <w:t>四川省</w:t>
      </w:r>
      <w:r>
        <w:rPr>
          <w:rFonts w:hint="eastAsia"/>
          <w:color w:val="000000" w:themeColor="text1"/>
          <w:kern w:val="21"/>
          <w:highlight w:val="none"/>
          <w14:textFill>
            <w14:solidFill>
              <w14:schemeClr w14:val="tx1"/>
            </w14:solidFill>
          </w14:textFill>
        </w:rPr>
        <w:t>“</w:t>
      </w:r>
      <w:r>
        <w:rPr>
          <w:color w:val="000000" w:themeColor="text1"/>
          <w:kern w:val="21"/>
          <w:highlight w:val="none"/>
          <w14:textFill>
            <w14:solidFill>
              <w14:schemeClr w14:val="tx1"/>
            </w14:solidFill>
          </w14:textFill>
        </w:rPr>
        <w:t>三线一单</w:t>
      </w:r>
      <w:r>
        <w:rPr>
          <w:rFonts w:hint="eastAsia"/>
          <w:color w:val="000000" w:themeColor="text1"/>
          <w:kern w:val="21"/>
          <w:highlight w:val="none"/>
          <w14:textFill>
            <w14:solidFill>
              <w14:schemeClr w14:val="tx1"/>
            </w14:solidFill>
          </w14:textFill>
        </w:rPr>
        <w:t>”</w:t>
      </w:r>
      <w:r>
        <w:rPr>
          <w:color w:val="000000" w:themeColor="text1"/>
          <w:kern w:val="21"/>
          <w:highlight w:val="none"/>
          <w14:textFill>
            <w14:solidFill>
              <w14:schemeClr w14:val="tx1"/>
            </w14:solidFill>
          </w14:textFill>
        </w:rPr>
        <w:t>符合性分析平台（</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"https://www.sczwfw.gov.cn/tftb/jmopenpub/jmopen_files/webapp/html5/sxydctfx/index.html?areaCode=510000000000" </w:instrText>
      </w:r>
      <w:r>
        <w:rPr>
          <w:color w:val="000000" w:themeColor="text1"/>
          <w:highlight w:val="none"/>
          <w14:textFill>
            <w14:solidFill>
              <w14:schemeClr w14:val="tx1"/>
            </w14:solidFill>
          </w14:textFill>
        </w:rPr>
        <w:fldChar w:fldCharType="separate"/>
      </w:r>
      <w:r>
        <w:rPr>
          <w:rFonts w:ascii="宋体" w:hAnsi="宋体" w:cs="宋体"/>
          <w:color w:val="000000" w:themeColor="text1"/>
          <w:highlight w:val="none"/>
          <w14:textFill>
            <w14:solidFill>
              <w14:schemeClr w14:val="tx1"/>
            </w14:solidFill>
          </w14:textFill>
        </w:rPr>
        <w:t>三线一单冲突分析</w:t>
      </w:r>
      <w:r>
        <w:rPr>
          <w:color w:val="000000" w:themeColor="text1"/>
          <w:highlight w:val="none"/>
          <w14:textFill>
            <w14:solidFill>
              <w14:schemeClr w14:val="tx1"/>
            </w14:solidFill>
          </w14:textFill>
        </w:rPr>
        <w:t>sczwfw.gov.cn</w:t>
      </w:r>
      <w:r>
        <w:rPr>
          <w:rFonts w:hint="eastAsia"/>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fldChar w:fldCharType="end"/>
      </w:r>
      <w:r>
        <w:rPr>
          <w:color w:val="000000" w:themeColor="text1"/>
          <w:kern w:val="21"/>
          <w:highlight w:val="none"/>
          <w14:textFill>
            <w14:solidFill>
              <w14:schemeClr w14:val="tx1"/>
            </w14:solidFill>
          </w14:textFill>
        </w:rPr>
        <w:t>，</w:t>
      </w:r>
      <w:r>
        <w:rPr>
          <w:rFonts w:hint="eastAsia"/>
          <w:color w:val="000000" w:themeColor="text1"/>
          <w:kern w:val="21"/>
          <w:highlight w:val="none"/>
          <w:u w:val="single"/>
          <w14:textFill>
            <w14:solidFill>
              <w14:schemeClr w14:val="tx1"/>
            </w14:solidFill>
          </w14:textFill>
        </w:rPr>
        <w:t>项目主要涉及的环境综合管控单元共2个，即宣汉县一般管控单元（管控类别为一般管控单元，</w:t>
      </w:r>
      <w:r>
        <w:rPr>
          <w:color w:val="000000" w:themeColor="text1"/>
          <w:kern w:val="21"/>
          <w:highlight w:val="none"/>
          <w:u w:val="single"/>
          <w14:textFill>
            <w14:solidFill>
              <w14:schemeClr w14:val="tx1"/>
            </w14:solidFill>
          </w14:textFill>
        </w:rPr>
        <w:t>管控单元编号ZH51172230001</w:t>
      </w:r>
      <w:r>
        <w:rPr>
          <w:rFonts w:hint="eastAsia"/>
          <w:color w:val="000000" w:themeColor="text1"/>
          <w:kern w:val="21"/>
          <w:highlight w:val="none"/>
          <w:u w:val="single"/>
          <w14:textFill>
            <w14:solidFill>
              <w14:schemeClr w14:val="tx1"/>
            </w14:solidFill>
          </w14:textFill>
        </w:rPr>
        <w:t>）和达州市农产品加工集中区（管控类别为工业重点管控单元，管控单元编码</w:t>
      </w:r>
      <w:r>
        <w:rPr>
          <w:color w:val="000000" w:themeColor="text1"/>
          <w:kern w:val="21"/>
          <w:highlight w:val="none"/>
          <w:u w:val="single"/>
          <w14:textFill>
            <w14:solidFill>
              <w14:schemeClr w14:val="tx1"/>
            </w14:solidFill>
          </w14:textFill>
        </w:rPr>
        <w:t>ZH51170220002</w:t>
      </w:r>
      <w:r>
        <w:rPr>
          <w:rFonts w:hint="eastAsia"/>
          <w:color w:val="000000" w:themeColor="text1"/>
          <w:kern w:val="21"/>
          <w:highlight w:val="none"/>
          <w:u w:val="single"/>
          <w14:textFill>
            <w14:solidFill>
              <w14:schemeClr w14:val="tx1"/>
            </w14:solidFill>
          </w14:textFill>
        </w:rPr>
        <w:t>）。</w:t>
      </w:r>
      <w:r>
        <w:rPr>
          <w:rFonts w:hint="eastAsia"/>
          <w:color w:val="000000" w:themeColor="text1"/>
          <w:kern w:val="21"/>
          <w:highlight w:val="none"/>
          <w14:textFill>
            <w14:solidFill>
              <w14:schemeClr w14:val="tx1"/>
            </w14:solidFill>
          </w14:textFill>
        </w:rPr>
        <w:t>项目所在区域涉及的分区管控单元情况见图</w:t>
      </w:r>
      <w:r>
        <w:rPr>
          <w:color w:val="000000" w:themeColor="text1"/>
          <w:kern w:val="21"/>
          <w:highlight w:val="none"/>
          <w14:textFill>
            <w14:solidFill>
              <w14:schemeClr w14:val="tx1"/>
            </w14:solidFill>
          </w14:textFill>
        </w:rPr>
        <w:t>2.7</w:t>
      </w:r>
      <w:r>
        <w:rPr>
          <w:rFonts w:hint="eastAsia"/>
          <w:color w:val="000000" w:themeColor="text1"/>
          <w:kern w:val="21"/>
          <w:highlight w:val="none"/>
          <w14:textFill>
            <w14:solidFill>
              <w14:schemeClr w14:val="tx1"/>
            </w14:solidFill>
          </w14:textFill>
        </w:rPr>
        <w:t>-1，查询过程见图</w:t>
      </w:r>
      <w:r>
        <w:rPr>
          <w:color w:val="000000" w:themeColor="text1"/>
          <w:kern w:val="21"/>
          <w:highlight w:val="none"/>
          <w14:textFill>
            <w14:solidFill>
              <w14:schemeClr w14:val="tx1"/>
            </w14:solidFill>
          </w14:textFill>
        </w:rPr>
        <w:t>2.7</w:t>
      </w:r>
      <w:r>
        <w:rPr>
          <w:rFonts w:hint="eastAsia"/>
          <w:color w:val="000000" w:themeColor="text1"/>
          <w:kern w:val="21"/>
          <w:highlight w:val="none"/>
          <w14:textFill>
            <w14:solidFill>
              <w14:schemeClr w14:val="tx1"/>
            </w14:solidFill>
          </w14:textFill>
        </w:rPr>
        <w:t>-2、</w:t>
      </w:r>
      <w:r>
        <w:rPr>
          <w:color w:val="000000" w:themeColor="text1"/>
          <w:kern w:val="21"/>
          <w:highlight w:val="none"/>
          <w14:textFill>
            <w14:solidFill>
              <w14:schemeClr w14:val="tx1"/>
            </w14:solidFill>
          </w14:textFill>
        </w:rPr>
        <w:t>2.7</w:t>
      </w:r>
      <w:r>
        <w:rPr>
          <w:rFonts w:hint="eastAsia"/>
          <w:color w:val="000000" w:themeColor="text1"/>
          <w:kern w:val="21"/>
          <w:highlight w:val="none"/>
          <w14:textFill>
            <w14:solidFill>
              <w14:schemeClr w14:val="tx1"/>
            </w14:solidFill>
          </w14:textFill>
        </w:rPr>
        <w:t>-3，项目涉及的管控单元基本情况见表1-2。</w:t>
      </w:r>
    </w:p>
    <w:p>
      <w:pPr>
        <w:keepNext/>
        <w:widowControl/>
        <w:adjustRightInd/>
        <w:spacing w:before="60" w:after="160" w:line="259" w:lineRule="auto"/>
        <w:ind w:right="113" w:firstLine="0" w:firstLineChars="0"/>
        <w:jc w:val="center"/>
        <w:rPr>
          <w:color w:val="000000" w:themeColor="text1"/>
          <w:highlight w:val="none"/>
          <w14:textFill>
            <w14:solidFill>
              <w14:schemeClr w14:val="tx1"/>
            </w14:solidFill>
          </w14:textFill>
        </w:rPr>
      </w:pPr>
      <w:r>
        <w:rPr>
          <w:rFonts w:cs="Times New Roman"/>
          <w:color w:val="000000" w:themeColor="text1"/>
          <w:kern w:val="0"/>
          <w:sz w:val="18"/>
          <w:szCs w:val="18"/>
          <w:highlight w:val="none"/>
          <w14:textFill>
            <w14:solidFill>
              <w14:schemeClr w14:val="tx1"/>
            </w14:solidFill>
          </w14:textFill>
        </w:rPr>
        <mc:AlternateContent>
          <mc:Choice Requires="wps">
            <w:drawing>
              <wp:anchor distT="0" distB="0" distL="114300" distR="114300" simplePos="0" relativeHeight="251697152" behindDoc="0" locked="0" layoutInCell="1" allowOverlap="1">
                <wp:simplePos x="0" y="0"/>
                <wp:positionH relativeFrom="column">
                  <wp:posOffset>3079115</wp:posOffset>
                </wp:positionH>
                <wp:positionV relativeFrom="paragraph">
                  <wp:posOffset>763270</wp:posOffset>
                </wp:positionV>
                <wp:extent cx="1400175" cy="333375"/>
                <wp:effectExtent l="0" t="0" r="28575" b="981075"/>
                <wp:wrapNone/>
                <wp:docPr id="1515279241" name="对话气泡: 圆角矩形 1515279241"/>
                <wp:cNvGraphicFramePr/>
                <a:graphic xmlns:a="http://schemas.openxmlformats.org/drawingml/2006/main">
                  <a:graphicData uri="http://schemas.microsoft.com/office/word/2010/wordprocessingShape">
                    <wps:wsp>
                      <wps:cNvSpPr/>
                      <wps:spPr>
                        <a:xfrm>
                          <a:off x="0" y="0"/>
                          <a:ext cx="1400175" cy="333375"/>
                        </a:xfrm>
                        <a:prstGeom prst="wedgeRoundRectCallout">
                          <a:avLst>
                            <a:gd name="adj1" fmla="val 19066"/>
                            <a:gd name="adj2" fmla="val 315469"/>
                            <a:gd name="adj3" fmla="val 16667"/>
                          </a:avLst>
                        </a:prstGeom>
                        <a:solidFill>
                          <a:srgbClr val="4874CB"/>
                        </a:solidFill>
                        <a:ln w="12700" cap="flat" cmpd="sng" algn="ctr">
                          <a:solidFill>
                            <a:srgbClr val="4874CB">
                              <a:shade val="50000"/>
                            </a:srgbClr>
                          </a:solidFill>
                          <a:prstDash val="solid"/>
                          <a:miter lim="800000"/>
                        </a:ln>
                        <a:effectLst/>
                      </wps:spPr>
                      <wps:txbx>
                        <w:txbxContent>
                          <w:p>
                            <w:pPr>
                              <w:ind w:firstLine="0" w:firstLineChars="0"/>
                              <w:jc w:val="center"/>
                              <w:rPr>
                                <w:b/>
                                <w:bCs/>
                              </w:rPr>
                            </w:pPr>
                            <w:r>
                              <w:rPr>
                                <w:rFonts w:hint="eastAsia"/>
                                <w:b/>
                                <w:bCs/>
                              </w:rPr>
                              <w:t>雷页1井试采站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圆角矩形 1515279241" o:spid="_x0000_s1026" o:spt="62" type="#_x0000_t62" style="position:absolute;left:0pt;margin-left:242.45pt;margin-top:60.1pt;height:26.25pt;width:110.25pt;z-index:251697152;v-text-anchor:middle;mso-width-relative:page;mso-height-relative:page;" fillcolor="#4874CB" filled="t" stroked="t" coordsize="21600,21600" o:gfxdata="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" adj="14918,78941,14400">
                <v:fill on="t" focussize="0,0"/>
                <v:stroke weight="1pt" color="#325395" miterlimit="8" joinstyle="miter"/>
                <v:imagedata o:title=""/>
                <o:lock v:ext="edit" aspectratio="f"/>
                <v:textbox>
                  <w:txbxContent>
                    <w:p>
                      <w:pPr>
                        <w:ind w:firstLine="0" w:firstLineChars="0"/>
                        <w:jc w:val="center"/>
                        <w:rPr>
                          <w:b/>
                          <w:bCs/>
                        </w:rPr>
                      </w:pPr>
                      <w:r>
                        <w:rPr>
                          <w:rFonts w:hint="eastAsia"/>
                          <w:b/>
                          <w:bCs/>
                        </w:rPr>
                        <w:t>雷页1井试采站</w:t>
                      </w:r>
                    </w:p>
                  </w:txbxContent>
                </v:textbox>
              </v:shape>
            </w:pict>
          </mc:Fallback>
        </mc:AlternateContent>
      </w:r>
      <w:r>
        <w:rPr>
          <w:rFonts w:cs="Times New Roman"/>
          <w:color w:val="000000" w:themeColor="text1"/>
          <w:kern w:val="0"/>
          <w:sz w:val="18"/>
          <w:szCs w:val="18"/>
          <w:highlight w:val="none"/>
          <w14:textFill>
            <w14:solidFill>
              <w14:schemeClr w14:val="tx1"/>
            </w14:solidFill>
          </w14:textFill>
        </w:rPr>
        <mc:AlternateContent>
          <mc:Choice Requires="wps">
            <w:drawing>
              <wp:anchor distT="0" distB="0" distL="114300" distR="114300" simplePos="0" relativeHeight="251696128" behindDoc="0" locked="0" layoutInCell="1" allowOverlap="1">
                <wp:simplePos x="0" y="0"/>
                <wp:positionH relativeFrom="column">
                  <wp:posOffset>1372870</wp:posOffset>
                </wp:positionH>
                <wp:positionV relativeFrom="paragraph">
                  <wp:posOffset>525145</wp:posOffset>
                </wp:positionV>
                <wp:extent cx="895350" cy="333375"/>
                <wp:effectExtent l="0" t="0" r="19050" b="638175"/>
                <wp:wrapNone/>
                <wp:docPr id="1871284250" name="对话气泡: 圆角矩形 1871284250"/>
                <wp:cNvGraphicFramePr/>
                <a:graphic xmlns:a="http://schemas.openxmlformats.org/drawingml/2006/main">
                  <a:graphicData uri="http://schemas.microsoft.com/office/word/2010/wordprocessingShape">
                    <wps:wsp>
                      <wps:cNvSpPr/>
                      <wps:spPr>
                        <a:xfrm>
                          <a:off x="0" y="0"/>
                          <a:ext cx="895350" cy="333375"/>
                        </a:xfrm>
                        <a:prstGeom prst="wedgeRoundRectCallout">
                          <a:avLst>
                            <a:gd name="adj1" fmla="val -5676"/>
                            <a:gd name="adj2" fmla="val 211697"/>
                            <a:gd name="adj3" fmla="val 16667"/>
                          </a:avLst>
                        </a:prstGeom>
                        <a:solidFill>
                          <a:srgbClr val="4874CB"/>
                        </a:solidFill>
                        <a:ln w="12700" cap="flat" cmpd="sng" algn="ctr">
                          <a:solidFill>
                            <a:srgbClr val="4874CB">
                              <a:shade val="50000"/>
                            </a:srgbClr>
                          </a:solidFill>
                          <a:prstDash val="solid"/>
                          <a:miter lim="800000"/>
                        </a:ln>
                        <a:effectLst/>
                      </wps:spPr>
                      <wps:txbx>
                        <w:txbxContent>
                          <w:p>
                            <w:pPr>
                              <w:ind w:firstLine="0" w:firstLineChars="0"/>
                              <w:rPr>
                                <w:b/>
                                <w:bCs/>
                              </w:rPr>
                            </w:pPr>
                            <w:r>
                              <w:rPr>
                                <w:rFonts w:hint="eastAsia"/>
                                <w:b/>
                                <w:bCs/>
                              </w:rPr>
                              <w:t>外输管线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圆角矩形 1871284250" o:spid="_x0000_s1026" o:spt="62" type="#_x0000_t62" style="position:absolute;left:0pt;margin-left:108.1pt;margin-top:41.35pt;height:26.25pt;width:70.5pt;z-index:251696128;v-text-anchor:middle;mso-width-relative:page;mso-height-relative:page;" fillcolor="#4874CB" filled="t" stroked="t" coordsize="21600,21600" o:gfxdata="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" adj="9574,56527,14400">
                <v:fill on="t" focussize="0,0"/>
                <v:stroke weight="1pt" color="#325395" miterlimit="8" joinstyle="miter"/>
                <v:imagedata o:title=""/>
                <o:lock v:ext="edit" aspectratio="f"/>
                <v:textbox>
                  <w:txbxContent>
                    <w:p>
                      <w:pPr>
                        <w:ind w:firstLine="0" w:firstLineChars="0"/>
                        <w:rPr>
                          <w:b/>
                          <w:bCs/>
                        </w:rPr>
                      </w:pPr>
                      <w:r>
                        <w:rPr>
                          <w:rFonts w:hint="eastAsia"/>
                          <w:b/>
                          <w:bCs/>
                        </w:rPr>
                        <w:t>外输管线</w:t>
                      </w:r>
                    </w:p>
                  </w:txbxContent>
                </v:textbox>
              </v:shape>
            </w:pict>
          </mc:Fallback>
        </mc:AlternateContent>
      </w:r>
      <w:r>
        <w:rPr>
          <w:rFonts w:cs="Times New Roman"/>
          <w:color w:val="000000" w:themeColor="text1"/>
          <w:kern w:val="0"/>
          <w:sz w:val="18"/>
          <w:szCs w:val="18"/>
          <w:highlight w:val="none"/>
          <w14:textFill>
            <w14:solidFill>
              <w14:schemeClr w14:val="tx1"/>
            </w14:solidFill>
          </w14:textFill>
        </w:rPr>
        <w:drawing>
          <wp:inline distT="0" distB="0" distL="0" distR="0">
            <wp:extent cx="5274310" cy="2651125"/>
            <wp:effectExtent l="19050" t="19050" r="21590" b="15875"/>
            <wp:docPr id="17225363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536300" name="图片 1"/>
                    <pic:cNvPicPr>
                      <a:picLocks noChangeAspect="1"/>
                    </pic:cNvPicPr>
                  </pic:nvPicPr>
                  <pic:blipFill>
                    <a:blip r:embed="rId25"/>
                    <a:stretch>
                      <a:fillRect/>
                    </a:stretch>
                  </pic:blipFill>
                  <pic:spPr>
                    <a:xfrm>
                      <a:off x="0" y="0"/>
                      <a:ext cx="5274310" cy="2651125"/>
                    </a:xfrm>
                    <a:prstGeom prst="rect">
                      <a:avLst/>
                    </a:prstGeom>
                    <a:ln>
                      <a:solidFill>
                        <a:sysClr val="windowText" lastClr="000000"/>
                      </a:solidFill>
                    </a:ln>
                  </pic:spPr>
                </pic:pic>
              </a:graphicData>
            </a:graphic>
          </wp:inline>
        </w:drawing>
      </w:r>
    </w:p>
    <w:p>
      <w:pPr>
        <w:pStyle w:val="14"/>
        <w:rPr>
          <w:color w:val="000000" w:themeColor="text1"/>
          <w:kern w:val="0"/>
          <w:sz w:val="18"/>
          <w:szCs w:val="18"/>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项目所在区域涉及的分区管控单元情况示意图</w:t>
      </w:r>
    </w:p>
    <w:p>
      <w:pPr>
        <w:overflowPunct w:val="0"/>
        <w:adjustRightInd/>
        <w:snapToGrid/>
        <w:ind w:firstLine="0" w:firstLineChars="0"/>
        <w:jc w:val="center"/>
        <w:rPr>
          <w:rFonts w:cs="Times New Roman"/>
          <w:color w:val="000000" w:themeColor="text1"/>
          <w:sz w:val="21"/>
          <w:szCs w:val="24"/>
          <w:highlight w:val="none"/>
          <w14:textFill>
            <w14:solidFill>
              <w14:schemeClr w14:val="tx1"/>
            </w14:solidFill>
          </w14:textFill>
        </w:rPr>
      </w:pPr>
    </w:p>
    <w:p>
      <w:pPr>
        <w:keepNext/>
        <w:widowControl/>
        <w:spacing w:line="240" w:lineRule="auto"/>
        <w:ind w:firstLine="0" w:firstLineChars="0"/>
        <w:jc w:val="center"/>
        <w:rPr>
          <w:color w:val="000000" w:themeColor="text1"/>
          <w:highlight w:val="none"/>
          <w14:textFill>
            <w14:solidFill>
              <w14:schemeClr w14:val="tx1"/>
            </w14:solidFill>
          </w14:textFill>
        </w:rPr>
      </w:pPr>
      <w:r>
        <w:rPr>
          <w:rFonts w:eastAsia="Times New Roman" w:cs="Times New Roman"/>
          <w:color w:val="000000" w:themeColor="text1"/>
          <w:kern w:val="0"/>
          <w:sz w:val="29"/>
          <w:szCs w:val="29"/>
          <w:highlight w:val="none"/>
          <w:lang w:eastAsia="en-US"/>
          <w14:textFill>
            <w14:solidFill>
              <w14:schemeClr w14:val="tx1"/>
            </w14:solidFill>
          </w14:textFill>
        </w:rPr>
        <w:drawing>
          <wp:inline distT="0" distB="0" distL="0" distR="0">
            <wp:extent cx="5274310" cy="3218815"/>
            <wp:effectExtent l="0" t="0" r="2540" b="635"/>
            <wp:docPr id="16152564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256403" name="图片 1"/>
                    <pic:cNvPicPr>
                      <a:picLocks noChangeAspect="1"/>
                    </pic:cNvPicPr>
                  </pic:nvPicPr>
                  <pic:blipFill>
                    <a:blip r:embed="rId26"/>
                    <a:stretch>
                      <a:fillRect/>
                    </a:stretch>
                  </pic:blipFill>
                  <pic:spPr>
                    <a:xfrm>
                      <a:off x="0" y="0"/>
                      <a:ext cx="5274310" cy="3218815"/>
                    </a:xfrm>
                    <a:prstGeom prst="rect">
                      <a:avLst/>
                    </a:prstGeom>
                  </pic:spPr>
                </pic:pic>
              </a:graphicData>
            </a:graphic>
          </wp:inline>
        </w:drawing>
      </w:r>
    </w:p>
    <w:p>
      <w:pPr>
        <w:pStyle w:val="14"/>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（雷页1井试采站场）</w:t>
      </w:r>
    </w:p>
    <w:p>
      <w:pPr>
        <w:pStyle w:val="14"/>
        <w:rPr>
          <w:rFonts w:ascii="宋体" w:hAnsi="宋体" w:cs="宋体"/>
          <w:color w:val="000000" w:themeColor="text1"/>
          <w:kern w:val="0"/>
          <w:sz w:val="29"/>
          <w:szCs w:val="29"/>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本项目在四川省“三线一单”查询系统的查询结果</w:t>
      </w:r>
      <w:r>
        <w:rPr>
          <w:color w:val="000000" w:themeColor="text1"/>
          <w:highlight w:val="none"/>
          <w14:textFill>
            <w14:solidFill>
              <w14:schemeClr w14:val="tx1"/>
            </w14:solidFill>
          </w14:textFill>
        </w:rPr>
        <w:t>1</w:t>
      </w:r>
    </w:p>
    <w:p>
      <w:pPr>
        <w:widowControl/>
        <w:spacing w:line="240" w:lineRule="auto"/>
        <w:ind w:firstLine="0" w:firstLineChars="0"/>
        <w:jc w:val="center"/>
        <w:rPr>
          <w:rFonts w:ascii="宋体" w:hAnsi="宋体" w:cs="宋体"/>
          <w:color w:val="000000" w:themeColor="text1"/>
          <w:kern w:val="0"/>
          <w:sz w:val="21"/>
          <w:szCs w:val="21"/>
          <w:highlight w:val="none"/>
          <w14:textFill>
            <w14:solidFill>
              <w14:schemeClr w14:val="tx1"/>
            </w14:solidFill>
          </w14:textFill>
        </w:rPr>
      </w:pPr>
    </w:p>
    <w:p>
      <w:pPr>
        <w:keepNext/>
        <w:widowControl/>
        <w:spacing w:line="240" w:lineRule="auto"/>
        <w:ind w:firstLine="0" w:firstLineChars="0"/>
        <w:jc w:val="center"/>
        <w:rPr>
          <w:color w:val="000000" w:themeColor="text1"/>
          <w:highlight w:val="none"/>
          <w14:textFill>
            <w14:solidFill>
              <w14:schemeClr w14:val="tx1"/>
            </w14:solidFill>
          </w14:textFill>
        </w:rPr>
      </w:pPr>
      <w:r>
        <w:rPr>
          <w:rFonts w:eastAsia="Times New Roman" w:cs="Times New Roman"/>
          <w:color w:val="000000" w:themeColor="text1"/>
          <w:kern w:val="0"/>
          <w:sz w:val="29"/>
          <w:szCs w:val="29"/>
          <w:highlight w:val="none"/>
          <w:lang w:eastAsia="en-US"/>
          <w14:textFill>
            <w14:solidFill>
              <w14:schemeClr w14:val="tx1"/>
            </w14:solidFill>
          </w14:textFill>
        </w:rPr>
        <w:drawing>
          <wp:inline distT="0" distB="0" distL="0" distR="0">
            <wp:extent cx="5274310" cy="3232150"/>
            <wp:effectExtent l="0" t="0" r="2540" b="6350"/>
            <wp:docPr id="6666975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97567" name="图片 1"/>
                    <pic:cNvPicPr>
                      <a:picLocks noChangeAspect="1"/>
                    </pic:cNvPicPr>
                  </pic:nvPicPr>
                  <pic:blipFill>
                    <a:blip r:embed="rId27"/>
                    <a:stretch>
                      <a:fillRect/>
                    </a:stretch>
                  </pic:blipFill>
                  <pic:spPr>
                    <a:xfrm>
                      <a:off x="0" y="0"/>
                      <a:ext cx="5274310" cy="3232150"/>
                    </a:xfrm>
                    <a:prstGeom prst="rect">
                      <a:avLst/>
                    </a:prstGeom>
                  </pic:spPr>
                </pic:pic>
              </a:graphicData>
            </a:graphic>
          </wp:inline>
        </w:drawing>
      </w:r>
    </w:p>
    <w:p>
      <w:pPr>
        <w:pStyle w:val="14"/>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（雷页1井试采地面工程〈外输管线终点〉）</w:t>
      </w:r>
    </w:p>
    <w:p>
      <w:pPr>
        <w:pStyle w:val="14"/>
        <w:rPr>
          <w:rFonts w:eastAsia="Times New Roman"/>
          <w:color w:val="000000" w:themeColor="text1"/>
          <w:kern w:val="0"/>
          <w:sz w:val="29"/>
          <w:szCs w:val="29"/>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本项目在四川省“三线一单”查询系统的查询结果</w:t>
      </w:r>
      <w:r>
        <w:rPr>
          <w:color w:val="000000" w:themeColor="text1"/>
          <w:highlight w:val="none"/>
          <w14:textFill>
            <w14:solidFill>
              <w14:schemeClr w14:val="tx1"/>
            </w14:solidFill>
          </w14:textFill>
        </w:rPr>
        <w:t>2</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rFonts w:hint="eastAsia"/>
          <w:color w:val="000000" w:themeColor="text1"/>
          <w:highlight w:val="none"/>
          <w:lang w:val="en-US" w:eastAsia="zh-CN"/>
          <w14:textFill>
            <w14:solidFill>
              <w14:schemeClr w14:val="tx1"/>
            </w14:solidFill>
          </w14:textFill>
        </w:rPr>
        <w:t>7</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本项目涉及的环境管控单元一览表</w:t>
      </w:r>
    </w:p>
    <w:tbl>
      <w:tblPr>
        <w:tblStyle w:val="41"/>
        <w:tblW w:w="49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3"/>
        <w:gridCol w:w="1935"/>
        <w:gridCol w:w="2912"/>
        <w:gridCol w:w="22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0" w:type="dxa"/>
            <w:vAlign w:val="center"/>
          </w:tcPr>
          <w:p>
            <w:pPr>
              <w:overflowPunct w:val="0"/>
              <w:adjustRightInd/>
              <w:snapToGrid/>
              <w:spacing w:line="240" w:lineRule="auto"/>
              <w:ind w:firstLine="0" w:firstLineChars="0"/>
              <w:jc w:val="center"/>
              <w:rPr>
                <w:rFonts w:eastAsia="Times New Roman" w:cs="Times New Roman"/>
                <w:b/>
                <w:bCs/>
                <w:color w:val="000000" w:themeColor="text1"/>
                <w:sz w:val="21"/>
                <w:szCs w:val="21"/>
                <w:highlight w:val="none"/>
                <w:lang w:val="zh-CN" w:bidi="zh-CN"/>
                <w14:textFill>
                  <w14:solidFill>
                    <w14:schemeClr w14:val="tx1"/>
                  </w14:solidFill>
                </w14:textFill>
              </w:rPr>
            </w:pPr>
            <w:r>
              <w:rPr>
                <w:rFonts w:hint="eastAsia" w:ascii="宋体" w:hAnsi="宋体" w:cs="宋体"/>
                <w:b/>
                <w:bCs/>
                <w:color w:val="000000" w:themeColor="text1"/>
                <w:sz w:val="21"/>
                <w:szCs w:val="21"/>
                <w:highlight w:val="none"/>
                <w:lang w:val="zh-CN" w:bidi="zh-CN"/>
                <w14:textFill>
                  <w14:solidFill>
                    <w14:schemeClr w14:val="tx1"/>
                  </w14:solidFill>
                </w14:textFill>
              </w:rPr>
              <w:t>环境综合管控编码</w:t>
            </w:r>
          </w:p>
        </w:tc>
        <w:tc>
          <w:tcPr>
            <w:tcW w:w="1884" w:type="dxa"/>
            <w:vAlign w:val="center"/>
          </w:tcPr>
          <w:p>
            <w:pPr>
              <w:overflowPunct w:val="0"/>
              <w:adjustRightInd/>
              <w:snapToGrid/>
              <w:spacing w:line="240" w:lineRule="auto"/>
              <w:ind w:firstLine="0" w:firstLineChars="0"/>
              <w:jc w:val="center"/>
              <w:rPr>
                <w:rFonts w:eastAsia="Times New Roman" w:cs="Times New Roman"/>
                <w:b/>
                <w:bCs/>
                <w:color w:val="000000" w:themeColor="text1"/>
                <w:sz w:val="21"/>
                <w:szCs w:val="21"/>
                <w:highlight w:val="none"/>
                <w:lang w:val="zh-CN" w:bidi="zh-CN"/>
                <w14:textFill>
                  <w14:solidFill>
                    <w14:schemeClr w14:val="tx1"/>
                  </w14:solidFill>
                </w14:textFill>
              </w:rPr>
            </w:pPr>
            <w:r>
              <w:rPr>
                <w:rFonts w:hint="eastAsia" w:ascii="宋体" w:hAnsi="宋体" w:cs="宋体"/>
                <w:b/>
                <w:bCs/>
                <w:color w:val="000000" w:themeColor="text1"/>
                <w:sz w:val="21"/>
                <w:szCs w:val="21"/>
                <w:highlight w:val="none"/>
                <w:lang w:val="zh-CN" w:bidi="zh-CN"/>
                <w14:textFill>
                  <w14:solidFill>
                    <w14:schemeClr w14:val="tx1"/>
                  </w14:solidFill>
                </w14:textFill>
              </w:rPr>
              <w:t>环境管控单元名称</w:t>
            </w:r>
          </w:p>
        </w:tc>
        <w:tc>
          <w:tcPr>
            <w:tcW w:w="2835" w:type="dxa"/>
            <w:vAlign w:val="center"/>
          </w:tcPr>
          <w:p>
            <w:pPr>
              <w:overflowPunct w:val="0"/>
              <w:adjustRightInd/>
              <w:snapToGrid/>
              <w:spacing w:line="240" w:lineRule="auto"/>
              <w:ind w:firstLine="0" w:firstLineChars="0"/>
              <w:jc w:val="center"/>
              <w:rPr>
                <w:rFonts w:eastAsia="Times New Roman" w:cs="Times New Roman"/>
                <w:b/>
                <w:bCs/>
                <w:color w:val="000000" w:themeColor="text1"/>
                <w:sz w:val="21"/>
                <w:szCs w:val="21"/>
                <w:highlight w:val="none"/>
                <w:lang w:val="zh-CN" w:bidi="zh-CN"/>
                <w14:textFill>
                  <w14:solidFill>
                    <w14:schemeClr w14:val="tx1"/>
                  </w14:solidFill>
                </w14:textFill>
              </w:rPr>
            </w:pPr>
            <w:r>
              <w:rPr>
                <w:rFonts w:hint="eastAsia" w:cs="Times New Roman"/>
                <w:b/>
                <w:bCs/>
                <w:color w:val="000000" w:themeColor="text1"/>
                <w:sz w:val="21"/>
                <w:szCs w:val="21"/>
                <w:highlight w:val="none"/>
                <w:lang w:bidi="zh-CN"/>
                <w14:textFill>
                  <w14:solidFill>
                    <w14:schemeClr w14:val="tx1"/>
                  </w14:solidFill>
                </w14:textFill>
              </w:rPr>
              <w:t>涉及的</w:t>
            </w:r>
            <w:r>
              <w:rPr>
                <w:rFonts w:hint="eastAsia" w:ascii="宋体" w:hAnsi="宋体" w:cs="宋体"/>
                <w:b/>
                <w:bCs/>
                <w:color w:val="000000" w:themeColor="text1"/>
                <w:sz w:val="21"/>
                <w:szCs w:val="21"/>
                <w:highlight w:val="none"/>
                <w:lang w:val="zh-CN" w:bidi="zh-CN"/>
                <w14:textFill>
                  <w14:solidFill>
                    <w14:schemeClr w14:val="tx1"/>
                  </w14:solidFill>
                </w14:textFill>
              </w:rPr>
              <w:t>环境要素管控区情况</w:t>
            </w:r>
          </w:p>
        </w:tc>
        <w:tc>
          <w:tcPr>
            <w:tcW w:w="2185" w:type="dxa"/>
            <w:vAlign w:val="center"/>
          </w:tcPr>
          <w:p>
            <w:pPr>
              <w:overflowPunct w:val="0"/>
              <w:adjustRightInd/>
              <w:snapToGrid/>
              <w:spacing w:line="240" w:lineRule="auto"/>
              <w:ind w:firstLine="0" w:firstLineChars="0"/>
              <w:jc w:val="center"/>
              <w:rPr>
                <w:rFonts w:eastAsia="Times New Roman" w:cs="Times New Roman"/>
                <w:b/>
                <w:bCs/>
                <w:color w:val="000000" w:themeColor="text1"/>
                <w:sz w:val="21"/>
                <w:szCs w:val="21"/>
                <w:highlight w:val="none"/>
                <w:lang w:val="zh-CN" w:bidi="zh-CN"/>
                <w14:textFill>
                  <w14:solidFill>
                    <w14:schemeClr w14:val="tx1"/>
                  </w14:solidFill>
                </w14:textFill>
              </w:rPr>
            </w:pPr>
            <w:r>
              <w:rPr>
                <w:rFonts w:hint="eastAsia" w:ascii="宋体" w:hAnsi="宋体" w:cs="宋体"/>
                <w:b/>
                <w:bCs/>
                <w:color w:val="000000" w:themeColor="text1"/>
                <w:sz w:val="21"/>
                <w:szCs w:val="21"/>
                <w:highlight w:val="none"/>
                <w:lang w:val="zh-CN" w:bidi="zh-CN"/>
                <w14:textFill>
                  <w14:solidFill>
                    <w14:schemeClr w14:val="tx1"/>
                  </w14:solidFill>
                </w14:textFill>
              </w:rPr>
              <w:t>位于管控单元的区域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0" w:type="dxa"/>
            <w:vAlign w:val="center"/>
          </w:tcPr>
          <w:p>
            <w:pPr>
              <w:overflowPunct w:val="0"/>
              <w:adjustRightInd/>
              <w:snapToGrid/>
              <w:spacing w:line="240" w:lineRule="auto"/>
              <w:ind w:firstLine="0" w:firstLineChars="0"/>
              <w:jc w:val="center"/>
              <w:rPr>
                <w:rFonts w:cs="Times New Roman"/>
                <w:color w:val="000000" w:themeColor="text1"/>
                <w:sz w:val="21"/>
                <w:szCs w:val="21"/>
                <w:highlight w:val="none"/>
                <w:lang w:bidi="zh-CN"/>
                <w14:textFill>
                  <w14:solidFill>
                    <w14:schemeClr w14:val="tx1"/>
                  </w14:solidFill>
                </w14:textFill>
              </w:rPr>
            </w:pPr>
            <w:r>
              <w:rPr>
                <w:rFonts w:cs="Times New Roman"/>
                <w:color w:val="000000" w:themeColor="text1"/>
                <w:sz w:val="21"/>
                <w:szCs w:val="21"/>
                <w:highlight w:val="none"/>
                <w14:textFill>
                  <w14:solidFill>
                    <w14:schemeClr w14:val="tx1"/>
                  </w14:solidFill>
                </w14:textFill>
              </w:rPr>
              <w:t>ZH51172230001</w:t>
            </w:r>
          </w:p>
        </w:tc>
        <w:tc>
          <w:tcPr>
            <w:tcW w:w="1884" w:type="dxa"/>
            <w:vAlign w:val="center"/>
          </w:tcPr>
          <w:p>
            <w:pPr>
              <w:overflowPunct w:val="0"/>
              <w:adjustRightInd/>
              <w:snapToGrid/>
              <w:spacing w:line="240" w:lineRule="auto"/>
              <w:ind w:firstLine="0" w:firstLineChars="0"/>
              <w:jc w:val="center"/>
              <w:rPr>
                <w:rFonts w:cs="Times New Roman"/>
                <w:color w:val="000000" w:themeColor="text1"/>
                <w:sz w:val="21"/>
                <w:szCs w:val="21"/>
                <w:highlight w:val="none"/>
                <w:lang w:val="zh-CN" w:bidi="zh-CN"/>
                <w14:textFill>
                  <w14:solidFill>
                    <w14:schemeClr w14:val="tx1"/>
                  </w14:solidFill>
                </w14:textFill>
              </w:rPr>
            </w:pPr>
            <w:r>
              <w:rPr>
                <w:rFonts w:cs="Times New Roman"/>
                <w:color w:val="000000" w:themeColor="text1"/>
                <w:sz w:val="21"/>
                <w:szCs w:val="21"/>
                <w:highlight w:val="none"/>
                <w14:textFill>
                  <w14:solidFill>
                    <w14:schemeClr w14:val="tx1"/>
                  </w14:solidFill>
                </w14:textFill>
              </w:rPr>
              <w:t>宣汉县一般管控单元</w:t>
            </w:r>
          </w:p>
        </w:tc>
        <w:tc>
          <w:tcPr>
            <w:tcW w:w="2835" w:type="dxa"/>
            <w:vAlign w:val="center"/>
          </w:tcPr>
          <w:p>
            <w:pPr>
              <w:numPr>
                <w:ilvl w:val="0"/>
                <w:numId w:val="8"/>
              </w:numPr>
              <w:overflowPunct w:val="0"/>
              <w:adjustRightInd/>
              <w:snapToGrid/>
              <w:spacing w:line="240" w:lineRule="auto"/>
              <w:ind w:firstLine="0" w:firstLineChars="0"/>
              <w:jc w:val="left"/>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大气环境布局敏感重点管控区；</w:t>
            </w:r>
          </w:p>
          <w:p>
            <w:pPr>
              <w:numPr>
                <w:ilvl w:val="0"/>
                <w:numId w:val="8"/>
              </w:numPr>
              <w:overflowPunct w:val="0"/>
              <w:adjustRightInd/>
              <w:snapToGrid/>
              <w:spacing w:line="240" w:lineRule="auto"/>
              <w:ind w:firstLine="0" w:firstLineChars="0"/>
              <w:jc w:val="left"/>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水环境一般管控区</w:t>
            </w:r>
          </w:p>
        </w:tc>
        <w:tc>
          <w:tcPr>
            <w:tcW w:w="2185" w:type="dxa"/>
            <w:vAlign w:val="center"/>
          </w:tcPr>
          <w:p>
            <w:pPr>
              <w:overflowPunct w:val="0"/>
              <w:adjustRightInd/>
              <w:snapToGrid/>
              <w:spacing w:line="240" w:lineRule="auto"/>
              <w:ind w:firstLine="0" w:firstLineChars="0"/>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本项目位于罗江库区饮用水源保护区准保护区陆域东侧630m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0" w:type="dxa"/>
            <w:vAlign w:val="center"/>
          </w:tcPr>
          <w:p>
            <w:pPr>
              <w:overflowPunct w:val="0"/>
              <w:adjustRightInd/>
              <w:snapToGrid/>
              <w:spacing w:line="240" w:lineRule="auto"/>
              <w:ind w:firstLine="0" w:firstLineChars="0"/>
              <w:jc w:val="center"/>
              <w:rPr>
                <w:rFonts w:cs="Times New Roman"/>
                <w:color w:val="000000" w:themeColor="text1"/>
                <w:sz w:val="21"/>
                <w:szCs w:val="21"/>
                <w:highlight w:val="none"/>
                <w:lang w:bidi="zh-CN"/>
                <w14:textFill>
                  <w14:solidFill>
                    <w14:schemeClr w14:val="tx1"/>
                  </w14:solidFill>
                </w14:textFill>
              </w:rPr>
            </w:pPr>
            <w:r>
              <w:rPr>
                <w:rFonts w:cs="Times New Roman"/>
                <w:color w:val="000000" w:themeColor="text1"/>
                <w:sz w:val="21"/>
                <w:szCs w:val="21"/>
                <w:highlight w:val="none"/>
                <w14:textFill>
                  <w14:solidFill>
                    <w14:schemeClr w14:val="tx1"/>
                  </w14:solidFill>
                </w14:textFill>
              </w:rPr>
              <w:t>ZH51170220002</w:t>
            </w:r>
          </w:p>
        </w:tc>
        <w:tc>
          <w:tcPr>
            <w:tcW w:w="1884" w:type="dxa"/>
            <w:vAlign w:val="center"/>
          </w:tcPr>
          <w:p>
            <w:pPr>
              <w:overflowPunct w:val="0"/>
              <w:adjustRightInd/>
              <w:snapToGrid/>
              <w:spacing w:line="240" w:lineRule="auto"/>
              <w:ind w:firstLine="0" w:firstLineChars="0"/>
              <w:jc w:val="center"/>
              <w:rPr>
                <w:rFonts w:cs="Times New Roman"/>
                <w:color w:val="000000" w:themeColor="text1"/>
                <w:sz w:val="21"/>
                <w:szCs w:val="21"/>
                <w:highlight w:val="none"/>
                <w:lang w:val="zh-CN" w:bidi="zh-CN"/>
                <w14:textFill>
                  <w14:solidFill>
                    <w14:schemeClr w14:val="tx1"/>
                  </w14:solidFill>
                </w14:textFill>
              </w:rPr>
            </w:pPr>
            <w:r>
              <w:rPr>
                <w:rFonts w:cs="Times New Roman"/>
                <w:color w:val="000000" w:themeColor="text1"/>
                <w:sz w:val="21"/>
                <w:szCs w:val="21"/>
                <w:highlight w:val="none"/>
                <w14:textFill>
                  <w14:solidFill>
                    <w14:schemeClr w14:val="tx1"/>
                  </w14:solidFill>
                </w14:textFill>
              </w:rPr>
              <w:t>达州市农产品加工集中区</w:t>
            </w:r>
          </w:p>
        </w:tc>
        <w:tc>
          <w:tcPr>
            <w:tcW w:w="2835" w:type="dxa"/>
            <w:vAlign w:val="center"/>
          </w:tcPr>
          <w:p>
            <w:pPr>
              <w:overflowPunct w:val="0"/>
              <w:adjustRightInd/>
              <w:snapToGrid/>
              <w:spacing w:line="240" w:lineRule="auto"/>
              <w:ind w:firstLine="0" w:firstLineChars="0"/>
              <w:rPr>
                <w:rFonts w:eastAsia="Times New Roman" w:cs="Times New Roman"/>
                <w:color w:val="000000" w:themeColor="text1"/>
                <w:sz w:val="21"/>
                <w:szCs w:val="21"/>
                <w:highlight w:val="none"/>
                <w:lang w:bidi="zh-CN"/>
                <w14:textFill>
                  <w14:solidFill>
                    <w14:schemeClr w14:val="tx1"/>
                  </w14:solidFill>
                </w14:textFill>
              </w:rPr>
            </w:pPr>
            <w:r>
              <w:rPr>
                <w:rFonts w:eastAsia="Times New Roman" w:cs="Times New Roman"/>
                <w:color w:val="000000" w:themeColor="text1"/>
                <w:sz w:val="21"/>
                <w:szCs w:val="21"/>
                <w:highlight w:val="none"/>
                <w:lang w:bidi="zh-CN"/>
                <w14:textFill>
                  <w14:solidFill>
                    <w14:schemeClr w14:val="tx1"/>
                  </w14:solidFill>
                </w14:textFill>
              </w:rPr>
              <w:t>1</w:t>
            </w:r>
            <w:r>
              <w:rPr>
                <w:rFonts w:cs="Times New Roman"/>
                <w:color w:val="000000" w:themeColor="text1"/>
                <w:sz w:val="21"/>
                <w:szCs w:val="21"/>
                <w:highlight w:val="none"/>
                <w:lang w:bidi="zh-CN"/>
                <w14:textFill>
                  <w14:solidFill>
                    <w14:schemeClr w14:val="tx1"/>
                  </w14:solidFill>
                </w14:textFill>
              </w:rPr>
              <w:t>、</w:t>
            </w:r>
            <w:r>
              <w:rPr>
                <w:rFonts w:cs="Times New Roman"/>
                <w:color w:val="000000" w:themeColor="text1"/>
                <w:sz w:val="21"/>
                <w:szCs w:val="21"/>
                <w:highlight w:val="none"/>
                <w14:textFill>
                  <w14:solidFill>
                    <w14:schemeClr w14:val="tx1"/>
                  </w14:solidFill>
                </w14:textFill>
              </w:rPr>
              <w:t>水环境工业污染重点管控区</w:t>
            </w:r>
            <w:r>
              <w:rPr>
                <w:rFonts w:cs="Times New Roman"/>
                <w:color w:val="000000" w:themeColor="text1"/>
                <w:sz w:val="21"/>
                <w:szCs w:val="21"/>
                <w:highlight w:val="none"/>
                <w:lang w:bidi="zh-CN"/>
                <w14:textFill>
                  <w14:solidFill>
                    <w14:schemeClr w14:val="tx1"/>
                  </w14:solidFill>
                </w14:textFill>
              </w:rPr>
              <w:t>；</w:t>
            </w:r>
          </w:p>
          <w:p>
            <w:pPr>
              <w:overflowPunct w:val="0"/>
              <w:adjustRightInd/>
              <w:snapToGrid/>
              <w:spacing w:line="240" w:lineRule="auto"/>
              <w:ind w:firstLine="0" w:firstLineChars="0"/>
              <w:rPr>
                <w:rFonts w:eastAsia="Times New Roman" w:cs="Times New Roman"/>
                <w:color w:val="000000" w:themeColor="text1"/>
                <w:sz w:val="21"/>
                <w:szCs w:val="21"/>
                <w:highlight w:val="none"/>
                <w:lang w:bidi="zh-CN"/>
                <w14:textFill>
                  <w14:solidFill>
                    <w14:schemeClr w14:val="tx1"/>
                  </w14:solidFill>
                </w14:textFill>
              </w:rPr>
            </w:pPr>
            <w:r>
              <w:rPr>
                <w:rFonts w:eastAsia="Times New Roman" w:cs="Times New Roman"/>
                <w:color w:val="000000" w:themeColor="text1"/>
                <w:sz w:val="21"/>
                <w:szCs w:val="21"/>
                <w:highlight w:val="none"/>
                <w:lang w:bidi="zh-CN"/>
                <w14:textFill>
                  <w14:solidFill>
                    <w14:schemeClr w14:val="tx1"/>
                  </w14:solidFill>
                </w14:textFill>
              </w:rPr>
              <w:t>2</w:t>
            </w:r>
            <w:r>
              <w:rPr>
                <w:rFonts w:cs="Times New Roman"/>
                <w:color w:val="000000" w:themeColor="text1"/>
                <w:sz w:val="21"/>
                <w:szCs w:val="21"/>
                <w:highlight w:val="none"/>
                <w:lang w:bidi="zh-CN"/>
                <w14:textFill>
                  <w14:solidFill>
                    <w14:schemeClr w14:val="tx1"/>
                  </w14:solidFill>
                </w14:textFill>
              </w:rPr>
              <w:t>、</w:t>
            </w:r>
            <w:r>
              <w:rPr>
                <w:rFonts w:cs="Times New Roman"/>
                <w:color w:val="000000" w:themeColor="text1"/>
                <w:sz w:val="21"/>
                <w:szCs w:val="21"/>
                <w:highlight w:val="none"/>
                <w14:textFill>
                  <w14:solidFill>
                    <w14:schemeClr w14:val="tx1"/>
                  </w14:solidFill>
                </w14:textFill>
              </w:rPr>
              <w:t>大气环境高排放重点管控区。</w:t>
            </w:r>
          </w:p>
        </w:tc>
        <w:tc>
          <w:tcPr>
            <w:tcW w:w="2185" w:type="dxa"/>
            <w:vAlign w:val="center"/>
          </w:tcPr>
          <w:p>
            <w:pPr>
              <w:overflowPunct w:val="0"/>
              <w:adjustRightInd/>
              <w:snapToGrid/>
              <w:spacing w:line="240" w:lineRule="auto"/>
              <w:ind w:firstLine="0" w:firstLineChars="0"/>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本项目位于罗江库区饮用水源保护区准保护区陆域东侧630m</w:t>
            </w:r>
          </w:p>
        </w:tc>
      </w:tr>
    </w:tbl>
    <w:p>
      <w:pPr>
        <w:overflowPunct w:val="0"/>
        <w:adjustRightInd/>
        <w:snapToGrid/>
        <w:spacing w:before="120" w:beforeLines="50"/>
        <w:ind w:firstLine="0" w:firstLineChars="0"/>
        <w:rPr>
          <w:rFonts w:cs="Times New Roman"/>
          <w:color w:val="000000" w:themeColor="text1"/>
          <w:kern w:val="21"/>
          <w:szCs w:val="24"/>
          <w:highlight w:val="none"/>
          <w14:textFill>
            <w14:solidFill>
              <w14:schemeClr w14:val="tx1"/>
            </w14:solidFill>
          </w14:textFill>
        </w:rPr>
      </w:pPr>
      <w:r>
        <w:rPr>
          <w:rFonts w:hint="eastAsia" w:cs="Times New Roman"/>
          <w:color w:val="000000" w:themeColor="text1"/>
          <w:kern w:val="21"/>
          <w:szCs w:val="24"/>
          <w:highlight w:val="none"/>
          <w14:textFill>
            <w14:solidFill>
              <w14:schemeClr w14:val="tx1"/>
            </w14:solidFill>
          </w14:textFill>
        </w:rPr>
        <w:t>项目与达州市综合管控单元的位置关系见下图：</w:t>
      </w:r>
    </w:p>
    <w:p>
      <w:pPr>
        <w:keepNext/>
        <w:overflowPunct w:val="0"/>
        <w:adjustRightInd/>
        <w:snapToGrid/>
        <w:ind w:firstLine="0" w:firstLineChars="0"/>
        <w:jc w:val="center"/>
        <w:rPr>
          <w:color w:val="000000" w:themeColor="text1"/>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mc:AlternateContent>
          <mc:Choice Requires="wps">
            <w:drawing>
              <wp:anchor distT="0" distB="0" distL="114300" distR="114300" simplePos="0" relativeHeight="251698176" behindDoc="0" locked="0" layoutInCell="1" allowOverlap="1">
                <wp:simplePos x="0" y="0"/>
                <wp:positionH relativeFrom="column">
                  <wp:posOffset>1386840</wp:posOffset>
                </wp:positionH>
                <wp:positionV relativeFrom="paragraph">
                  <wp:posOffset>1059180</wp:posOffset>
                </wp:positionV>
                <wp:extent cx="666115" cy="304165"/>
                <wp:effectExtent l="0" t="0" r="362585" b="362585"/>
                <wp:wrapNone/>
                <wp:docPr id="525046059" name="矩形标注 4"/>
                <wp:cNvGraphicFramePr/>
                <a:graphic xmlns:a="http://schemas.openxmlformats.org/drawingml/2006/main">
                  <a:graphicData uri="http://schemas.microsoft.com/office/word/2010/wordprocessingShape">
                    <wps:wsp>
                      <wps:cNvSpPr/>
                      <wps:spPr>
                        <a:xfrm>
                          <a:off x="0" y="0"/>
                          <a:ext cx="666115" cy="304165"/>
                        </a:xfrm>
                        <a:prstGeom prst="wedgeRectCallout">
                          <a:avLst>
                            <a:gd name="adj1" fmla="val 93125"/>
                            <a:gd name="adj2" fmla="val 148175"/>
                          </a:avLst>
                        </a:prstGeom>
                        <a:noFill/>
                        <a:ln w="12700" cap="flat" cmpd="sng" algn="ctr">
                          <a:solidFill>
                            <a:srgbClr val="FF0000"/>
                          </a:solidFill>
                          <a:prstDash val="solid"/>
                          <a:miter lim="800000"/>
                        </a:ln>
                        <a:effectLst/>
                      </wps:spPr>
                      <wps:txbx>
                        <w:txbxContent>
                          <w:p>
                            <w:pPr>
                              <w:ind w:firstLine="0" w:firstLineChars="0"/>
                              <w:jc w:val="center"/>
                              <w:rPr>
                                <w:color w:val="FF0000"/>
                              </w:rPr>
                            </w:pPr>
                            <w:r>
                              <w:rPr>
                                <w:rFonts w:hint="eastAsia"/>
                                <w:color w:val="FF0000"/>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4" o:spid="_x0000_s1026" o:spt="61" type="#_x0000_t61" style="position:absolute;left:0pt;margin-left:109.2pt;margin-top:83.4pt;height:23.95pt;width:52.45pt;z-index:251698176;v-text-anchor:middle;mso-width-relative:page;mso-height-relative:page;" filled="f" stroked="t" coordsize="21600,21600" o:gfxdata="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BI1KlD2QAAAAsBAAAPAAAAAAAAAAEAIAAA&#10;ACIAAABkcnMvZG93bnJldi54bWxQSwECFAAUAAAACACHTuJAKcvQIbYCAABPBQAADgAAAAAAAAAB&#10;ACAAAAAoAQAAZHJzL2Uyb0RvYy54bWxQSwUGAAAAAAYABgBZAQAAUAYAAAAA&#10;" adj="30915,42806">
                <v:fill on="f" focussize="0,0"/>
                <v:stroke weight="1pt" color="#FF0000" miterlimit="8" joinstyle="miter"/>
                <v:imagedata o:title=""/>
                <o:lock v:ext="edit" aspectratio="f"/>
                <v:textbox>
                  <w:txbxContent>
                    <w:p>
                      <w:pPr>
                        <w:ind w:firstLine="0" w:firstLineChars="0"/>
                        <w:jc w:val="center"/>
                        <w:rPr>
                          <w:color w:val="FF0000"/>
                        </w:rPr>
                      </w:pPr>
                      <w:r>
                        <w:rPr>
                          <w:rFonts w:hint="eastAsia"/>
                          <w:color w:val="FF0000"/>
                        </w:rPr>
                        <w:t>本项目</w:t>
                      </w:r>
                    </w:p>
                  </w:txbxContent>
                </v:textbox>
              </v:shape>
            </w:pict>
          </mc:Fallback>
        </mc:AlternateContent>
      </w:r>
      <w:r>
        <w:rPr>
          <w:rFonts w:hint="eastAsia" w:cs="Times New Roman"/>
          <w:color w:val="000000" w:themeColor="text1"/>
          <w:kern w:val="21"/>
          <w:szCs w:val="24"/>
          <w:highlight w:val="none"/>
          <w14:textFill>
            <w14:solidFill>
              <w14:schemeClr w14:val="tx1"/>
            </w14:solidFill>
          </w14:textFill>
        </w:rPr>
        <w:drawing>
          <wp:inline distT="0" distB="0" distL="114300" distR="114300">
            <wp:extent cx="4426585" cy="3131820"/>
            <wp:effectExtent l="0" t="0" r="12065" b="11430"/>
            <wp:docPr id="1593339956" name="图片 1593339956" descr="6eab4ef7dfd271d6e8633dfe67b2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339956" name="图片 1593339956" descr="6eab4ef7dfd271d6e8633dfe67b2722"/>
                    <pic:cNvPicPr>
                      <a:picLocks noChangeAspect="1"/>
                    </pic:cNvPicPr>
                  </pic:nvPicPr>
                  <pic:blipFill>
                    <a:blip r:embed="rId28"/>
                    <a:srcRect l="2664" t="2448" r="1873" b="2172"/>
                    <a:stretch>
                      <a:fillRect/>
                    </a:stretch>
                  </pic:blipFill>
                  <pic:spPr>
                    <a:xfrm>
                      <a:off x="0" y="0"/>
                      <a:ext cx="4426585" cy="3131820"/>
                    </a:xfrm>
                    <a:prstGeom prst="rect">
                      <a:avLst/>
                    </a:prstGeom>
                  </pic:spPr>
                </pic:pic>
              </a:graphicData>
            </a:graphic>
          </wp:inline>
        </w:drawing>
      </w:r>
    </w:p>
    <w:p>
      <w:pPr>
        <w:pStyle w:val="14"/>
        <w:rPr>
          <w:color w:val="000000" w:themeColor="text1"/>
          <w:kern w:val="21"/>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本项目与达州市综合管控单元的位置关系图</w:t>
      </w:r>
    </w:p>
    <w:p>
      <w:pPr>
        <w:adjustRightInd/>
        <w:snapToGrid/>
        <w:ind w:firstLine="0" w:firstLineChars="0"/>
        <w:rPr>
          <w:rFonts w:cs="Times New Roman"/>
          <w:b/>
          <w:bCs/>
          <w:color w:val="000000" w:themeColor="text1"/>
          <w:kern w:val="21"/>
          <w:szCs w:val="24"/>
          <w:highlight w:val="none"/>
          <w14:textFill>
            <w14:solidFill>
              <w14:schemeClr w14:val="tx1"/>
            </w14:solidFill>
          </w14:textFill>
        </w:rPr>
      </w:pPr>
      <w:r>
        <w:rPr>
          <w:rFonts w:hint="eastAsia" w:cs="Times New Roman"/>
          <w:b/>
          <w:bCs/>
          <w:color w:val="000000" w:themeColor="text1"/>
          <w:kern w:val="21"/>
          <w:szCs w:val="24"/>
          <w:highlight w:val="none"/>
          <w14:textFill>
            <w14:solidFill>
              <w14:schemeClr w14:val="tx1"/>
            </w14:solidFill>
          </w14:textFill>
        </w:rPr>
        <w:t>2、</w:t>
      </w:r>
      <w:r>
        <w:rPr>
          <w:rFonts w:hint="eastAsia" w:cs="Times New Roman"/>
          <w:b/>
          <w:bCs/>
          <w:color w:val="000000" w:themeColor="text1"/>
          <w:szCs w:val="24"/>
          <w:highlight w:val="none"/>
          <w14:textFill>
            <w14:solidFill>
              <w14:schemeClr w14:val="tx1"/>
            </w14:solidFill>
          </w14:textFill>
        </w:rPr>
        <w:t>与生态保护红线、生态空间的位置关系</w:t>
      </w:r>
    </w:p>
    <w:p>
      <w:pPr>
        <w:autoSpaceDE w:val="0"/>
        <w:autoSpaceDN w:val="0"/>
        <w:adjustRightInd/>
        <w:snapToGrid/>
        <w:ind w:firstLine="0" w:firstLineChars="0"/>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（1）与生态保护红线位置关系</w:t>
      </w:r>
    </w:p>
    <w:p>
      <w:pPr>
        <w:pStyle w:val="153"/>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本项目位于四川省达州市宣汉县</w:t>
      </w:r>
      <w:r>
        <w:rPr>
          <w:rFonts w:hint="eastAsia"/>
          <w:color w:val="000000" w:themeColor="text1"/>
          <w:highlight w:val="none"/>
          <w:lang w:eastAsia="zh-CN"/>
          <w14:textFill>
            <w14:solidFill>
              <w14:schemeClr w14:val="tx1"/>
            </w14:solidFill>
          </w14:textFill>
        </w:rPr>
        <w:t>**</w:t>
      </w:r>
      <w:r>
        <w:rPr>
          <w:rFonts w:hint="eastAsia"/>
          <w:color w:val="000000" w:themeColor="text1"/>
          <w:kern w:val="21"/>
          <w:szCs w:val="32"/>
          <w:highlight w:val="none"/>
          <w14:textFill>
            <w14:solidFill>
              <w14:schemeClr w14:val="tx1"/>
            </w14:solidFill>
          </w14:textFill>
        </w:rPr>
        <w:t>境内，外输管线涉及宣汉县</w:t>
      </w:r>
      <w:r>
        <w:rPr>
          <w:rFonts w:hint="eastAsia"/>
          <w:color w:val="000000" w:themeColor="text1"/>
          <w:kern w:val="21"/>
          <w:szCs w:val="32"/>
          <w:highlight w:val="none"/>
          <w:lang w:eastAsia="zh-CN"/>
          <w14:textFill>
            <w14:solidFill>
              <w14:schemeClr w14:val="tx1"/>
            </w14:solidFill>
          </w14:textFill>
        </w:rPr>
        <w:t>**</w:t>
      </w:r>
      <w:r>
        <w:rPr>
          <w:rFonts w:hint="eastAsia"/>
          <w:color w:val="000000" w:themeColor="text1"/>
          <w:kern w:val="21"/>
          <w:szCs w:val="32"/>
          <w:highlight w:val="none"/>
          <w14:textFill>
            <w14:solidFill>
              <w14:schemeClr w14:val="tx1"/>
            </w14:solidFill>
          </w14:textFill>
        </w:rPr>
        <w:t>、红岭镇、通川区魏兴镇</w:t>
      </w:r>
      <w:r>
        <w:rPr>
          <w:rFonts w:hint="eastAsia"/>
          <w:color w:val="000000" w:themeColor="text1"/>
          <w:highlight w:val="none"/>
          <w14:textFill>
            <w14:solidFill>
              <w14:schemeClr w14:val="tx1"/>
            </w14:solidFill>
          </w14:textFill>
        </w:rPr>
        <w:t>，根据四川省生态环境厅三线一单系统查询结果可知，项目不涉及四川省生态保护红线区域范围。</w:t>
      </w:r>
    </w:p>
    <w:p>
      <w:pPr>
        <w:keepNext/>
        <w:overflowPunct w:val="0"/>
        <w:adjustRightInd/>
        <w:snapToGrid/>
        <w:ind w:firstLine="0" w:firstLineChars="0"/>
        <w:jc w:val="center"/>
        <w:rPr>
          <w:color w:val="000000" w:themeColor="text1"/>
          <w:highlight w:val="none"/>
          <w14:textFill>
            <w14:solidFill>
              <w14:schemeClr w14:val="tx1"/>
            </w14:solidFill>
          </w14:textFill>
        </w:rPr>
      </w:pPr>
      <w:r>
        <w:rPr>
          <w:rFonts w:cs="Times New Roman"/>
          <w:b/>
          <w:color w:val="000000" w:themeColor="text1"/>
          <w:sz w:val="21"/>
          <w:szCs w:val="18"/>
          <w:highlight w:val="none"/>
          <w14:textFill>
            <w14:solidFill>
              <w14:schemeClr w14:val="tx1"/>
            </w14:solidFill>
          </w14:textFill>
        </w:rPr>
        <mc:AlternateContent>
          <mc:Choice Requires="wps">
            <w:drawing>
              <wp:anchor distT="0" distB="0" distL="114300" distR="114300" simplePos="0" relativeHeight="251701248" behindDoc="0" locked="0" layoutInCell="1" allowOverlap="1">
                <wp:simplePos x="0" y="0"/>
                <wp:positionH relativeFrom="column">
                  <wp:posOffset>4389120</wp:posOffset>
                </wp:positionH>
                <wp:positionV relativeFrom="paragraph">
                  <wp:posOffset>1369695</wp:posOffset>
                </wp:positionV>
                <wp:extent cx="45085" cy="45085"/>
                <wp:effectExtent l="0" t="0" r="12065" b="12065"/>
                <wp:wrapNone/>
                <wp:docPr id="10" name="椭圆 2"/>
                <wp:cNvGraphicFramePr/>
                <a:graphic xmlns:a="http://schemas.openxmlformats.org/drawingml/2006/main">
                  <a:graphicData uri="http://schemas.microsoft.com/office/word/2010/wordprocessingShape">
                    <wps:wsp>
                      <wps:cNvSpPr>
                        <a:spLocks noChangeArrowheads="1"/>
                      </wps:cNvSpPr>
                      <wps:spPr bwMode="auto">
                        <a:xfrm>
                          <a:off x="0" y="0"/>
                          <a:ext cx="45085" cy="45085"/>
                        </a:xfrm>
                        <a:prstGeom prst="ellipse">
                          <a:avLst/>
                        </a:prstGeom>
                        <a:solidFill>
                          <a:srgbClr val="FF0000"/>
                        </a:solidFill>
                        <a:ln w="9525">
                          <a:solidFill>
                            <a:srgbClr val="FF0000"/>
                          </a:solidFill>
                          <a:round/>
                        </a:ln>
                      </wps:spPr>
                      <wps:bodyPr rot="0" vert="horz" wrap="square" lIns="91440" tIns="45720" rIns="91440" bIns="45720" anchor="t" anchorCtr="0" upright="1">
                        <a:noAutofit/>
                      </wps:bodyPr>
                    </wps:wsp>
                  </a:graphicData>
                </a:graphic>
              </wp:anchor>
            </w:drawing>
          </mc:Choice>
          <mc:Fallback>
            <w:pict>
              <v:shape id="椭圆 2" o:spid="_x0000_s1026" o:spt="3" type="#_x0000_t3" style="position:absolute;left:0pt;margin-left:345.6pt;margin-top:107.85pt;height:3.55pt;width:3.55pt;z-index:251701248;mso-width-relative:page;mso-height-relative:page;" fillcolor="#FF0000" filled="t" stroked="t" coordsize="21600,21600" o:gfxdata="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BR9Jsb2AAAAAsBAAAPAAAAAAAAAAEAIAAAACIAAABkcnMvZG93bnJldi54bWxQSwECFAAUAAAA&#10;CACHTuJA1n1tNycCAABjBAAADgAAAAAAAAABACAAAAAnAQAAZHJzL2Uyb0RvYy54bWxQSwUGAAAA&#10;AAYABgBZAQAAwAUAAAAA&#10;">
                <v:fill on="t" focussize="0,0"/>
                <v:stroke color="#FF0000" joinstyle="round"/>
                <v:imagedata o:title=""/>
                <o:lock v:ext="edit" aspectratio="f"/>
              </v:shape>
            </w:pict>
          </mc:Fallback>
        </mc:AlternateContent>
      </w:r>
      <w:r>
        <w:rPr>
          <w:rFonts w:cs="Times New Roman"/>
          <w:b/>
          <w:color w:val="000000" w:themeColor="text1"/>
          <w:sz w:val="21"/>
          <w:szCs w:val="18"/>
          <w:highlight w:val="none"/>
          <w14:textFill>
            <w14:solidFill>
              <w14:schemeClr w14:val="tx1"/>
            </w14:solidFill>
          </w14:textFill>
        </w:rPr>
        <mc:AlternateContent>
          <mc:Choice Requires="wps">
            <w:drawing>
              <wp:anchor distT="0" distB="0" distL="114300" distR="114300" simplePos="0" relativeHeight="251700224" behindDoc="0" locked="0" layoutInCell="1" allowOverlap="1">
                <wp:simplePos x="0" y="0"/>
                <wp:positionH relativeFrom="column">
                  <wp:posOffset>3200400</wp:posOffset>
                </wp:positionH>
                <wp:positionV relativeFrom="paragraph">
                  <wp:posOffset>627380</wp:posOffset>
                </wp:positionV>
                <wp:extent cx="1218565" cy="317500"/>
                <wp:effectExtent l="4445" t="5080" r="21590" b="477520"/>
                <wp:wrapNone/>
                <wp:docPr id="325883649" name="对话气泡: 矩形 3"/>
                <wp:cNvGraphicFramePr/>
                <a:graphic xmlns:a="http://schemas.openxmlformats.org/drawingml/2006/main">
                  <a:graphicData uri="http://schemas.microsoft.com/office/word/2010/wordprocessingShape">
                    <wps:wsp>
                      <wps:cNvSpPr>
                        <a:spLocks noChangeArrowheads="1"/>
                      </wps:cNvSpPr>
                      <wps:spPr bwMode="auto">
                        <a:xfrm>
                          <a:off x="0" y="0"/>
                          <a:ext cx="1218565" cy="317500"/>
                        </a:xfrm>
                        <a:prstGeom prst="wedgeRectCallout">
                          <a:avLst>
                            <a:gd name="adj1" fmla="val 50157"/>
                            <a:gd name="adj2" fmla="val 191000"/>
                          </a:avLst>
                        </a:prstGeom>
                        <a:solidFill>
                          <a:srgbClr val="FFFFFF"/>
                        </a:solidFill>
                        <a:ln w="9525">
                          <a:solidFill>
                            <a:srgbClr val="000000"/>
                          </a:solidFill>
                          <a:miter lim="800000"/>
                        </a:ln>
                      </wps:spPr>
                      <wps:txbx>
                        <w:txbxContent>
                          <w:p>
                            <w:pPr>
                              <w:ind w:firstLine="0" w:firstLineChars="0"/>
                              <w:rPr>
                                <w:sz w:val="21"/>
                                <w:szCs w:val="20"/>
                              </w:rPr>
                            </w:pPr>
                            <w:r>
                              <w:rPr>
                                <w:rFonts w:hint="eastAsia"/>
                                <w:sz w:val="21"/>
                                <w:szCs w:val="20"/>
                              </w:rPr>
                              <w:t>本项目所在位置</w:t>
                            </w:r>
                          </w:p>
                        </w:txbxContent>
                      </wps:txbx>
                      <wps:bodyPr rot="0" vert="horz" wrap="square" lIns="91440" tIns="45720" rIns="91440" bIns="45720" anchor="t" anchorCtr="0" upright="1">
                        <a:noAutofit/>
                      </wps:bodyPr>
                    </wps:wsp>
                  </a:graphicData>
                </a:graphic>
              </wp:anchor>
            </w:drawing>
          </mc:Choice>
          <mc:Fallback>
            <w:pict>
              <v:shape id="对话气泡: 矩形 3" o:spid="_x0000_s1026" o:spt="61" type="#_x0000_t61" style="position:absolute;left:0pt;margin-left:252pt;margin-top:49.4pt;height:25pt;width:95.95pt;z-index:251700224;mso-width-relative:page;mso-height-relative:page;" fillcolor="#FFFFFF" filled="t" stroked="t" coordsize="21600,21600" o:gfxdata="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0Y04DNUAAAAKAQAADwAAAAAAAAABACAAAAAi&#10;AAAAZHJzL2Rvd25yZXYueG1sUEsBAhQAFAAAAAgAh07iQD533EN/AgAA7gQAAA4AAAAAAAAAAQAg&#10;AAAAJAEAAGRycy9lMm9Eb2MueG1sUEsFBgAAAAAGAAYAWQEAABUGAAAAAA==&#10;" adj="21634,52056">
                <v:fill on="t" focussize="0,0"/>
                <v:stroke color="#000000" miterlimit="8" joinstyle="miter"/>
                <v:imagedata o:title=""/>
                <o:lock v:ext="edit" aspectratio="f"/>
                <v:textbox>
                  <w:txbxContent>
                    <w:p>
                      <w:pPr>
                        <w:ind w:firstLine="0" w:firstLineChars="0"/>
                        <w:rPr>
                          <w:sz w:val="21"/>
                          <w:szCs w:val="20"/>
                        </w:rPr>
                      </w:pPr>
                      <w:r>
                        <w:rPr>
                          <w:rFonts w:hint="eastAsia"/>
                          <w:sz w:val="21"/>
                          <w:szCs w:val="20"/>
                        </w:rPr>
                        <w:t>本项目所在位置</w:t>
                      </w:r>
                    </w:p>
                  </w:txbxContent>
                </v:textbox>
              </v:shape>
            </w:pict>
          </mc:Fallback>
        </mc:AlternateContent>
      </w:r>
      <w:r>
        <w:rPr>
          <w:rFonts w:cs="Times New Roman"/>
          <w:color w:val="000000" w:themeColor="text1"/>
          <w:szCs w:val="24"/>
          <w:highlight w:val="none"/>
          <w14:textFill>
            <w14:solidFill>
              <w14:schemeClr w14:val="tx1"/>
            </w14:solidFill>
          </w14:textFill>
        </w:rPr>
        <mc:AlternateContent>
          <mc:Choice Requires="wps">
            <w:drawing>
              <wp:anchor distT="0" distB="0" distL="114300" distR="114300" simplePos="0" relativeHeight="251699200" behindDoc="0" locked="0" layoutInCell="1" allowOverlap="1">
                <wp:simplePos x="0" y="0"/>
                <wp:positionH relativeFrom="column">
                  <wp:posOffset>3971290</wp:posOffset>
                </wp:positionH>
                <wp:positionV relativeFrom="paragraph">
                  <wp:posOffset>950595</wp:posOffset>
                </wp:positionV>
                <wp:extent cx="107950" cy="107950"/>
                <wp:effectExtent l="19050" t="19050" r="44450" b="25400"/>
                <wp:wrapNone/>
                <wp:docPr id="637745020" name="等腰三角形 637745020"/>
                <wp:cNvGraphicFramePr/>
                <a:graphic xmlns:a="http://schemas.openxmlformats.org/drawingml/2006/main">
                  <a:graphicData uri="http://schemas.microsoft.com/office/word/2010/wordprocessingShape">
                    <wps:wsp>
                      <wps:cNvSpPr/>
                      <wps:spPr>
                        <a:xfrm>
                          <a:off x="0" y="0"/>
                          <a:ext cx="107950" cy="107950"/>
                        </a:xfrm>
                        <a:prstGeom prst="triangl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12.7pt;margin-top:74.85pt;height:8.5pt;width:8.5pt;z-index:251699200;v-text-anchor:middle;mso-width-relative:page;mso-height-relative:page;" fillcolor="#FF0000" filled="t" stroked="t" coordsize="21600,21600" o:gfxdata="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SrEU72gAAAAsB&#10;AAAPAAAAAAAAAAEAIAAAACIAAABkcnMvZG93bnJldi54bWxQSwECFAAUAAAACACHTuJAo28aO4sC&#10;AAAeBQAADgAAAAAAAAABACAAAAApAQAAZHJzL2Uyb0RvYy54bWxQSwUGAAAAAAYABgBZAQAAJgYA&#10;AAAA&#10;" adj="10800">
                <v:fill on="t" focussize="0,0"/>
                <v:stroke weight="1pt" color="#FF0000" miterlimit="8" joinstyle="miter"/>
                <v:imagedata o:title=""/>
                <o:lock v:ext="edit" aspectratio="f"/>
              </v:shape>
            </w:pict>
          </mc:Fallback>
        </mc:AlternateContent>
      </w:r>
      <w:r>
        <w:rPr>
          <w:rFonts w:hint="eastAsia" w:cs="Times New Roman"/>
          <w:b/>
          <w:bCs/>
          <w:color w:val="000000" w:themeColor="text1"/>
          <w:kern w:val="21"/>
          <w:szCs w:val="24"/>
          <w:highlight w:val="none"/>
          <w14:textFill>
            <w14:solidFill>
              <w14:schemeClr w14:val="tx1"/>
            </w14:solidFill>
          </w14:textFill>
        </w:rPr>
        <w:drawing>
          <wp:inline distT="0" distB="0" distL="114300" distR="114300">
            <wp:extent cx="5154930" cy="3657600"/>
            <wp:effectExtent l="0" t="0" r="7620" b="0"/>
            <wp:docPr id="32" name="图片 32" descr="四川省生态保护红线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四川省生态保护红线分布图"/>
                    <pic:cNvPicPr>
                      <a:picLocks noChangeAspect="1"/>
                    </pic:cNvPicPr>
                  </pic:nvPicPr>
                  <pic:blipFill>
                    <a:blip r:embed="rId29"/>
                    <a:srcRect l="1684" t="4046" r="1298"/>
                    <a:stretch>
                      <a:fillRect/>
                    </a:stretch>
                  </pic:blipFill>
                  <pic:spPr>
                    <a:xfrm>
                      <a:off x="0" y="0"/>
                      <a:ext cx="5167935" cy="3666825"/>
                    </a:xfrm>
                    <a:prstGeom prst="rect">
                      <a:avLst/>
                    </a:prstGeom>
                  </pic:spPr>
                </pic:pic>
              </a:graphicData>
            </a:graphic>
          </wp:inline>
        </w:drawing>
      </w:r>
    </w:p>
    <w:p>
      <w:pPr>
        <w:pStyle w:val="188"/>
        <w:keepNext/>
        <w:keepLines w:val="0"/>
        <w:pageBreakBefore w:val="0"/>
        <w:widowControl w:val="0"/>
        <w:kinsoku/>
        <w:wordWrap/>
        <w:topLinePunct w:val="0"/>
        <w:autoSpaceDE/>
        <w:autoSpaceDN/>
        <w:bidi w:val="0"/>
        <w:textAlignment w:val="auto"/>
        <w:outlineLvl w:val="9"/>
        <w:rPr>
          <w:b/>
          <w:bCs/>
          <w:color w:val="000000" w:themeColor="text1"/>
          <w:kern w:val="21"/>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本项目与四川省生态保护红线位置关系图</w:t>
      </w:r>
    </w:p>
    <w:p>
      <w:pPr>
        <w:keepNext/>
        <w:keepLines w:val="0"/>
        <w:pageBreakBefore w:val="0"/>
        <w:widowControl w:val="0"/>
        <w:kinsoku/>
        <w:wordWrap/>
        <w:overflowPunct w:val="0"/>
        <w:topLinePunct w:val="0"/>
        <w:autoSpaceDE/>
        <w:autoSpaceDN/>
        <w:bidi w:val="0"/>
        <w:adjustRightInd/>
        <w:snapToGrid/>
        <w:ind w:firstLine="0" w:firstLineChars="0"/>
        <w:jc w:val="center"/>
        <w:textAlignment w:val="auto"/>
        <w:outlineLvl w:val="9"/>
        <w:rPr>
          <w:color w:val="000000" w:themeColor="text1"/>
          <w:highlight w:val="none"/>
          <w14:textFill>
            <w14:solidFill>
              <w14:schemeClr w14:val="tx1"/>
            </w14:solidFill>
          </w14:textFill>
        </w:rPr>
      </w:pPr>
      <w:r>
        <w:rPr>
          <w:rFonts w:cs="Times New Roman"/>
          <w:b/>
          <w:color w:val="000000" w:themeColor="text1"/>
          <w:sz w:val="21"/>
          <w:szCs w:val="18"/>
          <w:highlight w:val="none"/>
          <w14:textFill>
            <w14:solidFill>
              <w14:schemeClr w14:val="tx1"/>
            </w14:solidFill>
          </w14:textFill>
        </w:rPr>
        <mc:AlternateContent>
          <mc:Choice Requires="wps">
            <w:drawing>
              <wp:anchor distT="0" distB="0" distL="114300" distR="114300" simplePos="0" relativeHeight="251702272" behindDoc="0" locked="0" layoutInCell="1" allowOverlap="1">
                <wp:simplePos x="0" y="0"/>
                <wp:positionH relativeFrom="column">
                  <wp:posOffset>800735</wp:posOffset>
                </wp:positionH>
                <wp:positionV relativeFrom="paragraph">
                  <wp:posOffset>1161415</wp:posOffset>
                </wp:positionV>
                <wp:extent cx="1218565" cy="317500"/>
                <wp:effectExtent l="0" t="0" r="57785" b="520700"/>
                <wp:wrapNone/>
                <wp:docPr id="73" name="对话气泡: 矩形 3"/>
                <wp:cNvGraphicFramePr/>
                <a:graphic xmlns:a="http://schemas.openxmlformats.org/drawingml/2006/main">
                  <a:graphicData uri="http://schemas.microsoft.com/office/word/2010/wordprocessingShape">
                    <wps:wsp>
                      <wps:cNvSpPr>
                        <a:spLocks noChangeArrowheads="1"/>
                      </wps:cNvSpPr>
                      <wps:spPr bwMode="auto">
                        <a:xfrm>
                          <a:off x="0" y="0"/>
                          <a:ext cx="1218565" cy="317500"/>
                        </a:xfrm>
                        <a:prstGeom prst="wedgeRectCallout">
                          <a:avLst>
                            <a:gd name="adj1" fmla="val 50157"/>
                            <a:gd name="adj2" fmla="val 191000"/>
                          </a:avLst>
                        </a:prstGeom>
                        <a:solidFill>
                          <a:srgbClr val="FFFFFF"/>
                        </a:solidFill>
                        <a:ln w="9525">
                          <a:solidFill>
                            <a:srgbClr val="000000"/>
                          </a:solidFill>
                          <a:miter lim="800000"/>
                        </a:ln>
                      </wps:spPr>
                      <wps:txbx>
                        <w:txbxContent>
                          <w:p>
                            <w:pPr>
                              <w:ind w:firstLine="0" w:firstLineChars="0"/>
                              <w:rPr>
                                <w:sz w:val="21"/>
                                <w:szCs w:val="20"/>
                              </w:rPr>
                            </w:pPr>
                            <w:r>
                              <w:rPr>
                                <w:rFonts w:hint="eastAsia"/>
                                <w:sz w:val="21"/>
                                <w:szCs w:val="20"/>
                              </w:rPr>
                              <w:t>本项目所在位置</w:t>
                            </w:r>
                          </w:p>
                        </w:txbxContent>
                      </wps:txbx>
                      <wps:bodyPr rot="0" vert="horz" wrap="square" lIns="91440" tIns="45720" rIns="91440" bIns="45720" anchor="t" anchorCtr="0" upright="1">
                        <a:noAutofit/>
                      </wps:bodyPr>
                    </wps:wsp>
                  </a:graphicData>
                </a:graphic>
              </wp:anchor>
            </w:drawing>
          </mc:Choice>
          <mc:Fallback>
            <w:pict>
              <v:shape id="对话气泡: 矩形 3" o:spid="_x0000_s1026" o:spt="61" type="#_x0000_t61" style="position:absolute;left:0pt;margin-left:63.05pt;margin-top:91.45pt;height:25pt;width:95.95pt;z-index:251702272;mso-width-relative:page;mso-height-relative:page;" fillcolor="#FFFFFF" filled="t" stroked="t" coordsize="21600,21600" o:gfxdata="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&#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jwoF9NUAAAALAQAADwAAAAAAAAABACAAAAAiAAAAZHJz&#10;L2Rvd25yZXYueG1sUEsBAhQAFAAAAAgAh07iQPFnNeB5AgAA5wQAAA4AAAAAAAAAAQAgAAAAJAEA&#10;AGRycy9lMm9Eb2MueG1sUEsFBgAAAAAGAAYAWQEAAA8GAAAAAA==&#10;" adj="21634,52056">
                <v:fill on="t" focussize="0,0"/>
                <v:stroke color="#000000" miterlimit="8" joinstyle="miter"/>
                <v:imagedata o:title=""/>
                <o:lock v:ext="edit" aspectratio="f"/>
                <v:textbox>
                  <w:txbxContent>
                    <w:p>
                      <w:pPr>
                        <w:ind w:firstLine="0" w:firstLineChars="0"/>
                        <w:rPr>
                          <w:sz w:val="21"/>
                          <w:szCs w:val="20"/>
                        </w:rPr>
                      </w:pPr>
                      <w:r>
                        <w:rPr>
                          <w:rFonts w:hint="eastAsia"/>
                          <w:sz w:val="21"/>
                          <w:szCs w:val="20"/>
                        </w:rPr>
                        <w:t>本项目所在位置</w:t>
                      </w:r>
                    </w:p>
                  </w:txbxContent>
                </v:textbox>
              </v:shape>
            </w:pict>
          </mc:Fallback>
        </mc:AlternateContent>
      </w:r>
      <w:r>
        <w:rPr>
          <w:rFonts w:cs="Times New Roman"/>
          <w:b/>
          <w:color w:val="000000" w:themeColor="text1"/>
          <w:sz w:val="21"/>
          <w:szCs w:val="18"/>
          <w:highlight w:val="none"/>
          <w14:textFill>
            <w14:solidFill>
              <w14:schemeClr w14:val="tx1"/>
            </w14:solidFill>
          </w14:textFill>
        </w:rPr>
        <mc:AlternateContent>
          <mc:Choice Requires="wps">
            <w:drawing>
              <wp:anchor distT="0" distB="0" distL="114300" distR="114300" simplePos="0" relativeHeight="251703296" behindDoc="0" locked="0" layoutInCell="1" allowOverlap="1">
                <wp:simplePos x="0" y="0"/>
                <wp:positionH relativeFrom="column">
                  <wp:posOffset>2007870</wp:posOffset>
                </wp:positionH>
                <wp:positionV relativeFrom="paragraph">
                  <wp:posOffset>1901825</wp:posOffset>
                </wp:positionV>
                <wp:extent cx="45085" cy="45085"/>
                <wp:effectExtent l="0" t="0" r="12065" b="12065"/>
                <wp:wrapNone/>
                <wp:docPr id="1674518432" name="椭圆 2"/>
                <wp:cNvGraphicFramePr/>
                <a:graphic xmlns:a="http://schemas.openxmlformats.org/drawingml/2006/main">
                  <a:graphicData uri="http://schemas.microsoft.com/office/word/2010/wordprocessingShape">
                    <wps:wsp>
                      <wps:cNvSpPr>
                        <a:spLocks noChangeArrowheads="1"/>
                      </wps:cNvSpPr>
                      <wps:spPr bwMode="auto">
                        <a:xfrm>
                          <a:off x="0" y="0"/>
                          <a:ext cx="45085" cy="45085"/>
                        </a:xfrm>
                        <a:prstGeom prst="ellipse">
                          <a:avLst/>
                        </a:prstGeom>
                        <a:solidFill>
                          <a:srgbClr val="FF0000"/>
                        </a:solidFill>
                        <a:ln w="9525">
                          <a:solidFill>
                            <a:srgbClr val="FF0000"/>
                          </a:solidFill>
                          <a:round/>
                        </a:ln>
                      </wps:spPr>
                      <wps:bodyPr rot="0" vert="horz" wrap="square" lIns="91440" tIns="45720" rIns="91440" bIns="45720" anchor="t" anchorCtr="0" upright="1">
                        <a:noAutofit/>
                      </wps:bodyPr>
                    </wps:wsp>
                  </a:graphicData>
                </a:graphic>
              </wp:anchor>
            </w:drawing>
          </mc:Choice>
          <mc:Fallback>
            <w:pict>
              <v:shape id="椭圆 2" o:spid="_x0000_s1026" o:spt="3" type="#_x0000_t3" style="position:absolute;left:0pt;margin-left:158.1pt;margin-top:149.75pt;height:3.55pt;width:3.55pt;z-index:251703296;mso-width-relative:page;mso-height-relative:page;" fillcolor="#FF0000" filled="t" stroked="t" coordsize="21600,21600" o:gfxdata="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PBUxz2AAAAAsBAAAPAAAAAAAAAAEAIAAAACIAAABkcnMvZG93bnJldi54bWxQ&#10;SwECFAAUAAAACACHTuJANOt1ITACAABrBAAADgAAAAAAAAABACAAAAAnAQAAZHJzL2Uyb0RvYy54&#10;bWxQSwUGAAAAAAYABgBZAQAAyQUAAAAA&#10;">
                <v:fill on="t" focussize="0,0"/>
                <v:stroke color="#FF0000" joinstyle="round"/>
                <v:imagedata o:title=""/>
                <o:lock v:ext="edit" aspectratio="f"/>
              </v:shape>
            </w:pict>
          </mc:Fallback>
        </mc:AlternateContent>
      </w:r>
      <w:r>
        <w:rPr>
          <w:rFonts w:hint="eastAsia" w:cs="Times New Roman"/>
          <w:color w:val="000000" w:themeColor="text1"/>
          <w:kern w:val="0"/>
          <w:szCs w:val="24"/>
          <w:highlight w:val="none"/>
          <w14:textFill>
            <w14:solidFill>
              <w14:schemeClr w14:val="tx1"/>
            </w14:solidFill>
          </w14:textFill>
        </w:rPr>
        <w:drawing>
          <wp:inline distT="0" distB="0" distL="114300" distR="114300">
            <wp:extent cx="5140325" cy="3704590"/>
            <wp:effectExtent l="0" t="0" r="3175" b="0"/>
            <wp:docPr id="786804613" name="图片 786804613" descr="达州市生态保护红线分布图（调整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804613" name="图片 786804613" descr="达州市生态保护红线分布图（调整后）"/>
                    <pic:cNvPicPr>
                      <a:picLocks noChangeAspect="1"/>
                    </pic:cNvPicPr>
                  </pic:nvPicPr>
                  <pic:blipFill>
                    <a:blip r:embed="rId30"/>
                    <a:srcRect t="3796" b="1426"/>
                    <a:stretch>
                      <a:fillRect/>
                    </a:stretch>
                  </pic:blipFill>
                  <pic:spPr>
                    <a:xfrm>
                      <a:off x="0" y="0"/>
                      <a:ext cx="5154275" cy="3714965"/>
                    </a:xfrm>
                    <a:prstGeom prst="rect">
                      <a:avLst/>
                    </a:prstGeom>
                  </pic:spPr>
                </pic:pic>
              </a:graphicData>
            </a:graphic>
          </wp:inline>
        </w:drawing>
      </w:r>
    </w:p>
    <w:p>
      <w:pPr>
        <w:pStyle w:val="188"/>
        <w:keepNext/>
        <w:keepLines w:val="0"/>
        <w:pageBreakBefore w:val="0"/>
        <w:widowControl w:val="0"/>
        <w:kinsoku/>
        <w:wordWrap/>
        <w:topLinePunct w:val="0"/>
        <w:autoSpaceDE/>
        <w:autoSpaceDN/>
        <w:bidi w:val="0"/>
        <w:textAlignment w:val="auto"/>
        <w:outlineLvl w:val="9"/>
        <w:rPr>
          <w:color w:val="000000" w:themeColor="text1"/>
          <w:kern w:val="0"/>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本项目与达州市生态保护红线的相对位置关系示意图</w:t>
      </w:r>
    </w:p>
    <w:p>
      <w:pPr>
        <w:adjustRightInd/>
        <w:snapToGrid/>
        <w:spacing w:before="120"/>
        <w:ind w:firstLine="0" w:firstLineChars="0"/>
        <w:jc w:val="left"/>
        <w:rPr>
          <w:rFonts w:cs="Arial"/>
          <w:color w:val="000000" w:themeColor="text1"/>
          <w:kern w:val="0"/>
          <w:szCs w:val="24"/>
          <w:highlight w:val="none"/>
          <w14:textFill>
            <w14:solidFill>
              <w14:schemeClr w14:val="tx1"/>
            </w14:solidFill>
          </w14:textFill>
        </w:rPr>
      </w:pPr>
      <w:r>
        <w:rPr>
          <w:rFonts w:hint="eastAsia" w:cs="Arial"/>
          <w:color w:val="000000" w:themeColor="text1"/>
          <w:kern w:val="0"/>
          <w:szCs w:val="24"/>
          <w:highlight w:val="none"/>
          <w14:textFill>
            <w14:solidFill>
              <w14:schemeClr w14:val="tx1"/>
            </w14:solidFill>
          </w14:textFill>
        </w:rPr>
        <w:t>（2）与生态空间位置关系</w:t>
      </w:r>
    </w:p>
    <w:p>
      <w:pPr>
        <w:pStyle w:val="153"/>
        <w:ind w:firstLine="480"/>
        <w:rPr>
          <w:color w:val="000000" w:themeColor="text1"/>
          <w:highlight w:val="none"/>
          <w14:textFill>
            <w14:solidFill>
              <w14:schemeClr w14:val="tx1"/>
            </w14:solidFill>
          </w14:textFill>
        </w:rPr>
      </w:pPr>
      <w:r>
        <w:rPr>
          <w:color w:val="000000" w:themeColor="text1"/>
          <w:kern w:val="0"/>
          <w:highlight w:val="none"/>
          <w14:textFill>
            <w14:solidFill>
              <w14:schemeClr w14:val="tx1"/>
            </w14:solidFill>
          </w14:textFill>
        </w:rPr>
        <w:t>本项目</w:t>
      </w:r>
      <w:r>
        <w:rPr>
          <w:rFonts w:hint="eastAsia"/>
          <w:color w:val="000000" w:themeColor="text1"/>
          <w:kern w:val="0"/>
          <w:highlight w:val="none"/>
          <w14:textFill>
            <w14:solidFill>
              <w14:schemeClr w14:val="tx1"/>
            </w14:solidFill>
          </w14:textFill>
        </w:rPr>
        <w:t>位于罗江库区饮用水源保护区准保护区陆域东侧6</w:t>
      </w:r>
      <w:r>
        <w:rPr>
          <w:color w:val="000000" w:themeColor="text1"/>
          <w:kern w:val="0"/>
          <w:highlight w:val="none"/>
          <w14:textFill>
            <w14:solidFill>
              <w14:schemeClr w14:val="tx1"/>
            </w14:solidFill>
          </w14:textFill>
        </w:rPr>
        <w:t>30</w:t>
      </w:r>
      <w:r>
        <w:rPr>
          <w:rFonts w:hint="eastAsia"/>
          <w:color w:val="000000" w:themeColor="text1"/>
          <w:kern w:val="0"/>
          <w:highlight w:val="none"/>
          <w14:textFill>
            <w14:solidFill>
              <w14:schemeClr w14:val="tx1"/>
            </w14:solidFill>
          </w14:textFill>
        </w:rPr>
        <w:t>m</w:t>
      </w:r>
      <w:r>
        <w:rPr>
          <w:color w:val="000000" w:themeColor="text1"/>
          <w:kern w:val="0"/>
          <w:highlight w:val="none"/>
          <w14:textFill>
            <w14:solidFill>
              <w14:schemeClr w14:val="tx1"/>
            </w14:solidFill>
          </w14:textFill>
        </w:rPr>
        <w:t>，根据查询，</w:t>
      </w:r>
      <w:r>
        <w:rPr>
          <w:rFonts w:hint="eastAsia"/>
          <w:color w:val="000000" w:themeColor="text1"/>
          <w:highlight w:val="none"/>
          <w14:textFill>
            <w14:solidFill>
              <w14:schemeClr w14:val="tx1"/>
            </w14:solidFill>
          </w14:textFill>
        </w:rPr>
        <w:t>罗江库区饮用水源保护区准保护区</w:t>
      </w:r>
      <w:r>
        <w:rPr>
          <w:color w:val="000000" w:themeColor="text1"/>
          <w:highlight w:val="none"/>
          <w14:textFill>
            <w14:solidFill>
              <w14:schemeClr w14:val="tx1"/>
            </w14:solidFill>
          </w14:textFill>
        </w:rPr>
        <w:t>及以上区域属于一般生态空间；</w:t>
      </w:r>
      <w:r>
        <w:rPr>
          <w:rFonts w:hint="eastAsia"/>
          <w:color w:val="000000" w:themeColor="text1"/>
          <w:highlight w:val="none"/>
          <w14:textFill>
            <w14:solidFill>
              <w14:schemeClr w14:val="tx1"/>
            </w14:solidFill>
          </w14:textFill>
        </w:rPr>
        <w:t>本项目</w:t>
      </w:r>
      <w:r>
        <w:rPr>
          <w:color w:val="000000" w:themeColor="text1"/>
          <w:highlight w:val="none"/>
          <w14:textFill>
            <w14:solidFill>
              <w14:schemeClr w14:val="tx1"/>
            </w14:solidFill>
          </w14:textFill>
        </w:rPr>
        <w:t>位于</w:t>
      </w:r>
      <w:r>
        <w:rPr>
          <w:rFonts w:hint="eastAsia"/>
          <w:color w:val="000000" w:themeColor="text1"/>
          <w:highlight w:val="none"/>
          <w14:textFill>
            <w14:solidFill>
              <w14:schemeClr w14:val="tx1"/>
            </w14:solidFill>
          </w14:textFill>
        </w:rPr>
        <w:t>罗江库区饮用水源保护区准保护区以外</w:t>
      </w:r>
      <w:r>
        <w:rPr>
          <w:color w:val="000000" w:themeColor="text1"/>
          <w:highlight w:val="none"/>
          <w14:textFill>
            <w14:solidFill>
              <w14:schemeClr w14:val="tx1"/>
            </w14:solidFill>
          </w14:textFill>
        </w:rPr>
        <w:t>，不</w:t>
      </w:r>
      <w:r>
        <w:rPr>
          <w:rFonts w:hint="eastAsia"/>
          <w:color w:val="000000" w:themeColor="text1"/>
          <w:highlight w:val="none"/>
          <w14:textFill>
            <w14:solidFill>
              <w14:schemeClr w14:val="tx1"/>
            </w14:solidFill>
          </w14:textFill>
        </w:rPr>
        <w:t>涉及</w:t>
      </w:r>
      <w:r>
        <w:rPr>
          <w:color w:val="000000" w:themeColor="text1"/>
          <w:highlight w:val="none"/>
          <w14:textFill>
            <w14:solidFill>
              <w14:schemeClr w14:val="tx1"/>
            </w14:solidFill>
          </w14:textFill>
        </w:rPr>
        <w:t>一般生态空间。</w:t>
      </w:r>
    </w:p>
    <w:p>
      <w:pPr>
        <w:keepNext/>
        <w:overflowPunct w:val="0"/>
        <w:adjustRightInd/>
        <w:snapToGrid/>
        <w:ind w:firstLine="0" w:firstLineChars="0"/>
        <w:jc w:val="center"/>
        <w:rPr>
          <w:color w:val="000000" w:themeColor="text1"/>
          <w:highlight w:val="none"/>
          <w14:textFill>
            <w14:solidFill>
              <w14:schemeClr w14:val="tx1"/>
            </w14:solidFill>
          </w14:textFill>
        </w:rPr>
      </w:pPr>
      <w:r>
        <w:rPr>
          <w:rFonts w:cs="Times New Roman"/>
          <w:b/>
          <w:color w:val="000000" w:themeColor="text1"/>
          <w:sz w:val="21"/>
          <w:szCs w:val="18"/>
          <w:highlight w:val="none"/>
          <w14:textFill>
            <w14:solidFill>
              <w14:schemeClr w14:val="tx1"/>
            </w14:solidFill>
          </w14:textFill>
        </w:rPr>
        <mc:AlternateContent>
          <mc:Choice Requires="wps">
            <w:drawing>
              <wp:anchor distT="0" distB="0" distL="114300" distR="114300" simplePos="0" relativeHeight="251704320" behindDoc="0" locked="0" layoutInCell="1" allowOverlap="1">
                <wp:simplePos x="0" y="0"/>
                <wp:positionH relativeFrom="column">
                  <wp:posOffset>895350</wp:posOffset>
                </wp:positionH>
                <wp:positionV relativeFrom="paragraph">
                  <wp:posOffset>887095</wp:posOffset>
                </wp:positionV>
                <wp:extent cx="1218565" cy="317500"/>
                <wp:effectExtent l="0" t="0" r="57785" b="520700"/>
                <wp:wrapNone/>
                <wp:docPr id="1709442434" name="对话气泡: 矩形 3"/>
                <wp:cNvGraphicFramePr/>
                <a:graphic xmlns:a="http://schemas.openxmlformats.org/drawingml/2006/main">
                  <a:graphicData uri="http://schemas.microsoft.com/office/word/2010/wordprocessingShape">
                    <wps:wsp>
                      <wps:cNvSpPr>
                        <a:spLocks noChangeArrowheads="1"/>
                      </wps:cNvSpPr>
                      <wps:spPr bwMode="auto">
                        <a:xfrm>
                          <a:off x="0" y="0"/>
                          <a:ext cx="1218565" cy="317500"/>
                        </a:xfrm>
                        <a:prstGeom prst="wedgeRectCallout">
                          <a:avLst>
                            <a:gd name="adj1" fmla="val 50157"/>
                            <a:gd name="adj2" fmla="val 191000"/>
                          </a:avLst>
                        </a:prstGeom>
                        <a:solidFill>
                          <a:srgbClr val="FFFFFF"/>
                        </a:solidFill>
                        <a:ln w="9525">
                          <a:solidFill>
                            <a:srgbClr val="000000"/>
                          </a:solidFill>
                          <a:miter lim="800000"/>
                        </a:ln>
                      </wps:spPr>
                      <wps:txbx>
                        <w:txbxContent>
                          <w:p>
                            <w:pPr>
                              <w:ind w:firstLine="0" w:firstLineChars="0"/>
                              <w:rPr>
                                <w:sz w:val="21"/>
                                <w:szCs w:val="20"/>
                              </w:rPr>
                            </w:pPr>
                            <w:r>
                              <w:rPr>
                                <w:rFonts w:hint="eastAsia"/>
                                <w:sz w:val="21"/>
                                <w:szCs w:val="20"/>
                              </w:rPr>
                              <w:t>本项目所在位置</w:t>
                            </w:r>
                          </w:p>
                        </w:txbxContent>
                      </wps:txbx>
                      <wps:bodyPr rot="0" vert="horz" wrap="square" lIns="91440" tIns="45720" rIns="91440" bIns="45720" anchor="t" anchorCtr="0" upright="1">
                        <a:noAutofit/>
                      </wps:bodyPr>
                    </wps:wsp>
                  </a:graphicData>
                </a:graphic>
              </wp:anchor>
            </w:drawing>
          </mc:Choice>
          <mc:Fallback>
            <w:pict>
              <v:shape id="对话气泡: 矩形 3" o:spid="_x0000_s1026" o:spt="61" type="#_x0000_t61" style="position:absolute;left:0pt;margin-left:70.5pt;margin-top:69.85pt;height:25pt;width:95.95pt;z-index:251704320;mso-width-relative:page;mso-height-relative:page;" fillcolor="#FFFFFF" filled="t" stroked="t" coordsize="21600,21600" o:gfxdata="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paBIRtQAAAALAQAADwAAAAAAAAABACAAAAAi&#10;AAAAZHJzL2Rvd25yZXYueG1sUEsBAhQAFAAAAAgAh07iQCVnwpiAAgAA7wQAAA4AAAAAAAAAAQAg&#10;AAAAIwEAAGRycy9lMm9Eb2MueG1sUEsFBgAAAAAGAAYAWQEAABUGAAAAAA==&#10;" adj="21634,52056">
                <v:fill on="t" focussize="0,0"/>
                <v:stroke color="#000000" miterlimit="8" joinstyle="miter"/>
                <v:imagedata o:title=""/>
                <o:lock v:ext="edit" aspectratio="f"/>
                <v:textbox>
                  <w:txbxContent>
                    <w:p>
                      <w:pPr>
                        <w:ind w:firstLine="0" w:firstLineChars="0"/>
                        <w:rPr>
                          <w:sz w:val="21"/>
                          <w:szCs w:val="20"/>
                        </w:rPr>
                      </w:pPr>
                      <w:r>
                        <w:rPr>
                          <w:rFonts w:hint="eastAsia"/>
                          <w:sz w:val="21"/>
                          <w:szCs w:val="20"/>
                        </w:rPr>
                        <w:t>本项目所在位置</w:t>
                      </w:r>
                    </w:p>
                  </w:txbxContent>
                </v:textbox>
              </v:shape>
            </w:pict>
          </mc:Fallback>
        </mc:AlternateContent>
      </w:r>
      <w:r>
        <w:rPr>
          <w:rFonts w:cs="Times New Roman"/>
          <w:b/>
          <w:color w:val="000000" w:themeColor="text1"/>
          <w:sz w:val="21"/>
          <w:szCs w:val="18"/>
          <w:highlight w:val="none"/>
          <w14:textFill>
            <w14:solidFill>
              <w14:schemeClr w14:val="tx1"/>
            </w14:solidFill>
          </w14:textFill>
        </w:rPr>
        <mc:AlternateContent>
          <mc:Choice Requires="wps">
            <w:drawing>
              <wp:anchor distT="0" distB="0" distL="114300" distR="114300" simplePos="0" relativeHeight="251705344" behindDoc="0" locked="0" layoutInCell="1" allowOverlap="1">
                <wp:simplePos x="0" y="0"/>
                <wp:positionH relativeFrom="column">
                  <wp:posOffset>2098040</wp:posOffset>
                </wp:positionH>
                <wp:positionV relativeFrom="paragraph">
                  <wp:posOffset>1635760</wp:posOffset>
                </wp:positionV>
                <wp:extent cx="45085" cy="45085"/>
                <wp:effectExtent l="0" t="0" r="12065" b="12065"/>
                <wp:wrapNone/>
                <wp:docPr id="1838163088" name="椭圆 2"/>
                <wp:cNvGraphicFramePr/>
                <a:graphic xmlns:a="http://schemas.openxmlformats.org/drawingml/2006/main">
                  <a:graphicData uri="http://schemas.microsoft.com/office/word/2010/wordprocessingShape">
                    <wps:wsp>
                      <wps:cNvSpPr>
                        <a:spLocks noChangeArrowheads="1"/>
                      </wps:cNvSpPr>
                      <wps:spPr bwMode="auto">
                        <a:xfrm>
                          <a:off x="0" y="0"/>
                          <a:ext cx="45085" cy="45085"/>
                        </a:xfrm>
                        <a:prstGeom prst="ellipse">
                          <a:avLst/>
                        </a:prstGeom>
                        <a:solidFill>
                          <a:srgbClr val="FF0000"/>
                        </a:solidFill>
                        <a:ln w="9525">
                          <a:solidFill>
                            <a:srgbClr val="FF0000"/>
                          </a:solidFill>
                          <a:round/>
                        </a:ln>
                      </wps:spPr>
                      <wps:bodyPr rot="0" vert="horz" wrap="square" lIns="91440" tIns="45720" rIns="91440" bIns="45720" anchor="t" anchorCtr="0" upright="1">
                        <a:noAutofit/>
                      </wps:bodyPr>
                    </wps:wsp>
                  </a:graphicData>
                </a:graphic>
              </wp:anchor>
            </w:drawing>
          </mc:Choice>
          <mc:Fallback>
            <w:pict>
              <v:shape id="椭圆 2" o:spid="_x0000_s1026" o:spt="3" type="#_x0000_t3" style="position:absolute;left:0pt;margin-left:165.2pt;margin-top:128.8pt;height:3.55pt;width:3.55pt;z-index:251705344;mso-width-relative:page;mso-height-relative:page;" fillcolor="#FF0000" filled="t" stroked="t" coordsize="21600,21600" o:gfxdata="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QHFlj2QAAAAsBAAAPAAAAAAAAAAEAIAAAACIAAABkcnMvZG93bnJldi54bWxQ&#10;SwECFAAUAAAACACHTuJAcXOxcC8CAABrBAAADgAAAAAAAAABACAAAAAoAQAAZHJzL2Uyb0RvYy54&#10;bWxQSwUGAAAAAAYABgBZAQAAyQUAAAAA&#10;">
                <v:fill on="t" focussize="0,0"/>
                <v:stroke color="#FF0000" joinstyle="round"/>
                <v:imagedata o:title=""/>
                <o:lock v:ext="edit" aspectratio="f"/>
              </v:shape>
            </w:pict>
          </mc:Fallback>
        </mc:AlternateContent>
      </w:r>
      <w:r>
        <w:rPr>
          <w:rFonts w:hint="eastAsia" w:ascii="Arial" w:hAnsi="Arial" w:cs="Arial"/>
          <w:b/>
          <w:bCs/>
          <w:color w:val="000000" w:themeColor="text1"/>
          <w:szCs w:val="24"/>
          <w:highlight w:val="none"/>
          <w14:textFill>
            <w14:solidFill>
              <w14:schemeClr w14:val="tx1"/>
            </w14:solidFill>
          </w14:textFill>
        </w:rPr>
        <w:drawing>
          <wp:inline distT="0" distB="0" distL="114300" distR="114300">
            <wp:extent cx="4413885" cy="3131820"/>
            <wp:effectExtent l="0" t="0" r="5715" b="11430"/>
            <wp:docPr id="45" name="图片 45" descr="达州市一般生态空间分布图（调整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达州市一般生态空间分布图（调整后）"/>
                    <pic:cNvPicPr>
                      <a:picLocks noChangeAspect="1"/>
                    </pic:cNvPicPr>
                  </pic:nvPicPr>
                  <pic:blipFill>
                    <a:blip r:embed="rId31"/>
                    <a:stretch>
                      <a:fillRect/>
                    </a:stretch>
                  </pic:blipFill>
                  <pic:spPr>
                    <a:xfrm>
                      <a:off x="0" y="0"/>
                      <a:ext cx="4413885" cy="3131820"/>
                    </a:xfrm>
                    <a:prstGeom prst="rect">
                      <a:avLst/>
                    </a:prstGeom>
                  </pic:spPr>
                </pic:pic>
              </a:graphicData>
            </a:graphic>
          </wp:inline>
        </w:drawing>
      </w:r>
    </w:p>
    <w:p>
      <w:pPr>
        <w:pStyle w:val="14"/>
        <w:rPr>
          <w:rFonts w:ascii="Arial" w:hAnsi="Arial" w:cs="Arial"/>
          <w:b/>
          <w:bCs/>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本项目与达州市生态空间的相对位置关系示意图</w:t>
      </w:r>
    </w:p>
    <w:p>
      <w:pPr>
        <w:overflowPunct w:val="0"/>
        <w:adjustRightInd/>
        <w:snapToGrid/>
        <w:ind w:firstLine="0" w:firstLineChars="0"/>
        <w:rPr>
          <w:rFonts w:cs="Times New Roman"/>
          <w:b/>
          <w:bCs/>
          <w:color w:val="000000" w:themeColor="text1"/>
          <w:kern w:val="21"/>
          <w:szCs w:val="24"/>
          <w:highlight w:val="none"/>
          <w:lang w:bidi="ar"/>
          <w14:textFill>
            <w14:solidFill>
              <w14:schemeClr w14:val="tx1"/>
            </w14:solidFill>
          </w14:textFill>
        </w:rPr>
      </w:pPr>
      <w:r>
        <w:rPr>
          <w:rFonts w:hint="eastAsia" w:cs="Times New Roman"/>
          <w:b/>
          <w:bCs/>
          <w:color w:val="000000" w:themeColor="text1"/>
          <w:kern w:val="21"/>
          <w:szCs w:val="24"/>
          <w:highlight w:val="none"/>
          <w:lang w:bidi="ar"/>
          <w14:textFill>
            <w14:solidFill>
              <w14:schemeClr w14:val="tx1"/>
            </w14:solidFill>
          </w14:textFill>
        </w:rPr>
        <w:t>（二）管控要求符合性分析</w:t>
      </w:r>
    </w:p>
    <w:p>
      <w:pPr>
        <w:overflowPunct w:val="0"/>
        <w:adjustRightInd/>
        <w:snapToGrid/>
        <w:ind w:firstLine="0" w:firstLineChars="0"/>
        <w:rPr>
          <w:rFonts w:cs="Times New Roman"/>
          <w:b/>
          <w:bCs/>
          <w:color w:val="000000" w:themeColor="text1"/>
          <w:kern w:val="21"/>
          <w:szCs w:val="24"/>
          <w:highlight w:val="none"/>
          <w14:textFill>
            <w14:solidFill>
              <w14:schemeClr w14:val="tx1"/>
            </w14:solidFill>
          </w14:textFill>
        </w:rPr>
      </w:pPr>
      <w:r>
        <w:rPr>
          <w:rFonts w:hint="eastAsia" w:cs="Times New Roman"/>
          <w:b/>
          <w:bCs/>
          <w:color w:val="000000" w:themeColor="text1"/>
          <w:kern w:val="21"/>
          <w:szCs w:val="24"/>
          <w:highlight w:val="none"/>
          <w14:textFill>
            <w14:solidFill>
              <w14:schemeClr w14:val="tx1"/>
            </w14:solidFill>
          </w14:textFill>
        </w:rPr>
        <w:t>1、与“三线一单”相关要求符合性分析</w:t>
      </w:r>
    </w:p>
    <w:p>
      <w:pPr>
        <w:pStyle w:val="153"/>
        <w:ind w:firstLine="480"/>
        <w:rPr>
          <w:color w:val="000000" w:themeColor="text1"/>
          <w:kern w:val="0"/>
          <w:highlight w:val="none"/>
          <w14:textFill>
            <w14:solidFill>
              <w14:schemeClr w14:val="tx1"/>
            </w14:solidFill>
          </w14:textFill>
        </w:rPr>
      </w:pPr>
      <w:r>
        <w:rPr>
          <w:rFonts w:hint="eastAsia"/>
          <w:color w:val="000000" w:themeColor="text1"/>
          <w:highlight w:val="none"/>
          <w14:textFill>
            <w14:solidFill>
              <w14:schemeClr w14:val="tx1"/>
            </w14:solidFill>
          </w14:textFill>
        </w:rPr>
        <w:t>结合《项目环评“三线一单”符合性分析技术要点（试行）》（川环办函〔2021〕469号）表1，本项目与“三线一单”相关要求的符合性分析如下：</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rFonts w:hint="eastAsia"/>
          <w:color w:val="000000" w:themeColor="text1"/>
          <w:highlight w:val="none"/>
          <w:lang w:val="en-US" w:eastAsia="zh-CN"/>
          <w14:textFill>
            <w14:solidFill>
              <w14:schemeClr w14:val="tx1"/>
            </w14:solidFill>
          </w14:textFill>
        </w:rPr>
        <w:t>8</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本项目与“三线一单”相关要求的符合性分析</w:t>
      </w:r>
    </w:p>
    <w:tbl>
      <w:tblPr>
        <w:tblStyle w:val="41"/>
        <w:tblW w:w="49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5"/>
        <w:gridCol w:w="477"/>
        <w:gridCol w:w="418"/>
        <w:gridCol w:w="4547"/>
        <w:gridCol w:w="1462"/>
        <w:gridCol w:w="10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661" w:type="dxa"/>
            <w:gridSpan w:val="4"/>
            <w:vAlign w:val="center"/>
          </w:tcPr>
          <w:p>
            <w:pPr>
              <w:overflowPunct w:val="0"/>
              <w:adjustRightInd/>
              <w:snapToGrid/>
              <w:spacing w:line="240" w:lineRule="auto"/>
              <w:ind w:firstLine="0" w:firstLineChars="0"/>
              <w:jc w:val="center"/>
              <w:rPr>
                <w:rFonts w:cs="Times New Roman"/>
                <w:b/>
                <w:bCs/>
                <w:color w:val="000000" w:themeColor="text1"/>
                <w:sz w:val="20"/>
                <w:szCs w:val="20"/>
                <w:highlight w:val="none"/>
                <w:lang w:bidi="zh-CN"/>
                <w14:textFill>
                  <w14:solidFill>
                    <w14:schemeClr w14:val="tx1"/>
                  </w14:solidFill>
                </w14:textFill>
              </w:rPr>
            </w:pPr>
            <w:r>
              <w:rPr>
                <w:rFonts w:cs="Times New Roman"/>
                <w:b/>
                <w:bCs/>
                <w:color w:val="000000" w:themeColor="text1"/>
                <w:sz w:val="20"/>
                <w:szCs w:val="20"/>
                <w:highlight w:val="none"/>
                <w:lang w:bidi="zh-CN"/>
                <w14:textFill>
                  <w14:solidFill>
                    <w14:schemeClr w14:val="tx1"/>
                  </w14:solidFill>
                </w14:textFill>
              </w:rPr>
              <w:t>“三线一单”的具体要求</w:t>
            </w:r>
          </w:p>
        </w:tc>
        <w:tc>
          <w:tcPr>
            <w:tcW w:w="1422" w:type="dxa"/>
            <w:vMerge w:val="restart"/>
            <w:vAlign w:val="center"/>
          </w:tcPr>
          <w:p>
            <w:pPr>
              <w:overflowPunct w:val="0"/>
              <w:adjustRightInd/>
              <w:snapToGrid/>
              <w:spacing w:line="240" w:lineRule="auto"/>
              <w:ind w:firstLine="0" w:firstLineChars="0"/>
              <w:jc w:val="center"/>
              <w:rPr>
                <w:rFonts w:cs="Times New Roman"/>
                <w:b/>
                <w:bCs/>
                <w:color w:val="000000" w:themeColor="text1"/>
                <w:sz w:val="20"/>
                <w:szCs w:val="20"/>
                <w:highlight w:val="none"/>
                <w:lang w:bidi="zh-CN"/>
                <w14:textFill>
                  <w14:solidFill>
                    <w14:schemeClr w14:val="tx1"/>
                  </w14:solidFill>
                </w14:textFill>
              </w:rPr>
            </w:pPr>
            <w:r>
              <w:rPr>
                <w:rFonts w:cs="Times New Roman"/>
                <w:b/>
                <w:bCs/>
                <w:color w:val="000000" w:themeColor="text1"/>
                <w:sz w:val="20"/>
                <w:szCs w:val="20"/>
                <w:highlight w:val="none"/>
                <w:lang w:bidi="zh-CN"/>
                <w14:textFill>
                  <w14:solidFill>
                    <w14:schemeClr w14:val="tx1"/>
                  </w14:solidFill>
                </w14:textFill>
              </w:rPr>
              <w:t>项目对应情况介绍</w:t>
            </w:r>
          </w:p>
        </w:tc>
        <w:tc>
          <w:tcPr>
            <w:tcW w:w="1047" w:type="dxa"/>
            <w:vMerge w:val="restart"/>
            <w:vAlign w:val="center"/>
          </w:tcPr>
          <w:p>
            <w:pPr>
              <w:overflowPunct w:val="0"/>
              <w:adjustRightInd/>
              <w:snapToGrid/>
              <w:spacing w:line="240" w:lineRule="auto"/>
              <w:ind w:firstLine="0" w:firstLineChars="0"/>
              <w:jc w:val="center"/>
              <w:rPr>
                <w:rFonts w:cs="Times New Roman"/>
                <w:b/>
                <w:bCs/>
                <w:color w:val="000000" w:themeColor="text1"/>
                <w:sz w:val="20"/>
                <w:szCs w:val="20"/>
                <w:highlight w:val="none"/>
                <w:lang w:bidi="zh-CN"/>
                <w14:textFill>
                  <w14:solidFill>
                    <w14:schemeClr w14:val="tx1"/>
                  </w14:solidFill>
                </w14:textFill>
              </w:rPr>
            </w:pPr>
            <w:r>
              <w:rPr>
                <w:rFonts w:cs="Times New Roman"/>
                <w:b/>
                <w:bCs/>
                <w:color w:val="000000" w:themeColor="text1"/>
                <w:sz w:val="20"/>
                <w:szCs w:val="20"/>
                <w:highlight w:val="none"/>
                <w:lang w:bidi="zh-CN"/>
                <w14:textFill>
                  <w14:solidFill>
                    <w14:schemeClr w14:val="tx1"/>
                  </w14:solidFill>
                </w14:textFill>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36" w:type="dxa"/>
            <w:gridSpan w:val="3"/>
            <w:vAlign w:val="center"/>
          </w:tcPr>
          <w:p>
            <w:pPr>
              <w:overflowPunct w:val="0"/>
              <w:adjustRightInd/>
              <w:snapToGrid/>
              <w:spacing w:line="240" w:lineRule="auto"/>
              <w:ind w:firstLine="0" w:firstLineChars="0"/>
              <w:jc w:val="center"/>
              <w:rPr>
                <w:rFonts w:cs="Times New Roman"/>
                <w:b/>
                <w:bCs/>
                <w:color w:val="000000" w:themeColor="text1"/>
                <w:sz w:val="20"/>
                <w:szCs w:val="20"/>
                <w:highlight w:val="none"/>
                <w:lang w:bidi="zh-CN"/>
                <w14:textFill>
                  <w14:solidFill>
                    <w14:schemeClr w14:val="tx1"/>
                  </w14:solidFill>
                </w14:textFill>
              </w:rPr>
            </w:pPr>
            <w:r>
              <w:rPr>
                <w:rFonts w:cs="Times New Roman"/>
                <w:b/>
                <w:bCs/>
                <w:color w:val="000000" w:themeColor="text1"/>
                <w:sz w:val="20"/>
                <w:szCs w:val="20"/>
                <w:highlight w:val="none"/>
                <w:lang w:bidi="zh-CN"/>
                <w14:textFill>
                  <w14:solidFill>
                    <w14:schemeClr w14:val="tx1"/>
                  </w14:solidFill>
                </w14:textFill>
              </w:rPr>
              <w:t>类别</w:t>
            </w:r>
          </w:p>
        </w:tc>
        <w:tc>
          <w:tcPr>
            <w:tcW w:w="4425" w:type="dxa"/>
            <w:vAlign w:val="center"/>
          </w:tcPr>
          <w:p>
            <w:pPr>
              <w:overflowPunct w:val="0"/>
              <w:adjustRightInd/>
              <w:snapToGrid/>
              <w:spacing w:line="240" w:lineRule="auto"/>
              <w:ind w:firstLine="0" w:firstLineChars="0"/>
              <w:jc w:val="center"/>
              <w:rPr>
                <w:rFonts w:cs="Times New Roman"/>
                <w:b/>
                <w:bCs/>
                <w:color w:val="000000" w:themeColor="text1"/>
                <w:sz w:val="20"/>
                <w:szCs w:val="20"/>
                <w:highlight w:val="none"/>
                <w:lang w:bidi="zh-CN"/>
                <w14:textFill>
                  <w14:solidFill>
                    <w14:schemeClr w14:val="tx1"/>
                  </w14:solidFill>
                </w14:textFill>
              </w:rPr>
            </w:pPr>
            <w:r>
              <w:rPr>
                <w:rFonts w:cs="Times New Roman"/>
                <w:b/>
                <w:bCs/>
                <w:color w:val="000000" w:themeColor="text1"/>
                <w:sz w:val="20"/>
                <w:szCs w:val="20"/>
                <w:highlight w:val="none"/>
                <w:lang w:bidi="zh-CN"/>
                <w14:textFill>
                  <w14:solidFill>
                    <w14:schemeClr w14:val="tx1"/>
                  </w14:solidFill>
                </w14:textFill>
              </w:rPr>
              <w:t>对应管控要求</w:t>
            </w:r>
          </w:p>
        </w:tc>
        <w:tc>
          <w:tcPr>
            <w:tcW w:w="1422" w:type="dxa"/>
            <w:vMerge w:val="continue"/>
            <w:vAlign w:val="center"/>
          </w:tcPr>
          <w:p>
            <w:pPr>
              <w:overflowPunct w:val="0"/>
              <w:adjustRightInd/>
              <w:snapToGrid/>
              <w:spacing w:line="240" w:lineRule="auto"/>
              <w:ind w:firstLine="0" w:firstLineChars="0"/>
              <w:rPr>
                <w:rFonts w:cs="Times New Roman"/>
                <w:b/>
                <w:bCs/>
                <w:color w:val="000000" w:themeColor="text1"/>
                <w:sz w:val="20"/>
                <w:szCs w:val="20"/>
                <w:highlight w:val="none"/>
                <w:lang w:bidi="zh-CN"/>
                <w14:textFill>
                  <w14:solidFill>
                    <w14:schemeClr w14:val="tx1"/>
                  </w14:solidFill>
                </w14:textFill>
              </w:rPr>
            </w:pPr>
          </w:p>
        </w:tc>
        <w:tc>
          <w:tcPr>
            <w:tcW w:w="1047" w:type="dxa"/>
            <w:vMerge w:val="continue"/>
            <w:vAlign w:val="center"/>
          </w:tcPr>
          <w:p>
            <w:pPr>
              <w:overflowPunct w:val="0"/>
              <w:adjustRightInd/>
              <w:snapToGrid/>
              <w:spacing w:line="240" w:lineRule="auto"/>
              <w:ind w:firstLine="0" w:firstLineChars="0"/>
              <w:rPr>
                <w:rFonts w:cs="Times New Roman"/>
                <w:b/>
                <w:bCs/>
                <w:color w:val="000000" w:themeColor="text1"/>
                <w:sz w:val="20"/>
                <w:szCs w:val="20"/>
                <w:highlight w:val="none"/>
                <w:lang w:bidi="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5" w:type="dxa"/>
            <w:vMerge w:val="restart"/>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val="zh-CN"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val="zh-CN"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val="zh-CN"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val="zh-CN"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val="zh-CN"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val="zh-CN"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val="zh-CN"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val="zh-CN"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val="zh-CN"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val="zh-CN"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val="zh-CN"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val="zh-CN"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val="zh-CN"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val="zh-CN"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val="zh-CN"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val="zh-CN"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val="zh-CN"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val="zh-CN"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val="zh-CN"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val="zh-CN"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val="zh-CN"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val="zh-CN"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val="zh-CN"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val="zh-CN"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val="zh-CN"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val="zh-CN"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val="zh-CN"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val="zh-CN"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val="zh-CN"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val="zh-CN"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sz w:val="20"/>
                <w:szCs w:val="20"/>
                <w:highlight w:val="none"/>
                <w14:textFill>
                  <w14:solidFill>
                    <w14:schemeClr w14:val="tx1"/>
                  </w14:solidFill>
                </w14:textFill>
              </w:rPr>
              <w:t>宣汉县一般管控单元ZH51172230001</w:t>
            </w:r>
          </w:p>
        </w:tc>
        <w:tc>
          <w:tcPr>
            <w:tcW w:w="464" w:type="dxa"/>
            <w:vMerge w:val="restart"/>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sz w:val="20"/>
                <w:szCs w:val="20"/>
                <w:highlight w:val="none"/>
                <w:lang w:bidi="zh-CN"/>
                <w14:textFill>
                  <w14:solidFill>
                    <w14:schemeClr w14:val="tx1"/>
                  </w14:solidFill>
                </w14:textFill>
              </w:rPr>
              <w:t>普适性清单管控要求</w:t>
            </w:r>
          </w:p>
        </w:tc>
        <w:tc>
          <w:tcPr>
            <w:tcW w:w="407"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sz w:val="20"/>
                <w:szCs w:val="20"/>
                <w:highlight w:val="none"/>
                <w:lang w:bidi="zh-CN"/>
                <w14:textFill>
                  <w14:solidFill>
                    <w14:schemeClr w14:val="tx1"/>
                  </w14:solidFill>
                </w14:textFill>
              </w:rPr>
              <w:t>空间布局约束</w:t>
            </w:r>
          </w:p>
        </w:tc>
        <w:tc>
          <w:tcPr>
            <w:tcW w:w="4425" w:type="dxa"/>
            <w:vAlign w:val="center"/>
          </w:tcPr>
          <w:p>
            <w:pPr>
              <w:overflowPunct w:val="0"/>
              <w:adjustRightInd/>
              <w:snapToGrid/>
              <w:spacing w:line="240" w:lineRule="auto"/>
              <w:ind w:firstLine="0" w:firstLineChars="0"/>
              <w:rPr>
                <w:rFonts w:cs="Times New Roman"/>
                <w:b/>
                <w:bCs/>
                <w:color w:val="000000" w:themeColor="text1"/>
                <w:kern w:val="21"/>
                <w:sz w:val="20"/>
                <w:szCs w:val="20"/>
                <w:highlight w:val="none"/>
                <w14:textFill>
                  <w14:solidFill>
                    <w14:schemeClr w14:val="tx1"/>
                  </w14:solidFill>
                </w14:textFill>
              </w:rPr>
            </w:pPr>
            <w:r>
              <w:rPr>
                <w:rFonts w:cs="Times New Roman"/>
                <w:b/>
                <w:bCs/>
                <w:color w:val="000000" w:themeColor="text1"/>
                <w:kern w:val="21"/>
                <w:sz w:val="20"/>
                <w:szCs w:val="20"/>
                <w:highlight w:val="none"/>
                <w14:textFill>
                  <w14:solidFill>
                    <w14:schemeClr w14:val="tx1"/>
                  </w14:solidFill>
                </w14:textFill>
              </w:rPr>
              <w:t>一、空间布局约束</w:t>
            </w:r>
          </w:p>
          <w:p>
            <w:pPr>
              <w:overflowPunct w:val="0"/>
              <w:adjustRightInd/>
              <w:snapToGrid/>
              <w:spacing w:line="240" w:lineRule="auto"/>
              <w:ind w:firstLine="0" w:firstLineChars="0"/>
              <w:rPr>
                <w:rFonts w:cs="Times New Roman"/>
                <w:b/>
                <w:bCs/>
                <w:color w:val="000000" w:themeColor="text1"/>
                <w:kern w:val="21"/>
                <w:sz w:val="20"/>
                <w:szCs w:val="20"/>
                <w:highlight w:val="none"/>
                <w14:textFill>
                  <w14:solidFill>
                    <w14:schemeClr w14:val="tx1"/>
                  </w14:solidFill>
                </w14:textFill>
              </w:rPr>
            </w:pPr>
            <w:r>
              <w:rPr>
                <w:rFonts w:cs="Times New Roman"/>
                <w:b/>
                <w:bCs/>
                <w:color w:val="000000" w:themeColor="text1"/>
                <w:kern w:val="21"/>
                <w:sz w:val="20"/>
                <w:szCs w:val="20"/>
                <w:highlight w:val="none"/>
                <w14:textFill>
                  <w14:solidFill>
                    <w14:schemeClr w14:val="tx1"/>
                  </w14:solidFill>
                </w14:textFill>
              </w:rPr>
              <w:t>1.禁止开发建设活动的要求</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-禁止在长江干支流1公里范围内新建、扩建化工园区和化工项目。</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-禁止在法律法规规定的禁采区内新建矿山；禁止土法采、选、冶严重污染环境的矿产资源。</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-涉及永久基本农田的区域，除法律规定的重点建设项目选址确实无法避让外，其他任何建设不得占用。</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-禁止在长江流域河湖管理范围内倾倒、填埋、堆放、弃置、处理固体废物。</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-禁止在永久基本农田集中区域和其他需要特别保护的区域选址建设尾矿库、冶炼渣库、磷石膏库。</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-禁止在长江干流岸线三公里范围内和重要支流岸线一公里范围内新建、改建、扩建尾矿库、冶炼渣库、磷石膏库，以提升安全、生态环境保护水平为目的的改建除外。</w:t>
            </w:r>
          </w:p>
          <w:p>
            <w:pPr>
              <w:overflowPunct w:val="0"/>
              <w:adjustRightInd/>
              <w:snapToGrid/>
              <w:spacing w:line="240" w:lineRule="auto"/>
              <w:ind w:firstLine="0" w:firstLineChars="0"/>
              <w:rPr>
                <w:rFonts w:cs="Times New Roman"/>
                <w:b/>
                <w:bCs/>
                <w:color w:val="000000" w:themeColor="text1"/>
                <w:kern w:val="21"/>
                <w:sz w:val="20"/>
                <w:szCs w:val="20"/>
                <w:highlight w:val="none"/>
                <w14:textFill>
                  <w14:solidFill>
                    <w14:schemeClr w14:val="tx1"/>
                  </w14:solidFill>
                </w14:textFill>
              </w:rPr>
            </w:pPr>
            <w:r>
              <w:rPr>
                <w:rFonts w:cs="Times New Roman"/>
                <w:b/>
                <w:bCs/>
                <w:color w:val="000000" w:themeColor="text1"/>
                <w:kern w:val="21"/>
                <w:sz w:val="20"/>
                <w:szCs w:val="20"/>
                <w:highlight w:val="none"/>
                <w14:textFill>
                  <w14:solidFill>
                    <w14:schemeClr w14:val="tx1"/>
                  </w14:solidFill>
                </w14:textFill>
              </w:rPr>
              <w:t>2.限制开发建设活动的要求</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-按照相关要求严控水泥新增产能。</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-涉及法定保护地，严格按照国家及地方法律法规、管理办法等相关要求进行控制。配套旅游、基础设施等建设项目，在符合规划和相关保护要求的前提下，应实施生态避让、减缓影响及生态恢复措施。</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按照相关要求严控水泥新增产能。</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大气环境布局敏感重点管控区：（1）坚决遏制高耗能、高排放、低水平项目盲目发展，严格落实国家和四川省产业规划、产业政策、规划环评，以及产能置换、煤炭消费减量替代、区域污染物削减等要求，坚决叫停不符合要求的高耗能、高排放、低水平项目。（2）提升高耗能项目能耗准入标准，能耗、物耗要达到清洁生产先进水平。严禁新增钢铁、焦化、炼油、电解铝、水泥、平板玻璃（不含光伏玻璃）等产能。</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大气弱扩散重点管控区：强化落后产能退出机制，对能耗、环保、安全、技术达不到标准，生产不合格或淘汰类产品的企业和产能，依法予以关闭淘汰，推动重污染企业搬迁入园或依法关闭。对长江及重要支流沿线存在重大环境安全隐患的生产企业，加快推进就地改造异地迁建、关闭退出。开展差别化环境管理，对能耗、物耗、污染物排放等指标提出最严格管控要求，倒逼竞争乏力的产能退出。支持现有钢铁、水泥、焦化等废气排放量大的产业向有刚性需求、具有资源优势、环境容量允许的地区转移布局。</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hint="eastAsia" w:cs="Times New Roman"/>
                <w:color w:val="000000" w:themeColor="text1"/>
                <w:kern w:val="21"/>
                <w:sz w:val="20"/>
                <w:szCs w:val="20"/>
                <w:highlight w:val="none"/>
                <w14:textFill>
                  <w14:solidFill>
                    <w14:schemeClr w14:val="tx1"/>
                  </w14:solidFill>
                </w14:textFill>
              </w:rPr>
              <w:t>一水</w:t>
            </w:r>
            <w:r>
              <w:rPr>
                <w:rFonts w:cs="Times New Roman"/>
                <w:color w:val="000000" w:themeColor="text1"/>
                <w:kern w:val="21"/>
                <w:sz w:val="20"/>
                <w:szCs w:val="20"/>
                <w:highlight w:val="none"/>
                <w14:textFill>
                  <w14:solidFill>
                    <w14:schemeClr w14:val="tx1"/>
                  </w14:solidFill>
                </w14:textFill>
              </w:rPr>
              <w:t>环境农业污染重点管控区：（1）稳步推进建制镇污水处理设施建设，适当预留发展空间，宜集中则集中，宜分散则分散。农村生活污水处理设施排水执行《农村生活污水处理设施水污染物排放标准》（DB 51 2626-2019）要求。（2）深入推进化肥减量增效。鼓励以循环利用与生态净化相结合的方式控制种植业污染，农企合作推进测土配方施肥。</w:t>
            </w:r>
          </w:p>
          <w:p>
            <w:pPr>
              <w:overflowPunct w:val="0"/>
              <w:adjustRightInd/>
              <w:snapToGrid/>
              <w:spacing w:line="240" w:lineRule="auto"/>
              <w:ind w:firstLine="0" w:firstLineChars="0"/>
              <w:rPr>
                <w:rFonts w:cs="Times New Roman"/>
                <w:b/>
                <w:bCs/>
                <w:color w:val="000000" w:themeColor="text1"/>
                <w:kern w:val="21"/>
                <w:sz w:val="20"/>
                <w:szCs w:val="20"/>
                <w:highlight w:val="none"/>
                <w14:textFill>
                  <w14:solidFill>
                    <w14:schemeClr w14:val="tx1"/>
                  </w14:solidFill>
                </w14:textFill>
              </w:rPr>
            </w:pPr>
            <w:r>
              <w:rPr>
                <w:rFonts w:cs="Times New Roman"/>
                <w:b/>
                <w:bCs/>
                <w:color w:val="000000" w:themeColor="text1"/>
                <w:kern w:val="21"/>
                <w:sz w:val="20"/>
                <w:szCs w:val="20"/>
                <w:highlight w:val="none"/>
                <w14:textFill>
                  <w14:solidFill>
                    <w14:schemeClr w14:val="tx1"/>
                  </w14:solidFill>
                </w14:textFill>
              </w:rPr>
              <w:t>3.不符合空间布局要求活动的退出要求：</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针对现有水泥企业，强化污染治理和污染物减排，依法依规整治或搬迁。</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全面取缔禁养区内规模化畜禽养殖场。</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2025年基本完成全域内“散乱污”企业整治工作。</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在全市范围深入开展集中整治“散乱污”工业企业，对不符合产业政策和规划布局的，一律责令停产、限期搬迁或关停；</w:t>
            </w:r>
          </w:p>
          <w:p>
            <w:pPr>
              <w:overflowPunct w:val="0"/>
              <w:adjustRightInd/>
              <w:snapToGrid/>
              <w:spacing w:line="240" w:lineRule="auto"/>
              <w:ind w:firstLine="0" w:firstLineChars="0"/>
              <w:rPr>
                <w:rFonts w:cs="Times New Roman"/>
                <w:b/>
                <w:bCs/>
                <w:color w:val="000000" w:themeColor="text1"/>
                <w:kern w:val="21"/>
                <w:sz w:val="20"/>
                <w:szCs w:val="20"/>
                <w:highlight w:val="none"/>
                <w14:textFill>
                  <w14:solidFill>
                    <w14:schemeClr w14:val="tx1"/>
                  </w14:solidFill>
                </w14:textFill>
              </w:rPr>
            </w:pPr>
            <w:r>
              <w:rPr>
                <w:rFonts w:cs="Times New Roman"/>
                <w:b/>
                <w:bCs/>
                <w:color w:val="000000" w:themeColor="text1"/>
                <w:kern w:val="21"/>
                <w:sz w:val="20"/>
                <w:szCs w:val="20"/>
                <w:highlight w:val="none"/>
                <w14:textFill>
                  <w14:solidFill>
                    <w14:schemeClr w14:val="tx1"/>
                  </w14:solidFill>
                </w14:textFill>
              </w:rPr>
              <w:t>4.其他空间布局约束要求</w:t>
            </w:r>
          </w:p>
          <w:p>
            <w:pPr>
              <w:overflowPunct w:val="0"/>
              <w:adjustRightInd/>
              <w:snapToGrid/>
              <w:spacing w:line="240" w:lineRule="auto"/>
              <w:ind w:firstLine="0" w:firstLineChars="0"/>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新建矿山全部达到绿色矿山建设要求，生产矿山加快改造升级，逐步达到要求。</w:t>
            </w:r>
          </w:p>
        </w:tc>
        <w:tc>
          <w:tcPr>
            <w:tcW w:w="1422" w:type="dxa"/>
            <w:vAlign w:val="center"/>
          </w:tcPr>
          <w:p>
            <w:pPr>
              <w:overflowPunct w:val="0"/>
              <w:adjustRightInd/>
              <w:snapToGrid/>
              <w:spacing w:line="240" w:lineRule="auto"/>
              <w:ind w:firstLine="0" w:firstLineChars="0"/>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本项目为天然气试采工程，</w:t>
            </w:r>
            <w:r>
              <w:rPr>
                <w:rFonts w:cs="Times New Roman"/>
                <w:color w:val="000000" w:themeColor="text1"/>
                <w:kern w:val="21"/>
                <w:sz w:val="20"/>
                <w:szCs w:val="20"/>
                <w:highlight w:val="none"/>
                <w:lang w:bidi="ar"/>
                <w14:textFill>
                  <w14:solidFill>
                    <w14:schemeClr w14:val="tx1"/>
                  </w14:solidFill>
                </w14:textFill>
              </w:rPr>
              <w:t>项目</w:t>
            </w:r>
            <w:r>
              <w:rPr>
                <w:rFonts w:cs="Times New Roman"/>
                <w:color w:val="000000" w:themeColor="text1"/>
                <w:kern w:val="21"/>
                <w:sz w:val="20"/>
                <w:szCs w:val="20"/>
                <w:highlight w:val="none"/>
                <w14:textFill>
                  <w14:solidFill>
                    <w14:schemeClr w14:val="tx1"/>
                  </w14:solidFill>
                </w14:textFill>
              </w:rPr>
              <w:t>不属于</w:t>
            </w:r>
            <w:r>
              <w:rPr>
                <w:rFonts w:hint="eastAsia" w:cs="Times New Roman"/>
                <w:color w:val="000000" w:themeColor="text1"/>
                <w:kern w:val="21"/>
                <w:sz w:val="20"/>
                <w:szCs w:val="20"/>
                <w:highlight w:val="none"/>
                <w14:textFill>
                  <w14:solidFill>
                    <w14:schemeClr w14:val="tx1"/>
                  </w14:solidFill>
                </w14:textFill>
              </w:rPr>
              <w:t>宣汉县一般</w:t>
            </w:r>
            <w:r>
              <w:rPr>
                <w:rFonts w:cs="Times New Roman"/>
                <w:color w:val="000000" w:themeColor="text1"/>
                <w:kern w:val="21"/>
                <w:sz w:val="20"/>
                <w:szCs w:val="20"/>
                <w:highlight w:val="none"/>
                <w14:textFill>
                  <w14:solidFill>
                    <w14:schemeClr w14:val="tx1"/>
                  </w14:solidFill>
                </w14:textFill>
              </w:rPr>
              <w:t>管控单元中禁止、限制建设活动</w:t>
            </w:r>
            <w:r>
              <w:rPr>
                <w:rFonts w:hint="eastAsia" w:cs="Times New Roman"/>
                <w:color w:val="000000" w:themeColor="text1"/>
                <w:kern w:val="21"/>
                <w:sz w:val="20"/>
                <w:szCs w:val="20"/>
                <w:highlight w:val="none"/>
                <w14:textFill>
                  <w14:solidFill>
                    <w14:schemeClr w14:val="tx1"/>
                  </w14:solidFill>
                </w14:textFill>
              </w:rPr>
              <w:t>。本项目属于重点建设项目，选址、选线无法避让基本农田</w:t>
            </w:r>
            <w:r>
              <w:rPr>
                <w:rFonts w:cs="Times New Roman"/>
                <w:color w:val="000000" w:themeColor="text1"/>
                <w:kern w:val="21"/>
                <w:sz w:val="20"/>
                <w:szCs w:val="20"/>
                <w:highlight w:val="none"/>
                <w14:textFill>
                  <w14:solidFill>
                    <w14:schemeClr w14:val="tx1"/>
                  </w14:solidFill>
                </w14:textFill>
              </w:rPr>
              <w:t>。</w:t>
            </w:r>
          </w:p>
        </w:tc>
        <w:tc>
          <w:tcPr>
            <w:tcW w:w="1047"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sz w:val="20"/>
                <w:szCs w:val="20"/>
                <w:highlight w:val="none"/>
                <w:lang w:bidi="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5" w:type="dxa"/>
            <w:vMerge w:val="continue"/>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tc>
        <w:tc>
          <w:tcPr>
            <w:tcW w:w="464" w:type="dxa"/>
            <w:vMerge w:val="continue"/>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tc>
        <w:tc>
          <w:tcPr>
            <w:tcW w:w="407"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sz w:val="20"/>
                <w:szCs w:val="20"/>
                <w:highlight w:val="none"/>
                <w:lang w:bidi="zh-CN"/>
                <w14:textFill>
                  <w14:solidFill>
                    <w14:schemeClr w14:val="tx1"/>
                  </w14:solidFill>
                </w14:textFill>
              </w:rPr>
              <w:t>污染物排放管控</w:t>
            </w:r>
          </w:p>
        </w:tc>
        <w:tc>
          <w:tcPr>
            <w:tcW w:w="4425" w:type="dxa"/>
            <w:vAlign w:val="center"/>
          </w:tcPr>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b/>
                <w:bCs/>
                <w:color w:val="000000" w:themeColor="text1"/>
                <w:kern w:val="21"/>
                <w:sz w:val="20"/>
                <w:szCs w:val="20"/>
                <w:highlight w:val="none"/>
                <w14:textFill>
                  <w14:solidFill>
                    <w14:schemeClr w14:val="tx1"/>
                  </w14:solidFill>
                </w14:textFill>
              </w:rPr>
              <w:t>1.允许排放量要求</w:t>
            </w:r>
            <w:r>
              <w:rPr>
                <w:rFonts w:cs="Times New Roman"/>
                <w:color w:val="000000" w:themeColor="text1"/>
                <w:kern w:val="21"/>
                <w:sz w:val="20"/>
                <w:szCs w:val="20"/>
                <w:highlight w:val="none"/>
                <w14:textFill>
                  <w14:solidFill>
                    <w14:schemeClr w14:val="tx1"/>
                  </w14:solidFill>
                </w14:textFill>
              </w:rPr>
              <w:t>：/</w:t>
            </w:r>
          </w:p>
          <w:p>
            <w:pPr>
              <w:overflowPunct w:val="0"/>
              <w:adjustRightInd/>
              <w:snapToGrid/>
              <w:spacing w:line="240" w:lineRule="auto"/>
              <w:ind w:firstLine="0" w:firstLineChars="0"/>
              <w:rPr>
                <w:rFonts w:cs="Times New Roman"/>
                <w:b/>
                <w:bCs/>
                <w:color w:val="000000" w:themeColor="text1"/>
                <w:kern w:val="21"/>
                <w:sz w:val="20"/>
                <w:szCs w:val="20"/>
                <w:highlight w:val="none"/>
                <w14:textFill>
                  <w14:solidFill>
                    <w14:schemeClr w14:val="tx1"/>
                  </w14:solidFill>
                </w14:textFill>
              </w:rPr>
            </w:pPr>
            <w:r>
              <w:rPr>
                <w:rFonts w:cs="Times New Roman"/>
                <w:b/>
                <w:bCs/>
                <w:color w:val="000000" w:themeColor="text1"/>
                <w:kern w:val="21"/>
                <w:sz w:val="20"/>
                <w:szCs w:val="20"/>
                <w:highlight w:val="none"/>
                <w14:textFill>
                  <w14:solidFill>
                    <w14:schemeClr w14:val="tx1"/>
                  </w14:solidFill>
                </w14:textFill>
              </w:rPr>
              <w:t>2.现有资源提标升级改造</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加快现有乡镇污水处理设施升级改造，按要求达《城镇污水处理厂污染物排放标准》一级A标后排放。</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在矿产资源开发活动集中区域，废水执行重金属污染物排放特别限值。</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火电、水泥等行业按相关要求推进大气污染物超低排放和深度治理。</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砖瓦行业实施脱硫、除尘升级改造，污染物排放达到《砖瓦工业大气污染物排放标准》相关要求。</w:t>
            </w:r>
          </w:p>
          <w:p>
            <w:pPr>
              <w:overflowPunct w:val="0"/>
              <w:adjustRightInd/>
              <w:snapToGrid/>
              <w:spacing w:line="240" w:lineRule="auto"/>
              <w:ind w:firstLine="0" w:firstLineChars="0"/>
              <w:rPr>
                <w:rFonts w:cs="Times New Roman"/>
                <w:b/>
                <w:bCs/>
                <w:color w:val="000000" w:themeColor="text1"/>
                <w:kern w:val="21"/>
                <w:sz w:val="20"/>
                <w:szCs w:val="20"/>
                <w:highlight w:val="none"/>
                <w14:textFill>
                  <w14:solidFill>
                    <w14:schemeClr w14:val="tx1"/>
                  </w14:solidFill>
                </w14:textFill>
              </w:rPr>
            </w:pPr>
            <w:r>
              <w:rPr>
                <w:rFonts w:cs="Times New Roman"/>
                <w:b/>
                <w:bCs/>
                <w:color w:val="000000" w:themeColor="text1"/>
                <w:kern w:val="21"/>
                <w:sz w:val="20"/>
                <w:szCs w:val="20"/>
                <w:highlight w:val="none"/>
                <w14:textFill>
                  <w14:solidFill>
                    <w14:schemeClr w14:val="tx1"/>
                  </w14:solidFill>
                </w14:textFill>
              </w:rPr>
              <w:t>3.其他污染物排放管控要求</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新增源等量或倍量替代</w:t>
            </w:r>
            <w:r>
              <w:rPr>
                <w:rFonts w:hint="eastAsia" w:cs="Times New Roman"/>
                <w:color w:val="000000" w:themeColor="text1"/>
                <w:kern w:val="21"/>
                <w:sz w:val="20"/>
                <w:szCs w:val="20"/>
                <w:highlight w:val="none"/>
                <w14:textFill>
                  <w14:solidFill>
                    <w14:schemeClr w14:val="tx1"/>
                  </w14:solidFill>
                </w14:textFill>
              </w:rPr>
              <w:t>：</w:t>
            </w:r>
            <w:r>
              <w:rPr>
                <w:rFonts w:cs="Times New Roman"/>
                <w:color w:val="000000" w:themeColor="text1"/>
                <w:kern w:val="21"/>
                <w:sz w:val="20"/>
                <w:szCs w:val="20"/>
                <w:highlight w:val="none"/>
                <w14:textFill>
                  <w14:solidFill>
                    <w14:schemeClr w14:val="tx1"/>
                  </w14:solidFill>
                </w14:textFill>
              </w:rPr>
              <w:t>上一年度水环境质量未完成目标的，新建排放水污染的建设项目按照总量管控要求进行倍量削减替代。上一年度空气质量年平均浓度不达标的城市，建设项目新增相关污染物按照总量管控要求进行倍量削减替代。大气环境重点管控区内，新增大气污染物排放的建设项目实施总量削减替代。</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污染物排放绩效水平准入要求</w:t>
            </w:r>
            <w:r>
              <w:rPr>
                <w:rFonts w:hint="eastAsia" w:cs="Times New Roman"/>
                <w:color w:val="000000" w:themeColor="text1"/>
                <w:kern w:val="21"/>
                <w:sz w:val="20"/>
                <w:szCs w:val="20"/>
                <w:highlight w:val="none"/>
                <w14:textFill>
                  <w14:solidFill>
                    <w14:schemeClr w14:val="tx1"/>
                  </w14:solidFill>
                </w14:textFill>
              </w:rPr>
              <w:t>：</w:t>
            </w:r>
            <w:r>
              <w:rPr>
                <w:rFonts w:cs="Times New Roman"/>
                <w:color w:val="000000" w:themeColor="text1"/>
                <w:kern w:val="21"/>
                <w:sz w:val="20"/>
                <w:szCs w:val="20"/>
                <w:highlight w:val="none"/>
                <w14:textFill>
                  <w14:solidFill>
                    <w14:schemeClr w14:val="tx1"/>
                  </w14:solidFill>
                </w14:textFill>
              </w:rPr>
              <w:t>屠宰项目必须配套污水处理设施或进入城市污水管网。</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大气环境重点管控区内加强“高架源”污染治理，深化施工扬尘监管，严格落实“六必须、六不准”管控要求，强化道路施工管控，提高道路清扫机械化和精细化作业水平。</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-至2022年底，基本实现乡镇污水处理设施全覆盖，配套建设污水收集管网，乡镇污水处理率达到65%。</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-到2023年底，力争全市生活垃圾焚烧处理能力占比达60%以上，各县（市）生活垃圾无害化处理率保持95%以上，乡镇及行政村生活垃圾收转运处置体系基本实现全覆盖。</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-到2025年，农药包装废弃物回收率达80%；粮油绿色高质高效示范区、茶叶主产区和现代农业园区农药包装废弃物回收率100%。</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-到2025年，全国主要农作物化肥、农药利用率达43%，测土配方施肥技术推广覆盖率保持在90%以上，控制农村面源污染，采取灌排分离等措施控制农田氮磷流失。</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到2025年，新、改扩建规模化畜禽养殖场（小区）要实施雨污分流、粪便污水资源化利用；规模化畜禽养殖场（小区）粪污处理设施装备配套率达到95%以上，粪污综合利用率达到80%以上，大型规模养殖场粪污处理设施装备配套率达到100%，畜禽粪污基本实现资源化利用；散养密集区要实行畜禽粪便污水分户收集、集中处理利用。</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-到2025年，废旧农膜回收利用率达到85%以上。</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-非金属矿行业绿色矿山建设要求：固体废物妥善处置率应达到100%；选矿废水重复利用率一般达到85%以上。</w:t>
            </w:r>
          </w:p>
        </w:tc>
        <w:tc>
          <w:tcPr>
            <w:tcW w:w="1422" w:type="dxa"/>
            <w:vAlign w:val="center"/>
          </w:tcPr>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hint="eastAsia" w:ascii="宋体" w:hAnsi="宋体" w:cs="宋体"/>
                <w:color w:val="000000" w:themeColor="text1"/>
                <w:kern w:val="21"/>
                <w:sz w:val="20"/>
                <w:szCs w:val="20"/>
                <w:highlight w:val="none"/>
                <w14:textFill>
                  <w14:solidFill>
                    <w14:schemeClr w14:val="tx1"/>
                  </w14:solidFill>
                </w14:textFill>
              </w:rPr>
              <w:t>项目</w:t>
            </w:r>
            <w:r>
              <w:rPr>
                <w:rFonts w:cs="Times New Roman"/>
                <w:color w:val="000000" w:themeColor="text1"/>
                <w:kern w:val="21"/>
                <w:sz w:val="20"/>
                <w:szCs w:val="20"/>
                <w:highlight w:val="none"/>
                <w14:textFill>
                  <w14:solidFill>
                    <w14:schemeClr w14:val="tx1"/>
                  </w14:solidFill>
                </w14:textFill>
              </w:rPr>
              <w:t>施工期扬尘通过设置围挡、洒水降尘、文明施工等措施，对环境影响轻微，不会导致超标。</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p>
        </w:tc>
        <w:tc>
          <w:tcPr>
            <w:tcW w:w="1047"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sz w:val="20"/>
                <w:szCs w:val="20"/>
                <w:highlight w:val="none"/>
                <w:lang w:bidi="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5" w:type="dxa"/>
            <w:vMerge w:val="continue"/>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tc>
        <w:tc>
          <w:tcPr>
            <w:tcW w:w="464" w:type="dxa"/>
            <w:vMerge w:val="continue"/>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tc>
        <w:tc>
          <w:tcPr>
            <w:tcW w:w="407"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sz w:val="20"/>
                <w:szCs w:val="20"/>
                <w:highlight w:val="none"/>
                <w:lang w:bidi="zh-CN"/>
                <w14:textFill>
                  <w14:solidFill>
                    <w14:schemeClr w14:val="tx1"/>
                  </w14:solidFill>
                </w14:textFill>
              </w:rPr>
              <w:t>环境风险管控</w:t>
            </w:r>
          </w:p>
        </w:tc>
        <w:tc>
          <w:tcPr>
            <w:tcW w:w="4425" w:type="dxa"/>
            <w:vAlign w:val="center"/>
          </w:tcPr>
          <w:p>
            <w:pPr>
              <w:overflowPunct w:val="0"/>
              <w:adjustRightInd/>
              <w:snapToGrid/>
              <w:spacing w:line="240" w:lineRule="auto"/>
              <w:ind w:firstLine="0" w:firstLineChars="0"/>
              <w:rPr>
                <w:rFonts w:cs="Times New Roman"/>
                <w:b/>
                <w:bCs/>
                <w:color w:val="000000" w:themeColor="text1"/>
                <w:kern w:val="21"/>
                <w:sz w:val="20"/>
                <w:szCs w:val="20"/>
                <w:highlight w:val="none"/>
                <w14:textFill>
                  <w14:solidFill>
                    <w14:schemeClr w14:val="tx1"/>
                  </w14:solidFill>
                </w14:textFill>
              </w:rPr>
            </w:pPr>
            <w:r>
              <w:rPr>
                <w:rFonts w:cs="Times New Roman"/>
                <w:b/>
                <w:bCs/>
                <w:color w:val="000000" w:themeColor="text1"/>
                <w:kern w:val="21"/>
                <w:sz w:val="20"/>
                <w:szCs w:val="20"/>
                <w:highlight w:val="none"/>
                <w14:textFill>
                  <w14:solidFill>
                    <w14:schemeClr w14:val="tx1"/>
                  </w14:solidFill>
                </w14:textFill>
              </w:rPr>
              <w:t>1.联防联控要求</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强化区域联防联控，严格落实《关于建立跨省流域上下游突发水污染事件联防联控机制的指导意见》；定期召开区域大气环境形</w:t>
            </w:r>
            <w:r>
              <w:rPr>
                <w:rFonts w:hint="eastAsia" w:cs="Times New Roman"/>
                <w:color w:val="000000" w:themeColor="text1"/>
                <w:kern w:val="21"/>
                <w:sz w:val="20"/>
                <w:szCs w:val="20"/>
                <w:highlight w:val="none"/>
                <w14:textFill>
                  <w14:solidFill>
                    <w14:schemeClr w14:val="tx1"/>
                  </w14:solidFill>
                </w14:textFill>
              </w:rPr>
              <w:t>势</w:t>
            </w:r>
            <w:r>
              <w:rPr>
                <w:rFonts w:cs="Times New Roman"/>
                <w:color w:val="000000" w:themeColor="text1"/>
                <w:kern w:val="21"/>
                <w:sz w:val="20"/>
                <w:szCs w:val="20"/>
                <w:highlight w:val="none"/>
                <w14:textFill>
                  <w14:solidFill>
                    <w14:schemeClr w14:val="tx1"/>
                  </w14:solidFill>
                </w14:textFill>
              </w:rPr>
              <w:t>分析会，强化信息共享和联动合作，实行环境规划，标准，环评，执法，信息公开“六统一”，协力推进大气污染源头防控，加强川东北区域大气污染防治合作。</w:t>
            </w:r>
          </w:p>
          <w:p>
            <w:pPr>
              <w:overflowPunct w:val="0"/>
              <w:adjustRightInd/>
              <w:snapToGrid/>
              <w:spacing w:line="240" w:lineRule="auto"/>
              <w:ind w:firstLine="0" w:firstLineChars="0"/>
              <w:rPr>
                <w:rFonts w:cs="Times New Roman"/>
                <w:b/>
                <w:bCs/>
                <w:color w:val="000000" w:themeColor="text1"/>
                <w:kern w:val="21"/>
                <w:sz w:val="20"/>
                <w:szCs w:val="20"/>
                <w:highlight w:val="none"/>
                <w14:textFill>
                  <w14:solidFill>
                    <w14:schemeClr w14:val="tx1"/>
                  </w14:solidFill>
                </w14:textFill>
              </w:rPr>
            </w:pPr>
            <w:r>
              <w:rPr>
                <w:rFonts w:cs="Times New Roman"/>
                <w:b/>
                <w:bCs/>
                <w:color w:val="000000" w:themeColor="text1"/>
                <w:kern w:val="21"/>
                <w:sz w:val="20"/>
                <w:szCs w:val="20"/>
                <w:highlight w:val="none"/>
                <w14:textFill>
                  <w14:solidFill>
                    <w14:schemeClr w14:val="tx1"/>
                  </w14:solidFill>
                </w14:textFill>
              </w:rPr>
              <w:t>2.其他环境风险防控要求</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企业环境风险防控要求</w:t>
            </w:r>
            <w:r>
              <w:rPr>
                <w:rFonts w:hint="eastAsia" w:cs="Times New Roman"/>
                <w:color w:val="000000" w:themeColor="text1"/>
                <w:kern w:val="21"/>
                <w:sz w:val="20"/>
                <w:szCs w:val="20"/>
                <w:highlight w:val="none"/>
                <w14:textFill>
                  <w14:solidFill>
                    <w14:schemeClr w14:val="tx1"/>
                  </w14:solidFill>
                </w14:textFill>
              </w:rPr>
              <w:t>：</w:t>
            </w:r>
            <w:r>
              <w:rPr>
                <w:rFonts w:cs="Times New Roman"/>
                <w:color w:val="000000" w:themeColor="text1"/>
                <w:kern w:val="21"/>
                <w:sz w:val="20"/>
                <w:szCs w:val="20"/>
                <w:highlight w:val="none"/>
                <w14:textFill>
                  <w14:solidFill>
                    <w14:schemeClr w14:val="tx1"/>
                  </w14:solidFill>
                </w14:textFill>
              </w:rPr>
              <w:t>工业企业退出用地，须经评估、修复满足相应用地功能后，方可改变用途。</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加强“散乱污”企业环境风险防控。对拟收回土地使用权的有色金属矿采选、有色金属冶炼、石油加工、化工、焦化、电镀、制革、天然（页岩）气开采、铅蓄电池、汽车制造、农药、危废处置、电子拆解等行业企业用地，以及用途拟变更为居住和商业、学校、医疗、养老机构等公共设施的上述企业用地，以及由重度污染农用地转为的城镇建设用地，开展土壤环境状况调查评估。用地环境风险防控要求</w:t>
            </w:r>
            <w:r>
              <w:rPr>
                <w:rFonts w:hint="eastAsia" w:cs="Times New Roman"/>
                <w:color w:val="000000" w:themeColor="text1"/>
                <w:kern w:val="21"/>
                <w:sz w:val="20"/>
                <w:szCs w:val="20"/>
                <w:highlight w:val="none"/>
                <w14:textFill>
                  <w14:solidFill>
                    <w14:schemeClr w14:val="tx1"/>
                  </w14:solidFill>
                </w14:textFill>
              </w:rPr>
              <w:t>：</w:t>
            </w:r>
            <w:r>
              <w:rPr>
                <w:rFonts w:cs="Times New Roman"/>
                <w:color w:val="000000" w:themeColor="text1"/>
                <w:kern w:val="21"/>
                <w:sz w:val="20"/>
                <w:szCs w:val="20"/>
                <w:highlight w:val="none"/>
                <w14:textFill>
                  <w14:solidFill>
                    <w14:schemeClr w14:val="tx1"/>
                  </w14:solidFill>
                </w14:textFill>
              </w:rPr>
              <w:t>严禁将城镇生活垃圾、污泥、工业废物直接用作肥料，禁止处理不达标的污泥进入耕地；禁止在农用地排放、倾倒、使用污泥、清淤底泥、尾矿（渣）等可能对土壤造成污染的固体废物。</w:t>
            </w:r>
          </w:p>
          <w:p>
            <w:pPr>
              <w:adjustRightInd/>
              <w:snapToGrid/>
              <w:spacing w:line="240" w:lineRule="auto"/>
              <w:ind w:firstLine="0" w:firstLineChars="0"/>
              <w:rPr>
                <w:rFonts w:cs="Times New Roman"/>
                <w:color w:val="000000" w:themeColor="text1"/>
                <w:kern w:val="0"/>
                <w:sz w:val="20"/>
                <w:szCs w:val="20"/>
                <w:highlight w:val="none"/>
                <w14:textFill>
                  <w14:solidFill>
                    <w14:schemeClr w14:val="tx1"/>
                  </w14:solidFill>
                </w14:textFill>
              </w:rPr>
            </w:pPr>
            <w:r>
              <w:rPr>
                <w:rFonts w:cs="Times New Roman"/>
                <w:color w:val="000000" w:themeColor="text1"/>
                <w:kern w:val="0"/>
                <w:sz w:val="20"/>
                <w:szCs w:val="20"/>
                <w:highlight w:val="none"/>
                <w14:textFill>
                  <w14:solidFill>
                    <w14:schemeClr w14:val="tx1"/>
                  </w14:solidFill>
                </w14:textFill>
              </w:rPr>
              <w:t>定期对单元内尾矿库进行风险巡查，建立监测系统和环境风险应急预案；完善各尾矿库渗滤液收集、处理、回用系统，杜绝事故排放；尾矿库闭矿后因地制宜进行植被恢复和综合利用。</w:t>
            </w:r>
          </w:p>
          <w:p>
            <w:pPr>
              <w:adjustRightInd/>
              <w:snapToGrid/>
              <w:spacing w:line="240" w:lineRule="auto"/>
              <w:ind w:firstLine="0" w:firstLineChars="0"/>
              <w:rPr>
                <w:rFonts w:cs="Times New Roman"/>
                <w:color w:val="000000" w:themeColor="text1"/>
                <w:kern w:val="0"/>
                <w:sz w:val="20"/>
                <w:szCs w:val="20"/>
                <w:highlight w:val="none"/>
                <w14:textFill>
                  <w14:solidFill>
                    <w14:schemeClr w14:val="tx1"/>
                  </w14:solidFill>
                </w14:textFill>
              </w:rPr>
            </w:pPr>
            <w:r>
              <w:rPr>
                <w:rFonts w:cs="Times New Roman"/>
                <w:color w:val="000000" w:themeColor="text1"/>
                <w:kern w:val="0"/>
                <w:sz w:val="20"/>
                <w:szCs w:val="20"/>
                <w:highlight w:val="none"/>
                <w14:textFill>
                  <w14:solidFill>
                    <w14:schemeClr w14:val="tx1"/>
                  </w14:solidFill>
                </w14:textFill>
              </w:rPr>
              <w:t>规范排土场、渣场等整治。禁止处理不达标的污泥进入耕地。</w:t>
            </w:r>
          </w:p>
          <w:p>
            <w:pPr>
              <w:adjustRightInd/>
              <w:snapToGrid/>
              <w:spacing w:line="240" w:lineRule="auto"/>
              <w:ind w:firstLine="0" w:firstLineChars="0"/>
              <w:rPr>
                <w:rFonts w:cs="Times New Roman"/>
                <w:color w:val="000000" w:themeColor="text1"/>
                <w:kern w:val="0"/>
                <w:sz w:val="20"/>
                <w:szCs w:val="20"/>
                <w:highlight w:val="none"/>
                <w14:textFill>
                  <w14:solidFill>
                    <w14:schemeClr w14:val="tx1"/>
                  </w14:solidFill>
                </w14:textFill>
              </w:rPr>
            </w:pPr>
            <w:r>
              <w:rPr>
                <w:rFonts w:cs="Times New Roman"/>
                <w:color w:val="000000" w:themeColor="text1"/>
                <w:kern w:val="0"/>
                <w:sz w:val="20"/>
                <w:szCs w:val="20"/>
                <w:highlight w:val="none"/>
                <w14:textFill>
                  <w14:solidFill>
                    <w14:schemeClr w14:val="tx1"/>
                  </w14:solidFill>
                </w14:textFill>
              </w:rPr>
              <w:t>严格控制林地、草地、园地的农药使用量，禁止使用高毒、高残留农药。</w:t>
            </w:r>
          </w:p>
          <w:p>
            <w:pPr>
              <w:overflowPunct w:val="0"/>
              <w:adjustRightInd/>
              <w:snapToGrid/>
              <w:spacing w:line="240" w:lineRule="auto"/>
              <w:ind w:firstLine="0" w:firstLineChars="0"/>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kern w:val="0"/>
                <w:sz w:val="20"/>
                <w:szCs w:val="20"/>
                <w:highlight w:val="none"/>
                <w14:textFill>
                  <w14:solidFill>
                    <w14:schemeClr w14:val="tx1"/>
                  </w14:solidFill>
                </w14:textFill>
              </w:rPr>
              <w:t>到2030年，全市受污染耕地安全利用率达到95%以上，污染地块安全利用率达到95%以上</w:t>
            </w:r>
            <w:r>
              <w:rPr>
                <w:rFonts w:cs="Times New Roman"/>
                <w:color w:val="000000" w:themeColor="text1"/>
                <w:kern w:val="21"/>
                <w:sz w:val="20"/>
                <w:szCs w:val="20"/>
                <w:highlight w:val="none"/>
                <w14:textFill>
                  <w14:solidFill>
                    <w14:schemeClr w14:val="tx1"/>
                  </w14:solidFill>
                </w14:textFill>
              </w:rPr>
              <w:t>。</w:t>
            </w:r>
          </w:p>
        </w:tc>
        <w:tc>
          <w:tcPr>
            <w:tcW w:w="1422" w:type="dxa"/>
            <w:vAlign w:val="center"/>
          </w:tcPr>
          <w:p>
            <w:pPr>
              <w:spacing w:line="240" w:lineRule="auto"/>
              <w:ind w:firstLine="0" w:firstLineChars="0"/>
              <w:jc w:val="left"/>
              <w:rPr>
                <w:rFonts w:cs="Times New Roman"/>
                <w:color w:val="000000" w:themeColor="text1"/>
                <w:sz w:val="20"/>
                <w:szCs w:val="20"/>
                <w:highlight w:val="none"/>
                <w14:textFill>
                  <w14:solidFill>
                    <w14:schemeClr w14:val="tx1"/>
                  </w14:solidFill>
                </w14:textFill>
              </w:rPr>
            </w:pPr>
            <w:r>
              <w:rPr>
                <w:rFonts w:cs="Times New Roman"/>
                <w:snapToGrid w:val="0"/>
                <w:color w:val="000000" w:themeColor="text1"/>
                <w:sz w:val="20"/>
                <w:szCs w:val="20"/>
                <w:highlight w:val="none"/>
                <w14:textFill>
                  <w14:solidFill>
                    <w14:schemeClr w14:val="tx1"/>
                  </w14:solidFill>
                </w14:textFill>
              </w:rPr>
              <w:t>本项目严格落实风险防控措施，普光分公司建立了环境突发事故应急预案</w:t>
            </w:r>
            <w:r>
              <w:rPr>
                <w:rFonts w:hint="eastAsia" w:cs="Times New Roman"/>
                <w:snapToGrid w:val="0"/>
                <w:color w:val="000000" w:themeColor="text1"/>
                <w:sz w:val="20"/>
                <w:szCs w:val="20"/>
                <w:highlight w:val="none"/>
                <w14:textFill>
                  <w14:solidFill>
                    <w14:schemeClr w14:val="tx1"/>
                  </w14:solidFill>
                </w14:textFill>
              </w:rPr>
              <w:t>体系</w:t>
            </w:r>
            <w:r>
              <w:rPr>
                <w:rFonts w:cs="Times New Roman"/>
                <w:snapToGrid w:val="0"/>
                <w:color w:val="000000" w:themeColor="text1"/>
                <w:sz w:val="20"/>
                <w:szCs w:val="20"/>
                <w:highlight w:val="none"/>
                <w14:textFill>
                  <w14:solidFill>
                    <w14:schemeClr w14:val="tx1"/>
                  </w14:solidFill>
                </w14:textFill>
              </w:rPr>
              <w:t>。不涉及环境风险防控</w:t>
            </w:r>
            <w:r>
              <w:rPr>
                <w:rFonts w:cs="Times New Roman"/>
                <w:color w:val="000000" w:themeColor="text1"/>
                <w:sz w:val="20"/>
                <w:szCs w:val="20"/>
                <w:highlight w:val="none"/>
                <w14:textFill>
                  <w14:solidFill>
                    <w14:schemeClr w14:val="tx1"/>
                  </w14:solidFill>
                </w14:textFill>
              </w:rPr>
              <w:t>要求。</w:t>
            </w:r>
          </w:p>
        </w:tc>
        <w:tc>
          <w:tcPr>
            <w:tcW w:w="1047"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sz w:val="20"/>
                <w:szCs w:val="20"/>
                <w:highlight w:val="none"/>
                <w:lang w:bidi="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5" w:type="dxa"/>
            <w:vMerge w:val="continue"/>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tc>
        <w:tc>
          <w:tcPr>
            <w:tcW w:w="464" w:type="dxa"/>
            <w:vMerge w:val="continue"/>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tc>
        <w:tc>
          <w:tcPr>
            <w:tcW w:w="407"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sz w:val="20"/>
                <w:szCs w:val="20"/>
                <w:highlight w:val="none"/>
                <w:lang w:bidi="zh-CN"/>
                <w14:textFill>
                  <w14:solidFill>
                    <w14:schemeClr w14:val="tx1"/>
                  </w14:solidFill>
                </w14:textFill>
              </w:rPr>
              <w:t>资源开发利用效率</w:t>
            </w:r>
          </w:p>
        </w:tc>
        <w:tc>
          <w:tcPr>
            <w:tcW w:w="4425" w:type="dxa"/>
            <w:vAlign w:val="center"/>
          </w:tcPr>
          <w:p>
            <w:pPr>
              <w:overflowPunct w:val="0"/>
              <w:adjustRightInd/>
              <w:snapToGrid/>
              <w:spacing w:line="240" w:lineRule="auto"/>
              <w:ind w:firstLine="0" w:firstLineChars="0"/>
              <w:rPr>
                <w:rFonts w:cs="Times New Roman"/>
                <w:b/>
                <w:bCs/>
                <w:color w:val="000000" w:themeColor="text1"/>
                <w:kern w:val="21"/>
                <w:sz w:val="20"/>
                <w:szCs w:val="20"/>
                <w:highlight w:val="none"/>
                <w14:textFill>
                  <w14:solidFill>
                    <w14:schemeClr w14:val="tx1"/>
                  </w14:solidFill>
                </w14:textFill>
              </w:rPr>
            </w:pPr>
            <w:r>
              <w:rPr>
                <w:rFonts w:cs="Times New Roman"/>
                <w:b/>
                <w:bCs/>
                <w:color w:val="000000" w:themeColor="text1"/>
                <w:kern w:val="21"/>
                <w:sz w:val="20"/>
                <w:szCs w:val="20"/>
                <w:highlight w:val="none"/>
                <w14:textFill>
                  <w14:solidFill>
                    <w14:schemeClr w14:val="tx1"/>
                  </w14:solidFill>
                </w14:textFill>
              </w:rPr>
              <w:t>1.水资源利用总量要求</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-到2025年，农田灌溉水有效利用系数达到0.57以上。</w:t>
            </w:r>
          </w:p>
          <w:p>
            <w:pPr>
              <w:overflowPunct w:val="0"/>
              <w:adjustRightInd/>
              <w:snapToGrid/>
              <w:spacing w:line="240" w:lineRule="auto"/>
              <w:ind w:firstLine="0" w:firstLineChars="0"/>
              <w:rPr>
                <w:rFonts w:cs="Times New Roman"/>
                <w:b/>
                <w:bCs/>
                <w:color w:val="000000" w:themeColor="text1"/>
                <w:kern w:val="21"/>
                <w:sz w:val="20"/>
                <w:szCs w:val="20"/>
                <w:highlight w:val="none"/>
                <w14:textFill>
                  <w14:solidFill>
                    <w14:schemeClr w14:val="tx1"/>
                  </w14:solidFill>
                </w14:textFill>
              </w:rPr>
            </w:pPr>
            <w:r>
              <w:rPr>
                <w:rFonts w:cs="Times New Roman"/>
                <w:b/>
                <w:bCs/>
                <w:color w:val="000000" w:themeColor="text1"/>
                <w:kern w:val="21"/>
                <w:sz w:val="20"/>
                <w:szCs w:val="20"/>
                <w:highlight w:val="none"/>
                <w14:textFill>
                  <w14:solidFill>
                    <w14:schemeClr w14:val="tx1"/>
                  </w14:solidFill>
                </w14:textFill>
              </w:rPr>
              <w:t>2.地下水开采要求</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以省市下发指标为准</w:t>
            </w:r>
          </w:p>
          <w:p>
            <w:pPr>
              <w:overflowPunct w:val="0"/>
              <w:adjustRightInd/>
              <w:snapToGrid/>
              <w:spacing w:line="240" w:lineRule="auto"/>
              <w:ind w:firstLine="0" w:firstLineChars="0"/>
              <w:rPr>
                <w:rFonts w:cs="Times New Roman"/>
                <w:b/>
                <w:bCs/>
                <w:color w:val="000000" w:themeColor="text1"/>
                <w:kern w:val="21"/>
                <w:sz w:val="20"/>
                <w:szCs w:val="20"/>
                <w:highlight w:val="none"/>
                <w14:textFill>
                  <w14:solidFill>
                    <w14:schemeClr w14:val="tx1"/>
                  </w14:solidFill>
                </w14:textFill>
              </w:rPr>
            </w:pPr>
            <w:r>
              <w:rPr>
                <w:rFonts w:cs="Times New Roman"/>
                <w:b/>
                <w:bCs/>
                <w:color w:val="000000" w:themeColor="text1"/>
                <w:kern w:val="21"/>
                <w:sz w:val="20"/>
                <w:szCs w:val="20"/>
                <w:highlight w:val="none"/>
                <w14:textFill>
                  <w14:solidFill>
                    <w14:schemeClr w14:val="tx1"/>
                  </w14:solidFill>
                </w14:textFill>
              </w:rPr>
              <w:t>3.能源利用总量及效率要求</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推进清洁能源的推广使用，全面推进散煤清洁化整治；禁止新建每小时10蒸吨以下的燃煤锅炉及其他燃煤设施。</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禁止焚烧秸秆和垃圾，到2025年底，秸秆综合利用率达到86%以上。</w:t>
            </w:r>
          </w:p>
          <w:p>
            <w:pPr>
              <w:overflowPunct w:val="0"/>
              <w:adjustRightInd/>
              <w:snapToGrid/>
              <w:spacing w:line="240" w:lineRule="auto"/>
              <w:ind w:firstLine="0" w:firstLineChars="0"/>
              <w:rPr>
                <w:rFonts w:cs="Times New Roman"/>
                <w:b/>
                <w:bCs/>
                <w:color w:val="000000" w:themeColor="text1"/>
                <w:kern w:val="21"/>
                <w:sz w:val="20"/>
                <w:szCs w:val="20"/>
                <w:highlight w:val="none"/>
                <w14:textFill>
                  <w14:solidFill>
                    <w14:schemeClr w14:val="tx1"/>
                  </w14:solidFill>
                </w14:textFill>
              </w:rPr>
            </w:pPr>
            <w:r>
              <w:rPr>
                <w:rFonts w:cs="Times New Roman"/>
                <w:b/>
                <w:bCs/>
                <w:color w:val="000000" w:themeColor="text1"/>
                <w:kern w:val="21"/>
                <w:sz w:val="20"/>
                <w:szCs w:val="20"/>
                <w:highlight w:val="none"/>
                <w14:textFill>
                  <w14:solidFill>
                    <w14:schemeClr w14:val="tx1"/>
                  </w14:solidFill>
                </w14:textFill>
              </w:rPr>
              <w:t>4.禁燃区要求</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高污染燃料禁燃区内禁止燃用的燃料为《高污染燃料目录》（2017）中III类（严格）燃料组合，包括：（一）煤炭及其制品；（二）石油焦、油页岩、原油、重油、渣油、煤焦油；（三）非专用锅炉或未配置高效除尘设施的专用锅炉燃用的生物质成型燃料。</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-禁燃区内禁止销售、燃用高污染燃料；禁止新建、改建、扩建燃用高污染燃料的设施和设备。</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-禁燃区内已建成的高污染燃料燃用设施由辖区人民政府制定限期改造计划，改用天然气、页岩气、液化石油气、电或其他清洁能源。</w:t>
            </w:r>
          </w:p>
          <w:p>
            <w:pPr>
              <w:overflowPunct w:val="0"/>
              <w:adjustRightInd/>
              <w:snapToGrid/>
              <w:spacing w:line="240" w:lineRule="auto"/>
              <w:ind w:firstLine="0" w:firstLineChars="0"/>
              <w:rPr>
                <w:rFonts w:cs="Times New Roman"/>
                <w:color w:val="000000" w:themeColor="text1"/>
                <w:kern w:val="0"/>
                <w:sz w:val="20"/>
                <w:szCs w:val="20"/>
                <w:highlight w:val="none"/>
                <w14:textFill>
                  <w14:solidFill>
                    <w14:schemeClr w14:val="tx1"/>
                  </w14:solidFill>
                </w14:textFill>
              </w:rPr>
            </w:pPr>
            <w:r>
              <w:rPr>
                <w:rFonts w:cs="Times New Roman"/>
                <w:b/>
                <w:bCs/>
                <w:color w:val="000000" w:themeColor="text1"/>
                <w:kern w:val="21"/>
                <w:sz w:val="20"/>
                <w:szCs w:val="20"/>
                <w:highlight w:val="none"/>
                <w14:textFill>
                  <w14:solidFill>
                    <w14:schemeClr w14:val="tx1"/>
                  </w14:solidFill>
                </w14:textFill>
              </w:rPr>
              <w:t>5.其他资源利用效率要求：无</w:t>
            </w:r>
          </w:p>
        </w:tc>
        <w:tc>
          <w:tcPr>
            <w:tcW w:w="1422" w:type="dxa"/>
            <w:vAlign w:val="center"/>
          </w:tcPr>
          <w:p>
            <w:pPr>
              <w:overflowPunct w:val="0"/>
              <w:adjustRightInd/>
              <w:snapToGrid/>
              <w:spacing w:line="240" w:lineRule="auto"/>
              <w:ind w:firstLine="0" w:firstLineChars="0"/>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本项目为天然气试采工程，不</w:t>
            </w:r>
            <w:r>
              <w:rPr>
                <w:rFonts w:hint="eastAsia" w:cs="Times New Roman"/>
                <w:color w:val="000000" w:themeColor="text1"/>
                <w:kern w:val="21"/>
                <w:sz w:val="20"/>
                <w:szCs w:val="20"/>
                <w:highlight w:val="none"/>
                <w14:textFill>
                  <w14:solidFill>
                    <w14:schemeClr w14:val="tx1"/>
                  </w14:solidFill>
                </w14:textFill>
              </w:rPr>
              <w:t>涉及</w:t>
            </w:r>
            <w:r>
              <w:rPr>
                <w:rFonts w:cs="Times New Roman"/>
                <w:color w:val="000000" w:themeColor="text1"/>
                <w:sz w:val="20"/>
                <w:szCs w:val="20"/>
                <w:highlight w:val="none"/>
                <w:lang w:bidi="zh-CN"/>
                <w14:textFill>
                  <w14:solidFill>
                    <w14:schemeClr w14:val="tx1"/>
                  </w14:solidFill>
                </w14:textFill>
              </w:rPr>
              <w:t>资源开发利用效率</w:t>
            </w:r>
            <w:r>
              <w:rPr>
                <w:rFonts w:hint="eastAsia" w:cs="Times New Roman"/>
                <w:color w:val="000000" w:themeColor="text1"/>
                <w:sz w:val="20"/>
                <w:szCs w:val="20"/>
                <w:highlight w:val="none"/>
                <w:lang w:bidi="zh-CN"/>
                <w14:textFill>
                  <w14:solidFill>
                    <w14:schemeClr w14:val="tx1"/>
                  </w14:solidFill>
                </w14:textFill>
              </w:rPr>
              <w:t>要求</w:t>
            </w:r>
            <w:r>
              <w:rPr>
                <w:rFonts w:cs="Times New Roman"/>
                <w:color w:val="000000" w:themeColor="text1"/>
                <w:kern w:val="21"/>
                <w:sz w:val="20"/>
                <w:szCs w:val="20"/>
                <w:highlight w:val="none"/>
                <w14:textFill>
                  <w14:solidFill>
                    <w14:schemeClr w14:val="tx1"/>
                  </w14:solidFill>
                </w14:textFill>
              </w:rPr>
              <w:t>。</w:t>
            </w:r>
          </w:p>
        </w:tc>
        <w:tc>
          <w:tcPr>
            <w:tcW w:w="1047"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sz w:val="20"/>
                <w:szCs w:val="20"/>
                <w:highlight w:val="none"/>
                <w:lang w:bidi="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5" w:type="dxa"/>
            <w:vMerge w:val="restart"/>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sz w:val="20"/>
                <w:szCs w:val="20"/>
                <w:highlight w:val="none"/>
                <w14:textFill>
                  <w14:solidFill>
                    <w14:schemeClr w14:val="tx1"/>
                  </w14:solidFill>
                </w14:textFill>
              </w:rPr>
              <w:t>YS5117222320001宣汉县大气环境布局敏感重点管控区</w:t>
            </w: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tc>
        <w:tc>
          <w:tcPr>
            <w:tcW w:w="464" w:type="dxa"/>
            <w:vMerge w:val="restart"/>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sz w:val="20"/>
                <w:szCs w:val="20"/>
                <w:highlight w:val="none"/>
                <w:lang w:bidi="zh-CN"/>
                <w14:textFill>
                  <w14:solidFill>
                    <w14:schemeClr w14:val="tx1"/>
                  </w14:solidFill>
                </w14:textFill>
              </w:rPr>
              <w:t>单元级清单管控要求</w:t>
            </w:r>
          </w:p>
        </w:tc>
        <w:tc>
          <w:tcPr>
            <w:tcW w:w="407"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sz w:val="20"/>
                <w:szCs w:val="20"/>
                <w:highlight w:val="none"/>
                <w:lang w:bidi="zh-CN"/>
                <w14:textFill>
                  <w14:solidFill>
                    <w14:schemeClr w14:val="tx1"/>
                  </w14:solidFill>
                </w14:textFill>
              </w:rPr>
              <w:t>空间布局约束</w:t>
            </w:r>
          </w:p>
        </w:tc>
        <w:tc>
          <w:tcPr>
            <w:tcW w:w="4425" w:type="dxa"/>
            <w:vAlign w:val="center"/>
          </w:tcPr>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b/>
                <w:bCs/>
                <w:color w:val="000000" w:themeColor="text1"/>
                <w:kern w:val="21"/>
                <w:sz w:val="20"/>
                <w:szCs w:val="20"/>
                <w:highlight w:val="none"/>
                <w14:textFill>
                  <w14:solidFill>
                    <w14:schemeClr w14:val="tx1"/>
                  </w14:solidFill>
                </w14:textFill>
              </w:rPr>
              <w:t>禁止开发建设活动的要求：</w:t>
            </w:r>
            <w:r>
              <w:rPr>
                <w:rFonts w:cs="Times New Roman"/>
                <w:color w:val="000000" w:themeColor="text1"/>
                <w:sz w:val="20"/>
                <w:szCs w:val="20"/>
                <w:highlight w:val="none"/>
                <w14:textFill>
                  <w14:solidFill>
                    <w14:schemeClr w14:val="tx1"/>
                  </w14:solidFill>
                </w14:textFill>
              </w:rPr>
              <w:t>1、坚决遏制高耗能、高排放、低水平项目盲目发展，严格落实国家和四川省产业规划、产业政策、规划环评，以及产能置换、煤炭消费减量替代、区域污染物削减等要求，坚决叫停不符合要求的高耗能、高排放、低水平项目2、严禁新增钢铁、焦化、炼油、电解铝、水泥、平板玻璃（不含光伏玻璃）等产能</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b/>
                <w:bCs/>
                <w:color w:val="000000" w:themeColor="text1"/>
                <w:kern w:val="21"/>
                <w:sz w:val="20"/>
                <w:szCs w:val="20"/>
                <w:highlight w:val="none"/>
                <w14:textFill>
                  <w14:solidFill>
                    <w14:schemeClr w14:val="tx1"/>
                  </w14:solidFill>
                </w14:textFill>
              </w:rPr>
              <w:t>限制开发建设活动的要求：</w:t>
            </w:r>
            <w:r>
              <w:rPr>
                <w:rFonts w:cs="Times New Roman"/>
                <w:color w:val="000000" w:themeColor="text1"/>
                <w:kern w:val="21"/>
                <w:sz w:val="20"/>
                <w:szCs w:val="20"/>
                <w:highlight w:val="none"/>
                <w14:textFill>
                  <w14:solidFill>
                    <w14:schemeClr w14:val="tx1"/>
                  </w14:solidFill>
                </w14:textFill>
              </w:rPr>
              <w:t>/</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b/>
                <w:bCs/>
                <w:color w:val="000000" w:themeColor="text1"/>
                <w:kern w:val="21"/>
                <w:sz w:val="20"/>
                <w:szCs w:val="20"/>
                <w:highlight w:val="none"/>
                <w14:textFill>
                  <w14:solidFill>
                    <w14:schemeClr w14:val="tx1"/>
                  </w14:solidFill>
                </w14:textFill>
              </w:rPr>
              <w:t>允许开发建设活动的要求：</w:t>
            </w:r>
            <w:r>
              <w:rPr>
                <w:rFonts w:cs="Times New Roman"/>
                <w:color w:val="000000" w:themeColor="text1"/>
                <w:kern w:val="21"/>
                <w:sz w:val="20"/>
                <w:szCs w:val="20"/>
                <w:highlight w:val="none"/>
                <w14:textFill>
                  <w14:solidFill>
                    <w14:schemeClr w14:val="tx1"/>
                  </w14:solidFill>
                </w14:textFill>
              </w:rPr>
              <w:t>/</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b/>
                <w:bCs/>
                <w:color w:val="000000" w:themeColor="text1"/>
                <w:kern w:val="21"/>
                <w:sz w:val="20"/>
                <w:szCs w:val="20"/>
                <w:highlight w:val="none"/>
                <w14:textFill>
                  <w14:solidFill>
                    <w14:schemeClr w14:val="tx1"/>
                  </w14:solidFill>
                </w14:textFill>
              </w:rPr>
              <w:t>不符合空间布局要求活动的退出要求：</w:t>
            </w:r>
            <w:r>
              <w:rPr>
                <w:rFonts w:cs="Times New Roman"/>
                <w:color w:val="000000" w:themeColor="text1"/>
                <w:kern w:val="21"/>
                <w:sz w:val="20"/>
                <w:szCs w:val="20"/>
                <w:highlight w:val="none"/>
                <w14:textFill>
                  <w14:solidFill>
                    <w14:schemeClr w14:val="tx1"/>
                  </w14:solidFill>
                </w14:textFill>
              </w:rPr>
              <w:t>/</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b/>
                <w:bCs/>
                <w:color w:val="000000" w:themeColor="text1"/>
                <w:kern w:val="21"/>
                <w:sz w:val="20"/>
                <w:szCs w:val="20"/>
                <w:highlight w:val="none"/>
                <w14:textFill>
                  <w14:solidFill>
                    <w14:schemeClr w14:val="tx1"/>
                  </w14:solidFill>
                </w14:textFill>
              </w:rPr>
              <w:t>其他空间布局约束要求：</w:t>
            </w:r>
            <w:r>
              <w:rPr>
                <w:rFonts w:cs="Times New Roman"/>
                <w:color w:val="000000" w:themeColor="text1"/>
                <w:kern w:val="21"/>
                <w:sz w:val="20"/>
                <w:szCs w:val="20"/>
                <w:highlight w:val="none"/>
                <w14:textFill>
                  <w14:solidFill>
                    <w14:schemeClr w14:val="tx1"/>
                  </w14:solidFill>
                </w14:textFill>
              </w:rPr>
              <w:t>/</w:t>
            </w:r>
          </w:p>
        </w:tc>
        <w:tc>
          <w:tcPr>
            <w:tcW w:w="1422" w:type="dxa"/>
            <w:vAlign w:val="center"/>
          </w:tcPr>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本项目</w:t>
            </w:r>
            <w:r>
              <w:rPr>
                <w:rFonts w:hint="eastAsia" w:cs="Times New Roman"/>
                <w:color w:val="000000" w:themeColor="text1"/>
                <w:kern w:val="21"/>
                <w:sz w:val="20"/>
                <w:szCs w:val="20"/>
                <w:highlight w:val="none"/>
                <w14:textFill>
                  <w14:solidFill>
                    <w14:schemeClr w14:val="tx1"/>
                  </w14:solidFill>
                </w14:textFill>
              </w:rPr>
              <w:t>为天然气试采工程</w:t>
            </w:r>
            <w:r>
              <w:rPr>
                <w:rFonts w:cs="Times New Roman"/>
                <w:color w:val="000000" w:themeColor="text1"/>
                <w:kern w:val="21"/>
                <w:sz w:val="20"/>
                <w:szCs w:val="20"/>
                <w:highlight w:val="none"/>
                <w14:textFill>
                  <w14:solidFill>
                    <w14:schemeClr w14:val="tx1"/>
                  </w14:solidFill>
                </w14:textFill>
              </w:rPr>
              <w:t>，不涉及磷矿建设。</w:t>
            </w:r>
          </w:p>
        </w:tc>
        <w:tc>
          <w:tcPr>
            <w:tcW w:w="1047"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sz w:val="20"/>
                <w:szCs w:val="20"/>
                <w:highlight w:val="none"/>
                <w:lang w:bidi="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5" w:type="dxa"/>
            <w:vMerge w:val="continue"/>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tc>
        <w:tc>
          <w:tcPr>
            <w:tcW w:w="464" w:type="dxa"/>
            <w:vMerge w:val="continue"/>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tc>
        <w:tc>
          <w:tcPr>
            <w:tcW w:w="407"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污染物排放管控</w:t>
            </w:r>
          </w:p>
        </w:tc>
        <w:tc>
          <w:tcPr>
            <w:tcW w:w="4425" w:type="dxa"/>
            <w:vAlign w:val="center"/>
          </w:tcPr>
          <w:p>
            <w:pPr>
              <w:pStyle w:val="389"/>
              <w:widowControl/>
              <w:shd w:val="clear" w:color="auto" w:fill="FFFFFF"/>
              <w:spacing w:line="240" w:lineRule="auto"/>
              <w:ind w:firstLine="0" w:firstLineChars="0"/>
              <w:jc w:val="left"/>
              <w:rPr>
                <w:rFonts w:eastAsia="宋体"/>
                <w:color w:val="000000" w:themeColor="text1"/>
                <w:sz w:val="20"/>
                <w:szCs w:val="20"/>
                <w:highlight w:val="none"/>
                <w14:textFill>
                  <w14:solidFill>
                    <w14:schemeClr w14:val="tx1"/>
                  </w14:solidFill>
                </w14:textFill>
              </w:rPr>
            </w:pPr>
            <w:r>
              <w:rPr>
                <w:rFonts w:eastAsia="宋体"/>
                <w:b/>
                <w:bCs/>
                <w:color w:val="000000" w:themeColor="text1"/>
                <w:kern w:val="21"/>
                <w:sz w:val="20"/>
                <w:szCs w:val="20"/>
                <w:highlight w:val="none"/>
                <w14:textFill>
                  <w14:solidFill>
                    <w14:schemeClr w14:val="tx1"/>
                  </w14:solidFill>
                </w14:textFill>
              </w:rPr>
              <w:t>大气环境质量执行标准：</w:t>
            </w:r>
            <w:r>
              <w:rPr>
                <w:rFonts w:eastAsia="宋体"/>
                <w:color w:val="000000" w:themeColor="text1"/>
                <w:kern w:val="21"/>
                <w:sz w:val="20"/>
                <w:szCs w:val="20"/>
                <w:highlight w:val="none"/>
                <w14:textFill>
                  <w14:solidFill>
                    <w14:schemeClr w14:val="tx1"/>
                  </w14:solidFill>
                </w14:textFill>
              </w:rPr>
              <w:t>《环境空气质量标准》（GB3095-2012）二级</w:t>
            </w:r>
          </w:p>
          <w:p>
            <w:pPr>
              <w:pStyle w:val="389"/>
              <w:widowControl/>
              <w:shd w:val="clear" w:color="auto" w:fill="FFFFFF"/>
              <w:spacing w:line="240" w:lineRule="auto"/>
              <w:ind w:firstLine="0" w:firstLineChars="0"/>
              <w:jc w:val="left"/>
              <w:rPr>
                <w:rFonts w:eastAsia="宋体"/>
                <w:color w:val="000000" w:themeColor="text1"/>
                <w:sz w:val="20"/>
                <w:szCs w:val="20"/>
                <w:highlight w:val="none"/>
                <w14:textFill>
                  <w14:solidFill>
                    <w14:schemeClr w14:val="tx1"/>
                  </w14:solidFill>
                </w14:textFill>
              </w:rPr>
            </w:pPr>
            <w:r>
              <w:rPr>
                <w:rFonts w:eastAsia="宋体"/>
                <w:color w:val="000000" w:themeColor="text1"/>
                <w:sz w:val="20"/>
                <w:szCs w:val="20"/>
                <w:highlight w:val="none"/>
                <w14:textFill>
                  <w14:solidFill>
                    <w14:schemeClr w14:val="tx1"/>
                  </w14:solidFill>
                </w14:textFill>
              </w:rPr>
              <w:t>区域大气污染物削减/替代要求：/</w:t>
            </w:r>
          </w:p>
          <w:p>
            <w:pPr>
              <w:pStyle w:val="389"/>
              <w:widowControl/>
              <w:shd w:val="clear" w:color="auto" w:fill="FFFFFF"/>
              <w:spacing w:line="240" w:lineRule="auto"/>
              <w:ind w:firstLine="0" w:firstLineChars="0"/>
              <w:jc w:val="left"/>
              <w:rPr>
                <w:rFonts w:eastAsia="宋体"/>
                <w:color w:val="000000" w:themeColor="text1"/>
                <w:sz w:val="20"/>
                <w:szCs w:val="20"/>
                <w:highlight w:val="none"/>
                <w14:textFill>
                  <w14:solidFill>
                    <w14:schemeClr w14:val="tx1"/>
                  </w14:solidFill>
                </w14:textFill>
              </w:rPr>
            </w:pPr>
            <w:r>
              <w:rPr>
                <w:rFonts w:eastAsia="宋体"/>
                <w:color w:val="000000" w:themeColor="text1"/>
                <w:sz w:val="20"/>
                <w:szCs w:val="20"/>
                <w:highlight w:val="none"/>
                <w14:textFill>
                  <w14:solidFill>
                    <w14:schemeClr w14:val="tx1"/>
                  </w14:solidFill>
                </w14:textFill>
              </w:rPr>
              <w:t>燃煤和其他能源大气污染控制要求：/</w:t>
            </w:r>
          </w:p>
          <w:p>
            <w:pPr>
              <w:pStyle w:val="389"/>
              <w:widowControl/>
              <w:shd w:val="clear" w:color="auto" w:fill="FFFFFF"/>
              <w:spacing w:line="240" w:lineRule="auto"/>
              <w:ind w:firstLine="0" w:firstLineChars="0"/>
              <w:jc w:val="left"/>
              <w:rPr>
                <w:rFonts w:eastAsia="宋体"/>
                <w:color w:val="000000" w:themeColor="text1"/>
                <w:sz w:val="20"/>
                <w:szCs w:val="20"/>
                <w:highlight w:val="none"/>
                <w14:textFill>
                  <w14:solidFill>
                    <w14:schemeClr w14:val="tx1"/>
                  </w14:solidFill>
                </w14:textFill>
              </w:rPr>
            </w:pPr>
            <w:r>
              <w:rPr>
                <w:rFonts w:eastAsia="宋体"/>
                <w:color w:val="000000" w:themeColor="text1"/>
                <w:sz w:val="20"/>
                <w:szCs w:val="20"/>
                <w:highlight w:val="none"/>
                <w14:textFill>
                  <w14:solidFill>
                    <w14:schemeClr w14:val="tx1"/>
                  </w14:solidFill>
                </w14:textFill>
              </w:rPr>
              <w:t>工业废气污染控制要求：/</w:t>
            </w:r>
          </w:p>
          <w:p>
            <w:pPr>
              <w:pStyle w:val="389"/>
              <w:widowControl/>
              <w:shd w:val="clear" w:color="auto" w:fill="FFFFFF"/>
              <w:spacing w:line="240" w:lineRule="auto"/>
              <w:ind w:firstLine="0" w:firstLineChars="0"/>
              <w:jc w:val="left"/>
              <w:rPr>
                <w:rFonts w:eastAsia="宋体"/>
                <w:color w:val="000000" w:themeColor="text1"/>
                <w:sz w:val="20"/>
                <w:szCs w:val="20"/>
                <w:highlight w:val="none"/>
                <w14:textFill>
                  <w14:solidFill>
                    <w14:schemeClr w14:val="tx1"/>
                  </w14:solidFill>
                </w14:textFill>
              </w:rPr>
            </w:pPr>
            <w:r>
              <w:rPr>
                <w:rFonts w:eastAsia="宋体"/>
                <w:color w:val="000000" w:themeColor="text1"/>
                <w:sz w:val="20"/>
                <w:szCs w:val="20"/>
                <w:highlight w:val="none"/>
                <w14:textFill>
                  <w14:solidFill>
                    <w14:schemeClr w14:val="tx1"/>
                  </w14:solidFill>
                </w14:textFill>
              </w:rPr>
              <w:t>机动车船大气污染控制要求：/</w:t>
            </w:r>
          </w:p>
          <w:p>
            <w:pPr>
              <w:pStyle w:val="389"/>
              <w:widowControl/>
              <w:shd w:val="clear" w:color="auto" w:fill="FFFFFF"/>
              <w:spacing w:line="240" w:lineRule="auto"/>
              <w:ind w:firstLine="0" w:firstLineChars="0"/>
              <w:jc w:val="left"/>
              <w:rPr>
                <w:rFonts w:eastAsia="宋体"/>
                <w:color w:val="000000" w:themeColor="text1"/>
                <w:sz w:val="20"/>
                <w:szCs w:val="20"/>
                <w:highlight w:val="none"/>
                <w14:textFill>
                  <w14:solidFill>
                    <w14:schemeClr w14:val="tx1"/>
                  </w14:solidFill>
                </w14:textFill>
              </w:rPr>
            </w:pPr>
            <w:r>
              <w:rPr>
                <w:rFonts w:eastAsia="宋体"/>
                <w:color w:val="000000" w:themeColor="text1"/>
                <w:sz w:val="20"/>
                <w:szCs w:val="20"/>
                <w:highlight w:val="none"/>
                <w14:textFill>
                  <w14:solidFill>
                    <w14:schemeClr w14:val="tx1"/>
                  </w14:solidFill>
                </w14:textFill>
              </w:rPr>
              <w:t>扬尘污染控制要求：/</w:t>
            </w:r>
          </w:p>
          <w:p>
            <w:pPr>
              <w:pStyle w:val="389"/>
              <w:widowControl/>
              <w:shd w:val="clear" w:color="auto" w:fill="FFFFFF"/>
              <w:spacing w:line="240" w:lineRule="auto"/>
              <w:ind w:firstLine="0" w:firstLineChars="0"/>
              <w:jc w:val="left"/>
              <w:rPr>
                <w:rFonts w:eastAsia="宋体"/>
                <w:color w:val="000000" w:themeColor="text1"/>
                <w:sz w:val="20"/>
                <w:szCs w:val="20"/>
                <w:highlight w:val="none"/>
                <w14:textFill>
                  <w14:solidFill>
                    <w14:schemeClr w14:val="tx1"/>
                  </w14:solidFill>
                </w14:textFill>
              </w:rPr>
            </w:pPr>
            <w:r>
              <w:rPr>
                <w:rFonts w:eastAsia="宋体"/>
                <w:color w:val="000000" w:themeColor="text1"/>
                <w:sz w:val="20"/>
                <w:szCs w:val="20"/>
                <w:highlight w:val="none"/>
                <w14:textFill>
                  <w14:solidFill>
                    <w14:schemeClr w14:val="tx1"/>
                  </w14:solidFill>
                </w14:textFill>
              </w:rPr>
              <w:t>农业生产经营活动大气污染控制要求：/</w:t>
            </w:r>
          </w:p>
          <w:p>
            <w:pPr>
              <w:pStyle w:val="389"/>
              <w:widowControl/>
              <w:shd w:val="clear" w:color="auto" w:fill="FFFFFF"/>
              <w:spacing w:line="240" w:lineRule="auto"/>
              <w:ind w:firstLine="0" w:firstLineChars="0"/>
              <w:jc w:val="left"/>
              <w:rPr>
                <w:rFonts w:eastAsia="宋体"/>
                <w:color w:val="000000" w:themeColor="text1"/>
                <w:sz w:val="20"/>
                <w:szCs w:val="20"/>
                <w:highlight w:val="none"/>
                <w14:textFill>
                  <w14:solidFill>
                    <w14:schemeClr w14:val="tx1"/>
                  </w14:solidFill>
                </w14:textFill>
              </w:rPr>
            </w:pPr>
            <w:r>
              <w:rPr>
                <w:rFonts w:eastAsia="宋体"/>
                <w:color w:val="000000" w:themeColor="text1"/>
                <w:sz w:val="20"/>
                <w:szCs w:val="20"/>
                <w:highlight w:val="none"/>
                <w14:textFill>
                  <w14:solidFill>
                    <w14:schemeClr w14:val="tx1"/>
                  </w14:solidFill>
                </w14:textFill>
              </w:rPr>
              <w:t>重点行业企业专项治理要求：/</w:t>
            </w:r>
          </w:p>
          <w:p>
            <w:pPr>
              <w:pStyle w:val="389"/>
              <w:widowControl/>
              <w:shd w:val="clear" w:color="auto" w:fill="FFFFFF"/>
              <w:spacing w:line="240" w:lineRule="auto"/>
              <w:ind w:firstLine="0" w:firstLineChars="0"/>
              <w:jc w:val="left"/>
              <w:rPr>
                <w:rFonts w:eastAsia="宋体"/>
                <w:color w:val="000000" w:themeColor="text1"/>
                <w:sz w:val="20"/>
                <w:szCs w:val="20"/>
                <w:highlight w:val="none"/>
                <w14:textFill>
                  <w14:solidFill>
                    <w14:schemeClr w14:val="tx1"/>
                  </w14:solidFill>
                </w14:textFill>
              </w:rPr>
            </w:pPr>
            <w:r>
              <w:rPr>
                <w:rFonts w:eastAsia="宋体"/>
                <w:color w:val="000000" w:themeColor="text1"/>
                <w:sz w:val="20"/>
                <w:szCs w:val="20"/>
                <w:highlight w:val="none"/>
                <w14:textFill>
                  <w14:solidFill>
                    <w14:schemeClr w14:val="tx1"/>
                  </w14:solidFill>
                </w14:textFill>
              </w:rPr>
              <w:t>其他大气污染物排放管控要求：/</w:t>
            </w:r>
          </w:p>
        </w:tc>
        <w:tc>
          <w:tcPr>
            <w:tcW w:w="1422" w:type="dxa"/>
            <w:vAlign w:val="center"/>
          </w:tcPr>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w:t>
            </w:r>
          </w:p>
        </w:tc>
        <w:tc>
          <w:tcPr>
            <w:tcW w:w="1047"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sz w:val="20"/>
                <w:szCs w:val="20"/>
                <w:highlight w:val="none"/>
                <w:lang w:bidi="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5" w:type="dxa"/>
            <w:vMerge w:val="continue"/>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tc>
        <w:tc>
          <w:tcPr>
            <w:tcW w:w="464" w:type="dxa"/>
            <w:vMerge w:val="continue"/>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tc>
        <w:tc>
          <w:tcPr>
            <w:tcW w:w="407"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环境风险防控</w:t>
            </w:r>
          </w:p>
        </w:tc>
        <w:tc>
          <w:tcPr>
            <w:tcW w:w="4425" w:type="dxa"/>
            <w:vAlign w:val="center"/>
          </w:tcPr>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w:t>
            </w:r>
          </w:p>
        </w:tc>
        <w:tc>
          <w:tcPr>
            <w:tcW w:w="1422" w:type="dxa"/>
            <w:vAlign w:val="center"/>
          </w:tcPr>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w:t>
            </w:r>
          </w:p>
        </w:tc>
        <w:tc>
          <w:tcPr>
            <w:tcW w:w="1047"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sz w:val="20"/>
                <w:szCs w:val="20"/>
                <w:highlight w:val="none"/>
                <w:lang w:bidi="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5" w:type="dxa"/>
            <w:vMerge w:val="continue"/>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tc>
        <w:tc>
          <w:tcPr>
            <w:tcW w:w="464" w:type="dxa"/>
            <w:vMerge w:val="continue"/>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tc>
        <w:tc>
          <w:tcPr>
            <w:tcW w:w="407"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资源开发效率要求</w:t>
            </w:r>
          </w:p>
        </w:tc>
        <w:tc>
          <w:tcPr>
            <w:tcW w:w="4425" w:type="dxa"/>
            <w:vAlign w:val="center"/>
          </w:tcPr>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w:t>
            </w:r>
          </w:p>
        </w:tc>
        <w:tc>
          <w:tcPr>
            <w:tcW w:w="1422" w:type="dxa"/>
            <w:vAlign w:val="center"/>
          </w:tcPr>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w:t>
            </w:r>
          </w:p>
        </w:tc>
        <w:tc>
          <w:tcPr>
            <w:tcW w:w="1047"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sz w:val="20"/>
                <w:szCs w:val="20"/>
                <w:highlight w:val="none"/>
                <w:lang w:bidi="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5" w:type="dxa"/>
            <w:vMerge w:val="restart"/>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sz w:val="20"/>
                <w:szCs w:val="20"/>
                <w:highlight w:val="none"/>
                <w14:textFill>
                  <w14:solidFill>
                    <w14:schemeClr w14:val="tx1"/>
                  </w14:solidFill>
                </w14:textFill>
              </w:rPr>
              <w:t>YS5117223210002州河-宣汉县-张鼓坪-控制单元</w:t>
            </w:r>
          </w:p>
        </w:tc>
        <w:tc>
          <w:tcPr>
            <w:tcW w:w="464" w:type="dxa"/>
            <w:vMerge w:val="restart"/>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sz w:val="20"/>
                <w:szCs w:val="20"/>
                <w:highlight w:val="none"/>
                <w:lang w:bidi="zh-CN"/>
                <w14:textFill>
                  <w14:solidFill>
                    <w14:schemeClr w14:val="tx1"/>
                  </w14:solidFill>
                </w14:textFill>
              </w:rPr>
              <w:t>单元级清单管控要求</w:t>
            </w:r>
          </w:p>
        </w:tc>
        <w:tc>
          <w:tcPr>
            <w:tcW w:w="407"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空间布局约束</w:t>
            </w:r>
          </w:p>
        </w:tc>
        <w:tc>
          <w:tcPr>
            <w:tcW w:w="4425" w:type="dxa"/>
            <w:vAlign w:val="center"/>
          </w:tcPr>
          <w:p>
            <w:pPr>
              <w:overflowPunct w:val="0"/>
              <w:adjustRightInd/>
              <w:snapToGrid/>
              <w:spacing w:line="240" w:lineRule="auto"/>
              <w:ind w:firstLine="0" w:firstLineChars="0"/>
              <w:rPr>
                <w:rFonts w:cs="Times New Roman"/>
                <w:b/>
                <w:bCs/>
                <w:color w:val="000000" w:themeColor="text1"/>
                <w:kern w:val="21"/>
                <w:sz w:val="20"/>
                <w:szCs w:val="20"/>
                <w:highlight w:val="none"/>
                <w14:textFill>
                  <w14:solidFill>
                    <w14:schemeClr w14:val="tx1"/>
                  </w14:solidFill>
                </w14:textFill>
              </w:rPr>
            </w:pPr>
            <w:r>
              <w:rPr>
                <w:rFonts w:cs="Times New Roman"/>
                <w:b/>
                <w:bCs/>
                <w:color w:val="000000" w:themeColor="text1"/>
                <w:kern w:val="21"/>
                <w:sz w:val="20"/>
                <w:szCs w:val="20"/>
                <w:highlight w:val="none"/>
                <w14:textFill>
                  <w14:solidFill>
                    <w14:schemeClr w14:val="tx1"/>
                  </w14:solidFill>
                </w14:textFill>
              </w:rPr>
              <w:t>禁止开发建设活动的要求：</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sz w:val="20"/>
                <w:szCs w:val="20"/>
                <w:highlight w:val="none"/>
                <w14:textFill>
                  <w14:solidFill>
                    <w14:schemeClr w14:val="tx1"/>
                  </w14:solidFill>
                </w14:textFill>
              </w:rPr>
              <w:t>不再新建、改扩建开采规模在50万吨/年以下的磷矿，不再新建露天磷矿</w:t>
            </w:r>
            <w:r>
              <w:rPr>
                <w:rFonts w:cs="Times New Roman"/>
                <w:color w:val="000000" w:themeColor="text1"/>
                <w:kern w:val="21"/>
                <w:sz w:val="20"/>
                <w:szCs w:val="20"/>
                <w:highlight w:val="none"/>
                <w14:textFill>
                  <w14:solidFill>
                    <w14:schemeClr w14:val="tx1"/>
                  </w14:solidFill>
                </w14:textFill>
              </w:rPr>
              <w:t>；</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b/>
                <w:bCs/>
                <w:color w:val="000000" w:themeColor="text1"/>
                <w:kern w:val="21"/>
                <w:sz w:val="20"/>
                <w:szCs w:val="20"/>
                <w:highlight w:val="none"/>
                <w14:textFill>
                  <w14:solidFill>
                    <w14:schemeClr w14:val="tx1"/>
                  </w14:solidFill>
                </w14:textFill>
              </w:rPr>
              <w:t>限制开发建设活动的要求：</w:t>
            </w:r>
            <w:r>
              <w:rPr>
                <w:rFonts w:cs="Times New Roman"/>
                <w:color w:val="000000" w:themeColor="text1"/>
                <w:kern w:val="21"/>
                <w:sz w:val="20"/>
                <w:szCs w:val="20"/>
                <w:highlight w:val="none"/>
                <w14:textFill>
                  <w14:solidFill>
                    <w14:schemeClr w14:val="tx1"/>
                  </w14:solidFill>
                </w14:textFill>
              </w:rPr>
              <w:t>/</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b/>
                <w:bCs/>
                <w:color w:val="000000" w:themeColor="text1"/>
                <w:kern w:val="21"/>
                <w:sz w:val="20"/>
                <w:szCs w:val="20"/>
                <w:highlight w:val="none"/>
                <w14:textFill>
                  <w14:solidFill>
                    <w14:schemeClr w14:val="tx1"/>
                  </w14:solidFill>
                </w14:textFill>
              </w:rPr>
              <w:t>允许开发建设活动的要求：</w:t>
            </w:r>
            <w:r>
              <w:rPr>
                <w:rFonts w:cs="Times New Roman"/>
                <w:color w:val="000000" w:themeColor="text1"/>
                <w:kern w:val="21"/>
                <w:sz w:val="20"/>
                <w:szCs w:val="20"/>
                <w:highlight w:val="none"/>
                <w14:textFill>
                  <w14:solidFill>
                    <w14:schemeClr w14:val="tx1"/>
                  </w14:solidFill>
                </w14:textFill>
              </w:rPr>
              <w:t>/</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不符合空间布局要求活动的退出要求:/</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其他空间布局约束要求：/</w:t>
            </w:r>
          </w:p>
        </w:tc>
        <w:tc>
          <w:tcPr>
            <w:tcW w:w="1422" w:type="dxa"/>
            <w:vAlign w:val="center"/>
          </w:tcPr>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本项目为天然气试采工程，不属于禁止、限制建设活动。</w:t>
            </w:r>
          </w:p>
        </w:tc>
        <w:tc>
          <w:tcPr>
            <w:tcW w:w="1047"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sz w:val="20"/>
                <w:szCs w:val="20"/>
                <w:highlight w:val="none"/>
                <w:lang w:bidi="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5" w:type="dxa"/>
            <w:vMerge w:val="continue"/>
            <w:vAlign w:val="center"/>
          </w:tcPr>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p>
        </w:tc>
        <w:tc>
          <w:tcPr>
            <w:tcW w:w="464" w:type="dxa"/>
            <w:vMerge w:val="continue"/>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tc>
        <w:tc>
          <w:tcPr>
            <w:tcW w:w="407"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污染物排放管控</w:t>
            </w:r>
          </w:p>
        </w:tc>
        <w:tc>
          <w:tcPr>
            <w:tcW w:w="4425" w:type="dxa"/>
            <w:vAlign w:val="center"/>
          </w:tcPr>
          <w:p>
            <w:pPr>
              <w:pStyle w:val="389"/>
              <w:widowControl/>
              <w:shd w:val="clear" w:color="auto" w:fill="FFFFFF"/>
              <w:spacing w:line="240" w:lineRule="auto"/>
              <w:ind w:firstLine="0" w:firstLineChars="0"/>
              <w:jc w:val="left"/>
              <w:rPr>
                <w:rFonts w:eastAsia="宋体"/>
                <w:color w:val="000000" w:themeColor="text1"/>
                <w:sz w:val="20"/>
                <w:szCs w:val="20"/>
                <w:highlight w:val="none"/>
                <w14:textFill>
                  <w14:solidFill>
                    <w14:schemeClr w14:val="tx1"/>
                  </w14:solidFill>
                </w14:textFill>
              </w:rPr>
            </w:pPr>
            <w:r>
              <w:rPr>
                <w:rFonts w:eastAsia="宋体"/>
                <w:color w:val="000000" w:themeColor="text1"/>
                <w:sz w:val="20"/>
                <w:szCs w:val="20"/>
                <w:highlight w:val="none"/>
                <w14:textFill>
                  <w14:solidFill>
                    <w14:schemeClr w14:val="tx1"/>
                  </w14:solidFill>
                </w14:textFill>
              </w:rPr>
              <w:t>城镇污水污染控制措施要求</w:t>
            </w:r>
          </w:p>
          <w:p>
            <w:pPr>
              <w:pStyle w:val="389"/>
              <w:widowControl/>
              <w:shd w:val="clear" w:color="auto" w:fill="FFFFFF"/>
              <w:spacing w:line="240" w:lineRule="auto"/>
              <w:ind w:firstLine="0" w:firstLineChars="0"/>
              <w:jc w:val="left"/>
              <w:rPr>
                <w:rFonts w:eastAsia="宋体"/>
                <w:color w:val="000000" w:themeColor="text1"/>
                <w:sz w:val="20"/>
                <w:szCs w:val="20"/>
                <w:highlight w:val="none"/>
                <w14:textFill>
                  <w14:solidFill>
                    <w14:schemeClr w14:val="tx1"/>
                  </w14:solidFill>
                </w14:textFill>
              </w:rPr>
            </w:pPr>
            <w:r>
              <w:rPr>
                <w:rFonts w:eastAsia="宋体"/>
                <w:color w:val="000000" w:themeColor="text1"/>
                <w:sz w:val="20"/>
                <w:szCs w:val="20"/>
                <w:highlight w:val="none"/>
                <w14:textFill>
                  <w14:solidFill>
                    <w14:schemeClr w14:val="tx1"/>
                  </w14:solidFill>
                </w14:textFill>
              </w:rPr>
              <w:t>1、持续推进环保基础设施补短板，完善污水收集处理系统。2、保障乡镇污水收集处理设施顺畅运行。3、推进污水直排口排查与整治，落实“一口一策”整改措施。</w:t>
            </w:r>
          </w:p>
          <w:p>
            <w:pPr>
              <w:pStyle w:val="389"/>
              <w:widowControl/>
              <w:shd w:val="clear" w:color="auto" w:fill="FFFFFF"/>
              <w:spacing w:line="240" w:lineRule="auto"/>
              <w:ind w:firstLine="0" w:firstLineChars="0"/>
              <w:jc w:val="left"/>
              <w:rPr>
                <w:rFonts w:eastAsia="宋体"/>
                <w:color w:val="000000" w:themeColor="text1"/>
                <w:sz w:val="20"/>
                <w:szCs w:val="20"/>
                <w:highlight w:val="none"/>
                <w14:textFill>
                  <w14:solidFill>
                    <w14:schemeClr w14:val="tx1"/>
                  </w14:solidFill>
                </w14:textFill>
              </w:rPr>
            </w:pPr>
            <w:r>
              <w:rPr>
                <w:rFonts w:eastAsia="宋体"/>
                <w:color w:val="000000" w:themeColor="text1"/>
                <w:sz w:val="20"/>
                <w:szCs w:val="20"/>
                <w:highlight w:val="none"/>
                <w14:textFill>
                  <w14:solidFill>
                    <w14:schemeClr w14:val="tx1"/>
                  </w14:solidFill>
                </w14:textFill>
              </w:rPr>
              <w:t>工业废水污染控制措施要求</w:t>
            </w:r>
          </w:p>
          <w:p>
            <w:pPr>
              <w:pStyle w:val="389"/>
              <w:widowControl/>
              <w:shd w:val="clear" w:color="auto" w:fill="FFFFFF"/>
              <w:spacing w:line="240" w:lineRule="auto"/>
              <w:ind w:firstLine="0" w:firstLineChars="0"/>
              <w:jc w:val="left"/>
              <w:rPr>
                <w:rFonts w:eastAsia="宋体"/>
                <w:color w:val="000000" w:themeColor="text1"/>
                <w:sz w:val="20"/>
                <w:szCs w:val="20"/>
                <w:highlight w:val="none"/>
                <w14:textFill>
                  <w14:solidFill>
                    <w14:schemeClr w14:val="tx1"/>
                  </w14:solidFill>
                </w14:textFill>
              </w:rPr>
            </w:pPr>
            <w:r>
              <w:rPr>
                <w:rFonts w:eastAsia="宋体"/>
                <w:color w:val="000000" w:themeColor="text1"/>
                <w:sz w:val="20"/>
                <w:szCs w:val="20"/>
                <w:highlight w:val="none"/>
                <w14:textFill>
                  <w14:solidFill>
                    <w14:schemeClr w14:val="tx1"/>
                  </w14:solidFill>
                </w14:textFill>
              </w:rPr>
              <w:t>1、落实主要污染物排放总量指标控制要求，加强入河排污口登记、审批和监督管理。2、强化流域内工业点源、规模化畜禽养殖场运行监管，避免偷排、漏排。</w:t>
            </w:r>
          </w:p>
          <w:p>
            <w:pPr>
              <w:pStyle w:val="389"/>
              <w:widowControl/>
              <w:shd w:val="clear" w:color="auto" w:fill="FFFFFF"/>
              <w:spacing w:line="240" w:lineRule="auto"/>
              <w:ind w:firstLine="0" w:firstLineChars="0"/>
              <w:jc w:val="left"/>
              <w:rPr>
                <w:rFonts w:eastAsia="宋体"/>
                <w:color w:val="000000" w:themeColor="text1"/>
                <w:sz w:val="20"/>
                <w:szCs w:val="20"/>
                <w:highlight w:val="none"/>
                <w14:textFill>
                  <w14:solidFill>
                    <w14:schemeClr w14:val="tx1"/>
                  </w14:solidFill>
                </w14:textFill>
              </w:rPr>
            </w:pPr>
            <w:r>
              <w:rPr>
                <w:rFonts w:eastAsia="宋体"/>
                <w:color w:val="000000" w:themeColor="text1"/>
                <w:sz w:val="20"/>
                <w:szCs w:val="20"/>
                <w:highlight w:val="none"/>
                <w14:textFill>
                  <w14:solidFill>
                    <w14:schemeClr w14:val="tx1"/>
                  </w14:solidFill>
                </w14:textFill>
              </w:rPr>
              <w:t>农业面源水污染控制措施要求</w:t>
            </w:r>
          </w:p>
          <w:p>
            <w:pPr>
              <w:overflowPunct w:val="0"/>
              <w:adjustRightInd/>
              <w:snapToGrid/>
              <w:spacing w:line="240" w:lineRule="auto"/>
              <w:ind w:firstLine="0" w:firstLineChars="0"/>
              <w:rPr>
                <w:rFonts w:cs="Times New Roman"/>
                <w:color w:val="000000" w:themeColor="text1"/>
                <w:sz w:val="20"/>
                <w:szCs w:val="20"/>
                <w:highlight w:val="none"/>
                <w14:textFill>
                  <w14:solidFill>
                    <w14:schemeClr w14:val="tx1"/>
                  </w14:solidFill>
                </w14:textFill>
              </w:rPr>
            </w:pPr>
            <w:r>
              <w:rPr>
                <w:rFonts w:cs="Times New Roman"/>
                <w:color w:val="000000" w:themeColor="text1"/>
                <w:sz w:val="20"/>
                <w:szCs w:val="20"/>
                <w:highlight w:val="none"/>
                <w14:textFill>
                  <w14:solidFill>
                    <w14:schemeClr w14:val="tx1"/>
                  </w14:solidFill>
                </w14:textFill>
              </w:rPr>
              <w:t>1、推进农村污染治理，稳步农村污水处理设施建设，适当预留发展空间，宜集中则集中，宜分散则分散。大力推进农村生活垃圾就地分类减量 和资源化利用，因地制宜选择农村生活垃圾治理模式。严格做好“农家乐”、种植采摘园等范围内的生活及农产品产生污水及垃圾治理。2、以环境承载能力为约束，合理规划水产养殖空间及规模；推进水产生态健康养殖，加强渔业生产过程中抗菌药物使用管控。推进水产养殖治理，水产养殖废水应处理达到《四川省水产养殖业水污染物排放标准》后排放；实施池塘标准化改造，完善循环水和进排水处理设施；推进养殖尾水节水减排。3、以环境承载能力为约束，合理规划畜禽养殖空间及规模；推进畜禽粪污分类处置，根据排放去向或利用方式的不同执行相应的标准规范。不断提高畜禽养殖粪污资源化利用率及利用水平；设有污水排放口的规模化畜禽养殖场应当依法申领排污许可证。4、推进化肥、农药使用量“零增长”，逐步推进农田径流拦截及治理。</w:t>
            </w:r>
          </w:p>
          <w:p>
            <w:pPr>
              <w:pStyle w:val="389"/>
              <w:widowControl/>
              <w:shd w:val="clear" w:color="auto" w:fill="FFFFFF"/>
              <w:spacing w:line="240" w:lineRule="auto"/>
              <w:ind w:firstLine="0" w:firstLineChars="0"/>
              <w:jc w:val="left"/>
              <w:rPr>
                <w:rFonts w:eastAsia="宋体"/>
                <w:color w:val="000000" w:themeColor="text1"/>
                <w:sz w:val="20"/>
                <w:szCs w:val="20"/>
                <w:highlight w:val="none"/>
                <w14:textFill>
                  <w14:solidFill>
                    <w14:schemeClr w14:val="tx1"/>
                  </w14:solidFill>
                </w14:textFill>
              </w:rPr>
            </w:pPr>
            <w:r>
              <w:rPr>
                <w:rFonts w:eastAsia="宋体"/>
                <w:color w:val="000000" w:themeColor="text1"/>
                <w:sz w:val="20"/>
                <w:szCs w:val="20"/>
                <w:highlight w:val="none"/>
                <w14:textFill>
                  <w14:solidFill>
                    <w14:schemeClr w14:val="tx1"/>
                  </w14:solidFill>
                </w14:textFill>
              </w:rPr>
              <w:t>船舶港口水污染控制措施要求：/</w:t>
            </w:r>
          </w:p>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sz w:val="20"/>
                <w:szCs w:val="20"/>
                <w:highlight w:val="none"/>
                <w14:textFill>
                  <w14:solidFill>
                    <w14:schemeClr w14:val="tx1"/>
                  </w14:solidFill>
                </w14:textFill>
              </w:rPr>
              <w:t>饮用水水源和其它特殊水体保护要求：/</w:t>
            </w:r>
          </w:p>
        </w:tc>
        <w:tc>
          <w:tcPr>
            <w:tcW w:w="1422" w:type="dxa"/>
            <w:vAlign w:val="center"/>
          </w:tcPr>
          <w:p>
            <w:pPr>
              <w:overflowPunct w:val="0"/>
              <w:adjustRightInd/>
              <w:snapToGrid/>
              <w:spacing w:line="240" w:lineRule="auto"/>
              <w:ind w:firstLine="0" w:firstLineChars="0"/>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本项目为天然气试采工程，施工废水不外排，生活污水全部拉运处理</w:t>
            </w:r>
            <w:r>
              <w:rPr>
                <w:rFonts w:hint="eastAsia" w:cs="Times New Roman"/>
                <w:color w:val="000000" w:themeColor="text1"/>
                <w:kern w:val="21"/>
                <w:sz w:val="20"/>
                <w:szCs w:val="20"/>
                <w:highlight w:val="none"/>
                <w14:textFill>
                  <w14:solidFill>
                    <w14:schemeClr w14:val="tx1"/>
                  </w14:solidFill>
                </w14:textFill>
              </w:rPr>
              <w:t>，试</w:t>
            </w:r>
            <w:r>
              <w:rPr>
                <w:rFonts w:cs="Times New Roman"/>
                <w:color w:val="000000" w:themeColor="text1"/>
                <w:kern w:val="21"/>
                <w:sz w:val="20"/>
                <w:szCs w:val="20"/>
                <w:highlight w:val="none"/>
                <w14:textFill>
                  <w14:solidFill>
                    <w14:schemeClr w14:val="tx1"/>
                  </w14:solidFill>
                </w14:textFill>
              </w:rPr>
              <w:t>采期间气田水进入污水</w:t>
            </w:r>
            <w:r>
              <w:rPr>
                <w:rFonts w:hint="eastAsia" w:cs="Times New Roman"/>
                <w:color w:val="000000" w:themeColor="text1"/>
                <w:kern w:val="21"/>
                <w:sz w:val="20"/>
                <w:szCs w:val="20"/>
                <w:highlight w:val="none"/>
                <w14:textFill>
                  <w14:solidFill>
                    <w14:schemeClr w14:val="tx1"/>
                  </w14:solidFill>
                </w14:textFill>
              </w:rPr>
              <w:t>罐</w:t>
            </w:r>
            <w:r>
              <w:rPr>
                <w:rFonts w:cs="Times New Roman"/>
                <w:color w:val="000000" w:themeColor="text1"/>
                <w:kern w:val="21"/>
                <w:sz w:val="20"/>
                <w:szCs w:val="20"/>
                <w:highlight w:val="none"/>
                <w14:textFill>
                  <w14:solidFill>
                    <w14:schemeClr w14:val="tx1"/>
                  </w14:solidFill>
                </w14:textFill>
              </w:rPr>
              <w:t>，</w:t>
            </w:r>
            <w:r>
              <w:rPr>
                <w:rFonts w:hint="eastAsia" w:cs="Times New Roman"/>
                <w:color w:val="000000" w:themeColor="text1"/>
                <w:kern w:val="21"/>
                <w:sz w:val="20"/>
                <w:szCs w:val="20"/>
                <w:highlight w:val="none"/>
                <w14:textFill>
                  <w14:solidFill>
                    <w14:schemeClr w14:val="tx1"/>
                  </w14:solidFill>
                </w14:textFill>
              </w:rPr>
              <w:t>然后通过密闭罐车拉运至赵家坝污水处理站处理达到《气田水回注方法》（SY/T 6596-2016）中注入水基本要求后管输至普光3井回注站回注处理，不外排，</w:t>
            </w:r>
            <w:r>
              <w:rPr>
                <w:rFonts w:cs="Times New Roman"/>
                <w:color w:val="000000" w:themeColor="text1"/>
                <w:kern w:val="21"/>
                <w:sz w:val="20"/>
                <w:szCs w:val="20"/>
                <w:highlight w:val="none"/>
                <w14:textFill>
                  <w14:solidFill>
                    <w14:schemeClr w14:val="tx1"/>
                  </w14:solidFill>
                </w14:textFill>
              </w:rPr>
              <w:t>不</w:t>
            </w:r>
            <w:r>
              <w:rPr>
                <w:rFonts w:hint="eastAsia" w:cs="Times New Roman"/>
                <w:color w:val="000000" w:themeColor="text1"/>
                <w:kern w:val="21"/>
                <w:sz w:val="20"/>
                <w:szCs w:val="20"/>
                <w:highlight w:val="none"/>
                <w14:textFill>
                  <w14:solidFill>
                    <w14:schemeClr w14:val="tx1"/>
                  </w14:solidFill>
                </w14:textFill>
              </w:rPr>
              <w:t>涉及入河排污口，符合</w:t>
            </w:r>
            <w:r>
              <w:rPr>
                <w:rFonts w:cs="Times New Roman"/>
                <w:color w:val="000000" w:themeColor="text1"/>
                <w:kern w:val="21"/>
                <w:sz w:val="20"/>
                <w:szCs w:val="20"/>
                <w:highlight w:val="none"/>
                <w14:textFill>
                  <w14:solidFill>
                    <w14:schemeClr w14:val="tx1"/>
                  </w14:solidFill>
                </w14:textFill>
              </w:rPr>
              <w:t>污染物排放管控</w:t>
            </w:r>
            <w:r>
              <w:rPr>
                <w:rFonts w:hint="eastAsia" w:cs="Times New Roman"/>
                <w:color w:val="000000" w:themeColor="text1"/>
                <w:kern w:val="21"/>
                <w:sz w:val="20"/>
                <w:szCs w:val="20"/>
                <w:highlight w:val="none"/>
                <w14:textFill>
                  <w14:solidFill>
                    <w14:schemeClr w14:val="tx1"/>
                  </w14:solidFill>
                </w14:textFill>
              </w:rPr>
              <w:t>要求</w:t>
            </w:r>
            <w:r>
              <w:rPr>
                <w:rFonts w:cs="Times New Roman"/>
                <w:color w:val="000000" w:themeColor="text1"/>
                <w:kern w:val="21"/>
                <w:sz w:val="20"/>
                <w:szCs w:val="20"/>
                <w:highlight w:val="none"/>
                <w14:textFill>
                  <w14:solidFill>
                    <w14:schemeClr w14:val="tx1"/>
                  </w14:solidFill>
                </w14:textFill>
              </w:rPr>
              <w:t>。</w:t>
            </w:r>
          </w:p>
        </w:tc>
        <w:tc>
          <w:tcPr>
            <w:tcW w:w="1047"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sz w:val="20"/>
                <w:szCs w:val="20"/>
                <w:highlight w:val="none"/>
                <w:lang w:bidi="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5" w:type="dxa"/>
            <w:vMerge w:val="continue"/>
            <w:vAlign w:val="center"/>
          </w:tcPr>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p>
        </w:tc>
        <w:tc>
          <w:tcPr>
            <w:tcW w:w="464" w:type="dxa"/>
            <w:vMerge w:val="continue"/>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tc>
        <w:tc>
          <w:tcPr>
            <w:tcW w:w="407"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环境风险防控</w:t>
            </w:r>
          </w:p>
        </w:tc>
        <w:tc>
          <w:tcPr>
            <w:tcW w:w="4425" w:type="dxa"/>
            <w:vAlign w:val="center"/>
          </w:tcPr>
          <w:p>
            <w:pPr>
              <w:overflowPunct w:val="0"/>
              <w:adjustRightInd/>
              <w:snapToGrid/>
              <w:spacing w:line="240" w:lineRule="auto"/>
              <w:ind w:firstLine="0" w:firstLineChars="0"/>
              <w:jc w:val="left"/>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sz w:val="20"/>
                <w:szCs w:val="20"/>
                <w:highlight w:val="none"/>
                <w14:textFill>
                  <w14:solidFill>
                    <w14:schemeClr w14:val="tx1"/>
                  </w14:solidFill>
                </w14:textFill>
              </w:rPr>
              <w:t>进一步完善工业企业和矿山环境风险防范和管理体系建设，开展企业风险隐患排查与风险评估，增强企业的环境风险意识，守住环境安全底线。落实“一河一策一图”风险管理和应急响应方案，提升风险应急管理水平</w:t>
            </w:r>
          </w:p>
        </w:tc>
        <w:tc>
          <w:tcPr>
            <w:tcW w:w="1422" w:type="dxa"/>
            <w:vAlign w:val="center"/>
          </w:tcPr>
          <w:p>
            <w:pPr>
              <w:overflowPunct w:val="0"/>
              <w:adjustRightInd/>
              <w:snapToGrid/>
              <w:spacing w:line="240" w:lineRule="auto"/>
              <w:ind w:firstLine="0" w:firstLineChars="0"/>
              <w:jc w:val="left"/>
              <w:rPr>
                <w:rFonts w:cs="Times New Roman"/>
                <w:color w:val="000000" w:themeColor="text1"/>
                <w:sz w:val="20"/>
                <w:szCs w:val="20"/>
                <w:highlight w:val="none"/>
                <w14:textFill>
                  <w14:solidFill>
                    <w14:schemeClr w14:val="tx1"/>
                  </w14:solidFill>
                </w14:textFill>
              </w:rPr>
            </w:pPr>
            <w:r>
              <w:rPr>
                <w:rFonts w:cs="Times New Roman"/>
                <w:color w:val="000000" w:themeColor="text1"/>
                <w:sz w:val="20"/>
                <w:szCs w:val="20"/>
                <w:highlight w:val="none"/>
                <w14:textFill>
                  <w14:solidFill>
                    <w14:schemeClr w14:val="tx1"/>
                  </w14:solidFill>
                </w14:textFill>
              </w:rPr>
              <w:t>本项目严格落实风险防控措施，普光分公司建立了环境突发事故应急预案</w:t>
            </w:r>
            <w:r>
              <w:rPr>
                <w:rFonts w:hint="eastAsia" w:cs="Times New Roman"/>
                <w:color w:val="000000" w:themeColor="text1"/>
                <w:sz w:val="20"/>
                <w:szCs w:val="20"/>
                <w:highlight w:val="none"/>
                <w14:textFill>
                  <w14:solidFill>
                    <w14:schemeClr w14:val="tx1"/>
                  </w14:solidFill>
                </w14:textFill>
              </w:rPr>
              <w:t>体系</w:t>
            </w:r>
            <w:r>
              <w:rPr>
                <w:rFonts w:cs="Times New Roman"/>
                <w:color w:val="000000" w:themeColor="text1"/>
                <w:sz w:val="20"/>
                <w:szCs w:val="20"/>
                <w:highlight w:val="none"/>
                <w14:textFill>
                  <w14:solidFill>
                    <w14:schemeClr w14:val="tx1"/>
                  </w14:solidFill>
                </w14:textFill>
              </w:rPr>
              <w:t>。不涉及环境风险防控要求。</w:t>
            </w:r>
          </w:p>
          <w:p>
            <w:pPr>
              <w:overflowPunct w:val="0"/>
              <w:adjustRightInd/>
              <w:snapToGrid/>
              <w:spacing w:line="240" w:lineRule="auto"/>
              <w:ind w:firstLine="0" w:firstLineChars="0"/>
              <w:jc w:val="center"/>
              <w:rPr>
                <w:rFonts w:cs="Times New Roman"/>
                <w:color w:val="000000" w:themeColor="text1"/>
                <w:sz w:val="20"/>
                <w:szCs w:val="20"/>
                <w:highlight w:val="none"/>
                <w14:textFill>
                  <w14:solidFill>
                    <w14:schemeClr w14:val="tx1"/>
                  </w14:solidFill>
                </w14:textFill>
              </w:rPr>
            </w:pPr>
          </w:p>
        </w:tc>
        <w:tc>
          <w:tcPr>
            <w:tcW w:w="1047"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sz w:val="20"/>
                <w:szCs w:val="20"/>
                <w:highlight w:val="none"/>
                <w:lang w:bidi="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5" w:type="dxa"/>
            <w:vMerge w:val="continue"/>
            <w:vAlign w:val="center"/>
          </w:tcPr>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p>
        </w:tc>
        <w:tc>
          <w:tcPr>
            <w:tcW w:w="464" w:type="dxa"/>
            <w:vMerge w:val="continue"/>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tc>
        <w:tc>
          <w:tcPr>
            <w:tcW w:w="407"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资源开发效率要求</w:t>
            </w:r>
          </w:p>
        </w:tc>
        <w:tc>
          <w:tcPr>
            <w:tcW w:w="4425" w:type="dxa"/>
            <w:vAlign w:val="center"/>
          </w:tcPr>
          <w:p>
            <w:pPr>
              <w:overflowPunct w:val="0"/>
              <w:adjustRightInd/>
              <w:snapToGrid/>
              <w:spacing w:line="240" w:lineRule="auto"/>
              <w:ind w:firstLine="0" w:firstLineChars="0"/>
              <w:jc w:val="left"/>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sz w:val="20"/>
                <w:szCs w:val="20"/>
                <w:highlight w:val="none"/>
                <w14:textFill>
                  <w14:solidFill>
                    <w14:schemeClr w14:val="tx1"/>
                  </w14:solidFill>
                </w14:textFill>
              </w:rPr>
              <w:t>强化种植业节水；推进农村污水分质资源化利用。</w:t>
            </w:r>
          </w:p>
        </w:tc>
        <w:tc>
          <w:tcPr>
            <w:tcW w:w="1422"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14:textFill>
                  <w14:solidFill>
                    <w14:schemeClr w14:val="tx1"/>
                  </w14:solidFill>
                </w14:textFill>
              </w:rPr>
            </w:pPr>
            <w:r>
              <w:rPr>
                <w:rFonts w:cs="Times New Roman"/>
                <w:color w:val="000000" w:themeColor="text1"/>
                <w:sz w:val="20"/>
                <w:szCs w:val="20"/>
                <w:highlight w:val="none"/>
                <w14:textFill>
                  <w14:solidFill>
                    <w14:schemeClr w14:val="tx1"/>
                  </w14:solidFill>
                </w14:textFill>
              </w:rPr>
              <w:t>/</w:t>
            </w:r>
          </w:p>
        </w:tc>
        <w:tc>
          <w:tcPr>
            <w:tcW w:w="1047"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sz w:val="20"/>
                <w:szCs w:val="20"/>
                <w:highlight w:val="none"/>
                <w:lang w:bidi="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5" w:type="dxa"/>
            <w:vMerge w:val="restart"/>
            <w:vAlign w:val="center"/>
          </w:tcPr>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p>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r>
              <w:rPr>
                <w:rFonts w:cs="Times New Roman"/>
                <w:color w:val="000000" w:themeColor="text1"/>
                <w:sz w:val="20"/>
                <w:szCs w:val="20"/>
                <w:highlight w:val="none"/>
                <w14:textFill>
                  <w14:solidFill>
                    <w14:schemeClr w14:val="tx1"/>
                  </w14:solidFill>
                </w14:textFill>
              </w:rPr>
              <w:t>ZH51170220002达州市农产品加工集中区</w:t>
            </w:r>
          </w:p>
        </w:tc>
        <w:tc>
          <w:tcPr>
            <w:tcW w:w="464" w:type="dxa"/>
            <w:vMerge w:val="restart"/>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sz w:val="20"/>
                <w:szCs w:val="20"/>
                <w:highlight w:val="none"/>
                <w:lang w:bidi="zh-CN"/>
                <w14:textFill>
                  <w14:solidFill>
                    <w14:schemeClr w14:val="tx1"/>
                  </w14:solidFill>
                </w14:textFill>
              </w:rPr>
              <w:t>普适性清单管控要求</w:t>
            </w:r>
          </w:p>
        </w:tc>
        <w:tc>
          <w:tcPr>
            <w:tcW w:w="407" w:type="dxa"/>
            <w:vAlign w:val="center"/>
          </w:tcPr>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0"/>
                <w:sz w:val="20"/>
                <w:szCs w:val="20"/>
                <w:highlight w:val="none"/>
                <w14:textFill>
                  <w14:solidFill>
                    <w14:schemeClr w14:val="tx1"/>
                  </w14:solidFill>
                </w14:textFill>
              </w:rPr>
              <w:t>空间布局约束</w:t>
            </w:r>
          </w:p>
        </w:tc>
        <w:tc>
          <w:tcPr>
            <w:tcW w:w="4425" w:type="dxa"/>
            <w:vAlign w:val="center"/>
          </w:tcPr>
          <w:p>
            <w:pPr>
              <w:overflowPunct w:val="0"/>
              <w:adjustRightInd/>
              <w:snapToGrid/>
              <w:spacing w:line="240" w:lineRule="auto"/>
              <w:ind w:firstLine="0" w:firstLineChars="0"/>
              <w:rPr>
                <w:rFonts w:cs="Times New Roman"/>
                <w:b/>
                <w:bCs/>
                <w:color w:val="000000" w:themeColor="text1"/>
                <w:kern w:val="0"/>
                <w:sz w:val="20"/>
                <w:szCs w:val="20"/>
                <w:highlight w:val="none"/>
                <w14:textFill>
                  <w14:solidFill>
                    <w14:schemeClr w14:val="tx1"/>
                  </w14:solidFill>
                </w14:textFill>
              </w:rPr>
            </w:pPr>
            <w:r>
              <w:rPr>
                <w:rFonts w:cs="Times New Roman"/>
                <w:b/>
                <w:bCs/>
                <w:color w:val="000000" w:themeColor="text1"/>
                <w:kern w:val="0"/>
                <w:sz w:val="20"/>
                <w:szCs w:val="20"/>
                <w:highlight w:val="none"/>
                <w14:textFill>
                  <w14:solidFill>
                    <w14:schemeClr w14:val="tx1"/>
                  </w14:solidFill>
                </w14:textFill>
              </w:rPr>
              <w:t>禁止开发建设活动的要求：</w:t>
            </w:r>
          </w:p>
          <w:p>
            <w:pPr>
              <w:pStyle w:val="389"/>
              <w:spacing w:line="240" w:lineRule="auto"/>
              <w:ind w:firstLine="0" w:firstLineChars="0"/>
              <w:jc w:val="left"/>
              <w:rPr>
                <w:rFonts w:eastAsia="宋体"/>
                <w:color w:val="000000" w:themeColor="text1"/>
                <w:kern w:val="0"/>
                <w:sz w:val="20"/>
                <w:szCs w:val="20"/>
                <w:highlight w:val="none"/>
                <w14:textFill>
                  <w14:solidFill>
                    <w14:schemeClr w14:val="tx1"/>
                  </w14:solidFill>
                </w14:textFill>
              </w:rPr>
            </w:pPr>
            <w:r>
              <w:rPr>
                <w:rFonts w:eastAsia="宋体"/>
                <w:color w:val="000000" w:themeColor="text1"/>
                <w:kern w:val="0"/>
                <w:sz w:val="20"/>
                <w:szCs w:val="20"/>
                <w:highlight w:val="none"/>
                <w14:textFill>
                  <w14:solidFill>
                    <w14:schemeClr w14:val="tx1"/>
                  </w14:solidFill>
                </w14:textFill>
              </w:rPr>
              <w:t>-禁止在长江干支流、重要湖泊岸线一公里范围内新建、扩建化工园区和化工项目，严控新建石油化工、煤化工、涉磷、造纸、印染、制革等项目。</w:t>
            </w:r>
          </w:p>
          <w:p>
            <w:pPr>
              <w:pStyle w:val="389"/>
              <w:spacing w:line="240" w:lineRule="auto"/>
              <w:ind w:firstLine="0" w:firstLineChars="0"/>
              <w:jc w:val="left"/>
              <w:rPr>
                <w:rFonts w:eastAsia="宋体"/>
                <w:color w:val="000000" w:themeColor="text1"/>
                <w:kern w:val="0"/>
                <w:sz w:val="20"/>
                <w:szCs w:val="20"/>
                <w:highlight w:val="none"/>
                <w14:textFill>
                  <w14:solidFill>
                    <w14:schemeClr w14:val="tx1"/>
                  </w14:solidFill>
                </w14:textFill>
              </w:rPr>
            </w:pPr>
            <w:r>
              <w:rPr>
                <w:rFonts w:eastAsia="宋体"/>
                <w:color w:val="000000" w:themeColor="text1"/>
                <w:kern w:val="0"/>
                <w:sz w:val="20"/>
                <w:szCs w:val="20"/>
                <w:highlight w:val="none"/>
                <w14:textFill>
                  <w14:solidFill>
                    <w14:schemeClr w14:val="tx1"/>
                  </w14:solidFill>
                </w14:textFill>
              </w:rPr>
              <w:t>-禁止从事《长江经济带发展负面清单指南（试行）》禁止准入类事项。</w:t>
            </w:r>
          </w:p>
          <w:p>
            <w:pPr>
              <w:pStyle w:val="389"/>
              <w:spacing w:line="240" w:lineRule="auto"/>
              <w:ind w:firstLine="0" w:firstLineChars="0"/>
              <w:jc w:val="left"/>
              <w:rPr>
                <w:rFonts w:eastAsia="宋体"/>
                <w:color w:val="000000" w:themeColor="text1"/>
                <w:kern w:val="0"/>
                <w:sz w:val="20"/>
                <w:szCs w:val="20"/>
                <w:highlight w:val="none"/>
                <w14:textFill>
                  <w14:solidFill>
                    <w14:schemeClr w14:val="tx1"/>
                  </w14:solidFill>
                </w14:textFill>
              </w:rPr>
            </w:pPr>
            <w:r>
              <w:rPr>
                <w:rFonts w:eastAsia="宋体"/>
                <w:color w:val="000000" w:themeColor="text1"/>
                <w:kern w:val="0"/>
                <w:sz w:val="20"/>
                <w:szCs w:val="20"/>
                <w:highlight w:val="none"/>
                <w14:textFill>
                  <w14:solidFill>
                    <w14:schemeClr w14:val="tx1"/>
                  </w14:solidFill>
                </w14:textFill>
              </w:rPr>
              <w:t>-引进项目应符合园区规划环评和区域产业准入及负面清单要求。</w:t>
            </w:r>
          </w:p>
          <w:p>
            <w:pPr>
              <w:pStyle w:val="389"/>
              <w:spacing w:line="240" w:lineRule="auto"/>
              <w:ind w:firstLine="0" w:firstLineChars="0"/>
              <w:jc w:val="left"/>
              <w:rPr>
                <w:rFonts w:eastAsia="宋体"/>
                <w:color w:val="000000" w:themeColor="text1"/>
                <w:kern w:val="0"/>
                <w:sz w:val="20"/>
                <w:szCs w:val="20"/>
                <w:highlight w:val="none"/>
                <w14:textFill>
                  <w14:solidFill>
                    <w14:schemeClr w14:val="tx1"/>
                  </w14:solidFill>
                </w14:textFill>
              </w:rPr>
            </w:pPr>
            <w:r>
              <w:rPr>
                <w:rFonts w:eastAsia="宋体"/>
                <w:color w:val="000000" w:themeColor="text1"/>
                <w:kern w:val="0"/>
                <w:sz w:val="20"/>
                <w:szCs w:val="20"/>
                <w:highlight w:val="none"/>
                <w14:textFill>
                  <w14:solidFill>
                    <w14:schemeClr w14:val="tx1"/>
                  </w14:solidFill>
                </w14:textFill>
              </w:rPr>
              <w:t>-禁止新建不符合国家产业政策和行业准入条件的高污染项目。</w:t>
            </w:r>
          </w:p>
          <w:p>
            <w:pPr>
              <w:pStyle w:val="389"/>
              <w:spacing w:line="240" w:lineRule="auto"/>
              <w:ind w:firstLine="0" w:firstLineChars="0"/>
              <w:jc w:val="left"/>
              <w:rPr>
                <w:rFonts w:eastAsia="宋体"/>
                <w:color w:val="000000" w:themeColor="text1"/>
                <w:kern w:val="0"/>
                <w:sz w:val="20"/>
                <w:szCs w:val="20"/>
                <w:highlight w:val="none"/>
                <w14:textFill>
                  <w14:solidFill>
                    <w14:schemeClr w14:val="tx1"/>
                  </w14:solidFill>
                </w14:textFill>
              </w:rPr>
            </w:pPr>
            <w:r>
              <w:rPr>
                <w:rFonts w:eastAsia="宋体"/>
                <w:color w:val="000000" w:themeColor="text1"/>
                <w:kern w:val="0"/>
                <w:sz w:val="20"/>
                <w:szCs w:val="20"/>
                <w:highlight w:val="none"/>
                <w14:textFill>
                  <w14:solidFill>
                    <w14:schemeClr w14:val="tx1"/>
                  </w14:solidFill>
                </w14:textFill>
              </w:rPr>
              <w:t>-工业园区禁止新建高污染燃料锅炉。</w:t>
            </w:r>
          </w:p>
          <w:p>
            <w:pPr>
              <w:pStyle w:val="389"/>
              <w:spacing w:line="240" w:lineRule="auto"/>
              <w:ind w:firstLine="0" w:firstLineChars="0"/>
              <w:jc w:val="left"/>
              <w:rPr>
                <w:rFonts w:eastAsia="宋体"/>
                <w:color w:val="000000" w:themeColor="text1"/>
                <w:kern w:val="0"/>
                <w:sz w:val="20"/>
                <w:szCs w:val="20"/>
                <w:highlight w:val="none"/>
                <w14:textFill>
                  <w14:solidFill>
                    <w14:schemeClr w14:val="tx1"/>
                  </w14:solidFill>
                </w14:textFill>
              </w:rPr>
            </w:pPr>
            <w:r>
              <w:rPr>
                <w:rFonts w:eastAsia="宋体"/>
                <w:color w:val="000000" w:themeColor="text1"/>
                <w:kern w:val="0"/>
                <w:sz w:val="20"/>
                <w:szCs w:val="20"/>
                <w:highlight w:val="none"/>
                <w14:textFill>
                  <w14:solidFill>
                    <w14:schemeClr w14:val="tx1"/>
                  </w14:solidFill>
                </w14:textFill>
              </w:rPr>
              <w:t>-禁止在长江流域河湖管理范围内倾倒、填埋、堆放、弃置、处理固体废物。</w:t>
            </w:r>
          </w:p>
          <w:p>
            <w:pPr>
              <w:overflowPunct w:val="0"/>
              <w:adjustRightInd/>
              <w:snapToGrid/>
              <w:spacing w:line="240" w:lineRule="auto"/>
              <w:ind w:firstLine="0" w:firstLineChars="0"/>
              <w:jc w:val="left"/>
              <w:rPr>
                <w:rFonts w:cs="Times New Roman"/>
                <w:color w:val="000000" w:themeColor="text1"/>
                <w:kern w:val="0"/>
                <w:sz w:val="20"/>
                <w:szCs w:val="20"/>
                <w:highlight w:val="none"/>
                <w14:textFill>
                  <w14:solidFill>
                    <w14:schemeClr w14:val="tx1"/>
                  </w14:solidFill>
                </w14:textFill>
              </w:rPr>
            </w:pPr>
            <w:r>
              <w:rPr>
                <w:rFonts w:cs="Times New Roman"/>
                <w:color w:val="000000" w:themeColor="text1"/>
                <w:kern w:val="0"/>
                <w:sz w:val="20"/>
                <w:szCs w:val="20"/>
                <w:highlight w:val="none"/>
                <w14:textFill>
                  <w14:solidFill>
                    <w14:schemeClr w14:val="tx1"/>
                  </w14:solidFill>
                </w14:textFill>
              </w:rPr>
              <w:t>-未通过认定的化工园区，不得新建、改扩建化工项目（安全、环保、节能和智能化改造项目除外），按属地原则依法依规妥善做好未通过认</w:t>
            </w:r>
            <w:r>
              <w:rPr>
                <w:rFonts w:hint="eastAsia" w:cs="Times New Roman"/>
                <w:color w:val="000000" w:themeColor="text1"/>
                <w:kern w:val="0"/>
                <w:sz w:val="20"/>
                <w:szCs w:val="20"/>
                <w:highlight w:val="none"/>
                <w14:textFill>
                  <w14:solidFill>
                    <w14:schemeClr w14:val="tx1"/>
                  </w14:solidFill>
                </w14:textFill>
              </w:rPr>
              <w:t>定的</w:t>
            </w:r>
            <w:r>
              <w:rPr>
                <w:rFonts w:cs="Times New Roman"/>
                <w:color w:val="000000" w:themeColor="text1"/>
                <w:kern w:val="0"/>
                <w:sz w:val="20"/>
                <w:szCs w:val="20"/>
                <w:highlight w:val="none"/>
                <w14:textFill>
                  <w14:solidFill>
                    <w14:schemeClr w14:val="tx1"/>
                  </w14:solidFill>
                </w14:textFill>
              </w:rPr>
              <w:t>化工园区及园内企业的转型、关闭、处置及监管工作。</w:t>
            </w:r>
          </w:p>
          <w:p>
            <w:pPr>
              <w:pStyle w:val="389"/>
              <w:spacing w:line="240" w:lineRule="auto"/>
              <w:ind w:firstLine="0" w:firstLineChars="0"/>
              <w:rPr>
                <w:rFonts w:eastAsia="宋体"/>
                <w:b/>
                <w:bCs/>
                <w:color w:val="000000" w:themeColor="text1"/>
                <w:kern w:val="0"/>
                <w:sz w:val="20"/>
                <w:szCs w:val="20"/>
                <w:highlight w:val="none"/>
                <w14:textFill>
                  <w14:solidFill>
                    <w14:schemeClr w14:val="tx1"/>
                  </w14:solidFill>
                </w14:textFill>
              </w:rPr>
            </w:pPr>
            <w:r>
              <w:rPr>
                <w:rFonts w:eastAsia="宋体"/>
                <w:b/>
                <w:bCs/>
                <w:color w:val="000000" w:themeColor="text1"/>
                <w:kern w:val="0"/>
                <w:sz w:val="20"/>
                <w:szCs w:val="20"/>
                <w:highlight w:val="none"/>
                <w14:textFill>
                  <w14:solidFill>
                    <w14:schemeClr w14:val="tx1"/>
                  </w14:solidFill>
                </w14:textFill>
              </w:rPr>
              <w:t>限制开发建设活动的要求</w:t>
            </w:r>
            <w:r>
              <w:rPr>
                <w:rFonts w:hint="eastAsia" w:eastAsia="宋体"/>
                <w:b/>
                <w:bCs/>
                <w:color w:val="000000" w:themeColor="text1"/>
                <w:kern w:val="0"/>
                <w:sz w:val="20"/>
                <w:szCs w:val="20"/>
                <w:highlight w:val="none"/>
                <w14:textFill>
                  <w14:solidFill>
                    <w14:schemeClr w14:val="tx1"/>
                  </w14:solidFill>
                </w14:textFill>
              </w:rPr>
              <w:t>：</w:t>
            </w:r>
          </w:p>
          <w:p>
            <w:pPr>
              <w:pStyle w:val="389"/>
              <w:spacing w:line="240" w:lineRule="auto"/>
              <w:ind w:firstLine="0" w:firstLineChars="0"/>
              <w:rPr>
                <w:rFonts w:eastAsia="宋体"/>
                <w:color w:val="000000" w:themeColor="text1"/>
                <w:kern w:val="0"/>
                <w:sz w:val="20"/>
                <w:szCs w:val="20"/>
                <w:highlight w:val="none"/>
                <w14:textFill>
                  <w14:solidFill>
                    <w14:schemeClr w14:val="tx1"/>
                  </w14:solidFill>
                </w14:textFill>
              </w:rPr>
            </w:pPr>
            <w:r>
              <w:rPr>
                <w:rFonts w:eastAsia="宋体"/>
                <w:color w:val="000000" w:themeColor="text1"/>
                <w:kern w:val="0"/>
                <w:sz w:val="20"/>
                <w:szCs w:val="20"/>
                <w:highlight w:val="none"/>
                <w14:textFill>
                  <w14:solidFill>
                    <w14:schemeClr w14:val="tx1"/>
                  </w14:solidFill>
                </w14:textFill>
              </w:rPr>
              <w:t>-严格控制污染物新增排放量，对新建排放二氧化硫、氮氧化物、工业烟粉尘和 VOCS 的项目实施现役源2倍削减量替代。</w:t>
            </w:r>
          </w:p>
          <w:p>
            <w:pPr>
              <w:pStyle w:val="389"/>
              <w:spacing w:line="240" w:lineRule="auto"/>
              <w:ind w:firstLine="0" w:firstLineChars="0"/>
              <w:rPr>
                <w:rFonts w:eastAsia="宋体"/>
                <w:color w:val="000000" w:themeColor="text1"/>
                <w:kern w:val="0"/>
                <w:sz w:val="20"/>
                <w:szCs w:val="20"/>
                <w:highlight w:val="none"/>
                <w14:textFill>
                  <w14:solidFill>
                    <w14:schemeClr w14:val="tx1"/>
                  </w14:solidFill>
                </w14:textFill>
              </w:rPr>
            </w:pPr>
            <w:r>
              <w:rPr>
                <w:rFonts w:eastAsia="宋体"/>
                <w:color w:val="000000" w:themeColor="text1"/>
                <w:kern w:val="0"/>
                <w:sz w:val="20"/>
                <w:szCs w:val="20"/>
                <w:highlight w:val="none"/>
                <w14:textFill>
                  <w14:solidFill>
                    <w14:schemeClr w14:val="tx1"/>
                  </w14:solidFill>
                </w14:textFill>
              </w:rPr>
              <w:t>-严格实施环评制度，将细颗粒物达标情况纳入规划环评和相关项目环评内容，加快制定颗粒物、VOCS排放总量管理配套政策。</w:t>
            </w:r>
          </w:p>
          <w:p>
            <w:pPr>
              <w:pStyle w:val="389"/>
              <w:spacing w:line="240" w:lineRule="auto"/>
              <w:ind w:firstLine="0" w:firstLineChars="0"/>
              <w:rPr>
                <w:rFonts w:eastAsia="宋体"/>
                <w:color w:val="000000" w:themeColor="text1"/>
                <w:kern w:val="0"/>
                <w:sz w:val="20"/>
                <w:szCs w:val="20"/>
                <w:highlight w:val="none"/>
                <w14:textFill>
                  <w14:solidFill>
                    <w14:schemeClr w14:val="tx1"/>
                  </w14:solidFill>
                </w14:textFill>
              </w:rPr>
            </w:pPr>
            <w:r>
              <w:rPr>
                <w:rFonts w:eastAsia="宋体"/>
                <w:color w:val="000000" w:themeColor="text1"/>
                <w:kern w:val="0"/>
                <w:sz w:val="20"/>
                <w:szCs w:val="20"/>
                <w:highlight w:val="none"/>
                <w14:textFill>
                  <w14:solidFill>
                    <w14:schemeClr w14:val="tx1"/>
                  </w14:solidFill>
                </w14:textFill>
              </w:rPr>
              <w:t>-严格控制新建、扩建燃煤发电项目。</w:t>
            </w:r>
          </w:p>
          <w:p>
            <w:pPr>
              <w:overflowPunct w:val="0"/>
              <w:adjustRightInd/>
              <w:snapToGrid/>
              <w:spacing w:line="240" w:lineRule="auto"/>
              <w:ind w:firstLine="0" w:firstLineChars="0"/>
              <w:jc w:val="left"/>
              <w:rPr>
                <w:rFonts w:cs="Times New Roman"/>
                <w:color w:val="000000" w:themeColor="text1"/>
                <w:kern w:val="0"/>
                <w:sz w:val="20"/>
                <w:szCs w:val="20"/>
                <w:highlight w:val="none"/>
                <w14:textFill>
                  <w14:solidFill>
                    <w14:schemeClr w14:val="tx1"/>
                  </w14:solidFill>
                </w14:textFill>
              </w:rPr>
            </w:pPr>
            <w:r>
              <w:rPr>
                <w:rFonts w:cs="Times New Roman"/>
                <w:color w:val="000000" w:themeColor="text1"/>
                <w:kern w:val="0"/>
                <w:sz w:val="20"/>
                <w:szCs w:val="20"/>
                <w:highlight w:val="none"/>
                <w14:textFill>
                  <w14:solidFill>
                    <w14:schemeClr w14:val="tx1"/>
                  </w14:solidFill>
                </w14:textFill>
              </w:rPr>
              <w:t>-严控达州市主城区上游沿岸地区新建石油化工、煤化工、涉磷、造纸、印染、制革等项目。</w:t>
            </w:r>
          </w:p>
          <w:p>
            <w:pPr>
              <w:pStyle w:val="389"/>
              <w:spacing w:line="240" w:lineRule="auto"/>
              <w:ind w:firstLine="0" w:firstLineChars="0"/>
              <w:rPr>
                <w:rFonts w:eastAsia="宋体"/>
                <w:b/>
                <w:bCs/>
                <w:color w:val="000000" w:themeColor="text1"/>
                <w:kern w:val="0"/>
                <w:sz w:val="20"/>
                <w:szCs w:val="20"/>
                <w:highlight w:val="none"/>
                <w14:textFill>
                  <w14:solidFill>
                    <w14:schemeClr w14:val="tx1"/>
                  </w14:solidFill>
                </w14:textFill>
              </w:rPr>
            </w:pPr>
            <w:r>
              <w:rPr>
                <w:rFonts w:eastAsia="宋体"/>
                <w:b/>
                <w:bCs/>
                <w:color w:val="000000" w:themeColor="text1"/>
                <w:kern w:val="0"/>
                <w:sz w:val="20"/>
                <w:szCs w:val="20"/>
                <w:highlight w:val="none"/>
                <w14:textFill>
                  <w14:solidFill>
                    <w14:schemeClr w14:val="tx1"/>
                  </w14:solidFill>
                </w14:textFill>
              </w:rPr>
              <w:t>不符合空间布局要求活动的退出要求</w:t>
            </w:r>
            <w:r>
              <w:rPr>
                <w:rFonts w:hint="eastAsia" w:eastAsia="宋体"/>
                <w:b/>
                <w:bCs/>
                <w:color w:val="000000" w:themeColor="text1"/>
                <w:kern w:val="0"/>
                <w:sz w:val="20"/>
                <w:szCs w:val="20"/>
                <w:highlight w:val="none"/>
                <w14:textFill>
                  <w14:solidFill>
                    <w14:schemeClr w14:val="tx1"/>
                  </w14:solidFill>
                </w14:textFill>
              </w:rPr>
              <w:t>：</w:t>
            </w:r>
          </w:p>
          <w:p>
            <w:pPr>
              <w:pStyle w:val="389"/>
              <w:spacing w:line="240" w:lineRule="auto"/>
              <w:ind w:firstLine="0" w:firstLineChars="0"/>
              <w:rPr>
                <w:rFonts w:eastAsia="宋体"/>
                <w:color w:val="000000" w:themeColor="text1"/>
                <w:kern w:val="0"/>
                <w:sz w:val="20"/>
                <w:szCs w:val="20"/>
                <w:highlight w:val="none"/>
                <w14:textFill>
                  <w14:solidFill>
                    <w14:schemeClr w14:val="tx1"/>
                  </w14:solidFill>
                </w14:textFill>
              </w:rPr>
            </w:pPr>
            <w:r>
              <w:rPr>
                <w:rFonts w:eastAsia="宋体"/>
                <w:color w:val="000000" w:themeColor="text1"/>
                <w:kern w:val="0"/>
                <w:sz w:val="20"/>
                <w:szCs w:val="20"/>
                <w:highlight w:val="none"/>
                <w14:textFill>
                  <w14:solidFill>
                    <w14:schemeClr w14:val="tx1"/>
                  </w14:solidFill>
                </w14:textFill>
              </w:rPr>
              <w:t>-现有属于禁止引入产业门类的企业，应按相关规定限期整治或退出。</w:t>
            </w:r>
          </w:p>
          <w:p>
            <w:pPr>
              <w:pStyle w:val="389"/>
              <w:spacing w:line="240" w:lineRule="auto"/>
              <w:ind w:firstLine="0" w:firstLineChars="0"/>
              <w:rPr>
                <w:rFonts w:eastAsia="宋体"/>
                <w:color w:val="000000" w:themeColor="text1"/>
                <w:kern w:val="0"/>
                <w:sz w:val="20"/>
                <w:szCs w:val="20"/>
                <w:highlight w:val="none"/>
                <w14:textFill>
                  <w14:solidFill>
                    <w14:schemeClr w14:val="tx1"/>
                  </w14:solidFill>
                </w14:textFill>
              </w:rPr>
            </w:pPr>
            <w:r>
              <w:rPr>
                <w:rFonts w:eastAsia="宋体"/>
                <w:color w:val="000000" w:themeColor="text1"/>
                <w:kern w:val="0"/>
                <w:sz w:val="20"/>
                <w:szCs w:val="20"/>
                <w:highlight w:val="none"/>
                <w14:textFill>
                  <w14:solidFill>
                    <w14:schemeClr w14:val="tx1"/>
                  </w14:solidFill>
                </w14:textFill>
              </w:rPr>
              <w:t xml:space="preserve">-重点区域城市钢铁企业要切实采取彻底关停、转型发展、就地改造、域外搬迁等方式。四川省达州钢铁集团有限责任公司处于四川省大气污染防治重点区域，属于“彻底关停、转型发展、就地改造、域外搬迁”企业； </w:t>
            </w:r>
          </w:p>
          <w:p>
            <w:pPr>
              <w:pStyle w:val="389"/>
              <w:spacing w:line="240" w:lineRule="auto"/>
              <w:ind w:firstLine="0" w:firstLineChars="0"/>
              <w:rPr>
                <w:rFonts w:eastAsia="宋体"/>
                <w:color w:val="000000" w:themeColor="text1"/>
                <w:kern w:val="0"/>
                <w:sz w:val="20"/>
                <w:szCs w:val="20"/>
                <w:highlight w:val="none"/>
                <w14:textFill>
                  <w14:solidFill>
                    <w14:schemeClr w14:val="tx1"/>
                  </w14:solidFill>
                </w14:textFill>
              </w:rPr>
            </w:pPr>
            <w:r>
              <w:rPr>
                <w:rFonts w:eastAsia="宋体"/>
                <w:color w:val="000000" w:themeColor="text1"/>
                <w:kern w:val="0"/>
                <w:sz w:val="20"/>
                <w:szCs w:val="20"/>
                <w:highlight w:val="none"/>
                <w14:textFill>
                  <w14:solidFill>
                    <w14:schemeClr w14:val="tx1"/>
                  </w14:solidFill>
                </w14:textFill>
              </w:rPr>
              <w:t>-引导重污染产业退出或搬迁、企业分类退城入园，逐步打破近水靠城的历史工业布局。加大城市区域现有装备水平低、环保设施差的</w:t>
            </w:r>
            <w:r>
              <w:rPr>
                <w:rFonts w:hint="eastAsia" w:eastAsia="宋体"/>
                <w:color w:val="000000" w:themeColor="text1"/>
                <w:kern w:val="0"/>
                <w:sz w:val="20"/>
                <w:szCs w:val="20"/>
                <w:highlight w:val="none"/>
                <w14:textFill>
                  <w14:solidFill>
                    <w14:schemeClr w14:val="tx1"/>
                  </w14:solidFill>
                </w14:textFill>
              </w:rPr>
              <w:t>小微</w:t>
            </w:r>
            <w:r>
              <w:rPr>
                <w:rFonts w:eastAsia="宋体"/>
                <w:color w:val="000000" w:themeColor="text1"/>
                <w:kern w:val="0"/>
                <w:sz w:val="20"/>
                <w:szCs w:val="20"/>
                <w:highlight w:val="none"/>
                <w14:textFill>
                  <w14:solidFill>
                    <w14:schemeClr w14:val="tx1"/>
                  </w14:solidFill>
                </w14:textFill>
              </w:rPr>
              <w:t>企业“关、停、并、转”实施力度，清理建成区上风向重点涉气项目。</w:t>
            </w:r>
          </w:p>
          <w:p>
            <w:pPr>
              <w:pStyle w:val="389"/>
              <w:spacing w:line="240" w:lineRule="auto"/>
              <w:ind w:firstLine="0" w:firstLineChars="0"/>
              <w:rPr>
                <w:rFonts w:eastAsia="宋体"/>
                <w:color w:val="000000" w:themeColor="text1"/>
                <w:kern w:val="0"/>
                <w:sz w:val="20"/>
                <w:szCs w:val="20"/>
                <w:highlight w:val="none"/>
                <w14:textFill>
                  <w14:solidFill>
                    <w14:schemeClr w14:val="tx1"/>
                  </w14:solidFill>
                </w14:textFill>
              </w:rPr>
            </w:pPr>
            <w:r>
              <w:rPr>
                <w:rFonts w:eastAsia="宋体"/>
                <w:color w:val="000000" w:themeColor="text1"/>
                <w:kern w:val="0"/>
                <w:sz w:val="20"/>
                <w:szCs w:val="20"/>
                <w:highlight w:val="none"/>
                <w14:textFill>
                  <w14:solidFill>
                    <w14:schemeClr w14:val="tx1"/>
                  </w14:solidFill>
                </w14:textFill>
              </w:rPr>
              <w:t>-石化、现代煤化工项目应纳入国家产业规划。新建、扩建石化、化工、焦化、有色金属冶炼、平板玻璃项目应布设在依法合规设立并经规划环评的产业园区。</w:t>
            </w:r>
          </w:p>
          <w:p>
            <w:pPr>
              <w:pStyle w:val="389"/>
              <w:spacing w:line="240" w:lineRule="auto"/>
              <w:ind w:firstLine="0" w:firstLineChars="0"/>
              <w:rPr>
                <w:rFonts w:eastAsia="宋体"/>
                <w:color w:val="000000" w:themeColor="text1"/>
                <w:kern w:val="0"/>
                <w:sz w:val="20"/>
                <w:szCs w:val="20"/>
                <w:highlight w:val="none"/>
                <w14:textFill>
                  <w14:solidFill>
                    <w14:schemeClr w14:val="tx1"/>
                  </w14:solidFill>
                </w14:textFill>
              </w:rPr>
            </w:pPr>
          </w:p>
          <w:p>
            <w:pPr>
              <w:pStyle w:val="389"/>
              <w:spacing w:line="240" w:lineRule="auto"/>
              <w:ind w:firstLine="0" w:firstLineChars="0"/>
              <w:rPr>
                <w:rFonts w:eastAsia="宋体"/>
                <w:color w:val="000000" w:themeColor="text1"/>
                <w:kern w:val="0"/>
                <w:sz w:val="20"/>
                <w:szCs w:val="20"/>
                <w:highlight w:val="none"/>
                <w14:textFill>
                  <w14:solidFill>
                    <w14:schemeClr w14:val="tx1"/>
                  </w14:solidFill>
                </w14:textFill>
              </w:rPr>
            </w:pPr>
            <w:r>
              <w:rPr>
                <w:rFonts w:eastAsia="宋体"/>
                <w:color w:val="000000" w:themeColor="text1"/>
                <w:kern w:val="0"/>
                <w:sz w:val="20"/>
                <w:szCs w:val="20"/>
                <w:highlight w:val="none"/>
                <w14:textFill>
                  <w14:solidFill>
                    <w14:schemeClr w14:val="tx1"/>
                  </w14:solidFill>
                </w14:textFill>
              </w:rPr>
              <w:t>其他空间布局约束要求</w:t>
            </w:r>
          </w:p>
          <w:p>
            <w:pPr>
              <w:pStyle w:val="389"/>
              <w:spacing w:line="240" w:lineRule="auto"/>
              <w:ind w:firstLine="0" w:firstLineChars="0"/>
              <w:rPr>
                <w:rFonts w:eastAsia="宋体"/>
                <w:color w:val="000000" w:themeColor="text1"/>
                <w:kern w:val="0"/>
                <w:sz w:val="20"/>
                <w:szCs w:val="20"/>
                <w:highlight w:val="none"/>
                <w14:textFill>
                  <w14:solidFill>
                    <w14:schemeClr w14:val="tx1"/>
                  </w14:solidFill>
                </w14:textFill>
              </w:rPr>
            </w:pPr>
            <w:r>
              <w:rPr>
                <w:rFonts w:eastAsia="宋体"/>
                <w:color w:val="000000" w:themeColor="text1"/>
                <w:kern w:val="0"/>
                <w:sz w:val="20"/>
                <w:szCs w:val="20"/>
                <w:highlight w:val="none"/>
                <w14:textFill>
                  <w14:solidFill>
                    <w14:schemeClr w14:val="tx1"/>
                  </w14:solidFill>
                </w14:textFill>
              </w:rPr>
              <w:t>/</w:t>
            </w:r>
          </w:p>
        </w:tc>
        <w:tc>
          <w:tcPr>
            <w:tcW w:w="1422"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本项目为天然气试采工程，</w:t>
            </w:r>
            <w:r>
              <w:rPr>
                <w:rFonts w:cs="Times New Roman"/>
                <w:color w:val="000000" w:themeColor="text1"/>
                <w:kern w:val="21"/>
                <w:sz w:val="20"/>
                <w:szCs w:val="20"/>
                <w:highlight w:val="none"/>
                <w:lang w:bidi="ar"/>
                <w14:textFill>
                  <w14:solidFill>
                    <w14:schemeClr w14:val="tx1"/>
                  </w14:solidFill>
                </w14:textFill>
              </w:rPr>
              <w:t>项目</w:t>
            </w:r>
            <w:r>
              <w:rPr>
                <w:rFonts w:cs="Times New Roman"/>
                <w:color w:val="000000" w:themeColor="text1"/>
                <w:kern w:val="21"/>
                <w:sz w:val="20"/>
                <w:szCs w:val="20"/>
                <w:highlight w:val="none"/>
                <w14:textFill>
                  <w14:solidFill>
                    <w14:schemeClr w14:val="tx1"/>
                  </w14:solidFill>
                </w14:textFill>
              </w:rPr>
              <w:t>不属于</w:t>
            </w:r>
            <w:r>
              <w:rPr>
                <w:rFonts w:cs="Times New Roman"/>
                <w:color w:val="000000" w:themeColor="text1"/>
                <w:sz w:val="20"/>
                <w:szCs w:val="20"/>
                <w:highlight w:val="none"/>
                <w14:textFill>
                  <w14:solidFill>
                    <w14:schemeClr w14:val="tx1"/>
                  </w14:solidFill>
                </w14:textFill>
              </w:rPr>
              <w:t>达州市农产品加工集中区</w:t>
            </w:r>
            <w:r>
              <w:rPr>
                <w:rFonts w:cs="Times New Roman"/>
                <w:color w:val="000000" w:themeColor="text1"/>
                <w:kern w:val="21"/>
                <w:sz w:val="20"/>
                <w:szCs w:val="20"/>
                <w:highlight w:val="none"/>
                <w14:textFill>
                  <w14:solidFill>
                    <w14:schemeClr w14:val="tx1"/>
                  </w14:solidFill>
                </w14:textFill>
              </w:rPr>
              <w:t>中禁止、限制建设活动，也不属于退出类项目。</w:t>
            </w:r>
          </w:p>
        </w:tc>
        <w:tc>
          <w:tcPr>
            <w:tcW w:w="1047"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sz w:val="20"/>
                <w:szCs w:val="20"/>
                <w:highlight w:val="none"/>
                <w:lang w:bidi="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5" w:type="dxa"/>
            <w:vMerge w:val="continue"/>
            <w:vAlign w:val="center"/>
          </w:tcPr>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p>
        </w:tc>
        <w:tc>
          <w:tcPr>
            <w:tcW w:w="464" w:type="dxa"/>
            <w:vMerge w:val="continue"/>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tc>
        <w:tc>
          <w:tcPr>
            <w:tcW w:w="407" w:type="dxa"/>
            <w:vAlign w:val="center"/>
          </w:tcPr>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21"/>
                <w:sz w:val="20"/>
                <w:szCs w:val="20"/>
                <w:highlight w:val="none"/>
                <w14:textFill>
                  <w14:solidFill>
                    <w14:schemeClr w14:val="tx1"/>
                  </w14:solidFill>
                </w14:textFill>
              </w:rPr>
              <w:t>污染物排放管控</w:t>
            </w:r>
          </w:p>
        </w:tc>
        <w:tc>
          <w:tcPr>
            <w:tcW w:w="4425" w:type="dxa"/>
            <w:vAlign w:val="center"/>
          </w:tcPr>
          <w:p>
            <w:pPr>
              <w:overflowPunct w:val="0"/>
              <w:adjustRightInd/>
              <w:snapToGrid/>
              <w:spacing w:line="240" w:lineRule="auto"/>
              <w:ind w:firstLine="0" w:firstLineChars="0"/>
              <w:rPr>
                <w:rFonts w:cs="Times New Roman"/>
                <w:color w:val="000000" w:themeColor="text1"/>
                <w:kern w:val="0"/>
                <w:sz w:val="20"/>
                <w:szCs w:val="20"/>
                <w:highlight w:val="none"/>
                <w14:textFill>
                  <w14:solidFill>
                    <w14:schemeClr w14:val="tx1"/>
                  </w14:solidFill>
                </w14:textFill>
              </w:rPr>
            </w:pPr>
            <w:r>
              <w:rPr>
                <w:rFonts w:cs="Times New Roman"/>
                <w:color w:val="000000" w:themeColor="text1"/>
                <w:kern w:val="0"/>
                <w:sz w:val="20"/>
                <w:szCs w:val="20"/>
                <w:highlight w:val="none"/>
                <w14:textFill>
                  <w14:solidFill>
                    <w14:schemeClr w14:val="tx1"/>
                  </w14:solidFill>
                </w14:textFill>
              </w:rPr>
              <w:t>允许排放量要求：达州市2025年水污染物允许排放量COD4396.41t，氨氮418.7t，TP45.36t；达州市2025年大气污染物一次PM</w:t>
            </w:r>
            <w:r>
              <w:rPr>
                <w:rFonts w:cs="Times New Roman"/>
                <w:color w:val="000000" w:themeColor="text1"/>
                <w:kern w:val="0"/>
                <w:sz w:val="20"/>
                <w:szCs w:val="20"/>
                <w:highlight w:val="none"/>
                <w:vertAlign w:val="subscript"/>
                <w14:textFill>
                  <w14:solidFill>
                    <w14:schemeClr w14:val="tx1"/>
                  </w14:solidFill>
                </w14:textFill>
              </w:rPr>
              <w:t>2.5</w:t>
            </w:r>
            <w:r>
              <w:rPr>
                <w:rFonts w:cs="Times New Roman"/>
                <w:color w:val="000000" w:themeColor="text1"/>
                <w:kern w:val="0"/>
                <w:sz w:val="20"/>
                <w:szCs w:val="20"/>
                <w:highlight w:val="none"/>
                <w14:textFill>
                  <w14:solidFill>
                    <w14:schemeClr w14:val="tx1"/>
                  </w14:solidFill>
                </w14:textFill>
              </w:rPr>
              <w:t xml:space="preserve"> 5805t、SO</w:t>
            </w:r>
            <w:r>
              <w:rPr>
                <w:rFonts w:cs="Times New Roman"/>
                <w:color w:val="000000" w:themeColor="text1"/>
                <w:kern w:val="0"/>
                <w:sz w:val="20"/>
                <w:szCs w:val="20"/>
                <w:highlight w:val="none"/>
                <w:vertAlign w:val="subscript"/>
                <w14:textFill>
                  <w14:solidFill>
                    <w14:schemeClr w14:val="tx1"/>
                  </w14:solidFill>
                </w14:textFill>
              </w:rPr>
              <w:t>2</w:t>
            </w:r>
            <w:r>
              <w:rPr>
                <w:rFonts w:cs="Times New Roman"/>
                <w:color w:val="000000" w:themeColor="text1"/>
                <w:kern w:val="0"/>
                <w:sz w:val="20"/>
                <w:szCs w:val="20"/>
                <w:highlight w:val="none"/>
                <w14:textFill>
                  <w14:solidFill>
                    <w14:schemeClr w14:val="tx1"/>
                  </w14:solidFill>
                </w14:textFill>
              </w:rPr>
              <w:t xml:space="preserve"> 12773t、NOx11892t、VOCs 13969t</w:t>
            </w:r>
          </w:p>
          <w:p>
            <w:pPr>
              <w:pStyle w:val="389"/>
              <w:spacing w:line="240" w:lineRule="auto"/>
              <w:ind w:firstLine="0" w:firstLineChars="0"/>
              <w:rPr>
                <w:rFonts w:eastAsia="宋体"/>
                <w:color w:val="000000" w:themeColor="text1"/>
                <w:kern w:val="0"/>
                <w:sz w:val="20"/>
                <w:szCs w:val="20"/>
                <w:highlight w:val="none"/>
                <w14:textFill>
                  <w14:solidFill>
                    <w14:schemeClr w14:val="tx1"/>
                  </w14:solidFill>
                </w14:textFill>
              </w:rPr>
            </w:pPr>
            <w:r>
              <w:rPr>
                <w:rFonts w:eastAsia="宋体"/>
                <w:color w:val="000000" w:themeColor="text1"/>
                <w:kern w:val="0"/>
                <w:sz w:val="20"/>
                <w:szCs w:val="20"/>
                <w:highlight w:val="none"/>
                <w14:textFill>
                  <w14:solidFill>
                    <w14:schemeClr w14:val="tx1"/>
                  </w14:solidFill>
                </w14:textFill>
              </w:rPr>
              <w:t>现有源提标升级改造：-污水收集处理率达100%；</w:t>
            </w:r>
          </w:p>
          <w:p>
            <w:pPr>
              <w:pStyle w:val="389"/>
              <w:spacing w:line="240" w:lineRule="auto"/>
              <w:ind w:firstLine="0" w:firstLineChars="0"/>
              <w:rPr>
                <w:rFonts w:eastAsia="宋体"/>
                <w:color w:val="000000" w:themeColor="text1"/>
                <w:kern w:val="0"/>
                <w:sz w:val="20"/>
                <w:szCs w:val="20"/>
                <w:highlight w:val="none"/>
                <w14:textFill>
                  <w14:solidFill>
                    <w14:schemeClr w14:val="tx1"/>
                  </w14:solidFill>
                </w14:textFill>
              </w:rPr>
            </w:pPr>
            <w:r>
              <w:rPr>
                <w:rFonts w:eastAsia="宋体"/>
                <w:color w:val="000000" w:themeColor="text1"/>
                <w:kern w:val="0"/>
                <w:sz w:val="20"/>
                <w:szCs w:val="20"/>
                <w:highlight w:val="none"/>
                <w14:textFill>
                  <w14:solidFill>
                    <w14:schemeClr w14:val="tx1"/>
                  </w14:solidFill>
                </w14:textFill>
              </w:rPr>
              <w:t>-到2025年底前，现有钢铁行业80%以上产能完成超低排放改造，烧结机机头、球团焙烧烟气颗粒物、二氧化硫、氮氧化物排放浓度小时均值分别不高于10、35、50毫克/立方米；其他主要污染源颗粒物、二氧化硫、氮氧化物排放浓度小时均值原则上分别不高于10、50、200毫克/立方米。</w:t>
            </w:r>
          </w:p>
          <w:p>
            <w:pPr>
              <w:pStyle w:val="389"/>
              <w:spacing w:line="240" w:lineRule="auto"/>
              <w:ind w:firstLine="0" w:firstLineChars="0"/>
              <w:rPr>
                <w:rFonts w:eastAsia="宋体"/>
                <w:color w:val="000000" w:themeColor="text1"/>
                <w:kern w:val="0"/>
                <w:sz w:val="20"/>
                <w:szCs w:val="20"/>
                <w:highlight w:val="none"/>
                <w14:textFill>
                  <w14:solidFill>
                    <w14:schemeClr w14:val="tx1"/>
                  </w14:solidFill>
                </w14:textFill>
              </w:rPr>
            </w:pPr>
            <w:r>
              <w:rPr>
                <w:rFonts w:eastAsia="宋体"/>
                <w:color w:val="000000" w:themeColor="text1"/>
                <w:kern w:val="0"/>
                <w:sz w:val="20"/>
                <w:szCs w:val="20"/>
                <w:highlight w:val="none"/>
                <w14:textFill>
                  <w14:solidFill>
                    <w14:schemeClr w14:val="tx1"/>
                  </w14:solidFill>
                </w14:textFill>
              </w:rPr>
              <w:t>-有行业标准的工业炉窑，要求严格执行已有的行业排放标准，配套建设高效除尘脱硫脱硝设施，确保稳定达标排放。有排污许可证的，应严格执行许可要求。暂没有行业标准的，要求参照有关行业标准执行，其中，铸造行业烧结、高炉工序污染排放控制按照钢铁行业相关标准要求执行；颗粒物、二氧化硫、氮氧化物排放限值分别不高于30、200、300毫克/立方米实施改造，其中，日用玻璃、玻璃棉氮氧化物排放限值不高于400毫克/立方米。</w:t>
            </w:r>
          </w:p>
          <w:p>
            <w:pPr>
              <w:overflowPunct w:val="0"/>
              <w:adjustRightInd/>
              <w:snapToGrid/>
              <w:spacing w:line="240" w:lineRule="auto"/>
              <w:ind w:firstLine="0" w:firstLineChars="0"/>
              <w:rPr>
                <w:rFonts w:cs="Times New Roman"/>
                <w:color w:val="000000" w:themeColor="text1"/>
                <w:kern w:val="0"/>
                <w:sz w:val="20"/>
                <w:szCs w:val="20"/>
                <w:highlight w:val="none"/>
                <w14:textFill>
                  <w14:solidFill>
                    <w14:schemeClr w14:val="tx1"/>
                  </w14:solidFill>
                </w14:textFill>
              </w:rPr>
            </w:pPr>
            <w:r>
              <w:rPr>
                <w:rFonts w:cs="Times New Roman"/>
                <w:color w:val="000000" w:themeColor="text1"/>
                <w:kern w:val="0"/>
                <w:sz w:val="20"/>
                <w:szCs w:val="20"/>
                <w:highlight w:val="none"/>
                <w14:textFill>
                  <w14:solidFill>
                    <w14:schemeClr w14:val="tx1"/>
                  </w14:solidFill>
                </w14:textFill>
              </w:rPr>
              <w:t>-完善园区及企业雨污分流系统，全面推进医药、化工等行业初期雨水收集处理，推动有条件的园区实施入园企业“一企一管、明管输送、实时监测”。加强企业废水预处理和排水管理，鼓励纳管企业与园区污水处理厂运营单位通过签订委托处理合同等方式协同处理废水</w:t>
            </w:r>
          </w:p>
          <w:p>
            <w:pPr>
              <w:overflowPunct w:val="0"/>
              <w:adjustRightInd/>
              <w:snapToGrid/>
              <w:spacing w:line="240" w:lineRule="auto"/>
              <w:ind w:firstLine="0" w:firstLineChars="0"/>
              <w:rPr>
                <w:rFonts w:cs="Times New Roman"/>
                <w:color w:val="000000" w:themeColor="text1"/>
                <w:kern w:val="0"/>
                <w:sz w:val="20"/>
                <w:szCs w:val="20"/>
                <w:highlight w:val="none"/>
                <w14:textFill>
                  <w14:solidFill>
                    <w14:schemeClr w14:val="tx1"/>
                  </w14:solidFill>
                </w14:textFill>
              </w:rPr>
            </w:pPr>
            <w:r>
              <w:rPr>
                <w:rFonts w:cs="Times New Roman"/>
                <w:color w:val="000000" w:themeColor="text1"/>
                <w:kern w:val="0"/>
                <w:sz w:val="20"/>
                <w:szCs w:val="20"/>
                <w:highlight w:val="none"/>
                <w14:textFill>
                  <w14:solidFill>
                    <w14:schemeClr w14:val="tx1"/>
                  </w14:solidFill>
                </w14:textFill>
              </w:rPr>
              <w:t>其他污染物排放管控要求：</w:t>
            </w:r>
          </w:p>
          <w:p>
            <w:pPr>
              <w:pStyle w:val="389"/>
              <w:spacing w:line="240" w:lineRule="auto"/>
              <w:ind w:firstLine="0" w:firstLineChars="0"/>
              <w:rPr>
                <w:rFonts w:eastAsia="宋体"/>
                <w:color w:val="000000" w:themeColor="text1"/>
                <w:kern w:val="0"/>
                <w:sz w:val="20"/>
                <w:szCs w:val="20"/>
                <w:highlight w:val="none"/>
                <w14:textFill>
                  <w14:solidFill>
                    <w14:schemeClr w14:val="tx1"/>
                  </w14:solidFill>
                </w14:textFill>
              </w:rPr>
            </w:pPr>
            <w:r>
              <w:rPr>
                <w:rFonts w:eastAsia="宋体"/>
                <w:color w:val="000000" w:themeColor="text1"/>
                <w:kern w:val="0"/>
                <w:sz w:val="20"/>
                <w:szCs w:val="20"/>
                <w:highlight w:val="none"/>
                <w14:textFill>
                  <w14:solidFill>
                    <w14:schemeClr w14:val="tx1"/>
                  </w14:solidFill>
                </w14:textFill>
              </w:rPr>
              <w:t>新增源等量或倍量替代</w:t>
            </w:r>
            <w:r>
              <w:rPr>
                <w:rFonts w:hint="eastAsia" w:eastAsia="宋体"/>
                <w:color w:val="000000" w:themeColor="text1"/>
                <w:kern w:val="0"/>
                <w:sz w:val="20"/>
                <w:szCs w:val="20"/>
                <w:highlight w:val="none"/>
                <w14:textFill>
                  <w14:solidFill>
                    <w14:schemeClr w14:val="tx1"/>
                  </w14:solidFill>
                </w14:textFill>
              </w:rPr>
              <w:t>：</w:t>
            </w:r>
            <w:r>
              <w:rPr>
                <w:rFonts w:eastAsia="宋体"/>
                <w:color w:val="000000" w:themeColor="text1"/>
                <w:kern w:val="0"/>
                <w:sz w:val="20"/>
                <w:szCs w:val="20"/>
                <w:highlight w:val="none"/>
                <w14:textFill>
                  <w14:solidFill>
                    <w14:schemeClr w14:val="tx1"/>
                  </w14:solidFill>
                </w14:textFill>
              </w:rPr>
              <w:t>上一年度水环境质量未完成目标的，新建排放水污染的建设项目按照总量管控要求进行倍量削减替代。</w:t>
            </w:r>
          </w:p>
          <w:p>
            <w:pPr>
              <w:pStyle w:val="389"/>
              <w:spacing w:line="240" w:lineRule="auto"/>
              <w:ind w:firstLine="0" w:firstLineChars="0"/>
              <w:rPr>
                <w:rFonts w:eastAsia="宋体"/>
                <w:color w:val="000000" w:themeColor="text1"/>
                <w:kern w:val="0"/>
                <w:sz w:val="20"/>
                <w:szCs w:val="20"/>
                <w:highlight w:val="none"/>
                <w14:textFill>
                  <w14:solidFill>
                    <w14:schemeClr w14:val="tx1"/>
                  </w14:solidFill>
                </w14:textFill>
              </w:rPr>
            </w:pPr>
            <w:r>
              <w:rPr>
                <w:rFonts w:eastAsia="宋体"/>
                <w:color w:val="000000" w:themeColor="text1"/>
                <w:kern w:val="0"/>
                <w:sz w:val="20"/>
                <w:szCs w:val="20"/>
                <w:highlight w:val="none"/>
                <w14:textFill>
                  <w14:solidFill>
                    <w14:schemeClr w14:val="tx1"/>
                  </w14:solidFill>
                </w14:textFill>
              </w:rPr>
              <w:t>上一年度空气质量年平均浓度不达标的城市，建设项目新增相关污染物按照总量管控要求进行倍量削减替代。</w:t>
            </w:r>
          </w:p>
          <w:p>
            <w:pPr>
              <w:pStyle w:val="389"/>
              <w:spacing w:line="240" w:lineRule="auto"/>
              <w:ind w:firstLine="0" w:firstLineChars="0"/>
              <w:rPr>
                <w:rFonts w:eastAsia="宋体"/>
                <w:color w:val="000000" w:themeColor="text1"/>
                <w:kern w:val="0"/>
                <w:sz w:val="20"/>
                <w:szCs w:val="20"/>
                <w:highlight w:val="none"/>
                <w14:textFill>
                  <w14:solidFill>
                    <w14:schemeClr w14:val="tx1"/>
                  </w14:solidFill>
                </w14:textFill>
              </w:rPr>
            </w:pPr>
            <w:r>
              <w:rPr>
                <w:rFonts w:eastAsia="宋体"/>
                <w:color w:val="000000" w:themeColor="text1"/>
                <w:kern w:val="0"/>
                <w:sz w:val="20"/>
                <w:szCs w:val="20"/>
                <w:highlight w:val="none"/>
                <w14:textFill>
                  <w14:solidFill>
                    <w14:schemeClr w14:val="tx1"/>
                  </w14:solidFill>
                </w14:textFill>
              </w:rPr>
              <w:t xml:space="preserve">对新建排放二氧化硫、氮氧化物、工业烟粉尘和VOCs的项目实施现役源倍量削减量替代。严禁钢铁、水泥、电解铝、平板玻璃等行业新增产能，对确有必要新建的必须实施等量或减量置换，防范过剩和落后产能跨地区转移.                                         </w:t>
            </w:r>
          </w:p>
          <w:p>
            <w:pPr>
              <w:pStyle w:val="389"/>
              <w:spacing w:line="240" w:lineRule="auto"/>
              <w:ind w:firstLine="0" w:firstLineChars="0"/>
              <w:rPr>
                <w:rFonts w:eastAsia="宋体"/>
                <w:color w:val="000000" w:themeColor="text1"/>
                <w:kern w:val="0"/>
                <w:sz w:val="20"/>
                <w:szCs w:val="20"/>
                <w:highlight w:val="none"/>
                <w14:textFill>
                  <w14:solidFill>
                    <w14:schemeClr w14:val="tx1"/>
                  </w14:solidFill>
                </w14:textFill>
              </w:rPr>
            </w:pPr>
            <w:r>
              <w:rPr>
                <w:rFonts w:eastAsia="宋体"/>
                <w:color w:val="000000" w:themeColor="text1"/>
                <w:kern w:val="0"/>
                <w:sz w:val="20"/>
                <w:szCs w:val="20"/>
                <w:highlight w:val="none"/>
                <w14:textFill>
                  <w14:solidFill>
                    <w14:schemeClr w14:val="tx1"/>
                  </w14:solidFill>
                </w14:textFill>
              </w:rPr>
              <w:t>污染物排放绩效水平准入要求</w:t>
            </w:r>
            <w:r>
              <w:rPr>
                <w:rFonts w:hint="eastAsia" w:eastAsia="宋体"/>
                <w:color w:val="000000" w:themeColor="text1"/>
                <w:kern w:val="0"/>
                <w:sz w:val="20"/>
                <w:szCs w:val="20"/>
                <w:highlight w:val="none"/>
                <w14:textFill>
                  <w14:solidFill>
                    <w14:schemeClr w14:val="tx1"/>
                  </w14:solidFill>
                </w14:textFill>
              </w:rPr>
              <w:t>：</w:t>
            </w:r>
            <w:r>
              <w:rPr>
                <w:rFonts w:eastAsia="宋体"/>
                <w:color w:val="000000" w:themeColor="text1"/>
                <w:kern w:val="0"/>
                <w:sz w:val="20"/>
                <w:szCs w:val="20"/>
                <w:highlight w:val="none"/>
                <w14:textFill>
                  <w14:solidFill>
                    <w14:schemeClr w14:val="tx1"/>
                  </w14:solidFill>
                </w14:textFill>
              </w:rPr>
              <w:t>新、改扩建项目污染排放指标满足《四川省省级生态工业园区指标》综合类生态工业园区要求。工业固体废弃物利用处置率达100%，危险废物处置率达100%。</w:t>
            </w:r>
          </w:p>
          <w:p>
            <w:pPr>
              <w:pStyle w:val="389"/>
              <w:spacing w:line="240" w:lineRule="auto"/>
              <w:ind w:firstLine="0" w:firstLineChars="0"/>
              <w:rPr>
                <w:rFonts w:eastAsia="宋体"/>
                <w:color w:val="000000" w:themeColor="text1"/>
                <w:kern w:val="0"/>
                <w:sz w:val="20"/>
                <w:szCs w:val="20"/>
                <w:highlight w:val="none"/>
                <w14:textFill>
                  <w14:solidFill>
                    <w14:schemeClr w14:val="tx1"/>
                  </w14:solidFill>
                </w14:textFill>
              </w:rPr>
            </w:pPr>
            <w:r>
              <w:rPr>
                <w:rFonts w:eastAsia="宋体"/>
                <w:color w:val="000000" w:themeColor="text1"/>
                <w:kern w:val="0"/>
                <w:sz w:val="20"/>
                <w:szCs w:val="20"/>
                <w:highlight w:val="none"/>
                <w14:textFill>
                  <w14:solidFill>
                    <w14:schemeClr w14:val="tx1"/>
                  </w14:solidFill>
                </w14:textFill>
              </w:rPr>
              <w:t>国家大气污染防治重点区域</w:t>
            </w:r>
            <w:r>
              <w:rPr>
                <w:rFonts w:hint="eastAsia" w:eastAsia="宋体"/>
                <w:color w:val="000000" w:themeColor="text1"/>
                <w:kern w:val="0"/>
                <w:sz w:val="20"/>
                <w:szCs w:val="20"/>
                <w:highlight w:val="none"/>
                <w14:textFill>
                  <w14:solidFill>
                    <w14:schemeClr w14:val="tx1"/>
                  </w14:solidFill>
                </w14:textFill>
              </w:rPr>
              <w:t>（</w:t>
            </w:r>
            <w:r>
              <w:rPr>
                <w:rFonts w:eastAsia="宋体"/>
                <w:color w:val="000000" w:themeColor="text1"/>
                <w:kern w:val="0"/>
                <w:sz w:val="20"/>
                <w:szCs w:val="20"/>
                <w:highlight w:val="none"/>
                <w14:textFill>
                  <w14:solidFill>
                    <w14:schemeClr w14:val="tx1"/>
                  </w14:solidFill>
                </w14:textFill>
              </w:rPr>
              <w:t>以下称重点区域</w:t>
            </w:r>
            <w:r>
              <w:rPr>
                <w:rFonts w:hint="eastAsia" w:eastAsia="宋体"/>
                <w:color w:val="000000" w:themeColor="text1"/>
                <w:kern w:val="0"/>
                <w:sz w:val="20"/>
                <w:szCs w:val="20"/>
                <w:highlight w:val="none"/>
                <w14:textFill>
                  <w14:solidFill>
                    <w14:schemeClr w14:val="tx1"/>
                  </w14:solidFill>
                </w14:textFill>
              </w:rPr>
              <w:t>）</w:t>
            </w:r>
            <w:r>
              <w:rPr>
                <w:rFonts w:eastAsia="宋体"/>
                <w:color w:val="000000" w:themeColor="text1"/>
                <w:kern w:val="0"/>
                <w:sz w:val="20"/>
                <w:szCs w:val="20"/>
                <w:highlight w:val="none"/>
                <w14:textFill>
                  <w14:solidFill>
                    <w14:schemeClr w14:val="tx1"/>
                  </w14:solidFill>
                </w14:textFill>
              </w:rPr>
              <w:t>内新建耗煤项目还应严格按规定采取煤炭消费减量替代措施，不得使用高污染燃料作为煤炭减量替代措施</w:t>
            </w:r>
            <w:r>
              <w:rPr>
                <w:rFonts w:hint="eastAsia" w:eastAsia="宋体"/>
                <w:color w:val="000000" w:themeColor="text1"/>
                <w:kern w:val="0"/>
                <w:sz w:val="20"/>
                <w:szCs w:val="20"/>
                <w:highlight w:val="none"/>
                <w14:textFill>
                  <w14:solidFill>
                    <w14:schemeClr w14:val="tx1"/>
                  </w14:solidFill>
                </w14:textFill>
              </w:rPr>
              <w:t>；</w:t>
            </w:r>
            <w:r>
              <w:rPr>
                <w:rFonts w:eastAsia="宋体"/>
                <w:color w:val="000000" w:themeColor="text1"/>
                <w:kern w:val="0"/>
                <w:sz w:val="20"/>
                <w:szCs w:val="20"/>
                <w:highlight w:val="none"/>
                <w14:textFill>
                  <w14:solidFill>
                    <w14:schemeClr w14:val="tx1"/>
                  </w14:solidFill>
                </w14:textFill>
              </w:rPr>
              <w:t>重点区域执行大气污染物特别排放限值，严禁新增钢铁、电力、水泥、玻璃、砖瓦、陶瓷、焦化、电解铝、有色等重点行业大气污染物排放。</w:t>
            </w:r>
          </w:p>
          <w:p>
            <w:pPr>
              <w:pStyle w:val="389"/>
              <w:spacing w:line="240" w:lineRule="auto"/>
              <w:ind w:firstLine="0" w:firstLineChars="0"/>
              <w:rPr>
                <w:rFonts w:eastAsia="宋体"/>
                <w:color w:val="000000" w:themeColor="text1"/>
                <w:kern w:val="0"/>
                <w:sz w:val="20"/>
                <w:szCs w:val="20"/>
                <w:highlight w:val="none"/>
                <w14:textFill>
                  <w14:solidFill>
                    <w14:schemeClr w14:val="tx1"/>
                  </w14:solidFill>
                </w14:textFill>
              </w:rPr>
            </w:pPr>
            <w:r>
              <w:rPr>
                <w:rFonts w:eastAsia="宋体"/>
                <w:color w:val="000000" w:themeColor="text1"/>
                <w:kern w:val="0"/>
                <w:sz w:val="20"/>
                <w:szCs w:val="20"/>
                <w:highlight w:val="none"/>
                <w14:textFill>
                  <w14:solidFill>
                    <w14:schemeClr w14:val="tx1"/>
                  </w14:solidFill>
                </w14:textFill>
              </w:rPr>
              <w:t>钢铁行业新建应参考达州市“三线一单”生态环境分区管控中钢铁行业资源环境绩效准入门槛。</w:t>
            </w:r>
          </w:p>
          <w:p>
            <w:pPr>
              <w:pStyle w:val="389"/>
              <w:spacing w:line="240" w:lineRule="auto"/>
              <w:ind w:firstLine="0" w:firstLineChars="0"/>
              <w:rPr>
                <w:rFonts w:eastAsia="宋体"/>
                <w:color w:val="000000" w:themeColor="text1"/>
                <w:kern w:val="0"/>
                <w:sz w:val="20"/>
                <w:szCs w:val="20"/>
                <w:highlight w:val="none"/>
                <w14:textFill>
                  <w14:solidFill>
                    <w14:schemeClr w14:val="tx1"/>
                  </w14:solidFill>
                </w14:textFill>
              </w:rPr>
            </w:pPr>
            <w:r>
              <w:rPr>
                <w:rFonts w:eastAsia="宋体"/>
                <w:color w:val="000000" w:themeColor="text1"/>
                <w:kern w:val="0"/>
                <w:sz w:val="20"/>
                <w:szCs w:val="20"/>
                <w:highlight w:val="none"/>
                <w14:textFill>
                  <w14:solidFill>
                    <w14:schemeClr w14:val="tx1"/>
                  </w14:solidFill>
                </w14:textFill>
              </w:rPr>
              <w:t xml:space="preserve"> 2030年，渠江流域用水总量控制在31.61亿立方米以内，渠江干流COD排放总量限制在4.89万t/a内、氨氮排放总量限制在0.54万t/a内。全面推进节水型社会建设，加强河湖（库）水域岸线保护及管理，加强入河排污口规范化建设，加强工业污染、农业农村污染、船舶港口污染防治。对流域内饮用水源地进行有效保护及规范化建设。</w:t>
            </w:r>
          </w:p>
          <w:p>
            <w:pPr>
              <w:pStyle w:val="389"/>
              <w:spacing w:line="240" w:lineRule="auto"/>
              <w:ind w:firstLine="0" w:firstLineChars="0"/>
              <w:rPr>
                <w:rFonts w:eastAsia="宋体"/>
                <w:color w:val="000000" w:themeColor="text1"/>
                <w:kern w:val="0"/>
                <w:sz w:val="20"/>
                <w:szCs w:val="20"/>
                <w:highlight w:val="none"/>
                <w14:textFill>
                  <w14:solidFill>
                    <w14:schemeClr w14:val="tx1"/>
                  </w14:solidFill>
                </w14:textFill>
              </w:rPr>
            </w:pPr>
            <w:r>
              <w:rPr>
                <w:rFonts w:eastAsia="宋体"/>
                <w:color w:val="000000" w:themeColor="text1"/>
                <w:kern w:val="0"/>
                <w:sz w:val="20"/>
                <w:szCs w:val="20"/>
                <w:highlight w:val="none"/>
                <w14:textFill>
                  <w14:solidFill>
                    <w14:schemeClr w14:val="tx1"/>
                  </w14:solidFill>
                </w14:textFill>
              </w:rPr>
              <w:t>化工园区应按照分类收集，分质处理的要求，配备专业化工生产废水集中处理设施（独立建设或依托骨干企业）及专管或明管输送的配套管网，化工生产废水纳管率达到100%。入河排污口设置应符合相关规定。</w:t>
            </w:r>
          </w:p>
          <w:p>
            <w:pPr>
              <w:pStyle w:val="389"/>
              <w:spacing w:line="240" w:lineRule="auto"/>
              <w:ind w:firstLine="0" w:firstLineChars="0"/>
              <w:rPr>
                <w:rFonts w:eastAsia="宋体"/>
                <w:color w:val="000000" w:themeColor="text1"/>
                <w:kern w:val="0"/>
                <w:sz w:val="20"/>
                <w:szCs w:val="20"/>
                <w:highlight w:val="none"/>
                <w14:textFill>
                  <w14:solidFill>
                    <w14:schemeClr w14:val="tx1"/>
                  </w14:solidFill>
                </w14:textFill>
              </w:rPr>
            </w:pPr>
            <w:r>
              <w:rPr>
                <w:rFonts w:eastAsia="宋体"/>
                <w:color w:val="000000" w:themeColor="text1"/>
                <w:kern w:val="0"/>
                <w:sz w:val="20"/>
                <w:szCs w:val="20"/>
                <w:highlight w:val="none"/>
                <w14:textFill>
                  <w14:solidFill>
                    <w14:schemeClr w14:val="tx1"/>
                  </w14:solidFill>
                </w14:textFill>
              </w:rPr>
              <w:t>重点行业建设项目应遵循重点重金属污染物排放“等量替代”原则。按国家规定，建设单位在提交环境影响评价文件时应明确重点重金属污染物排放总量及来源，无明确具体总量来源的，各级生态环境部门不得批准相关环境影响评价文件。重金属污染物排放总量替代管理豁免的情形参见《四川省“十四五”重金属污染防控工作方案》；重点行业、重点重金属的界定参见《四川省“十四五”重金属污染防控工作方案》。</w:t>
            </w:r>
          </w:p>
          <w:p>
            <w:pPr>
              <w:overflowPunct w:val="0"/>
              <w:adjustRightInd/>
              <w:snapToGrid/>
              <w:spacing w:line="240" w:lineRule="auto"/>
              <w:ind w:firstLine="0" w:firstLineChars="0"/>
              <w:rPr>
                <w:rFonts w:cs="Times New Roman"/>
                <w:color w:val="000000" w:themeColor="text1"/>
                <w:kern w:val="0"/>
                <w:sz w:val="20"/>
                <w:szCs w:val="20"/>
                <w:highlight w:val="none"/>
                <w14:textFill>
                  <w14:solidFill>
                    <w14:schemeClr w14:val="tx1"/>
                  </w14:solidFill>
                </w14:textFill>
              </w:rPr>
            </w:pPr>
            <w:r>
              <w:rPr>
                <w:rFonts w:cs="Times New Roman"/>
                <w:color w:val="000000" w:themeColor="text1"/>
                <w:kern w:val="0"/>
                <w:sz w:val="20"/>
                <w:szCs w:val="20"/>
                <w:highlight w:val="none"/>
                <w14:textFill>
                  <w14:solidFill>
                    <w14:schemeClr w14:val="tx1"/>
                  </w14:solidFill>
                </w14:textFill>
              </w:rPr>
              <w:t>落实《四川省深入打好重污染天气消除、臭氧污染防治和柴油货车污染治理攻坚战实施方案》要求，推进重点行业超低排放改造和深度治理，加快实施低VOCs含量原辅材料替代，持续开展VOCs治理设施提级增效，强化VOCs无组织排放整治，加强非正常工况废气排放管控，推进涉VOCs产业集群治理提升，推进油品VOCs综合管控。</w:t>
            </w:r>
          </w:p>
          <w:p>
            <w:pPr>
              <w:pStyle w:val="389"/>
              <w:spacing w:line="240" w:lineRule="auto"/>
              <w:ind w:firstLine="0" w:firstLineChars="0"/>
              <w:rPr>
                <w:rFonts w:eastAsia="宋体"/>
                <w:color w:val="000000" w:themeColor="text1"/>
                <w:kern w:val="0"/>
                <w:sz w:val="20"/>
                <w:szCs w:val="20"/>
                <w:highlight w:val="none"/>
                <w14:textFill>
                  <w14:solidFill>
                    <w14:schemeClr w14:val="tx1"/>
                  </w14:solidFill>
                </w14:textFill>
              </w:rPr>
            </w:pPr>
            <w:r>
              <w:rPr>
                <w:rFonts w:eastAsia="宋体"/>
                <w:color w:val="000000" w:themeColor="text1"/>
                <w:kern w:val="0"/>
                <w:sz w:val="20"/>
                <w:szCs w:val="20"/>
                <w:highlight w:val="none"/>
                <w14:textFill>
                  <w14:solidFill>
                    <w14:schemeClr w14:val="tx1"/>
                  </w14:solidFill>
                </w14:textFill>
              </w:rPr>
              <w:t>环境风险防控：</w:t>
            </w:r>
          </w:p>
          <w:p>
            <w:pPr>
              <w:pStyle w:val="389"/>
              <w:spacing w:line="240" w:lineRule="auto"/>
              <w:ind w:firstLine="0" w:firstLineChars="0"/>
              <w:rPr>
                <w:rFonts w:eastAsia="宋体"/>
                <w:color w:val="000000" w:themeColor="text1"/>
                <w:kern w:val="0"/>
                <w:sz w:val="20"/>
                <w:szCs w:val="20"/>
                <w:highlight w:val="none"/>
                <w14:textFill>
                  <w14:solidFill>
                    <w14:schemeClr w14:val="tx1"/>
                  </w14:solidFill>
                </w14:textFill>
              </w:rPr>
            </w:pPr>
            <w:r>
              <w:rPr>
                <w:rFonts w:eastAsia="宋体"/>
                <w:color w:val="000000" w:themeColor="text1"/>
                <w:kern w:val="0"/>
                <w:sz w:val="20"/>
                <w:szCs w:val="20"/>
                <w:highlight w:val="none"/>
                <w14:textFill>
                  <w14:solidFill>
                    <w14:schemeClr w14:val="tx1"/>
                  </w14:solidFill>
                </w14:textFill>
              </w:rPr>
              <w:t>联防联控要求</w:t>
            </w:r>
          </w:p>
          <w:p>
            <w:pPr>
              <w:pStyle w:val="389"/>
              <w:spacing w:line="240" w:lineRule="auto"/>
              <w:ind w:firstLine="0" w:firstLineChars="0"/>
              <w:rPr>
                <w:rFonts w:eastAsia="宋体"/>
                <w:color w:val="000000" w:themeColor="text1"/>
                <w:kern w:val="0"/>
                <w:sz w:val="20"/>
                <w:szCs w:val="20"/>
                <w:highlight w:val="none"/>
                <w14:textFill>
                  <w14:solidFill>
                    <w14:schemeClr w14:val="tx1"/>
                  </w14:solidFill>
                </w14:textFill>
              </w:rPr>
            </w:pPr>
            <w:r>
              <w:rPr>
                <w:rFonts w:eastAsia="宋体"/>
                <w:color w:val="000000" w:themeColor="text1"/>
                <w:kern w:val="0"/>
                <w:sz w:val="20"/>
                <w:szCs w:val="20"/>
                <w:highlight w:val="none"/>
                <w14:textFill>
                  <w14:solidFill>
                    <w14:schemeClr w14:val="tx1"/>
                  </w14:solidFill>
                </w14:textFill>
              </w:rPr>
              <w:t>强化区域联防联控，严格落实《关于建立跨省流域上下游突发水污染事件联防联控机制的指导意见》；定期召开区域大气环境形式分析会，强化信息共享和联动合作，实行环境规划，标准，环评，执法，信息公开“六统一”，协力推进大气污染源头防控，加强川东北区域大气污染防治合作。</w:t>
            </w:r>
          </w:p>
          <w:p>
            <w:pPr>
              <w:pStyle w:val="389"/>
              <w:spacing w:line="240" w:lineRule="auto"/>
              <w:ind w:firstLine="0" w:firstLineChars="0"/>
              <w:rPr>
                <w:rFonts w:eastAsia="宋体"/>
                <w:color w:val="000000" w:themeColor="text1"/>
                <w:kern w:val="0"/>
                <w:sz w:val="20"/>
                <w:szCs w:val="20"/>
                <w:highlight w:val="none"/>
                <w14:textFill>
                  <w14:solidFill>
                    <w14:schemeClr w14:val="tx1"/>
                  </w14:solidFill>
                </w14:textFill>
              </w:rPr>
            </w:pPr>
            <w:r>
              <w:rPr>
                <w:rFonts w:eastAsia="宋体"/>
                <w:color w:val="000000" w:themeColor="text1"/>
                <w:kern w:val="0"/>
                <w:sz w:val="20"/>
                <w:szCs w:val="20"/>
                <w:highlight w:val="none"/>
                <w14:textFill>
                  <w14:solidFill>
                    <w14:schemeClr w14:val="tx1"/>
                  </w14:solidFill>
                </w14:textFill>
              </w:rPr>
              <w:t>其他环境风险防控要求</w:t>
            </w:r>
          </w:p>
          <w:p>
            <w:pPr>
              <w:pStyle w:val="389"/>
              <w:spacing w:line="240" w:lineRule="auto"/>
              <w:ind w:firstLine="0" w:firstLineChars="0"/>
              <w:rPr>
                <w:rFonts w:eastAsia="宋体"/>
                <w:color w:val="000000" w:themeColor="text1"/>
                <w:kern w:val="0"/>
                <w:sz w:val="20"/>
                <w:szCs w:val="20"/>
                <w:highlight w:val="none"/>
                <w14:textFill>
                  <w14:solidFill>
                    <w14:schemeClr w14:val="tx1"/>
                  </w14:solidFill>
                </w14:textFill>
              </w:rPr>
            </w:pPr>
            <w:r>
              <w:rPr>
                <w:rFonts w:eastAsia="宋体"/>
                <w:color w:val="000000" w:themeColor="text1"/>
                <w:kern w:val="0"/>
                <w:sz w:val="20"/>
                <w:szCs w:val="20"/>
                <w:highlight w:val="none"/>
                <w14:textFill>
                  <w14:solidFill>
                    <w14:schemeClr w14:val="tx1"/>
                  </w14:solidFill>
                </w14:textFill>
              </w:rPr>
              <w:t>企业环境风险防控要求</w:t>
            </w:r>
            <w:r>
              <w:rPr>
                <w:rFonts w:hint="eastAsia" w:eastAsia="宋体"/>
                <w:color w:val="000000" w:themeColor="text1"/>
                <w:kern w:val="0"/>
                <w:sz w:val="20"/>
                <w:szCs w:val="20"/>
                <w:highlight w:val="none"/>
                <w14:textFill>
                  <w14:solidFill>
                    <w14:schemeClr w14:val="tx1"/>
                  </w14:solidFill>
                </w14:textFill>
              </w:rPr>
              <w:t>：</w:t>
            </w:r>
            <w:r>
              <w:rPr>
                <w:rFonts w:eastAsia="宋体"/>
                <w:color w:val="000000" w:themeColor="text1"/>
                <w:kern w:val="0"/>
                <w:sz w:val="20"/>
                <w:szCs w:val="20"/>
                <w:highlight w:val="none"/>
                <w14:textFill>
                  <w14:solidFill>
                    <w14:schemeClr w14:val="tx1"/>
                  </w14:solidFill>
                </w14:textFill>
              </w:rPr>
              <w:t>涉及有毒有害、易燃易爆物质新建、改扩建项目，严控准入要求。（根据《GB 8978-2002》中第一类污染物以及《优先控制化学品名录</w:t>
            </w:r>
            <w:r>
              <w:rPr>
                <w:rFonts w:hint="eastAsia" w:eastAsia="宋体"/>
                <w:color w:val="000000" w:themeColor="text1"/>
                <w:kern w:val="0"/>
                <w:sz w:val="20"/>
                <w:szCs w:val="20"/>
                <w:highlight w:val="none"/>
                <w14:textFill>
                  <w14:solidFill>
                    <w14:schemeClr w14:val="tx1"/>
                  </w14:solidFill>
                </w14:textFill>
              </w:rPr>
              <w:t>》《</w:t>
            </w:r>
            <w:r>
              <w:rPr>
                <w:rFonts w:eastAsia="宋体"/>
                <w:color w:val="000000" w:themeColor="text1"/>
                <w:kern w:val="0"/>
                <w:sz w:val="20"/>
                <w:szCs w:val="20"/>
                <w:highlight w:val="none"/>
                <w14:textFill>
                  <w14:solidFill>
                    <w14:schemeClr w14:val="tx1"/>
                  </w14:solidFill>
                </w14:textFill>
              </w:rPr>
              <w:t>有毒有害大气污染物名录</w:t>
            </w:r>
            <w:r>
              <w:rPr>
                <w:rFonts w:hint="eastAsia" w:eastAsia="宋体"/>
                <w:color w:val="000000" w:themeColor="text1"/>
                <w:kern w:val="0"/>
                <w:sz w:val="20"/>
                <w:szCs w:val="20"/>
                <w:highlight w:val="none"/>
                <w14:textFill>
                  <w14:solidFill>
                    <w14:schemeClr w14:val="tx1"/>
                  </w14:solidFill>
                </w14:textFill>
              </w:rPr>
              <w:t>》《</w:t>
            </w:r>
            <w:r>
              <w:rPr>
                <w:rFonts w:eastAsia="宋体"/>
                <w:color w:val="000000" w:themeColor="text1"/>
                <w:kern w:val="0"/>
                <w:sz w:val="20"/>
                <w:szCs w:val="20"/>
                <w:highlight w:val="none"/>
                <w14:textFill>
                  <w14:solidFill>
                    <w14:schemeClr w14:val="tx1"/>
                  </w14:solidFill>
                </w14:textFill>
              </w:rPr>
              <w:t>有毒有害水污染物名录》确定）。对钢铁、焦化平板玻璃、铜铅锌硅冶炼等环境影响大或环境风险高的项目类别，不得以改革试点名义随意下放环评审批权限或降低审批要求。</w:t>
            </w:r>
          </w:p>
          <w:p>
            <w:pPr>
              <w:pStyle w:val="389"/>
              <w:spacing w:line="240" w:lineRule="auto"/>
              <w:ind w:firstLine="0" w:firstLineChars="0"/>
              <w:rPr>
                <w:rFonts w:eastAsia="宋体"/>
                <w:color w:val="000000" w:themeColor="text1"/>
                <w:kern w:val="0"/>
                <w:sz w:val="20"/>
                <w:szCs w:val="20"/>
                <w:highlight w:val="none"/>
                <w14:textFill>
                  <w14:solidFill>
                    <w14:schemeClr w14:val="tx1"/>
                  </w14:solidFill>
                </w14:textFill>
              </w:rPr>
            </w:pPr>
            <w:r>
              <w:rPr>
                <w:rFonts w:eastAsia="宋体"/>
                <w:color w:val="000000" w:themeColor="text1"/>
                <w:kern w:val="0"/>
                <w:sz w:val="20"/>
                <w:szCs w:val="20"/>
                <w:highlight w:val="none"/>
                <w14:textFill>
                  <w14:solidFill>
                    <w14:schemeClr w14:val="tx1"/>
                  </w14:solidFill>
                </w14:textFill>
              </w:rPr>
              <w:t>园区环境风险防控要求</w:t>
            </w:r>
            <w:r>
              <w:rPr>
                <w:rFonts w:hint="eastAsia" w:eastAsia="宋体"/>
                <w:color w:val="000000" w:themeColor="text1"/>
                <w:kern w:val="0"/>
                <w:sz w:val="20"/>
                <w:szCs w:val="20"/>
                <w:highlight w:val="none"/>
                <w14:textFill>
                  <w14:solidFill>
                    <w14:schemeClr w14:val="tx1"/>
                  </w14:solidFill>
                </w14:textFill>
              </w:rPr>
              <w:t>：</w:t>
            </w:r>
            <w:r>
              <w:rPr>
                <w:rFonts w:eastAsia="宋体"/>
                <w:color w:val="000000" w:themeColor="text1"/>
                <w:kern w:val="0"/>
                <w:sz w:val="20"/>
                <w:szCs w:val="20"/>
                <w:highlight w:val="none"/>
                <w14:textFill>
                  <w14:solidFill>
                    <w14:schemeClr w14:val="tx1"/>
                  </w14:solidFill>
                </w14:textFill>
              </w:rPr>
              <w:t>园区风险防控体系要求：构建三级环境风险防控体系，强化危化品泄漏应急处置措施，确保风险可控。针对化工园区进一步强化风险防控。化工园区应具有安全风险监控体系、建立生态环境监测监控体系、建立必要的突发环境事件应急体系。杜绝危化品泄漏、事故排放等，确保环境安全。</w:t>
            </w:r>
          </w:p>
          <w:p>
            <w:pPr>
              <w:overflowPunct w:val="0"/>
              <w:adjustRightInd/>
              <w:snapToGrid/>
              <w:spacing w:line="240" w:lineRule="auto"/>
              <w:ind w:firstLine="0" w:firstLineChars="0"/>
              <w:rPr>
                <w:rFonts w:cs="Times New Roman"/>
                <w:color w:val="000000" w:themeColor="text1"/>
                <w:sz w:val="20"/>
                <w:szCs w:val="20"/>
                <w:highlight w:val="none"/>
                <w14:textFill>
                  <w14:solidFill>
                    <w14:schemeClr w14:val="tx1"/>
                  </w14:solidFill>
                </w14:textFill>
              </w:rPr>
            </w:pPr>
            <w:r>
              <w:rPr>
                <w:rFonts w:cs="Times New Roman"/>
                <w:color w:val="000000" w:themeColor="text1"/>
                <w:kern w:val="0"/>
                <w:sz w:val="20"/>
                <w:szCs w:val="20"/>
                <w:highlight w:val="none"/>
                <w14:textFill>
                  <w14:solidFill>
                    <w14:schemeClr w14:val="tx1"/>
                  </w14:solidFill>
                </w14:textFill>
              </w:rPr>
              <w:t>用地环境风险防控要求</w:t>
            </w:r>
            <w:r>
              <w:rPr>
                <w:rFonts w:hint="eastAsia" w:cs="Times New Roman"/>
                <w:color w:val="000000" w:themeColor="text1"/>
                <w:kern w:val="0"/>
                <w:sz w:val="20"/>
                <w:szCs w:val="20"/>
                <w:highlight w:val="none"/>
                <w14:textFill>
                  <w14:solidFill>
                    <w14:schemeClr w14:val="tx1"/>
                  </w14:solidFill>
                </w14:textFill>
              </w:rPr>
              <w:t>：</w:t>
            </w:r>
            <w:r>
              <w:rPr>
                <w:rFonts w:cs="Times New Roman"/>
                <w:color w:val="000000" w:themeColor="text1"/>
                <w:kern w:val="0"/>
                <w:sz w:val="20"/>
                <w:szCs w:val="20"/>
                <w:highlight w:val="none"/>
                <w14:textFill>
                  <w14:solidFill>
                    <w14:schemeClr w14:val="tx1"/>
                  </w14:solidFill>
                </w14:textFill>
              </w:rPr>
              <w:t>化工、电镀等行业企业拆除生产设施设备、构筑物和污染治理设施，要事先制定残留污染物清理和安全处置方案，要严格按照有关规定实施安全处理处置，防范拆除活动污染土壤。有色金属矿采选、有色金属冶炼、石油加工、化工、焦化、电镀、制革、天然（页岩）气开采、铅蓄电池、汽车制造、农药、危废处置、电子拆解等行业企业及其他可能影响土壤环境质量的生产设施设备、构筑物和污染治理设施的拆除，按照有关规定制定残留污染物清理和安全处置方案，要严格按照有关规定实施安全处理处置，防范拆除活动污染土壤。</w:t>
            </w:r>
          </w:p>
        </w:tc>
        <w:tc>
          <w:tcPr>
            <w:tcW w:w="1422"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14:textFill>
                  <w14:solidFill>
                    <w14:schemeClr w14:val="tx1"/>
                  </w14:solidFill>
                </w14:textFill>
              </w:rPr>
            </w:pPr>
            <w:r>
              <w:rPr>
                <w:rFonts w:cs="Times New Roman"/>
                <w:color w:val="000000" w:themeColor="text1"/>
                <w:sz w:val="20"/>
                <w:szCs w:val="20"/>
                <w:highlight w:val="none"/>
                <w14:textFill>
                  <w14:solidFill>
                    <w14:schemeClr w14:val="tx1"/>
                  </w14:solidFill>
                </w14:textFill>
              </w:rPr>
              <w:t>/</w:t>
            </w:r>
          </w:p>
        </w:tc>
        <w:tc>
          <w:tcPr>
            <w:tcW w:w="1047"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sz w:val="20"/>
                <w:szCs w:val="20"/>
                <w:highlight w:val="none"/>
                <w:lang w:bidi="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5" w:type="dxa"/>
            <w:vMerge w:val="continue"/>
            <w:vAlign w:val="center"/>
          </w:tcPr>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p>
        </w:tc>
        <w:tc>
          <w:tcPr>
            <w:tcW w:w="464" w:type="dxa"/>
            <w:vMerge w:val="continue"/>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tc>
        <w:tc>
          <w:tcPr>
            <w:tcW w:w="407" w:type="dxa"/>
            <w:vAlign w:val="center"/>
          </w:tcPr>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r>
              <w:rPr>
                <w:rFonts w:cs="Times New Roman"/>
                <w:color w:val="000000" w:themeColor="text1"/>
                <w:kern w:val="0"/>
                <w:sz w:val="20"/>
                <w:szCs w:val="20"/>
                <w:highlight w:val="none"/>
                <w14:textFill>
                  <w14:solidFill>
                    <w14:schemeClr w14:val="tx1"/>
                  </w14:solidFill>
                </w14:textFill>
              </w:rPr>
              <w:t>资源开发利用效率要求</w:t>
            </w:r>
          </w:p>
        </w:tc>
        <w:tc>
          <w:tcPr>
            <w:tcW w:w="4425" w:type="dxa"/>
            <w:vAlign w:val="center"/>
          </w:tcPr>
          <w:p>
            <w:pPr>
              <w:overflowPunct w:val="0"/>
              <w:adjustRightInd/>
              <w:snapToGrid/>
              <w:spacing w:line="240" w:lineRule="auto"/>
              <w:ind w:firstLine="0" w:firstLineChars="0"/>
              <w:jc w:val="left"/>
              <w:rPr>
                <w:rFonts w:cs="Times New Roman"/>
                <w:color w:val="000000" w:themeColor="text1"/>
                <w:kern w:val="0"/>
                <w:sz w:val="20"/>
                <w:szCs w:val="20"/>
                <w:highlight w:val="none"/>
                <w14:textFill>
                  <w14:solidFill>
                    <w14:schemeClr w14:val="tx1"/>
                  </w14:solidFill>
                </w14:textFill>
              </w:rPr>
            </w:pPr>
            <w:r>
              <w:rPr>
                <w:rFonts w:cs="Times New Roman"/>
                <w:color w:val="000000" w:themeColor="text1"/>
                <w:kern w:val="0"/>
                <w:sz w:val="20"/>
                <w:szCs w:val="20"/>
                <w:highlight w:val="none"/>
                <w14:textFill>
                  <w14:solidFill>
                    <w14:schemeClr w14:val="tx1"/>
                  </w14:solidFill>
                </w14:textFill>
              </w:rPr>
              <w:t>水资源利用总量要求：</w:t>
            </w:r>
          </w:p>
          <w:p>
            <w:pPr>
              <w:overflowPunct w:val="0"/>
              <w:adjustRightInd/>
              <w:snapToGrid/>
              <w:spacing w:line="240" w:lineRule="auto"/>
              <w:ind w:firstLine="0" w:firstLineChars="0"/>
              <w:jc w:val="left"/>
              <w:rPr>
                <w:rFonts w:cs="Times New Roman"/>
                <w:color w:val="000000" w:themeColor="text1"/>
                <w:kern w:val="0"/>
                <w:sz w:val="20"/>
                <w:szCs w:val="20"/>
                <w:highlight w:val="none"/>
                <w14:textFill>
                  <w14:solidFill>
                    <w14:schemeClr w14:val="tx1"/>
                  </w14:solidFill>
                </w14:textFill>
              </w:rPr>
            </w:pPr>
            <w:r>
              <w:rPr>
                <w:rFonts w:cs="Times New Roman"/>
                <w:color w:val="000000" w:themeColor="text1"/>
                <w:kern w:val="0"/>
                <w:sz w:val="20"/>
                <w:szCs w:val="20"/>
                <w:highlight w:val="none"/>
                <w14:textFill>
                  <w14:solidFill>
                    <w14:schemeClr w14:val="tx1"/>
                  </w14:solidFill>
                </w14:textFill>
              </w:rPr>
              <w:t>新、改扩建项目污染水耗指标满足《四川省省级生态工业园区指标》综合类生态工业园区要求；到2022年，万元国内生产总值用水量、万元工业增加值用水量较2015年分别下降30%和28%。</w:t>
            </w:r>
          </w:p>
          <w:p>
            <w:pPr>
              <w:overflowPunct w:val="0"/>
              <w:adjustRightInd/>
              <w:snapToGrid/>
              <w:spacing w:line="240" w:lineRule="auto"/>
              <w:ind w:firstLine="0" w:firstLineChars="0"/>
              <w:jc w:val="left"/>
              <w:rPr>
                <w:rFonts w:cs="Times New Roman"/>
                <w:color w:val="000000" w:themeColor="text1"/>
                <w:kern w:val="0"/>
                <w:sz w:val="20"/>
                <w:szCs w:val="20"/>
                <w:highlight w:val="none"/>
                <w14:textFill>
                  <w14:solidFill>
                    <w14:schemeClr w14:val="tx1"/>
                  </w14:solidFill>
                </w14:textFill>
              </w:rPr>
            </w:pPr>
            <w:r>
              <w:rPr>
                <w:rFonts w:cs="Times New Roman"/>
                <w:color w:val="000000" w:themeColor="text1"/>
                <w:kern w:val="0"/>
                <w:sz w:val="20"/>
                <w:szCs w:val="20"/>
                <w:highlight w:val="none"/>
                <w14:textFill>
                  <w14:solidFill>
                    <w14:schemeClr w14:val="tx1"/>
                  </w14:solidFill>
                </w14:textFill>
              </w:rPr>
              <w:t>地下水开采要求：以省市下发指标为准。</w:t>
            </w:r>
          </w:p>
          <w:p>
            <w:pPr>
              <w:overflowPunct w:val="0"/>
              <w:adjustRightInd/>
              <w:snapToGrid/>
              <w:spacing w:line="240" w:lineRule="auto"/>
              <w:ind w:firstLine="0" w:firstLineChars="0"/>
              <w:jc w:val="left"/>
              <w:rPr>
                <w:rFonts w:cs="Times New Roman"/>
                <w:color w:val="000000" w:themeColor="text1"/>
                <w:kern w:val="0"/>
                <w:sz w:val="20"/>
                <w:szCs w:val="20"/>
                <w:highlight w:val="none"/>
                <w14:textFill>
                  <w14:solidFill>
                    <w14:schemeClr w14:val="tx1"/>
                  </w14:solidFill>
                </w14:textFill>
              </w:rPr>
            </w:pPr>
            <w:r>
              <w:rPr>
                <w:rFonts w:cs="Times New Roman"/>
                <w:color w:val="000000" w:themeColor="text1"/>
                <w:kern w:val="0"/>
                <w:sz w:val="20"/>
                <w:szCs w:val="20"/>
                <w:highlight w:val="none"/>
                <w14:textFill>
                  <w14:solidFill>
                    <w14:schemeClr w14:val="tx1"/>
                  </w14:solidFill>
                </w14:textFill>
              </w:rPr>
              <w:t>能源利用总量及效率要求：</w:t>
            </w:r>
          </w:p>
          <w:p>
            <w:pPr>
              <w:pStyle w:val="389"/>
              <w:spacing w:line="240" w:lineRule="auto"/>
              <w:ind w:firstLine="0" w:firstLineChars="0"/>
              <w:rPr>
                <w:rFonts w:eastAsia="宋体"/>
                <w:color w:val="000000" w:themeColor="text1"/>
                <w:kern w:val="0"/>
                <w:sz w:val="20"/>
                <w:szCs w:val="20"/>
                <w:highlight w:val="none"/>
                <w14:textFill>
                  <w14:solidFill>
                    <w14:schemeClr w14:val="tx1"/>
                  </w14:solidFill>
                </w14:textFill>
              </w:rPr>
            </w:pPr>
            <w:r>
              <w:rPr>
                <w:rFonts w:eastAsia="宋体"/>
                <w:color w:val="000000" w:themeColor="text1"/>
                <w:kern w:val="0"/>
                <w:sz w:val="20"/>
                <w:szCs w:val="20"/>
                <w:highlight w:val="none"/>
                <w14:textFill>
                  <w14:solidFill>
                    <w14:schemeClr w14:val="tx1"/>
                  </w14:solidFill>
                </w14:textFill>
              </w:rPr>
              <w:t>川东北区域实施新建项目与煤炭消费总量控制挂钩机制，耗煤建设项目实行煤炭消耗等量减量替代。提高煤炭利用效率和天然气利用占比，工业领域有序推进“煤改电”和有序推进“煤改气”。</w:t>
            </w:r>
          </w:p>
          <w:p>
            <w:pPr>
              <w:pStyle w:val="389"/>
              <w:spacing w:line="240" w:lineRule="auto"/>
              <w:ind w:firstLine="0" w:firstLineChars="0"/>
              <w:rPr>
                <w:rFonts w:eastAsia="宋体"/>
                <w:color w:val="000000" w:themeColor="text1"/>
                <w:kern w:val="0"/>
                <w:sz w:val="20"/>
                <w:szCs w:val="20"/>
                <w:highlight w:val="none"/>
                <w14:textFill>
                  <w14:solidFill>
                    <w14:schemeClr w14:val="tx1"/>
                  </w14:solidFill>
                </w14:textFill>
              </w:rPr>
            </w:pPr>
            <w:r>
              <w:rPr>
                <w:rFonts w:eastAsia="宋体"/>
                <w:color w:val="000000" w:themeColor="text1"/>
                <w:kern w:val="0"/>
                <w:sz w:val="20"/>
                <w:szCs w:val="20"/>
                <w:highlight w:val="none"/>
                <w14:textFill>
                  <w14:solidFill>
                    <w14:schemeClr w14:val="tx1"/>
                  </w14:solidFill>
                </w14:textFill>
              </w:rPr>
              <w:t>-大力实施和推广以电代煤、以电代油工程，重点在城市交通、工商业等领域实施以电代油、以电代煤。</w:t>
            </w:r>
          </w:p>
          <w:p>
            <w:pPr>
              <w:pStyle w:val="389"/>
              <w:spacing w:line="240" w:lineRule="auto"/>
              <w:ind w:firstLine="0" w:firstLineChars="0"/>
              <w:rPr>
                <w:rFonts w:eastAsia="宋体"/>
                <w:color w:val="000000" w:themeColor="text1"/>
                <w:kern w:val="0"/>
                <w:sz w:val="20"/>
                <w:szCs w:val="20"/>
                <w:highlight w:val="none"/>
                <w14:textFill>
                  <w14:solidFill>
                    <w14:schemeClr w14:val="tx1"/>
                  </w14:solidFill>
                </w14:textFill>
              </w:rPr>
            </w:pPr>
            <w:r>
              <w:rPr>
                <w:rFonts w:eastAsia="宋体"/>
                <w:color w:val="000000" w:themeColor="text1"/>
                <w:kern w:val="0"/>
                <w:sz w:val="20"/>
                <w:szCs w:val="20"/>
                <w:highlight w:val="none"/>
                <w14:textFill>
                  <w14:solidFill>
                    <w14:schemeClr w14:val="tx1"/>
                  </w14:solidFill>
                </w14:textFill>
              </w:rPr>
              <w:t>-增加天然气对煤炭和石油的替代，提高天然气民用、交通、发电、工业领域天然气消费比重。</w:t>
            </w:r>
          </w:p>
          <w:p>
            <w:pPr>
              <w:pStyle w:val="389"/>
              <w:spacing w:line="240" w:lineRule="auto"/>
              <w:ind w:firstLine="0" w:firstLineChars="0"/>
              <w:rPr>
                <w:rFonts w:eastAsia="宋体"/>
                <w:color w:val="000000" w:themeColor="text1"/>
                <w:kern w:val="0"/>
                <w:sz w:val="20"/>
                <w:szCs w:val="20"/>
                <w:highlight w:val="none"/>
                <w14:textFill>
                  <w14:solidFill>
                    <w14:schemeClr w14:val="tx1"/>
                  </w14:solidFill>
                </w14:textFill>
              </w:rPr>
            </w:pPr>
            <w:r>
              <w:rPr>
                <w:rFonts w:eastAsia="宋体"/>
                <w:color w:val="000000" w:themeColor="text1"/>
                <w:kern w:val="0"/>
                <w:sz w:val="20"/>
                <w:szCs w:val="20"/>
                <w:highlight w:val="none"/>
                <w14:textFill>
                  <w14:solidFill>
                    <w14:schemeClr w14:val="tx1"/>
                  </w14:solidFill>
                </w14:textFill>
              </w:rPr>
              <w:t>-实施煤炭消费总量控制：严格控制煤炭消费总量；严格控制新建、改建、扩建耗煤项目，新增耗煤项目实行煤炭消耗减量倍量替代。</w:t>
            </w:r>
          </w:p>
          <w:p>
            <w:pPr>
              <w:pStyle w:val="389"/>
              <w:spacing w:line="240" w:lineRule="auto"/>
              <w:ind w:firstLine="0" w:firstLineChars="0"/>
              <w:rPr>
                <w:rFonts w:eastAsia="宋体"/>
                <w:color w:val="000000" w:themeColor="text1"/>
                <w:kern w:val="0"/>
                <w:sz w:val="20"/>
                <w:szCs w:val="20"/>
                <w:highlight w:val="none"/>
                <w14:textFill>
                  <w14:solidFill>
                    <w14:schemeClr w14:val="tx1"/>
                  </w14:solidFill>
                </w14:textFill>
              </w:rPr>
            </w:pPr>
            <w:r>
              <w:rPr>
                <w:rFonts w:eastAsia="宋体"/>
                <w:color w:val="000000" w:themeColor="text1"/>
                <w:kern w:val="0"/>
                <w:sz w:val="20"/>
                <w:szCs w:val="20"/>
                <w:highlight w:val="none"/>
                <w14:textFill>
                  <w14:solidFill>
                    <w14:schemeClr w14:val="tx1"/>
                  </w14:solidFill>
                </w14:textFill>
              </w:rPr>
              <w:t>-鼓励使用清洁燃料，重点区域建设项目原则上不新建燃煤自备锅炉。鼓励重点区域高炉-转炉长流程钢铁企业转型为电炉短流程企业。大宗物料优先采用铁路、管道或水路运输，短途接驳优先使用新能源车辆运输。</w:t>
            </w:r>
          </w:p>
          <w:p>
            <w:pPr>
              <w:pStyle w:val="389"/>
              <w:spacing w:line="240" w:lineRule="auto"/>
              <w:ind w:firstLine="0" w:firstLineChars="0"/>
              <w:rPr>
                <w:rFonts w:eastAsia="宋体"/>
                <w:color w:val="000000" w:themeColor="text1"/>
                <w:kern w:val="0"/>
                <w:sz w:val="20"/>
                <w:szCs w:val="20"/>
                <w:highlight w:val="none"/>
                <w14:textFill>
                  <w14:solidFill>
                    <w14:schemeClr w14:val="tx1"/>
                  </w14:solidFill>
                </w14:textFill>
              </w:rPr>
            </w:pPr>
            <w:r>
              <w:rPr>
                <w:rFonts w:eastAsia="宋体"/>
                <w:color w:val="000000" w:themeColor="text1"/>
                <w:kern w:val="0"/>
                <w:sz w:val="20"/>
                <w:szCs w:val="20"/>
                <w:highlight w:val="none"/>
                <w14:textFill>
                  <w14:solidFill>
                    <w14:schemeClr w14:val="tx1"/>
                  </w14:solidFill>
                </w14:textFill>
              </w:rPr>
              <w:t>-推进清洁能源的推广使用，全面推进散煤清洁化整治；</w:t>
            </w:r>
          </w:p>
          <w:p>
            <w:pPr>
              <w:pStyle w:val="389"/>
              <w:spacing w:line="240" w:lineRule="auto"/>
              <w:ind w:firstLine="0" w:firstLineChars="0"/>
              <w:rPr>
                <w:rFonts w:eastAsia="宋体"/>
                <w:color w:val="000000" w:themeColor="text1"/>
                <w:kern w:val="0"/>
                <w:sz w:val="20"/>
                <w:szCs w:val="20"/>
                <w:highlight w:val="none"/>
                <w14:textFill>
                  <w14:solidFill>
                    <w14:schemeClr w14:val="tx1"/>
                  </w14:solidFill>
                </w14:textFill>
              </w:rPr>
            </w:pPr>
            <w:r>
              <w:rPr>
                <w:rFonts w:eastAsia="宋体"/>
                <w:color w:val="000000" w:themeColor="text1"/>
                <w:kern w:val="0"/>
                <w:sz w:val="20"/>
                <w:szCs w:val="20"/>
                <w:highlight w:val="none"/>
                <w14:textFill>
                  <w14:solidFill>
                    <w14:schemeClr w14:val="tx1"/>
                  </w14:solidFill>
                </w14:textFill>
              </w:rPr>
              <w:t>-全面淘汰10蒸吨/小时及以下燃煤锅炉，原则上不再新建35蒸吨/小时及以下的燃煤锅炉，推进县级及以上城市建成区淘汰35蒸吨/小时及以下燃煤锅炉，以工业余热、电厂热力、清洁能源等替代煤炭。加快推进火电、钢铁、铸造（含烧结、球团、高炉工序）水泥、焦化行业燃煤锅炉和工业炉窑超低排放改造及深度治理。稳步实施陶瓷、玻璃、铁合金、有色、砖瓦等行业企业深度治理，推进工业炉窑煤改电（气）和低氮燃烧改造。全面加强钢铁、建材、有色、焦化、铸造重点行业无组织排放治理。生物质锅炉采用专用锅炉，配套布袋等高效除尘设施，禁止掺烧煤炭、垃圾等其他物料。</w:t>
            </w:r>
          </w:p>
          <w:p>
            <w:pPr>
              <w:pStyle w:val="389"/>
              <w:spacing w:line="240" w:lineRule="auto"/>
              <w:ind w:firstLine="0" w:firstLineChars="0"/>
              <w:rPr>
                <w:color w:val="000000" w:themeColor="text1"/>
                <w:kern w:val="0"/>
                <w:sz w:val="20"/>
                <w:szCs w:val="20"/>
                <w:highlight w:val="none"/>
                <w14:textFill>
                  <w14:solidFill>
                    <w14:schemeClr w14:val="tx1"/>
                  </w14:solidFill>
                </w14:textFill>
              </w:rPr>
            </w:pPr>
            <w:r>
              <w:rPr>
                <w:rFonts w:eastAsia="宋体"/>
                <w:color w:val="000000" w:themeColor="text1"/>
                <w:kern w:val="0"/>
                <w:sz w:val="20"/>
                <w:szCs w:val="20"/>
                <w:highlight w:val="none"/>
                <w14:textFill>
                  <w14:solidFill>
                    <w14:schemeClr w14:val="tx1"/>
                  </w14:solidFill>
                </w14:textFill>
              </w:rPr>
              <w:t>-对20蒸吨及以上燃煤锅炉实施脱硫改造，建设高效脱硫设施；对循环流化床锅炉以外的燃煤发电机组一律安装脱硫设施，对燃煤锅炉和工业锅炉现有除尘设施实施升级改造，确保达到新的排放标准和特别排放限值</w:t>
            </w:r>
            <w:r>
              <w:rPr>
                <w:rFonts w:hint="eastAsia" w:eastAsia="宋体"/>
                <w:color w:val="000000" w:themeColor="text1"/>
                <w:kern w:val="0"/>
                <w:sz w:val="20"/>
                <w:szCs w:val="20"/>
                <w:highlight w:val="none"/>
                <w14:textFill>
                  <w14:solidFill>
                    <w14:schemeClr w14:val="tx1"/>
                  </w14:solidFill>
                </w14:textFill>
              </w:rPr>
              <w:t>。</w:t>
            </w:r>
          </w:p>
          <w:p>
            <w:pPr>
              <w:overflowPunct w:val="0"/>
              <w:adjustRightInd/>
              <w:snapToGrid/>
              <w:spacing w:line="240" w:lineRule="auto"/>
              <w:ind w:firstLine="0" w:firstLineChars="0"/>
              <w:jc w:val="left"/>
              <w:rPr>
                <w:rFonts w:cs="Times New Roman"/>
                <w:color w:val="000000" w:themeColor="text1"/>
                <w:kern w:val="0"/>
                <w:sz w:val="20"/>
                <w:szCs w:val="20"/>
                <w:highlight w:val="none"/>
                <w14:textFill>
                  <w14:solidFill>
                    <w14:schemeClr w14:val="tx1"/>
                  </w14:solidFill>
                </w14:textFill>
              </w:rPr>
            </w:pPr>
            <w:r>
              <w:rPr>
                <w:rFonts w:cs="Times New Roman"/>
                <w:color w:val="000000" w:themeColor="text1"/>
                <w:kern w:val="0"/>
                <w:sz w:val="20"/>
                <w:szCs w:val="20"/>
                <w:highlight w:val="none"/>
                <w14:textFill>
                  <w14:solidFill>
                    <w14:schemeClr w14:val="tx1"/>
                  </w14:solidFill>
                </w14:textFill>
              </w:rPr>
              <w:t>禁燃区要求：</w:t>
            </w:r>
          </w:p>
          <w:p>
            <w:pPr>
              <w:pStyle w:val="389"/>
              <w:spacing w:line="240" w:lineRule="auto"/>
              <w:ind w:firstLine="0" w:firstLineChars="0"/>
              <w:rPr>
                <w:rFonts w:eastAsia="宋体"/>
                <w:color w:val="000000" w:themeColor="text1"/>
                <w:kern w:val="0"/>
                <w:sz w:val="20"/>
                <w:szCs w:val="20"/>
                <w:highlight w:val="none"/>
                <w14:textFill>
                  <w14:solidFill>
                    <w14:schemeClr w14:val="tx1"/>
                  </w14:solidFill>
                </w14:textFill>
              </w:rPr>
            </w:pPr>
            <w:r>
              <w:rPr>
                <w:rFonts w:eastAsia="宋体"/>
                <w:color w:val="000000" w:themeColor="text1"/>
                <w:kern w:val="0"/>
                <w:sz w:val="20"/>
                <w:szCs w:val="20"/>
                <w:highlight w:val="none"/>
                <w14:textFill>
                  <w14:solidFill>
                    <w14:schemeClr w14:val="tx1"/>
                  </w14:solidFill>
                </w14:textFill>
              </w:rPr>
              <w:t>-高污染燃料禁燃区内禁止燃用的燃料为《高污染燃料目录》（2017）中III类（严格）燃料组合，包括：（一）煤炭及其制品；（二）石油焦、油页岩、原油、重油、渣油、煤焦油；（三）非专用锅炉或未配置高效除尘设施的专用锅炉燃用的生物质成型燃料。</w:t>
            </w:r>
          </w:p>
          <w:p>
            <w:pPr>
              <w:pStyle w:val="389"/>
              <w:spacing w:line="240" w:lineRule="auto"/>
              <w:ind w:firstLine="0" w:firstLineChars="0"/>
              <w:rPr>
                <w:rFonts w:eastAsia="宋体"/>
                <w:color w:val="000000" w:themeColor="text1"/>
                <w:kern w:val="0"/>
                <w:sz w:val="20"/>
                <w:szCs w:val="20"/>
                <w:highlight w:val="none"/>
                <w14:textFill>
                  <w14:solidFill>
                    <w14:schemeClr w14:val="tx1"/>
                  </w14:solidFill>
                </w14:textFill>
              </w:rPr>
            </w:pPr>
            <w:r>
              <w:rPr>
                <w:rFonts w:eastAsia="宋体"/>
                <w:color w:val="000000" w:themeColor="text1"/>
                <w:kern w:val="0"/>
                <w:sz w:val="20"/>
                <w:szCs w:val="20"/>
                <w:highlight w:val="none"/>
                <w14:textFill>
                  <w14:solidFill>
                    <w14:schemeClr w14:val="tx1"/>
                  </w14:solidFill>
                </w14:textFill>
              </w:rPr>
              <w:t>-禁燃区内禁止销售、燃用高污染燃料；禁止新建、改建、扩建燃用高污染燃料的设施和设备。</w:t>
            </w:r>
          </w:p>
          <w:p>
            <w:pPr>
              <w:overflowPunct w:val="0"/>
              <w:adjustRightInd/>
              <w:snapToGrid/>
              <w:spacing w:line="240" w:lineRule="auto"/>
              <w:ind w:firstLine="0" w:firstLineChars="0"/>
              <w:jc w:val="left"/>
              <w:rPr>
                <w:rFonts w:cs="Times New Roman"/>
                <w:color w:val="000000" w:themeColor="text1"/>
                <w:kern w:val="0"/>
                <w:sz w:val="20"/>
                <w:szCs w:val="20"/>
                <w:highlight w:val="none"/>
                <w14:textFill>
                  <w14:solidFill>
                    <w14:schemeClr w14:val="tx1"/>
                  </w14:solidFill>
                </w14:textFill>
              </w:rPr>
            </w:pPr>
            <w:r>
              <w:rPr>
                <w:rFonts w:cs="Times New Roman"/>
                <w:color w:val="000000" w:themeColor="text1"/>
                <w:kern w:val="0"/>
                <w:sz w:val="20"/>
                <w:szCs w:val="20"/>
                <w:highlight w:val="none"/>
                <w14:textFill>
                  <w14:solidFill>
                    <w14:schemeClr w14:val="tx1"/>
                  </w14:solidFill>
                </w14:textFill>
              </w:rPr>
              <w:t>-禁燃区内已建成的高污染燃料燃用设施由辖区人民政府制定限期改造计划，改用天然气、页岩气、液化石油气、电或其他清洁能源。</w:t>
            </w:r>
          </w:p>
          <w:p>
            <w:pPr>
              <w:overflowPunct w:val="0"/>
              <w:adjustRightInd/>
              <w:snapToGrid/>
              <w:spacing w:line="240" w:lineRule="auto"/>
              <w:ind w:firstLine="0" w:firstLineChars="0"/>
              <w:jc w:val="left"/>
              <w:rPr>
                <w:rFonts w:cs="Times New Roman"/>
                <w:color w:val="000000" w:themeColor="text1"/>
                <w:kern w:val="0"/>
                <w:sz w:val="20"/>
                <w:szCs w:val="20"/>
                <w:highlight w:val="none"/>
                <w14:textFill>
                  <w14:solidFill>
                    <w14:schemeClr w14:val="tx1"/>
                  </w14:solidFill>
                </w14:textFill>
              </w:rPr>
            </w:pPr>
            <w:r>
              <w:rPr>
                <w:rFonts w:cs="Times New Roman"/>
                <w:color w:val="000000" w:themeColor="text1"/>
                <w:kern w:val="0"/>
                <w:sz w:val="20"/>
                <w:szCs w:val="20"/>
                <w:highlight w:val="none"/>
                <w14:textFill>
                  <w14:solidFill>
                    <w14:schemeClr w14:val="tx1"/>
                  </w14:solidFill>
                </w14:textFill>
              </w:rPr>
              <w:t>其他资源利用效率要求：/</w:t>
            </w:r>
          </w:p>
        </w:tc>
        <w:tc>
          <w:tcPr>
            <w:tcW w:w="1422"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14:textFill>
                  <w14:solidFill>
                    <w14:schemeClr w14:val="tx1"/>
                  </w14:solidFill>
                </w14:textFill>
              </w:rPr>
            </w:pPr>
            <w:r>
              <w:rPr>
                <w:rFonts w:cs="Times New Roman"/>
                <w:color w:val="000000" w:themeColor="text1"/>
                <w:sz w:val="20"/>
                <w:szCs w:val="20"/>
                <w:highlight w:val="none"/>
                <w14:textFill>
                  <w14:solidFill>
                    <w14:schemeClr w14:val="tx1"/>
                  </w14:solidFill>
                </w14:textFill>
              </w:rPr>
              <w:t>/</w:t>
            </w:r>
          </w:p>
        </w:tc>
        <w:tc>
          <w:tcPr>
            <w:tcW w:w="1047"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sz w:val="20"/>
                <w:szCs w:val="20"/>
                <w:highlight w:val="none"/>
                <w:lang w:bidi="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5" w:type="dxa"/>
            <w:vMerge w:val="restart"/>
            <w:vAlign w:val="center"/>
          </w:tcPr>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r>
              <w:rPr>
                <w:rFonts w:cs="Times New Roman"/>
                <w:color w:val="000000" w:themeColor="text1"/>
                <w:sz w:val="20"/>
                <w:szCs w:val="20"/>
                <w:highlight w:val="none"/>
                <w14:textFill>
                  <w14:solidFill>
                    <w14:schemeClr w14:val="tx1"/>
                  </w14:solidFill>
                </w14:textFill>
              </w:rPr>
              <w:t>州河-通川区</w:t>
            </w:r>
            <w:r>
              <w:rPr>
                <w:rFonts w:hint="eastAsia" w:cs="Times New Roman"/>
                <w:color w:val="000000" w:themeColor="text1"/>
                <w:sz w:val="20"/>
                <w:szCs w:val="20"/>
                <w:highlight w:val="none"/>
                <w14:textFill>
                  <w14:solidFill>
                    <w14:schemeClr w14:val="tx1"/>
                  </w14:solidFill>
                </w14:textFill>
              </w:rPr>
              <w:t>一车</w:t>
            </w:r>
            <w:r>
              <w:rPr>
                <w:rFonts w:cs="Times New Roman"/>
                <w:color w:val="000000" w:themeColor="text1"/>
                <w:sz w:val="20"/>
                <w:szCs w:val="20"/>
                <w:highlight w:val="none"/>
                <w14:textFill>
                  <w14:solidFill>
                    <w14:schemeClr w14:val="tx1"/>
                  </w14:solidFill>
                </w14:textFill>
              </w:rPr>
              <w:t>家河-控制单元YS5117022210001</w:t>
            </w:r>
          </w:p>
        </w:tc>
        <w:tc>
          <w:tcPr>
            <w:tcW w:w="464" w:type="dxa"/>
            <w:vMerge w:val="restart"/>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sz w:val="20"/>
                <w:szCs w:val="20"/>
                <w:highlight w:val="none"/>
                <w:lang w:bidi="zh-CN"/>
                <w14:textFill>
                  <w14:solidFill>
                    <w14:schemeClr w14:val="tx1"/>
                  </w14:solidFill>
                </w14:textFill>
              </w:rPr>
              <w:t>单元级清单管控要求</w:t>
            </w:r>
          </w:p>
        </w:tc>
        <w:tc>
          <w:tcPr>
            <w:tcW w:w="407" w:type="dxa"/>
            <w:vAlign w:val="center"/>
          </w:tcPr>
          <w:p>
            <w:pPr>
              <w:overflowPunct w:val="0"/>
              <w:adjustRightInd/>
              <w:snapToGrid/>
              <w:spacing w:line="240" w:lineRule="auto"/>
              <w:ind w:firstLine="0" w:firstLineChars="0"/>
              <w:jc w:val="left"/>
              <w:rPr>
                <w:rFonts w:cs="Times New Roman"/>
                <w:color w:val="000000" w:themeColor="text1"/>
                <w:kern w:val="21"/>
                <w:sz w:val="20"/>
                <w:szCs w:val="20"/>
                <w:highlight w:val="none"/>
                <w14:textFill>
                  <w14:solidFill>
                    <w14:schemeClr w14:val="tx1"/>
                  </w14:solidFill>
                </w14:textFill>
              </w:rPr>
            </w:pPr>
            <w:r>
              <w:rPr>
                <w:rFonts w:cs="Times New Roman"/>
                <w:color w:val="000000" w:themeColor="text1"/>
                <w:sz w:val="20"/>
                <w:szCs w:val="20"/>
                <w:highlight w:val="none"/>
                <w14:textFill>
                  <w14:solidFill>
                    <w14:schemeClr w14:val="tx1"/>
                  </w14:solidFill>
                </w14:textFill>
              </w:rPr>
              <w:t>空间布局约束</w:t>
            </w:r>
          </w:p>
        </w:tc>
        <w:tc>
          <w:tcPr>
            <w:tcW w:w="4425" w:type="dxa"/>
            <w:vAlign w:val="center"/>
          </w:tcPr>
          <w:p>
            <w:pPr>
              <w:overflowPunct w:val="0"/>
              <w:adjustRightInd/>
              <w:snapToGrid/>
              <w:spacing w:line="240" w:lineRule="auto"/>
              <w:ind w:firstLine="0" w:firstLineChars="0"/>
              <w:jc w:val="left"/>
              <w:rPr>
                <w:rFonts w:cs="Times New Roman"/>
                <w:color w:val="000000" w:themeColor="text1"/>
                <w:kern w:val="0"/>
                <w:sz w:val="20"/>
                <w:szCs w:val="20"/>
                <w:highlight w:val="none"/>
                <w14:textFill>
                  <w14:solidFill>
                    <w14:schemeClr w14:val="tx1"/>
                  </w14:solidFill>
                </w14:textFill>
              </w:rPr>
            </w:pPr>
            <w:r>
              <w:rPr>
                <w:rFonts w:cs="Times New Roman"/>
                <w:color w:val="000000" w:themeColor="text1"/>
                <w:kern w:val="0"/>
                <w:sz w:val="20"/>
                <w:szCs w:val="20"/>
                <w:highlight w:val="none"/>
                <w14:textFill>
                  <w14:solidFill>
                    <w14:schemeClr w14:val="tx1"/>
                  </w14:solidFill>
                </w14:textFill>
              </w:rPr>
              <w:t>禁止开发建设活动的要求：/</w:t>
            </w:r>
          </w:p>
          <w:p>
            <w:pPr>
              <w:overflowPunct w:val="0"/>
              <w:adjustRightInd/>
              <w:snapToGrid/>
              <w:spacing w:line="240" w:lineRule="auto"/>
              <w:ind w:firstLine="0" w:firstLineChars="0"/>
              <w:jc w:val="left"/>
              <w:rPr>
                <w:rFonts w:cs="Times New Roman"/>
                <w:color w:val="000000" w:themeColor="text1"/>
                <w:kern w:val="0"/>
                <w:sz w:val="20"/>
                <w:szCs w:val="20"/>
                <w:highlight w:val="none"/>
                <w14:textFill>
                  <w14:solidFill>
                    <w14:schemeClr w14:val="tx1"/>
                  </w14:solidFill>
                </w14:textFill>
              </w:rPr>
            </w:pPr>
            <w:r>
              <w:rPr>
                <w:rFonts w:cs="Times New Roman"/>
                <w:color w:val="000000" w:themeColor="text1"/>
                <w:kern w:val="0"/>
                <w:sz w:val="20"/>
                <w:szCs w:val="20"/>
                <w:highlight w:val="none"/>
                <w14:textFill>
                  <w14:solidFill>
                    <w14:schemeClr w14:val="tx1"/>
                  </w14:solidFill>
                </w14:textFill>
              </w:rPr>
              <w:t>限制开发建设活动的要求：</w:t>
            </w:r>
            <w:r>
              <w:rPr>
                <w:rFonts w:cs="Times New Roman"/>
                <w:color w:val="000000" w:themeColor="text1"/>
                <w:sz w:val="20"/>
                <w:szCs w:val="20"/>
                <w:highlight w:val="none"/>
                <w14:textFill>
                  <w14:solidFill>
                    <w14:schemeClr w14:val="tx1"/>
                  </w14:solidFill>
                </w14:textFill>
              </w:rPr>
              <w:t>严控磷铵、黄磷等产业违规新增产能加快退出不符合产业政策和环保要求、不满足安全生产条件的涉磷企业</w:t>
            </w:r>
          </w:p>
          <w:p>
            <w:pPr>
              <w:overflowPunct w:val="0"/>
              <w:adjustRightInd/>
              <w:snapToGrid/>
              <w:spacing w:line="240" w:lineRule="auto"/>
              <w:ind w:firstLine="0" w:firstLineChars="0"/>
              <w:jc w:val="left"/>
              <w:rPr>
                <w:rFonts w:cs="Times New Roman"/>
                <w:color w:val="000000" w:themeColor="text1"/>
                <w:kern w:val="0"/>
                <w:sz w:val="20"/>
                <w:szCs w:val="20"/>
                <w:highlight w:val="none"/>
                <w14:textFill>
                  <w14:solidFill>
                    <w14:schemeClr w14:val="tx1"/>
                  </w14:solidFill>
                </w14:textFill>
              </w:rPr>
            </w:pPr>
            <w:r>
              <w:rPr>
                <w:rFonts w:cs="Times New Roman"/>
                <w:color w:val="000000" w:themeColor="text1"/>
                <w:kern w:val="0"/>
                <w:sz w:val="20"/>
                <w:szCs w:val="20"/>
                <w:highlight w:val="none"/>
                <w14:textFill>
                  <w14:solidFill>
                    <w14:schemeClr w14:val="tx1"/>
                  </w14:solidFill>
                </w14:textFill>
              </w:rPr>
              <w:t>允许开发建设活动的要求：/</w:t>
            </w:r>
          </w:p>
          <w:p>
            <w:pPr>
              <w:overflowPunct w:val="0"/>
              <w:adjustRightInd/>
              <w:snapToGrid/>
              <w:spacing w:line="240" w:lineRule="auto"/>
              <w:ind w:firstLine="0" w:firstLineChars="0"/>
              <w:jc w:val="left"/>
              <w:rPr>
                <w:rFonts w:cs="Times New Roman"/>
                <w:color w:val="000000" w:themeColor="text1"/>
                <w:kern w:val="0"/>
                <w:sz w:val="20"/>
                <w:szCs w:val="20"/>
                <w:highlight w:val="none"/>
                <w14:textFill>
                  <w14:solidFill>
                    <w14:schemeClr w14:val="tx1"/>
                  </w14:solidFill>
                </w14:textFill>
              </w:rPr>
            </w:pPr>
            <w:r>
              <w:rPr>
                <w:rFonts w:cs="Times New Roman"/>
                <w:color w:val="000000" w:themeColor="text1"/>
                <w:kern w:val="0"/>
                <w:sz w:val="20"/>
                <w:szCs w:val="20"/>
                <w:highlight w:val="none"/>
                <w14:textFill>
                  <w14:solidFill>
                    <w14:schemeClr w14:val="tx1"/>
                  </w14:solidFill>
                </w14:textFill>
              </w:rPr>
              <w:t>不符合空间布局要求活动的退出要求：/</w:t>
            </w:r>
          </w:p>
          <w:p>
            <w:pPr>
              <w:overflowPunct w:val="0"/>
              <w:adjustRightInd/>
              <w:snapToGrid/>
              <w:spacing w:line="240" w:lineRule="auto"/>
              <w:ind w:firstLine="0" w:firstLineChars="0"/>
              <w:jc w:val="left"/>
              <w:rPr>
                <w:rFonts w:cs="Times New Roman"/>
                <w:color w:val="000000" w:themeColor="text1"/>
                <w:kern w:val="0"/>
                <w:sz w:val="20"/>
                <w:szCs w:val="20"/>
                <w:highlight w:val="none"/>
                <w14:textFill>
                  <w14:solidFill>
                    <w14:schemeClr w14:val="tx1"/>
                  </w14:solidFill>
                </w14:textFill>
              </w:rPr>
            </w:pPr>
            <w:r>
              <w:rPr>
                <w:rFonts w:cs="Times New Roman"/>
                <w:color w:val="000000" w:themeColor="text1"/>
                <w:kern w:val="0"/>
                <w:sz w:val="20"/>
                <w:szCs w:val="20"/>
                <w:highlight w:val="none"/>
                <w14:textFill>
                  <w14:solidFill>
                    <w14:schemeClr w14:val="tx1"/>
                  </w14:solidFill>
                </w14:textFill>
              </w:rPr>
              <w:t>其他空间布局约束要求：/</w:t>
            </w:r>
          </w:p>
        </w:tc>
        <w:tc>
          <w:tcPr>
            <w:tcW w:w="1422"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14:textFill>
                  <w14:solidFill>
                    <w14:schemeClr w14:val="tx1"/>
                  </w14:solidFill>
                </w14:textFill>
              </w:rPr>
            </w:pPr>
            <w:r>
              <w:rPr>
                <w:rFonts w:hint="eastAsia" w:cs="Times New Roman"/>
                <w:color w:val="000000" w:themeColor="text1"/>
                <w:kern w:val="21"/>
                <w:sz w:val="20"/>
                <w:szCs w:val="20"/>
                <w:highlight w:val="none"/>
                <w14:textFill>
                  <w14:solidFill>
                    <w14:schemeClr w14:val="tx1"/>
                  </w14:solidFill>
                </w14:textFill>
              </w:rPr>
              <w:t>本项目为天然气试采工程，不属于涉磷企业</w:t>
            </w:r>
            <w:r>
              <w:rPr>
                <w:rFonts w:cs="Times New Roman"/>
                <w:color w:val="000000" w:themeColor="text1"/>
                <w:kern w:val="21"/>
                <w:sz w:val="20"/>
                <w:szCs w:val="20"/>
                <w:highlight w:val="none"/>
                <w14:textFill>
                  <w14:solidFill>
                    <w14:schemeClr w14:val="tx1"/>
                  </w14:solidFill>
                </w14:textFill>
              </w:rPr>
              <w:t>。</w:t>
            </w:r>
          </w:p>
        </w:tc>
        <w:tc>
          <w:tcPr>
            <w:tcW w:w="1047"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sz w:val="20"/>
                <w:szCs w:val="20"/>
                <w:highlight w:val="none"/>
                <w:lang w:bidi="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5" w:type="dxa"/>
            <w:vMerge w:val="continue"/>
            <w:vAlign w:val="center"/>
          </w:tcPr>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p>
        </w:tc>
        <w:tc>
          <w:tcPr>
            <w:tcW w:w="464" w:type="dxa"/>
            <w:vMerge w:val="continue"/>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tc>
        <w:tc>
          <w:tcPr>
            <w:tcW w:w="407" w:type="dxa"/>
            <w:vAlign w:val="center"/>
          </w:tcPr>
          <w:p>
            <w:pPr>
              <w:overflowPunct w:val="0"/>
              <w:adjustRightInd/>
              <w:snapToGrid/>
              <w:spacing w:line="240" w:lineRule="auto"/>
              <w:ind w:firstLine="0" w:firstLineChars="0"/>
              <w:jc w:val="left"/>
              <w:rPr>
                <w:rFonts w:cs="Times New Roman"/>
                <w:color w:val="000000" w:themeColor="text1"/>
                <w:kern w:val="21"/>
                <w:sz w:val="20"/>
                <w:szCs w:val="20"/>
                <w:highlight w:val="none"/>
                <w14:textFill>
                  <w14:solidFill>
                    <w14:schemeClr w14:val="tx1"/>
                  </w14:solidFill>
                </w14:textFill>
              </w:rPr>
            </w:pPr>
            <w:r>
              <w:rPr>
                <w:rFonts w:cs="Times New Roman"/>
                <w:color w:val="000000" w:themeColor="text1"/>
                <w:sz w:val="20"/>
                <w:szCs w:val="20"/>
                <w:highlight w:val="none"/>
                <w14:textFill>
                  <w14:solidFill>
                    <w14:schemeClr w14:val="tx1"/>
                  </w14:solidFill>
                </w14:textFill>
              </w:rPr>
              <w:t>污染物排放管控</w:t>
            </w:r>
          </w:p>
        </w:tc>
        <w:tc>
          <w:tcPr>
            <w:tcW w:w="4425" w:type="dxa"/>
            <w:vAlign w:val="center"/>
          </w:tcPr>
          <w:p>
            <w:pPr>
              <w:pStyle w:val="389"/>
              <w:widowControl/>
              <w:shd w:val="clear" w:color="auto" w:fill="FFFFFF"/>
              <w:spacing w:line="240" w:lineRule="auto"/>
              <w:ind w:firstLine="0" w:firstLineChars="0"/>
              <w:jc w:val="left"/>
              <w:rPr>
                <w:rFonts w:eastAsia="宋体"/>
                <w:color w:val="000000" w:themeColor="text1"/>
                <w:sz w:val="20"/>
                <w:szCs w:val="20"/>
                <w:highlight w:val="none"/>
                <w14:textFill>
                  <w14:solidFill>
                    <w14:schemeClr w14:val="tx1"/>
                  </w14:solidFill>
                </w14:textFill>
              </w:rPr>
            </w:pPr>
            <w:r>
              <w:rPr>
                <w:rFonts w:eastAsia="宋体"/>
                <w:color w:val="000000" w:themeColor="text1"/>
                <w:sz w:val="20"/>
                <w:szCs w:val="20"/>
                <w:highlight w:val="none"/>
                <w14:textFill>
                  <w14:solidFill>
                    <w14:schemeClr w14:val="tx1"/>
                  </w14:solidFill>
                </w14:textFill>
              </w:rPr>
              <w:t>城镇污水污染控制措施要求</w:t>
            </w:r>
            <w:r>
              <w:rPr>
                <w:rFonts w:hint="eastAsia" w:eastAsia="宋体"/>
                <w:color w:val="000000" w:themeColor="text1"/>
                <w:sz w:val="20"/>
                <w:szCs w:val="20"/>
                <w:highlight w:val="none"/>
                <w14:textFill>
                  <w14:solidFill>
                    <w14:schemeClr w14:val="tx1"/>
                  </w14:solidFill>
                </w14:textFill>
              </w:rPr>
              <w:t>：/</w:t>
            </w:r>
          </w:p>
          <w:p>
            <w:pPr>
              <w:pStyle w:val="389"/>
              <w:widowControl/>
              <w:shd w:val="clear" w:color="auto" w:fill="FFFFFF"/>
              <w:spacing w:line="240" w:lineRule="auto"/>
              <w:ind w:firstLine="0" w:firstLineChars="0"/>
              <w:jc w:val="left"/>
              <w:rPr>
                <w:rFonts w:eastAsia="宋体"/>
                <w:color w:val="000000" w:themeColor="text1"/>
                <w:sz w:val="20"/>
                <w:szCs w:val="20"/>
                <w:highlight w:val="none"/>
                <w14:textFill>
                  <w14:solidFill>
                    <w14:schemeClr w14:val="tx1"/>
                  </w14:solidFill>
                </w14:textFill>
              </w:rPr>
            </w:pPr>
            <w:r>
              <w:rPr>
                <w:rFonts w:eastAsia="宋体"/>
                <w:color w:val="000000" w:themeColor="text1"/>
                <w:sz w:val="20"/>
                <w:szCs w:val="20"/>
                <w:highlight w:val="none"/>
                <w14:textFill>
                  <w14:solidFill>
                    <w14:schemeClr w14:val="tx1"/>
                  </w14:solidFill>
                </w14:textFill>
              </w:rPr>
              <w:t>工业废水污染控制措施要求</w:t>
            </w:r>
          </w:p>
          <w:p>
            <w:pPr>
              <w:pStyle w:val="389"/>
              <w:widowControl/>
              <w:shd w:val="clear" w:color="auto" w:fill="FFFFFF"/>
              <w:spacing w:line="240" w:lineRule="auto"/>
              <w:ind w:firstLine="0" w:firstLineChars="0"/>
              <w:jc w:val="left"/>
              <w:rPr>
                <w:rFonts w:eastAsia="宋体"/>
                <w:color w:val="000000" w:themeColor="text1"/>
                <w:sz w:val="20"/>
                <w:szCs w:val="20"/>
                <w:highlight w:val="none"/>
                <w14:textFill>
                  <w14:solidFill>
                    <w14:schemeClr w14:val="tx1"/>
                  </w14:solidFill>
                </w14:textFill>
              </w:rPr>
            </w:pPr>
            <w:r>
              <w:rPr>
                <w:rFonts w:eastAsia="宋体"/>
                <w:color w:val="000000" w:themeColor="text1"/>
                <w:sz w:val="20"/>
                <w:szCs w:val="20"/>
                <w:highlight w:val="none"/>
                <w14:textFill>
                  <w14:solidFill>
                    <w14:schemeClr w14:val="tx1"/>
                  </w14:solidFill>
                </w14:textFill>
              </w:rPr>
              <w:t>1、深入实施工业企业污水处理设施升级改造，全面实现工业废水达标排放。2、强化工业集聚区污水治理，推进工业污水集中处理设施及配套收集系统建设与提标升级改造，大力推进现有污水收集、处理设施问题排查及整治；完善园区及企业雨污分流系统，全面推进医药、化工等行业初期雨水收集处理，推动有条件的园区实施入园企业“一企一管、明管输送、实时监测”。3、加强工业园区集中污水处理设施运行监管</w:t>
            </w:r>
            <w:r>
              <w:rPr>
                <w:rFonts w:hint="eastAsia" w:eastAsia="宋体"/>
                <w:color w:val="000000" w:themeColor="text1"/>
                <w:sz w:val="20"/>
                <w:szCs w:val="20"/>
                <w:highlight w:val="none"/>
                <w14:textFill>
                  <w14:solidFill>
                    <w14:schemeClr w14:val="tx1"/>
                  </w14:solidFill>
                </w14:textFill>
              </w:rPr>
              <w:t>，加</w:t>
            </w:r>
            <w:r>
              <w:rPr>
                <w:rFonts w:eastAsia="宋体"/>
                <w:color w:val="000000" w:themeColor="text1"/>
                <w:sz w:val="20"/>
                <w:szCs w:val="20"/>
                <w:highlight w:val="none"/>
                <w14:textFill>
                  <w14:solidFill>
                    <w14:schemeClr w14:val="tx1"/>
                  </w14:solidFill>
                </w14:textFill>
              </w:rPr>
              <w:t>强企业废水预处理和排水管理，鼓励纳管企业与园区污水处理厂运营单位通过签订委托处理合同等方式协同处理废水。4、加强新化学物质环境管理，严格执行《新化学物质环境管理登记办法》</w:t>
            </w:r>
            <w:r>
              <w:rPr>
                <w:rFonts w:hint="eastAsia" w:eastAsia="宋体"/>
                <w:color w:val="000000" w:themeColor="text1"/>
                <w:sz w:val="20"/>
                <w:szCs w:val="20"/>
                <w:highlight w:val="none"/>
                <w14:textFill>
                  <w14:solidFill>
                    <w14:schemeClr w14:val="tx1"/>
                  </w14:solidFill>
                </w14:textFill>
              </w:rPr>
              <w:t>，</w:t>
            </w:r>
            <w:r>
              <w:rPr>
                <w:rFonts w:eastAsia="宋体"/>
                <w:color w:val="000000" w:themeColor="text1"/>
                <w:sz w:val="20"/>
                <w:szCs w:val="20"/>
                <w:highlight w:val="none"/>
                <w14:textFill>
                  <w14:solidFill>
                    <w14:schemeClr w14:val="tx1"/>
                  </w14:solidFill>
                </w14:textFill>
              </w:rPr>
              <w:t>落实企业新化学物质环境风险防控主体责任。落实国家《优先控制化学品名录（第一批）》《优先控制化学品名录（第二批）》《重点管控新污染物清单（2023年版）》环境风险管控措施。</w:t>
            </w:r>
          </w:p>
          <w:p>
            <w:pPr>
              <w:shd w:val="clear" w:color="auto" w:fill="FFFFFF"/>
              <w:overflowPunct w:val="0"/>
              <w:adjustRightInd/>
              <w:snapToGrid/>
              <w:spacing w:line="240" w:lineRule="auto"/>
              <w:ind w:firstLine="0" w:firstLineChars="0"/>
              <w:jc w:val="left"/>
              <w:rPr>
                <w:rFonts w:cs="Times New Roman"/>
                <w:color w:val="000000" w:themeColor="text1"/>
                <w:kern w:val="0"/>
                <w:sz w:val="20"/>
                <w:szCs w:val="20"/>
                <w:highlight w:val="none"/>
                <w14:textFill>
                  <w14:solidFill>
                    <w14:schemeClr w14:val="tx1"/>
                  </w14:solidFill>
                </w14:textFill>
              </w:rPr>
            </w:pPr>
            <w:r>
              <w:rPr>
                <w:rFonts w:cs="Times New Roman"/>
                <w:color w:val="000000" w:themeColor="text1"/>
                <w:sz w:val="20"/>
                <w:szCs w:val="20"/>
                <w:highlight w:val="none"/>
                <w14:textFill>
                  <w14:solidFill>
                    <w14:schemeClr w14:val="tx1"/>
                  </w14:solidFill>
                </w14:textFill>
              </w:rPr>
              <w:t>农业面源水污染控制措施要求</w:t>
            </w:r>
            <w:r>
              <w:rPr>
                <w:rFonts w:cs="Times New Roman"/>
                <w:color w:val="000000" w:themeColor="text1"/>
                <w:kern w:val="0"/>
                <w:sz w:val="20"/>
                <w:szCs w:val="20"/>
                <w:highlight w:val="none"/>
                <w14:textFill>
                  <w14:solidFill>
                    <w14:schemeClr w14:val="tx1"/>
                  </w14:solidFill>
                </w14:textFill>
              </w:rPr>
              <w:t>：/</w:t>
            </w:r>
          </w:p>
          <w:p>
            <w:pPr>
              <w:shd w:val="clear" w:color="auto" w:fill="FFFFFF"/>
              <w:overflowPunct w:val="0"/>
              <w:adjustRightInd/>
              <w:snapToGrid/>
              <w:spacing w:line="240" w:lineRule="auto"/>
              <w:ind w:firstLine="0" w:firstLineChars="0"/>
              <w:jc w:val="left"/>
              <w:rPr>
                <w:rFonts w:cs="Times New Roman"/>
                <w:color w:val="000000" w:themeColor="text1"/>
                <w:kern w:val="0"/>
                <w:sz w:val="20"/>
                <w:szCs w:val="20"/>
                <w:highlight w:val="none"/>
                <w14:textFill>
                  <w14:solidFill>
                    <w14:schemeClr w14:val="tx1"/>
                  </w14:solidFill>
                </w14:textFill>
              </w:rPr>
            </w:pPr>
            <w:r>
              <w:rPr>
                <w:rFonts w:cs="Times New Roman"/>
                <w:color w:val="000000" w:themeColor="text1"/>
                <w:sz w:val="20"/>
                <w:szCs w:val="20"/>
                <w:highlight w:val="none"/>
                <w14:textFill>
                  <w14:solidFill>
                    <w14:schemeClr w14:val="tx1"/>
                  </w14:solidFill>
                </w14:textFill>
              </w:rPr>
              <w:t>船舶港口水污染控制措施要求</w:t>
            </w:r>
            <w:r>
              <w:rPr>
                <w:rFonts w:cs="Times New Roman"/>
                <w:color w:val="000000" w:themeColor="text1"/>
                <w:kern w:val="0"/>
                <w:sz w:val="20"/>
                <w:szCs w:val="20"/>
                <w:highlight w:val="none"/>
                <w14:textFill>
                  <w14:solidFill>
                    <w14:schemeClr w14:val="tx1"/>
                  </w14:solidFill>
                </w14:textFill>
              </w:rPr>
              <w:t>：/</w:t>
            </w:r>
          </w:p>
        </w:tc>
        <w:tc>
          <w:tcPr>
            <w:tcW w:w="1422" w:type="dxa"/>
            <w:vAlign w:val="center"/>
          </w:tcPr>
          <w:p>
            <w:pPr>
              <w:pStyle w:val="389"/>
              <w:widowControl/>
              <w:shd w:val="clear" w:color="auto" w:fill="FFFFFF"/>
              <w:spacing w:line="240" w:lineRule="auto"/>
              <w:ind w:firstLine="0" w:firstLineChars="0"/>
              <w:jc w:val="left"/>
              <w:rPr>
                <w:rFonts w:eastAsia="宋体"/>
                <w:color w:val="000000" w:themeColor="text1"/>
                <w:sz w:val="20"/>
                <w:szCs w:val="20"/>
                <w:highlight w:val="none"/>
                <w14:textFill>
                  <w14:solidFill>
                    <w14:schemeClr w14:val="tx1"/>
                  </w14:solidFill>
                </w14:textFill>
              </w:rPr>
            </w:pPr>
            <w:r>
              <w:rPr>
                <w:rFonts w:hint="eastAsia" w:eastAsia="宋体"/>
                <w:color w:val="000000" w:themeColor="text1"/>
                <w:sz w:val="20"/>
                <w:szCs w:val="20"/>
                <w:highlight w:val="none"/>
                <w14:textFill>
                  <w14:solidFill>
                    <w14:schemeClr w14:val="tx1"/>
                  </w14:solidFill>
                </w14:textFill>
              </w:rPr>
              <w:t>项目试采期间气田水进入污水罐，然后通过密闭罐车拉运至赵家坝污水处理站处理达到《气田水回注方法》（SY/T 6596-2016）中注入水基本要求后管输至普光3井回注站回注处理，不外排</w:t>
            </w:r>
            <w:r>
              <w:rPr>
                <w:rFonts w:eastAsia="宋体"/>
                <w:color w:val="000000" w:themeColor="text1"/>
                <w:sz w:val="20"/>
                <w:szCs w:val="20"/>
                <w:highlight w:val="none"/>
                <w14:textFill>
                  <w14:solidFill>
                    <w14:schemeClr w14:val="tx1"/>
                  </w14:solidFill>
                </w14:textFill>
              </w:rPr>
              <w:t>。</w:t>
            </w:r>
          </w:p>
        </w:tc>
        <w:tc>
          <w:tcPr>
            <w:tcW w:w="1047"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sz w:val="20"/>
                <w:szCs w:val="20"/>
                <w:highlight w:val="none"/>
                <w:lang w:bidi="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5" w:type="dxa"/>
            <w:vMerge w:val="continue"/>
            <w:vAlign w:val="center"/>
          </w:tcPr>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p>
        </w:tc>
        <w:tc>
          <w:tcPr>
            <w:tcW w:w="464" w:type="dxa"/>
            <w:vMerge w:val="continue"/>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tc>
        <w:tc>
          <w:tcPr>
            <w:tcW w:w="407" w:type="dxa"/>
            <w:vAlign w:val="center"/>
          </w:tcPr>
          <w:p>
            <w:pPr>
              <w:overflowPunct w:val="0"/>
              <w:adjustRightInd/>
              <w:snapToGrid/>
              <w:spacing w:line="240" w:lineRule="auto"/>
              <w:ind w:firstLine="0" w:firstLineChars="0"/>
              <w:jc w:val="left"/>
              <w:rPr>
                <w:rFonts w:cs="Times New Roman"/>
                <w:color w:val="000000" w:themeColor="text1"/>
                <w:kern w:val="21"/>
                <w:sz w:val="20"/>
                <w:szCs w:val="20"/>
                <w:highlight w:val="none"/>
                <w14:textFill>
                  <w14:solidFill>
                    <w14:schemeClr w14:val="tx1"/>
                  </w14:solidFill>
                </w14:textFill>
              </w:rPr>
            </w:pPr>
            <w:r>
              <w:rPr>
                <w:rFonts w:cs="Times New Roman"/>
                <w:color w:val="000000" w:themeColor="text1"/>
                <w:sz w:val="20"/>
                <w:szCs w:val="20"/>
                <w:highlight w:val="none"/>
                <w14:textFill>
                  <w14:solidFill>
                    <w14:schemeClr w14:val="tx1"/>
                  </w14:solidFill>
                </w14:textFill>
              </w:rPr>
              <w:t>环境风险防控</w:t>
            </w:r>
          </w:p>
        </w:tc>
        <w:tc>
          <w:tcPr>
            <w:tcW w:w="4425" w:type="dxa"/>
            <w:vAlign w:val="center"/>
          </w:tcPr>
          <w:p>
            <w:pPr>
              <w:shd w:val="clear" w:color="auto" w:fill="FFFFFF"/>
              <w:overflowPunct w:val="0"/>
              <w:adjustRightInd/>
              <w:snapToGrid/>
              <w:spacing w:line="240" w:lineRule="auto"/>
              <w:ind w:firstLine="0" w:firstLineChars="0"/>
              <w:jc w:val="center"/>
              <w:rPr>
                <w:rFonts w:cs="Times New Roman"/>
                <w:color w:val="000000" w:themeColor="text1"/>
                <w:kern w:val="0"/>
                <w:sz w:val="20"/>
                <w:szCs w:val="20"/>
                <w:highlight w:val="none"/>
                <w14:textFill>
                  <w14:solidFill>
                    <w14:schemeClr w14:val="tx1"/>
                  </w14:solidFill>
                </w14:textFill>
              </w:rPr>
            </w:pPr>
            <w:r>
              <w:rPr>
                <w:rFonts w:cs="Times New Roman"/>
                <w:color w:val="000000" w:themeColor="text1"/>
                <w:sz w:val="20"/>
                <w:szCs w:val="20"/>
                <w:highlight w:val="none"/>
                <w14:textFill>
                  <w14:solidFill>
                    <w14:schemeClr w14:val="tx1"/>
                  </w14:solidFill>
                </w14:textFill>
              </w:rPr>
              <w:t>禁止在长江干支流岸线一公里范围内新建、扩建化工园区和化工项目。按要求设置生态隔离带，建设相应的防护工程。合理设置与抗风险能力相匹配的事故调蓄设施和环境应急措施。强化工业园区环境风险防控工作，突出全防全控，完善各项环境风险防范制度，确保将风险防范纳入日常环境管理制度体系。加强执法监督，实现对工业园区、重点工矿企业和主要环境风险类型的动态监控。</w:t>
            </w:r>
          </w:p>
        </w:tc>
        <w:tc>
          <w:tcPr>
            <w:tcW w:w="1422"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14:textFill>
                  <w14:solidFill>
                    <w14:schemeClr w14:val="tx1"/>
                  </w14:solidFill>
                </w14:textFill>
              </w:rPr>
            </w:pPr>
            <w:r>
              <w:rPr>
                <w:rFonts w:cs="Times New Roman"/>
                <w:color w:val="000000" w:themeColor="text1"/>
                <w:sz w:val="20"/>
                <w:szCs w:val="20"/>
                <w:highlight w:val="none"/>
                <w14:textFill>
                  <w14:solidFill>
                    <w14:schemeClr w14:val="tx1"/>
                  </w14:solidFill>
                </w14:textFill>
              </w:rPr>
              <w:t>/</w:t>
            </w:r>
          </w:p>
        </w:tc>
        <w:tc>
          <w:tcPr>
            <w:tcW w:w="1047"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sz w:val="20"/>
                <w:szCs w:val="20"/>
                <w:highlight w:val="none"/>
                <w:lang w:bidi="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5" w:type="dxa"/>
            <w:vMerge w:val="continue"/>
            <w:vAlign w:val="center"/>
          </w:tcPr>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p>
        </w:tc>
        <w:tc>
          <w:tcPr>
            <w:tcW w:w="464" w:type="dxa"/>
            <w:vMerge w:val="continue"/>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tc>
        <w:tc>
          <w:tcPr>
            <w:tcW w:w="407" w:type="dxa"/>
            <w:vAlign w:val="center"/>
          </w:tcPr>
          <w:p>
            <w:pPr>
              <w:overflowPunct w:val="0"/>
              <w:adjustRightInd/>
              <w:snapToGrid/>
              <w:spacing w:line="240" w:lineRule="auto"/>
              <w:ind w:firstLine="0" w:firstLineChars="0"/>
              <w:jc w:val="left"/>
              <w:rPr>
                <w:rFonts w:cs="Times New Roman"/>
                <w:color w:val="000000" w:themeColor="text1"/>
                <w:kern w:val="21"/>
                <w:sz w:val="20"/>
                <w:szCs w:val="20"/>
                <w:highlight w:val="none"/>
                <w14:textFill>
                  <w14:solidFill>
                    <w14:schemeClr w14:val="tx1"/>
                  </w14:solidFill>
                </w14:textFill>
              </w:rPr>
            </w:pPr>
            <w:r>
              <w:rPr>
                <w:rFonts w:cs="Times New Roman"/>
                <w:color w:val="000000" w:themeColor="text1"/>
                <w:sz w:val="20"/>
                <w:szCs w:val="20"/>
                <w:highlight w:val="none"/>
                <w14:textFill>
                  <w14:solidFill>
                    <w14:schemeClr w14:val="tx1"/>
                  </w14:solidFill>
                </w14:textFill>
              </w:rPr>
              <w:t>资源开发效率要求</w:t>
            </w:r>
          </w:p>
        </w:tc>
        <w:tc>
          <w:tcPr>
            <w:tcW w:w="4425" w:type="dxa"/>
            <w:vAlign w:val="center"/>
          </w:tcPr>
          <w:p>
            <w:pPr>
              <w:overflowPunct w:val="0"/>
              <w:adjustRightInd/>
              <w:snapToGrid/>
              <w:spacing w:line="240" w:lineRule="auto"/>
              <w:ind w:firstLine="0" w:firstLineChars="0"/>
              <w:jc w:val="center"/>
              <w:rPr>
                <w:rFonts w:cs="Times New Roman"/>
                <w:color w:val="000000" w:themeColor="text1"/>
                <w:kern w:val="0"/>
                <w:sz w:val="20"/>
                <w:szCs w:val="20"/>
                <w:highlight w:val="none"/>
                <w14:textFill>
                  <w14:solidFill>
                    <w14:schemeClr w14:val="tx1"/>
                  </w14:solidFill>
                </w14:textFill>
              </w:rPr>
            </w:pPr>
            <w:r>
              <w:rPr>
                <w:rFonts w:cs="Times New Roman"/>
                <w:color w:val="000000" w:themeColor="text1"/>
                <w:sz w:val="20"/>
                <w:szCs w:val="20"/>
                <w:highlight w:val="none"/>
                <w14:textFill>
                  <w14:solidFill>
                    <w14:schemeClr w14:val="tx1"/>
                  </w14:solidFill>
                </w14:textFill>
              </w:rPr>
              <w:t>加强高耗水行业用水定额管理，以水定产，严格控制高耗水新建、改建、扩建项目。</w:t>
            </w:r>
          </w:p>
        </w:tc>
        <w:tc>
          <w:tcPr>
            <w:tcW w:w="1422"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14:textFill>
                  <w14:solidFill>
                    <w14:schemeClr w14:val="tx1"/>
                  </w14:solidFill>
                </w14:textFill>
              </w:rPr>
            </w:pPr>
            <w:r>
              <w:rPr>
                <w:rFonts w:hint="eastAsia" w:cs="Times New Roman"/>
                <w:color w:val="000000" w:themeColor="text1"/>
                <w:sz w:val="20"/>
                <w:szCs w:val="20"/>
                <w:highlight w:val="none"/>
                <w14:textFill>
                  <w14:solidFill>
                    <w14:schemeClr w14:val="tx1"/>
                  </w14:solidFill>
                </w14:textFill>
              </w:rPr>
              <w:t>本项目不属于</w:t>
            </w:r>
            <w:r>
              <w:rPr>
                <w:rFonts w:cs="Times New Roman"/>
                <w:color w:val="000000" w:themeColor="text1"/>
                <w:sz w:val="20"/>
                <w:szCs w:val="20"/>
                <w:highlight w:val="none"/>
                <w14:textFill>
                  <w14:solidFill>
                    <w14:schemeClr w14:val="tx1"/>
                  </w14:solidFill>
                </w14:textFill>
              </w:rPr>
              <w:t>高耗水行业</w:t>
            </w:r>
          </w:p>
        </w:tc>
        <w:tc>
          <w:tcPr>
            <w:tcW w:w="1047"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sz w:val="20"/>
                <w:szCs w:val="20"/>
                <w:highlight w:val="none"/>
                <w:lang w:bidi="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5" w:type="dxa"/>
            <w:vMerge w:val="restart"/>
            <w:vAlign w:val="center"/>
          </w:tcPr>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r>
              <w:rPr>
                <w:rFonts w:cs="Times New Roman"/>
                <w:color w:val="000000" w:themeColor="text1"/>
                <w:sz w:val="20"/>
                <w:szCs w:val="20"/>
                <w:highlight w:val="none"/>
                <w14:textFill>
                  <w14:solidFill>
                    <w14:schemeClr w14:val="tx1"/>
                  </w14:solidFill>
                </w14:textFill>
              </w:rPr>
              <w:t>达州市农产品加工集中区YS5117022310001</w:t>
            </w:r>
          </w:p>
        </w:tc>
        <w:tc>
          <w:tcPr>
            <w:tcW w:w="464" w:type="dxa"/>
            <w:vMerge w:val="restart"/>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sz w:val="20"/>
                <w:szCs w:val="20"/>
                <w:highlight w:val="none"/>
                <w:lang w:bidi="zh-CN"/>
                <w14:textFill>
                  <w14:solidFill>
                    <w14:schemeClr w14:val="tx1"/>
                  </w14:solidFill>
                </w14:textFill>
              </w:rPr>
              <w:t>单元级清单管控要求</w:t>
            </w:r>
          </w:p>
        </w:tc>
        <w:tc>
          <w:tcPr>
            <w:tcW w:w="407" w:type="dxa"/>
            <w:vAlign w:val="center"/>
          </w:tcPr>
          <w:p>
            <w:pPr>
              <w:overflowPunct w:val="0"/>
              <w:adjustRightInd/>
              <w:snapToGrid/>
              <w:spacing w:line="240" w:lineRule="auto"/>
              <w:ind w:firstLine="0" w:firstLineChars="0"/>
              <w:jc w:val="left"/>
              <w:rPr>
                <w:rFonts w:cs="Times New Roman"/>
                <w:color w:val="000000" w:themeColor="text1"/>
                <w:kern w:val="21"/>
                <w:sz w:val="20"/>
                <w:szCs w:val="20"/>
                <w:highlight w:val="none"/>
                <w14:textFill>
                  <w14:solidFill>
                    <w14:schemeClr w14:val="tx1"/>
                  </w14:solidFill>
                </w14:textFill>
              </w:rPr>
            </w:pPr>
            <w:r>
              <w:rPr>
                <w:rFonts w:cs="Times New Roman"/>
                <w:color w:val="000000" w:themeColor="text1"/>
                <w:sz w:val="20"/>
                <w:szCs w:val="20"/>
                <w:highlight w:val="none"/>
                <w14:textFill>
                  <w14:solidFill>
                    <w14:schemeClr w14:val="tx1"/>
                  </w14:solidFill>
                </w14:textFill>
              </w:rPr>
              <w:t>空间布局约束</w:t>
            </w:r>
          </w:p>
        </w:tc>
        <w:tc>
          <w:tcPr>
            <w:tcW w:w="4425" w:type="dxa"/>
            <w:vAlign w:val="center"/>
          </w:tcPr>
          <w:p>
            <w:pPr>
              <w:pStyle w:val="389"/>
              <w:widowControl/>
              <w:shd w:val="clear" w:color="auto" w:fill="FFFFFF"/>
              <w:spacing w:line="240" w:lineRule="auto"/>
              <w:ind w:firstLine="0" w:firstLineChars="0"/>
              <w:jc w:val="left"/>
              <w:rPr>
                <w:rFonts w:eastAsia="宋体"/>
                <w:color w:val="000000" w:themeColor="text1"/>
                <w:sz w:val="20"/>
                <w:szCs w:val="20"/>
                <w:highlight w:val="none"/>
                <w14:textFill>
                  <w14:solidFill>
                    <w14:schemeClr w14:val="tx1"/>
                  </w14:solidFill>
                </w14:textFill>
              </w:rPr>
            </w:pPr>
            <w:r>
              <w:rPr>
                <w:rFonts w:eastAsia="宋体"/>
                <w:color w:val="000000" w:themeColor="text1"/>
                <w:sz w:val="20"/>
                <w:szCs w:val="20"/>
                <w:highlight w:val="none"/>
                <w14:textFill>
                  <w14:solidFill>
                    <w14:schemeClr w14:val="tx1"/>
                  </w14:solidFill>
                </w14:textFill>
              </w:rPr>
              <w:t>禁止开发建设活动的要求：/</w:t>
            </w:r>
          </w:p>
          <w:p>
            <w:pPr>
              <w:pStyle w:val="389"/>
              <w:widowControl/>
              <w:shd w:val="clear" w:color="auto" w:fill="FFFFFF"/>
              <w:spacing w:line="240" w:lineRule="auto"/>
              <w:ind w:firstLine="0" w:firstLineChars="0"/>
              <w:jc w:val="left"/>
              <w:rPr>
                <w:rFonts w:eastAsia="宋体"/>
                <w:color w:val="000000" w:themeColor="text1"/>
                <w:sz w:val="20"/>
                <w:szCs w:val="20"/>
                <w:highlight w:val="none"/>
                <w14:textFill>
                  <w14:solidFill>
                    <w14:schemeClr w14:val="tx1"/>
                  </w14:solidFill>
                </w14:textFill>
              </w:rPr>
            </w:pPr>
            <w:r>
              <w:rPr>
                <w:rFonts w:eastAsia="宋体"/>
                <w:color w:val="000000" w:themeColor="text1"/>
                <w:sz w:val="20"/>
                <w:szCs w:val="20"/>
                <w:highlight w:val="none"/>
                <w14:textFill>
                  <w14:solidFill>
                    <w14:schemeClr w14:val="tx1"/>
                  </w14:solidFill>
                </w14:textFill>
              </w:rPr>
              <w:t>限制开发建设活动的要求：/</w:t>
            </w:r>
          </w:p>
          <w:p>
            <w:pPr>
              <w:pStyle w:val="389"/>
              <w:widowControl/>
              <w:shd w:val="clear" w:color="auto" w:fill="FFFFFF"/>
              <w:spacing w:line="240" w:lineRule="auto"/>
              <w:ind w:firstLine="0" w:firstLineChars="0"/>
              <w:jc w:val="left"/>
              <w:rPr>
                <w:rFonts w:eastAsia="宋体"/>
                <w:color w:val="000000" w:themeColor="text1"/>
                <w:sz w:val="20"/>
                <w:szCs w:val="20"/>
                <w:highlight w:val="none"/>
                <w14:textFill>
                  <w14:solidFill>
                    <w14:schemeClr w14:val="tx1"/>
                  </w14:solidFill>
                </w14:textFill>
              </w:rPr>
            </w:pPr>
            <w:r>
              <w:rPr>
                <w:rFonts w:eastAsia="宋体"/>
                <w:color w:val="000000" w:themeColor="text1"/>
                <w:sz w:val="20"/>
                <w:szCs w:val="20"/>
                <w:highlight w:val="none"/>
                <w14:textFill>
                  <w14:solidFill>
                    <w14:schemeClr w14:val="tx1"/>
                  </w14:solidFill>
                </w14:textFill>
              </w:rPr>
              <w:t>允许开发建设活动的要求：/</w:t>
            </w:r>
          </w:p>
          <w:p>
            <w:pPr>
              <w:pStyle w:val="389"/>
              <w:widowControl/>
              <w:shd w:val="clear" w:color="auto" w:fill="FFFFFF"/>
              <w:spacing w:line="240" w:lineRule="auto"/>
              <w:ind w:firstLine="0" w:firstLineChars="0"/>
              <w:jc w:val="left"/>
              <w:rPr>
                <w:rFonts w:eastAsia="宋体"/>
                <w:color w:val="000000" w:themeColor="text1"/>
                <w:sz w:val="20"/>
                <w:szCs w:val="20"/>
                <w:highlight w:val="none"/>
                <w14:textFill>
                  <w14:solidFill>
                    <w14:schemeClr w14:val="tx1"/>
                  </w14:solidFill>
                </w14:textFill>
              </w:rPr>
            </w:pPr>
            <w:r>
              <w:rPr>
                <w:rFonts w:eastAsia="宋体"/>
                <w:color w:val="000000" w:themeColor="text1"/>
                <w:sz w:val="20"/>
                <w:szCs w:val="20"/>
                <w:highlight w:val="none"/>
                <w14:textFill>
                  <w14:solidFill>
                    <w14:schemeClr w14:val="tx1"/>
                  </w14:solidFill>
                </w14:textFill>
              </w:rPr>
              <w:t>不符合空间布局要求活动的退出要求：/</w:t>
            </w:r>
          </w:p>
          <w:p>
            <w:pPr>
              <w:pStyle w:val="389"/>
              <w:widowControl/>
              <w:shd w:val="clear" w:color="auto" w:fill="FFFFFF"/>
              <w:spacing w:line="240" w:lineRule="auto"/>
              <w:ind w:firstLine="0" w:firstLineChars="0"/>
              <w:jc w:val="left"/>
              <w:rPr>
                <w:rFonts w:eastAsia="宋体"/>
                <w:color w:val="000000" w:themeColor="text1"/>
                <w:kern w:val="0"/>
                <w:sz w:val="20"/>
                <w:szCs w:val="20"/>
                <w:highlight w:val="none"/>
                <w14:textFill>
                  <w14:solidFill>
                    <w14:schemeClr w14:val="tx1"/>
                  </w14:solidFill>
                </w14:textFill>
              </w:rPr>
            </w:pPr>
            <w:r>
              <w:rPr>
                <w:rFonts w:eastAsia="宋体"/>
                <w:color w:val="000000" w:themeColor="text1"/>
                <w:sz w:val="20"/>
                <w:szCs w:val="20"/>
                <w:highlight w:val="none"/>
                <w14:textFill>
                  <w14:solidFill>
                    <w14:schemeClr w14:val="tx1"/>
                  </w14:solidFill>
                </w14:textFill>
              </w:rPr>
              <w:t>其他空间布局约束要求：/</w:t>
            </w:r>
          </w:p>
        </w:tc>
        <w:tc>
          <w:tcPr>
            <w:tcW w:w="1422"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14:textFill>
                  <w14:solidFill>
                    <w14:schemeClr w14:val="tx1"/>
                  </w14:solidFill>
                </w14:textFill>
              </w:rPr>
            </w:pPr>
            <w:r>
              <w:rPr>
                <w:rFonts w:cs="Times New Roman"/>
                <w:color w:val="000000" w:themeColor="text1"/>
                <w:sz w:val="20"/>
                <w:szCs w:val="20"/>
                <w:highlight w:val="none"/>
                <w14:textFill>
                  <w14:solidFill>
                    <w14:schemeClr w14:val="tx1"/>
                  </w14:solidFill>
                </w14:textFill>
              </w:rPr>
              <w:t>/</w:t>
            </w:r>
          </w:p>
        </w:tc>
        <w:tc>
          <w:tcPr>
            <w:tcW w:w="1047"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sz w:val="20"/>
                <w:szCs w:val="20"/>
                <w:highlight w:val="none"/>
                <w:lang w:bidi="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5" w:type="dxa"/>
            <w:vMerge w:val="continue"/>
            <w:vAlign w:val="center"/>
          </w:tcPr>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p>
        </w:tc>
        <w:tc>
          <w:tcPr>
            <w:tcW w:w="464" w:type="dxa"/>
            <w:vMerge w:val="continue"/>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tc>
        <w:tc>
          <w:tcPr>
            <w:tcW w:w="407" w:type="dxa"/>
            <w:vAlign w:val="center"/>
          </w:tcPr>
          <w:p>
            <w:pPr>
              <w:overflowPunct w:val="0"/>
              <w:adjustRightInd/>
              <w:snapToGrid/>
              <w:spacing w:line="240" w:lineRule="auto"/>
              <w:ind w:firstLine="0" w:firstLineChars="0"/>
              <w:jc w:val="left"/>
              <w:rPr>
                <w:rFonts w:cs="Times New Roman"/>
                <w:color w:val="000000" w:themeColor="text1"/>
                <w:kern w:val="21"/>
                <w:sz w:val="20"/>
                <w:szCs w:val="20"/>
                <w:highlight w:val="none"/>
                <w14:textFill>
                  <w14:solidFill>
                    <w14:schemeClr w14:val="tx1"/>
                  </w14:solidFill>
                </w14:textFill>
              </w:rPr>
            </w:pPr>
            <w:r>
              <w:rPr>
                <w:rFonts w:cs="Times New Roman"/>
                <w:color w:val="000000" w:themeColor="text1"/>
                <w:sz w:val="20"/>
                <w:szCs w:val="20"/>
                <w:highlight w:val="none"/>
                <w14:textFill>
                  <w14:solidFill>
                    <w14:schemeClr w14:val="tx1"/>
                  </w14:solidFill>
                </w14:textFill>
              </w:rPr>
              <w:t>污染物排放管控</w:t>
            </w:r>
          </w:p>
        </w:tc>
        <w:tc>
          <w:tcPr>
            <w:tcW w:w="4425" w:type="dxa"/>
            <w:vAlign w:val="center"/>
          </w:tcPr>
          <w:p>
            <w:pPr>
              <w:pStyle w:val="389"/>
              <w:widowControl/>
              <w:shd w:val="clear" w:color="auto" w:fill="FFFFFF"/>
              <w:spacing w:line="240" w:lineRule="auto"/>
              <w:ind w:firstLine="0" w:firstLineChars="0"/>
              <w:jc w:val="left"/>
              <w:rPr>
                <w:rFonts w:eastAsia="宋体"/>
                <w:color w:val="000000" w:themeColor="text1"/>
                <w:sz w:val="20"/>
                <w:szCs w:val="20"/>
                <w:highlight w:val="none"/>
                <w14:textFill>
                  <w14:solidFill>
                    <w14:schemeClr w14:val="tx1"/>
                  </w14:solidFill>
                </w14:textFill>
              </w:rPr>
            </w:pPr>
            <w:r>
              <w:rPr>
                <w:rFonts w:eastAsia="宋体"/>
                <w:color w:val="000000" w:themeColor="text1"/>
                <w:sz w:val="20"/>
                <w:szCs w:val="20"/>
                <w:highlight w:val="none"/>
                <w14:textFill>
                  <w14:solidFill>
                    <w14:schemeClr w14:val="tx1"/>
                  </w14:solidFill>
                </w14:textFill>
              </w:rPr>
              <w:t>大气环境质量执行标准</w:t>
            </w:r>
          </w:p>
          <w:p>
            <w:pPr>
              <w:pStyle w:val="389"/>
              <w:widowControl/>
              <w:shd w:val="clear" w:color="auto" w:fill="FFFFFF"/>
              <w:spacing w:line="240" w:lineRule="auto"/>
              <w:ind w:firstLine="0" w:firstLineChars="0"/>
              <w:jc w:val="left"/>
              <w:rPr>
                <w:rFonts w:eastAsia="宋体"/>
                <w:color w:val="000000" w:themeColor="text1"/>
                <w:sz w:val="20"/>
                <w:szCs w:val="20"/>
                <w:highlight w:val="none"/>
                <w14:textFill>
                  <w14:solidFill>
                    <w14:schemeClr w14:val="tx1"/>
                  </w14:solidFill>
                </w14:textFill>
              </w:rPr>
            </w:pPr>
            <w:r>
              <w:rPr>
                <w:rFonts w:eastAsia="宋体"/>
                <w:color w:val="000000" w:themeColor="text1"/>
                <w:sz w:val="20"/>
                <w:szCs w:val="20"/>
                <w:highlight w:val="none"/>
                <w14:textFill>
                  <w14:solidFill>
                    <w14:schemeClr w14:val="tx1"/>
                  </w14:solidFill>
                </w14:textFill>
              </w:rPr>
              <w:t>《环境空气质量标准》（GB3095-2012）：二级</w:t>
            </w:r>
          </w:p>
          <w:p>
            <w:pPr>
              <w:pStyle w:val="389"/>
              <w:widowControl/>
              <w:shd w:val="clear" w:color="auto" w:fill="FFFFFF"/>
              <w:spacing w:line="240" w:lineRule="auto"/>
              <w:ind w:firstLine="0" w:firstLineChars="0"/>
              <w:jc w:val="left"/>
              <w:rPr>
                <w:rFonts w:eastAsia="宋体"/>
                <w:color w:val="000000" w:themeColor="text1"/>
                <w:sz w:val="20"/>
                <w:szCs w:val="20"/>
                <w:highlight w:val="none"/>
                <w14:textFill>
                  <w14:solidFill>
                    <w14:schemeClr w14:val="tx1"/>
                  </w14:solidFill>
                </w14:textFill>
              </w:rPr>
            </w:pPr>
            <w:r>
              <w:rPr>
                <w:rFonts w:eastAsia="宋体"/>
                <w:color w:val="000000" w:themeColor="text1"/>
                <w:sz w:val="20"/>
                <w:szCs w:val="20"/>
                <w:highlight w:val="none"/>
                <w14:textFill>
                  <w14:solidFill>
                    <w14:schemeClr w14:val="tx1"/>
                  </w14:solidFill>
                </w14:textFill>
              </w:rPr>
              <w:t>区域大气污染物削减/替代要求：/</w:t>
            </w:r>
          </w:p>
          <w:p>
            <w:pPr>
              <w:pStyle w:val="389"/>
              <w:widowControl/>
              <w:shd w:val="clear" w:color="auto" w:fill="FFFFFF"/>
              <w:spacing w:line="240" w:lineRule="auto"/>
              <w:ind w:firstLine="0" w:firstLineChars="0"/>
              <w:jc w:val="left"/>
              <w:rPr>
                <w:rFonts w:eastAsia="宋体"/>
                <w:color w:val="000000" w:themeColor="text1"/>
                <w:sz w:val="20"/>
                <w:szCs w:val="20"/>
                <w:highlight w:val="none"/>
                <w14:textFill>
                  <w14:solidFill>
                    <w14:schemeClr w14:val="tx1"/>
                  </w14:solidFill>
                </w14:textFill>
              </w:rPr>
            </w:pPr>
            <w:r>
              <w:rPr>
                <w:rFonts w:eastAsia="宋体"/>
                <w:color w:val="000000" w:themeColor="text1"/>
                <w:sz w:val="20"/>
                <w:szCs w:val="20"/>
                <w:highlight w:val="none"/>
                <w14:textFill>
                  <w14:solidFill>
                    <w14:schemeClr w14:val="tx1"/>
                  </w14:solidFill>
                </w14:textFill>
              </w:rPr>
              <w:t>燃煤和其他能源大气污染控制要求：/</w:t>
            </w:r>
          </w:p>
          <w:p>
            <w:pPr>
              <w:pStyle w:val="389"/>
              <w:widowControl/>
              <w:shd w:val="clear" w:color="auto" w:fill="FFFFFF"/>
              <w:spacing w:line="240" w:lineRule="auto"/>
              <w:ind w:firstLine="0" w:firstLineChars="0"/>
              <w:jc w:val="left"/>
              <w:rPr>
                <w:rFonts w:eastAsia="宋体"/>
                <w:color w:val="000000" w:themeColor="text1"/>
                <w:sz w:val="20"/>
                <w:szCs w:val="20"/>
                <w:highlight w:val="none"/>
                <w14:textFill>
                  <w14:solidFill>
                    <w14:schemeClr w14:val="tx1"/>
                  </w14:solidFill>
                </w14:textFill>
              </w:rPr>
            </w:pPr>
            <w:r>
              <w:rPr>
                <w:rFonts w:eastAsia="宋体"/>
                <w:color w:val="000000" w:themeColor="text1"/>
                <w:sz w:val="20"/>
                <w:szCs w:val="20"/>
                <w:highlight w:val="none"/>
                <w14:textFill>
                  <w14:solidFill>
                    <w14:schemeClr w14:val="tx1"/>
                  </w14:solidFill>
                </w14:textFill>
              </w:rPr>
              <w:t>工业废气污染控制要求</w:t>
            </w:r>
          </w:p>
          <w:p>
            <w:pPr>
              <w:pStyle w:val="389"/>
              <w:widowControl/>
              <w:shd w:val="clear" w:color="auto" w:fill="FFFFFF"/>
              <w:spacing w:line="240" w:lineRule="auto"/>
              <w:ind w:firstLine="0" w:firstLineChars="0"/>
              <w:jc w:val="left"/>
              <w:rPr>
                <w:rFonts w:eastAsia="宋体"/>
                <w:color w:val="000000" w:themeColor="text1"/>
                <w:sz w:val="20"/>
                <w:szCs w:val="20"/>
                <w:highlight w:val="none"/>
                <w14:textFill>
                  <w14:solidFill>
                    <w14:schemeClr w14:val="tx1"/>
                  </w14:solidFill>
                </w14:textFill>
              </w:rPr>
            </w:pPr>
            <w:r>
              <w:rPr>
                <w:rFonts w:eastAsia="宋体"/>
                <w:color w:val="000000" w:themeColor="text1"/>
                <w:sz w:val="20"/>
                <w:szCs w:val="20"/>
                <w:highlight w:val="none"/>
                <w14:textFill>
                  <w14:solidFill>
                    <w14:schemeClr w14:val="tx1"/>
                  </w14:solidFill>
                </w14:textFill>
              </w:rPr>
              <w:t>1、全面淘汰10蒸吨/小时及以下燃煤锅炉，原则上不再新建35蒸吨/小时及以下的燃煤锅炉，推进县级及以上城市建成区淘汰35蒸吨/小时及以下燃煤锅炉，以工业余热、电厂热力、清洁能源等替代煤炭。</w:t>
            </w:r>
          </w:p>
          <w:p>
            <w:pPr>
              <w:pStyle w:val="389"/>
              <w:widowControl/>
              <w:shd w:val="clear" w:color="auto" w:fill="FFFFFF"/>
              <w:spacing w:line="240" w:lineRule="auto"/>
              <w:ind w:firstLine="0" w:firstLineChars="0"/>
              <w:jc w:val="left"/>
              <w:rPr>
                <w:rFonts w:eastAsia="宋体"/>
                <w:color w:val="000000" w:themeColor="text1"/>
                <w:sz w:val="20"/>
                <w:szCs w:val="20"/>
                <w:highlight w:val="none"/>
                <w14:textFill>
                  <w14:solidFill>
                    <w14:schemeClr w14:val="tx1"/>
                  </w14:solidFill>
                </w14:textFill>
              </w:rPr>
            </w:pPr>
            <w:r>
              <w:rPr>
                <w:rFonts w:eastAsia="宋体"/>
                <w:color w:val="000000" w:themeColor="text1"/>
                <w:sz w:val="20"/>
                <w:szCs w:val="20"/>
                <w:highlight w:val="none"/>
                <w14:textFill>
                  <w14:solidFill>
                    <w14:schemeClr w14:val="tx1"/>
                  </w14:solidFill>
                </w14:textFill>
              </w:rPr>
              <w:t>2、加快推进火电、钢铁、铸造（含烧结、球团、高炉工序）水泥、焦化行业燃煤锅炉和工业炉窑超低排放改造及深度治理。稳步实施陶瓷、玻璃、铁合金、有色、砖瓦等行业企业深度治理，推进工业炉窑煤改电（气）和低氮燃烧改造。全面加强钢铁、建材、有色、焦化、铸造重点行业无组织排放治理。生物质锅炉采用专用锅炉，配套布袋等高效除尘设施，禁止掺烧煤炭、垃圾等其他物料。</w:t>
            </w:r>
          </w:p>
          <w:p>
            <w:pPr>
              <w:pStyle w:val="389"/>
              <w:widowControl/>
              <w:shd w:val="clear" w:color="auto" w:fill="FFFFFF"/>
              <w:spacing w:line="240" w:lineRule="auto"/>
              <w:ind w:firstLine="0" w:firstLineChars="0"/>
              <w:jc w:val="left"/>
              <w:rPr>
                <w:rFonts w:eastAsia="宋体"/>
                <w:color w:val="000000" w:themeColor="text1"/>
                <w:sz w:val="20"/>
                <w:szCs w:val="20"/>
                <w:highlight w:val="none"/>
                <w14:textFill>
                  <w14:solidFill>
                    <w14:schemeClr w14:val="tx1"/>
                  </w14:solidFill>
                </w14:textFill>
              </w:rPr>
            </w:pPr>
            <w:r>
              <w:rPr>
                <w:rFonts w:eastAsia="宋体"/>
                <w:color w:val="000000" w:themeColor="text1"/>
                <w:sz w:val="20"/>
                <w:szCs w:val="20"/>
                <w:highlight w:val="none"/>
                <w14:textFill>
                  <w14:solidFill>
                    <w14:schemeClr w14:val="tx1"/>
                  </w14:solidFill>
                </w14:textFill>
              </w:rPr>
              <w:t>机动车船大气污染控制要求：/</w:t>
            </w:r>
          </w:p>
          <w:p>
            <w:pPr>
              <w:pStyle w:val="389"/>
              <w:widowControl/>
              <w:shd w:val="clear" w:color="auto" w:fill="FFFFFF"/>
              <w:spacing w:line="240" w:lineRule="auto"/>
              <w:ind w:firstLine="0" w:firstLineChars="0"/>
              <w:jc w:val="left"/>
              <w:rPr>
                <w:rFonts w:eastAsia="宋体"/>
                <w:color w:val="000000" w:themeColor="text1"/>
                <w:sz w:val="20"/>
                <w:szCs w:val="20"/>
                <w:highlight w:val="none"/>
                <w14:textFill>
                  <w14:solidFill>
                    <w14:schemeClr w14:val="tx1"/>
                  </w14:solidFill>
                </w14:textFill>
              </w:rPr>
            </w:pPr>
            <w:r>
              <w:rPr>
                <w:rFonts w:eastAsia="宋体"/>
                <w:color w:val="000000" w:themeColor="text1"/>
                <w:sz w:val="20"/>
                <w:szCs w:val="20"/>
                <w:highlight w:val="none"/>
                <w14:textFill>
                  <w14:solidFill>
                    <w14:schemeClr w14:val="tx1"/>
                  </w14:solidFill>
                </w14:textFill>
              </w:rPr>
              <w:t>扬尘污染控制要求：/</w:t>
            </w:r>
          </w:p>
          <w:p>
            <w:pPr>
              <w:pStyle w:val="389"/>
              <w:widowControl/>
              <w:shd w:val="clear" w:color="auto" w:fill="FFFFFF"/>
              <w:spacing w:line="240" w:lineRule="auto"/>
              <w:ind w:firstLine="0" w:firstLineChars="0"/>
              <w:jc w:val="left"/>
              <w:rPr>
                <w:rFonts w:eastAsia="宋体"/>
                <w:color w:val="000000" w:themeColor="text1"/>
                <w:sz w:val="20"/>
                <w:szCs w:val="20"/>
                <w:highlight w:val="none"/>
                <w14:textFill>
                  <w14:solidFill>
                    <w14:schemeClr w14:val="tx1"/>
                  </w14:solidFill>
                </w14:textFill>
              </w:rPr>
            </w:pPr>
            <w:r>
              <w:rPr>
                <w:rFonts w:eastAsia="宋体"/>
                <w:color w:val="000000" w:themeColor="text1"/>
                <w:sz w:val="20"/>
                <w:szCs w:val="20"/>
                <w:highlight w:val="none"/>
                <w14:textFill>
                  <w14:solidFill>
                    <w14:schemeClr w14:val="tx1"/>
                  </w14:solidFill>
                </w14:textFill>
              </w:rPr>
              <w:t>农业生产经营活动大气污染控制要求：/</w:t>
            </w:r>
          </w:p>
          <w:p>
            <w:pPr>
              <w:pStyle w:val="389"/>
              <w:widowControl/>
              <w:shd w:val="clear" w:color="auto" w:fill="FFFFFF"/>
              <w:spacing w:line="240" w:lineRule="auto"/>
              <w:ind w:firstLine="0" w:firstLineChars="0"/>
              <w:jc w:val="left"/>
              <w:rPr>
                <w:rFonts w:eastAsia="宋体"/>
                <w:color w:val="000000" w:themeColor="text1"/>
                <w:sz w:val="20"/>
                <w:szCs w:val="20"/>
                <w:highlight w:val="none"/>
                <w14:textFill>
                  <w14:solidFill>
                    <w14:schemeClr w14:val="tx1"/>
                  </w14:solidFill>
                </w14:textFill>
              </w:rPr>
            </w:pPr>
            <w:r>
              <w:rPr>
                <w:rFonts w:eastAsia="宋体"/>
                <w:color w:val="000000" w:themeColor="text1"/>
                <w:sz w:val="20"/>
                <w:szCs w:val="20"/>
                <w:highlight w:val="none"/>
                <w14:textFill>
                  <w14:solidFill>
                    <w14:schemeClr w14:val="tx1"/>
                  </w14:solidFill>
                </w14:textFill>
              </w:rPr>
              <w:t>重点行业企业专项治理要求</w:t>
            </w:r>
          </w:p>
          <w:p>
            <w:pPr>
              <w:pStyle w:val="389"/>
              <w:widowControl/>
              <w:shd w:val="clear" w:color="auto" w:fill="FFFFFF"/>
              <w:spacing w:line="240" w:lineRule="auto"/>
              <w:ind w:firstLine="0" w:firstLineChars="0"/>
              <w:jc w:val="left"/>
              <w:rPr>
                <w:rFonts w:eastAsia="宋体"/>
                <w:color w:val="000000" w:themeColor="text1"/>
                <w:sz w:val="20"/>
                <w:szCs w:val="20"/>
                <w:highlight w:val="none"/>
                <w14:textFill>
                  <w14:solidFill>
                    <w14:schemeClr w14:val="tx1"/>
                  </w14:solidFill>
                </w14:textFill>
              </w:rPr>
            </w:pPr>
            <w:r>
              <w:rPr>
                <w:rFonts w:eastAsia="宋体"/>
                <w:color w:val="000000" w:themeColor="text1"/>
                <w:sz w:val="20"/>
                <w:szCs w:val="20"/>
                <w:highlight w:val="none"/>
                <w14:textFill>
                  <w14:solidFill>
                    <w14:schemeClr w14:val="tx1"/>
                  </w14:solidFill>
                </w14:textFill>
              </w:rPr>
              <w:t>加快实施低VOCs含量原辅材料替代。持续开展VOCs治理设施提级增效，对采用单一低温等离子、光氧化、光催化以及非水溶性VOCs废气采用单一喷淋吸收等治理技术且无法稳定达标的，加快推进升级改造。强化VOCs无组织排放整治。石化、化工等行业加强非正常工况废气排放管控。推进涉VOCs产业集群治理提升</w:t>
            </w:r>
          </w:p>
          <w:p>
            <w:pPr>
              <w:shd w:val="clear" w:color="auto" w:fill="FFFFFF"/>
              <w:overflowPunct w:val="0"/>
              <w:adjustRightInd/>
              <w:snapToGrid/>
              <w:spacing w:line="240" w:lineRule="auto"/>
              <w:ind w:firstLine="0" w:firstLineChars="0"/>
              <w:jc w:val="left"/>
              <w:rPr>
                <w:rFonts w:cs="Times New Roman"/>
                <w:color w:val="000000" w:themeColor="text1"/>
                <w:kern w:val="0"/>
                <w:sz w:val="20"/>
                <w:szCs w:val="20"/>
                <w:highlight w:val="none"/>
                <w14:textFill>
                  <w14:solidFill>
                    <w14:schemeClr w14:val="tx1"/>
                  </w14:solidFill>
                </w14:textFill>
              </w:rPr>
            </w:pPr>
            <w:r>
              <w:rPr>
                <w:rFonts w:cs="Times New Roman"/>
                <w:color w:val="000000" w:themeColor="text1"/>
                <w:sz w:val="20"/>
                <w:szCs w:val="20"/>
                <w:highlight w:val="none"/>
                <w14:textFill>
                  <w14:solidFill>
                    <w14:schemeClr w14:val="tx1"/>
                  </w14:solidFill>
                </w14:textFill>
              </w:rPr>
              <w:t>其他大气污染物排放管控要求：/</w:t>
            </w:r>
          </w:p>
        </w:tc>
        <w:tc>
          <w:tcPr>
            <w:tcW w:w="1422"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14:textFill>
                  <w14:solidFill>
                    <w14:schemeClr w14:val="tx1"/>
                  </w14:solidFill>
                </w14:textFill>
              </w:rPr>
            </w:pPr>
            <w:r>
              <w:rPr>
                <w:rFonts w:hint="eastAsia"/>
                <w:color w:val="000000" w:themeColor="text1"/>
                <w:kern w:val="21"/>
                <w:sz w:val="20"/>
                <w:szCs w:val="20"/>
                <w:highlight w:val="none"/>
                <w14:textFill>
                  <w14:solidFill>
                    <w14:schemeClr w14:val="tx1"/>
                  </w14:solidFill>
                </w14:textFill>
              </w:rPr>
              <w:t>/</w:t>
            </w:r>
          </w:p>
        </w:tc>
        <w:tc>
          <w:tcPr>
            <w:tcW w:w="1047"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sz w:val="20"/>
                <w:szCs w:val="20"/>
                <w:highlight w:val="none"/>
                <w:lang w:bidi="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5" w:type="dxa"/>
            <w:vMerge w:val="continue"/>
            <w:vAlign w:val="center"/>
          </w:tcPr>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p>
        </w:tc>
        <w:tc>
          <w:tcPr>
            <w:tcW w:w="464" w:type="dxa"/>
            <w:vMerge w:val="continue"/>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tc>
        <w:tc>
          <w:tcPr>
            <w:tcW w:w="407" w:type="dxa"/>
            <w:vAlign w:val="center"/>
          </w:tcPr>
          <w:p>
            <w:pPr>
              <w:overflowPunct w:val="0"/>
              <w:adjustRightInd/>
              <w:snapToGrid/>
              <w:spacing w:line="240" w:lineRule="auto"/>
              <w:ind w:firstLine="0" w:firstLineChars="0"/>
              <w:jc w:val="left"/>
              <w:rPr>
                <w:rFonts w:cs="Times New Roman"/>
                <w:color w:val="000000" w:themeColor="text1"/>
                <w:kern w:val="21"/>
                <w:sz w:val="20"/>
                <w:szCs w:val="20"/>
                <w:highlight w:val="none"/>
                <w14:textFill>
                  <w14:solidFill>
                    <w14:schemeClr w14:val="tx1"/>
                  </w14:solidFill>
                </w14:textFill>
              </w:rPr>
            </w:pPr>
            <w:r>
              <w:rPr>
                <w:rFonts w:cs="Times New Roman"/>
                <w:color w:val="000000" w:themeColor="text1"/>
                <w:sz w:val="20"/>
                <w:szCs w:val="20"/>
                <w:highlight w:val="none"/>
                <w14:textFill>
                  <w14:solidFill>
                    <w14:schemeClr w14:val="tx1"/>
                  </w14:solidFill>
                </w14:textFill>
              </w:rPr>
              <w:t>环境风险防控</w:t>
            </w:r>
          </w:p>
        </w:tc>
        <w:tc>
          <w:tcPr>
            <w:tcW w:w="4425" w:type="dxa"/>
            <w:vMerge w:val="restart"/>
            <w:vAlign w:val="center"/>
          </w:tcPr>
          <w:p>
            <w:pPr>
              <w:shd w:val="clear" w:color="auto" w:fill="FFFFFF"/>
              <w:overflowPunct w:val="0"/>
              <w:adjustRightInd/>
              <w:snapToGrid/>
              <w:spacing w:line="240" w:lineRule="auto"/>
              <w:ind w:firstLine="0" w:firstLineChars="0"/>
              <w:jc w:val="center"/>
              <w:rPr>
                <w:rFonts w:cs="Times New Roman"/>
                <w:color w:val="000000" w:themeColor="text1"/>
                <w:kern w:val="0"/>
                <w:sz w:val="20"/>
                <w:szCs w:val="20"/>
                <w:highlight w:val="none"/>
                <w14:textFill>
                  <w14:solidFill>
                    <w14:schemeClr w14:val="tx1"/>
                  </w14:solidFill>
                </w14:textFill>
              </w:rPr>
            </w:pPr>
            <w:r>
              <w:rPr>
                <w:rFonts w:cs="Times New Roman"/>
                <w:color w:val="000000" w:themeColor="text1"/>
                <w:kern w:val="0"/>
                <w:sz w:val="20"/>
                <w:szCs w:val="20"/>
                <w:highlight w:val="none"/>
                <w14:textFill>
                  <w14:solidFill>
                    <w14:schemeClr w14:val="tx1"/>
                  </w14:solidFill>
                </w14:textFill>
              </w:rPr>
              <w:t>/</w:t>
            </w:r>
          </w:p>
        </w:tc>
        <w:tc>
          <w:tcPr>
            <w:tcW w:w="1422"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14:textFill>
                  <w14:solidFill>
                    <w14:schemeClr w14:val="tx1"/>
                  </w14:solidFill>
                </w14:textFill>
              </w:rPr>
            </w:pPr>
            <w:r>
              <w:rPr>
                <w:rFonts w:cs="Times New Roman"/>
                <w:color w:val="000000" w:themeColor="text1"/>
                <w:kern w:val="0"/>
                <w:sz w:val="20"/>
                <w:szCs w:val="20"/>
                <w:highlight w:val="none"/>
                <w14:textFill>
                  <w14:solidFill>
                    <w14:schemeClr w14:val="tx1"/>
                  </w14:solidFill>
                </w14:textFill>
              </w:rPr>
              <w:t>/</w:t>
            </w:r>
          </w:p>
        </w:tc>
        <w:tc>
          <w:tcPr>
            <w:tcW w:w="1047"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sz w:val="20"/>
                <w:szCs w:val="20"/>
                <w:highlight w:val="none"/>
                <w:lang w:bidi="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5" w:type="dxa"/>
            <w:vMerge w:val="continue"/>
            <w:vAlign w:val="center"/>
          </w:tcPr>
          <w:p>
            <w:pPr>
              <w:overflowPunct w:val="0"/>
              <w:adjustRightInd/>
              <w:snapToGrid/>
              <w:spacing w:line="240" w:lineRule="auto"/>
              <w:ind w:firstLine="0" w:firstLineChars="0"/>
              <w:jc w:val="center"/>
              <w:rPr>
                <w:rFonts w:cs="Times New Roman"/>
                <w:color w:val="000000" w:themeColor="text1"/>
                <w:kern w:val="21"/>
                <w:sz w:val="20"/>
                <w:szCs w:val="20"/>
                <w:highlight w:val="none"/>
                <w14:textFill>
                  <w14:solidFill>
                    <w14:schemeClr w14:val="tx1"/>
                  </w14:solidFill>
                </w14:textFill>
              </w:rPr>
            </w:pPr>
          </w:p>
        </w:tc>
        <w:tc>
          <w:tcPr>
            <w:tcW w:w="464" w:type="dxa"/>
            <w:vMerge w:val="continue"/>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p>
        </w:tc>
        <w:tc>
          <w:tcPr>
            <w:tcW w:w="407" w:type="dxa"/>
            <w:vAlign w:val="center"/>
          </w:tcPr>
          <w:p>
            <w:pPr>
              <w:overflowPunct w:val="0"/>
              <w:adjustRightInd/>
              <w:snapToGrid/>
              <w:spacing w:line="240" w:lineRule="auto"/>
              <w:ind w:firstLine="0" w:firstLineChars="0"/>
              <w:jc w:val="left"/>
              <w:rPr>
                <w:rFonts w:cs="Times New Roman"/>
                <w:color w:val="000000" w:themeColor="text1"/>
                <w:sz w:val="20"/>
                <w:szCs w:val="20"/>
                <w:highlight w:val="none"/>
                <w14:textFill>
                  <w14:solidFill>
                    <w14:schemeClr w14:val="tx1"/>
                  </w14:solidFill>
                </w14:textFill>
              </w:rPr>
            </w:pPr>
            <w:r>
              <w:rPr>
                <w:rFonts w:cs="Times New Roman"/>
                <w:color w:val="000000" w:themeColor="text1"/>
                <w:sz w:val="20"/>
                <w:szCs w:val="20"/>
                <w:highlight w:val="none"/>
                <w14:textFill>
                  <w14:solidFill>
                    <w14:schemeClr w14:val="tx1"/>
                  </w14:solidFill>
                </w14:textFill>
              </w:rPr>
              <w:t>资源开发要求</w:t>
            </w:r>
          </w:p>
        </w:tc>
        <w:tc>
          <w:tcPr>
            <w:tcW w:w="4425" w:type="dxa"/>
            <w:vMerge w:val="continue"/>
            <w:vAlign w:val="center"/>
          </w:tcPr>
          <w:p>
            <w:pPr>
              <w:shd w:val="clear" w:color="auto" w:fill="FFFFFF"/>
              <w:overflowPunct w:val="0"/>
              <w:adjustRightInd/>
              <w:snapToGrid/>
              <w:spacing w:line="240" w:lineRule="auto"/>
              <w:ind w:firstLine="0" w:firstLineChars="0"/>
              <w:jc w:val="center"/>
              <w:rPr>
                <w:rFonts w:cs="Times New Roman"/>
                <w:color w:val="000000" w:themeColor="text1"/>
                <w:sz w:val="20"/>
                <w:szCs w:val="20"/>
                <w:highlight w:val="none"/>
                <w14:textFill>
                  <w14:solidFill>
                    <w14:schemeClr w14:val="tx1"/>
                  </w14:solidFill>
                </w14:textFill>
              </w:rPr>
            </w:pPr>
          </w:p>
        </w:tc>
        <w:tc>
          <w:tcPr>
            <w:tcW w:w="1422"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14:textFill>
                  <w14:solidFill>
                    <w14:schemeClr w14:val="tx1"/>
                  </w14:solidFill>
                </w14:textFill>
              </w:rPr>
            </w:pPr>
            <w:r>
              <w:rPr>
                <w:rFonts w:cs="Times New Roman"/>
                <w:color w:val="000000" w:themeColor="text1"/>
                <w:kern w:val="0"/>
                <w:sz w:val="20"/>
                <w:szCs w:val="20"/>
                <w:highlight w:val="none"/>
                <w14:textFill>
                  <w14:solidFill>
                    <w14:schemeClr w14:val="tx1"/>
                  </w14:solidFill>
                </w14:textFill>
              </w:rPr>
              <w:t>/</w:t>
            </w:r>
          </w:p>
        </w:tc>
        <w:tc>
          <w:tcPr>
            <w:tcW w:w="1047" w:type="dxa"/>
            <w:vAlign w:val="center"/>
          </w:tcPr>
          <w:p>
            <w:pPr>
              <w:overflowPunct w:val="0"/>
              <w:adjustRightInd/>
              <w:snapToGrid/>
              <w:spacing w:line="240" w:lineRule="auto"/>
              <w:ind w:firstLine="0" w:firstLineChars="0"/>
              <w:jc w:val="center"/>
              <w:rPr>
                <w:rFonts w:cs="Times New Roman"/>
                <w:color w:val="000000" w:themeColor="text1"/>
                <w:sz w:val="20"/>
                <w:szCs w:val="20"/>
                <w:highlight w:val="none"/>
                <w:lang w:bidi="zh-CN"/>
                <w14:textFill>
                  <w14:solidFill>
                    <w14:schemeClr w14:val="tx1"/>
                  </w14:solidFill>
                </w14:textFill>
              </w:rPr>
            </w:pPr>
            <w:r>
              <w:rPr>
                <w:rFonts w:cs="Times New Roman"/>
                <w:color w:val="000000" w:themeColor="text1"/>
                <w:sz w:val="20"/>
                <w:szCs w:val="20"/>
                <w:highlight w:val="none"/>
                <w:lang w:bidi="zh-CN"/>
                <w14:textFill>
                  <w14:solidFill>
                    <w14:schemeClr w14:val="tx1"/>
                  </w14:solidFill>
                </w14:textFill>
              </w:rPr>
              <w:t>符合</w:t>
            </w:r>
          </w:p>
        </w:tc>
      </w:tr>
    </w:tbl>
    <w:p>
      <w:pPr>
        <w:pStyle w:val="153"/>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根据以上分析，项目的建设符合区域“三线一单”的管控要求。</w:t>
      </w:r>
    </w:p>
    <w:p>
      <w:pPr>
        <w:overflowPunct w:val="0"/>
        <w:adjustRightInd/>
        <w:snapToGrid/>
        <w:ind w:firstLine="0" w:firstLineChars="0"/>
        <w:jc w:val="left"/>
        <w:rPr>
          <w:rFonts w:cs="Times New Roman"/>
          <w:b/>
          <w:bCs/>
          <w:color w:val="000000" w:themeColor="text1"/>
          <w:kern w:val="21"/>
          <w:szCs w:val="24"/>
          <w:highlight w:val="none"/>
          <w14:textFill>
            <w14:solidFill>
              <w14:schemeClr w14:val="tx1"/>
            </w14:solidFill>
          </w14:textFill>
        </w:rPr>
      </w:pPr>
      <w:r>
        <w:rPr>
          <w:rFonts w:hint="eastAsia" w:cs="Times New Roman"/>
          <w:b/>
          <w:bCs/>
          <w:color w:val="000000" w:themeColor="text1"/>
          <w:kern w:val="21"/>
          <w:szCs w:val="24"/>
          <w:highlight w:val="none"/>
          <w:lang w:bidi="ar"/>
          <w14:textFill>
            <w14:solidFill>
              <w14:schemeClr w14:val="tx1"/>
            </w14:solidFill>
          </w14:textFill>
        </w:rPr>
        <w:t>2、</w:t>
      </w:r>
      <w:r>
        <w:rPr>
          <w:rFonts w:cs="Times New Roman"/>
          <w:b/>
          <w:bCs/>
          <w:color w:val="000000" w:themeColor="text1"/>
          <w:kern w:val="21"/>
          <w:szCs w:val="24"/>
          <w:highlight w:val="none"/>
          <w14:textFill>
            <w14:solidFill>
              <w14:schemeClr w14:val="tx1"/>
            </w14:solidFill>
          </w14:textFill>
        </w:rPr>
        <w:t>与《关于落实生态保护红线、环境质量底线、资源利用上线制定生态环境准入清单实施生态环境分区管控的通知》（川府发〔2020〕9号）符合性分析</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lang w:val="en-US" w:eastAsia="zh-CN"/>
          <w14:textFill>
            <w14:solidFill>
              <w14:schemeClr w14:val="tx1"/>
            </w14:solidFill>
          </w14:textFill>
        </w:rPr>
        <w:t xml:space="preserve">19  </w:t>
      </w:r>
      <w:r>
        <w:rPr>
          <w:rFonts w:hint="eastAsia"/>
          <w:color w:val="000000" w:themeColor="text1"/>
          <w:highlight w:val="none"/>
          <w14:textFill>
            <w14:solidFill>
              <w14:schemeClr w14:val="tx1"/>
            </w14:solidFill>
          </w14:textFill>
        </w:rPr>
        <w:t>与（川府发〔</w:t>
      </w:r>
      <w:r>
        <w:rPr>
          <w:color w:val="000000" w:themeColor="text1"/>
          <w:highlight w:val="none"/>
          <w14:textFill>
            <w14:solidFill>
              <w14:schemeClr w14:val="tx1"/>
            </w14:solidFill>
          </w14:textFill>
        </w:rPr>
        <w:t>2020〕9号）符合性分析</w:t>
      </w:r>
    </w:p>
    <w:tbl>
      <w:tblPr>
        <w:tblStyle w:val="41"/>
        <w:tblW w:w="48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5"/>
        <w:gridCol w:w="2371"/>
        <w:gridCol w:w="4535"/>
        <w:gridCol w:w="9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7" w:type="pct"/>
            <w:vAlign w:val="center"/>
          </w:tcPr>
          <w:p>
            <w:pPr>
              <w:overflowPunct w:val="0"/>
              <w:adjustRightInd/>
              <w:snapToGrid/>
              <w:spacing w:line="240" w:lineRule="auto"/>
              <w:ind w:firstLine="0" w:firstLineChars="0"/>
              <w:jc w:val="center"/>
              <w:rPr>
                <w:rFonts w:cs="Times New Roman"/>
                <w:b/>
                <w:bCs/>
                <w:color w:val="000000" w:themeColor="text1"/>
                <w:kern w:val="21"/>
                <w:sz w:val="21"/>
                <w:szCs w:val="21"/>
                <w:highlight w:val="none"/>
                <w14:textFill>
                  <w14:solidFill>
                    <w14:schemeClr w14:val="tx1"/>
                  </w14:solidFill>
                </w14:textFill>
              </w:rPr>
            </w:pPr>
            <w:r>
              <w:rPr>
                <w:rFonts w:cs="Times New Roman"/>
                <w:b/>
                <w:bCs/>
                <w:color w:val="000000" w:themeColor="text1"/>
                <w:kern w:val="21"/>
                <w:sz w:val="21"/>
                <w:szCs w:val="21"/>
                <w:highlight w:val="none"/>
                <w14:textFill>
                  <w14:solidFill>
                    <w14:schemeClr w14:val="tx1"/>
                  </w14:solidFill>
                </w14:textFill>
              </w:rPr>
              <w:t>分区</w:t>
            </w:r>
          </w:p>
        </w:tc>
        <w:tc>
          <w:tcPr>
            <w:tcW w:w="1419" w:type="pct"/>
            <w:vAlign w:val="center"/>
          </w:tcPr>
          <w:p>
            <w:pPr>
              <w:overflowPunct w:val="0"/>
              <w:adjustRightInd/>
              <w:snapToGrid/>
              <w:spacing w:line="240" w:lineRule="auto"/>
              <w:ind w:firstLine="0" w:firstLineChars="0"/>
              <w:jc w:val="center"/>
              <w:rPr>
                <w:rFonts w:cs="Times New Roman"/>
                <w:b/>
                <w:bCs/>
                <w:color w:val="000000" w:themeColor="text1"/>
                <w:kern w:val="21"/>
                <w:sz w:val="21"/>
                <w:szCs w:val="21"/>
                <w:highlight w:val="none"/>
                <w14:textFill>
                  <w14:solidFill>
                    <w14:schemeClr w14:val="tx1"/>
                  </w14:solidFill>
                </w14:textFill>
              </w:rPr>
            </w:pPr>
            <w:r>
              <w:rPr>
                <w:rFonts w:cs="Times New Roman"/>
                <w:b/>
                <w:bCs/>
                <w:color w:val="000000" w:themeColor="text1"/>
                <w:kern w:val="21"/>
                <w:sz w:val="21"/>
                <w:szCs w:val="21"/>
                <w:highlight w:val="none"/>
                <w14:textFill>
                  <w14:solidFill>
                    <w14:schemeClr w14:val="tx1"/>
                  </w14:solidFill>
                </w14:textFill>
              </w:rPr>
              <w:t>通知要求</w:t>
            </w:r>
          </w:p>
        </w:tc>
        <w:tc>
          <w:tcPr>
            <w:tcW w:w="2715" w:type="pct"/>
            <w:vAlign w:val="center"/>
          </w:tcPr>
          <w:p>
            <w:pPr>
              <w:overflowPunct w:val="0"/>
              <w:adjustRightInd/>
              <w:snapToGrid/>
              <w:spacing w:line="240" w:lineRule="auto"/>
              <w:ind w:firstLine="0" w:firstLineChars="0"/>
              <w:jc w:val="center"/>
              <w:rPr>
                <w:rFonts w:cs="Times New Roman"/>
                <w:b/>
                <w:bCs/>
                <w:color w:val="000000" w:themeColor="text1"/>
                <w:kern w:val="21"/>
                <w:sz w:val="21"/>
                <w:szCs w:val="21"/>
                <w:highlight w:val="none"/>
                <w14:textFill>
                  <w14:solidFill>
                    <w14:schemeClr w14:val="tx1"/>
                  </w14:solidFill>
                </w14:textFill>
              </w:rPr>
            </w:pPr>
            <w:r>
              <w:rPr>
                <w:rFonts w:cs="Times New Roman"/>
                <w:b/>
                <w:bCs/>
                <w:color w:val="000000" w:themeColor="text1"/>
                <w:kern w:val="21"/>
                <w:sz w:val="21"/>
                <w:szCs w:val="21"/>
                <w:highlight w:val="none"/>
                <w14:textFill>
                  <w14:solidFill>
                    <w14:schemeClr w14:val="tx1"/>
                  </w14:solidFill>
                </w14:textFill>
              </w:rPr>
              <w:t>本项目情况</w:t>
            </w:r>
          </w:p>
        </w:tc>
        <w:tc>
          <w:tcPr>
            <w:tcW w:w="539" w:type="pct"/>
            <w:vAlign w:val="center"/>
          </w:tcPr>
          <w:p>
            <w:pPr>
              <w:overflowPunct w:val="0"/>
              <w:adjustRightInd/>
              <w:snapToGrid/>
              <w:spacing w:line="240" w:lineRule="auto"/>
              <w:ind w:firstLine="0" w:firstLineChars="0"/>
              <w:jc w:val="center"/>
              <w:rPr>
                <w:rFonts w:cs="Times New Roman"/>
                <w:b/>
                <w:bCs/>
                <w:color w:val="000000" w:themeColor="text1"/>
                <w:kern w:val="21"/>
                <w:sz w:val="21"/>
                <w:szCs w:val="21"/>
                <w:highlight w:val="none"/>
                <w14:textFill>
                  <w14:solidFill>
                    <w14:schemeClr w14:val="tx1"/>
                  </w14:solidFill>
                </w14:textFill>
              </w:rPr>
            </w:pPr>
            <w:r>
              <w:rPr>
                <w:rFonts w:cs="Times New Roman"/>
                <w:b/>
                <w:bCs/>
                <w:color w:val="000000" w:themeColor="text1"/>
                <w:kern w:val="21"/>
                <w:sz w:val="21"/>
                <w:szCs w:val="21"/>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7" w:type="pct"/>
            <w:vMerge w:val="restart"/>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14:textFill>
                  <w14:solidFill>
                    <w14:schemeClr w14:val="tx1"/>
                  </w14:solidFill>
                </w14:textFill>
              </w:rPr>
              <w:t>川</w:t>
            </w:r>
            <w:r>
              <w:rPr>
                <w:rFonts w:hint="eastAsia" w:cs="Times New Roman"/>
                <w:color w:val="000000" w:themeColor="text1"/>
                <w:kern w:val="21"/>
                <w:sz w:val="21"/>
                <w:szCs w:val="21"/>
                <w:highlight w:val="none"/>
                <w14:textFill>
                  <w14:solidFill>
                    <w14:schemeClr w14:val="tx1"/>
                  </w14:solidFill>
                </w14:textFill>
              </w:rPr>
              <w:t>东北经</w:t>
            </w:r>
            <w:r>
              <w:rPr>
                <w:rFonts w:cs="Times New Roman"/>
                <w:color w:val="000000" w:themeColor="text1"/>
                <w:kern w:val="21"/>
                <w:sz w:val="21"/>
                <w:szCs w:val="21"/>
                <w:highlight w:val="none"/>
                <w14:textFill>
                  <w14:solidFill>
                    <w14:schemeClr w14:val="tx1"/>
                  </w14:solidFill>
                </w14:textFill>
              </w:rPr>
              <w:t>济区</w:t>
            </w:r>
          </w:p>
        </w:tc>
        <w:tc>
          <w:tcPr>
            <w:tcW w:w="1419" w:type="pct"/>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14:textFill>
                  <w14:solidFill>
                    <w14:schemeClr w14:val="tx1"/>
                  </w14:solidFill>
                </w14:textFill>
              </w:rPr>
              <w:t>控制农村面源污染，提高污水收集处理率，加快乡镇污水处理基础设施建设</w:t>
            </w:r>
            <w:r>
              <w:rPr>
                <w:rFonts w:hint="eastAsia" w:cs="Times New Roman"/>
                <w:color w:val="000000" w:themeColor="text1"/>
                <w:kern w:val="21"/>
                <w:sz w:val="21"/>
                <w:szCs w:val="21"/>
                <w:highlight w:val="none"/>
                <w14:textFill>
                  <w14:solidFill>
                    <w14:schemeClr w14:val="tx1"/>
                  </w14:solidFill>
                </w14:textFill>
              </w:rPr>
              <w:t>。</w:t>
            </w:r>
          </w:p>
        </w:tc>
        <w:tc>
          <w:tcPr>
            <w:tcW w:w="2715" w:type="pct"/>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14:textFill>
                  <w14:solidFill>
                    <w14:schemeClr w14:val="tx1"/>
                  </w14:solidFill>
                </w14:textFill>
              </w:rPr>
              <w:t>本</w:t>
            </w:r>
            <w:r>
              <w:rPr>
                <w:rFonts w:hint="eastAsia" w:cs="Times New Roman"/>
                <w:color w:val="000000" w:themeColor="text1"/>
                <w:kern w:val="21"/>
                <w:sz w:val="21"/>
                <w:szCs w:val="21"/>
                <w:highlight w:val="none"/>
                <w14:textFill>
                  <w14:solidFill>
                    <w14:schemeClr w14:val="tx1"/>
                  </w14:solidFill>
                </w14:textFill>
              </w:rPr>
              <w:t>项目为天然气试采工程</w:t>
            </w:r>
            <w:r>
              <w:rPr>
                <w:rFonts w:cs="Times New Roman"/>
                <w:color w:val="000000" w:themeColor="text1"/>
                <w:kern w:val="21"/>
                <w:sz w:val="21"/>
                <w:szCs w:val="21"/>
                <w:highlight w:val="none"/>
                <w14:textFill>
                  <w14:solidFill>
                    <w14:schemeClr w14:val="tx1"/>
                  </w14:solidFill>
                </w14:textFill>
              </w:rPr>
              <w:t>，施工期产</w:t>
            </w:r>
            <w:r>
              <w:rPr>
                <w:rFonts w:hint="eastAsia" w:cs="Times New Roman"/>
                <w:color w:val="000000" w:themeColor="text1"/>
                <w:kern w:val="21"/>
                <w:sz w:val="21"/>
                <w:szCs w:val="21"/>
                <w:highlight w:val="none"/>
                <w14:textFill>
                  <w14:solidFill>
                    <w14:schemeClr w14:val="tx1"/>
                  </w14:solidFill>
                </w14:textFill>
              </w:rPr>
              <w:t>生的</w:t>
            </w:r>
            <w:r>
              <w:rPr>
                <w:rFonts w:cs="Times New Roman"/>
                <w:color w:val="000000" w:themeColor="text1"/>
                <w:kern w:val="21"/>
                <w:sz w:val="21"/>
                <w:szCs w:val="21"/>
                <w:highlight w:val="none"/>
                <w14:textFill>
                  <w14:solidFill>
                    <w14:schemeClr w14:val="tx1"/>
                  </w14:solidFill>
                </w14:textFill>
              </w:rPr>
              <w:t>生活污水</w:t>
            </w:r>
            <w:r>
              <w:rPr>
                <w:rFonts w:hint="eastAsia" w:cs="Times New Roman"/>
                <w:color w:val="000000" w:themeColor="text1"/>
                <w:kern w:val="21"/>
                <w:sz w:val="21"/>
                <w:szCs w:val="21"/>
                <w:highlight w:val="none"/>
                <w14:textFill>
                  <w14:solidFill>
                    <w14:schemeClr w14:val="tx1"/>
                  </w14:solidFill>
                </w14:textFill>
              </w:rPr>
              <w:t>依托当地现有的生活污水处理系统</w:t>
            </w:r>
            <w:r>
              <w:rPr>
                <w:rFonts w:cs="Times New Roman"/>
                <w:color w:val="000000" w:themeColor="text1"/>
                <w:kern w:val="21"/>
                <w:sz w:val="21"/>
                <w:szCs w:val="21"/>
                <w:highlight w:val="none"/>
                <w14:textFill>
                  <w14:solidFill>
                    <w14:schemeClr w14:val="tx1"/>
                  </w14:solidFill>
                </w14:textFill>
              </w:rPr>
              <w:t>，不外排；施工生产废水经过沉淀池处理后用于</w:t>
            </w:r>
            <w:r>
              <w:rPr>
                <w:rFonts w:hint="eastAsia" w:cs="Times New Roman"/>
                <w:color w:val="000000" w:themeColor="text1"/>
                <w:kern w:val="21"/>
                <w:sz w:val="21"/>
                <w:szCs w:val="21"/>
                <w:highlight w:val="none"/>
                <w14:textFill>
                  <w14:solidFill>
                    <w14:schemeClr w14:val="tx1"/>
                  </w14:solidFill>
                </w14:textFill>
              </w:rPr>
              <w:t>场地</w:t>
            </w:r>
            <w:r>
              <w:rPr>
                <w:rFonts w:cs="Times New Roman"/>
                <w:color w:val="000000" w:themeColor="text1"/>
                <w:kern w:val="21"/>
                <w:sz w:val="21"/>
                <w:szCs w:val="21"/>
                <w:highlight w:val="none"/>
                <w14:textFill>
                  <w14:solidFill>
                    <w14:schemeClr w14:val="tx1"/>
                  </w14:solidFill>
                </w14:textFill>
              </w:rPr>
              <w:t>洒水降尘等，不外排；</w:t>
            </w:r>
            <w:r>
              <w:rPr>
                <w:rFonts w:hint="eastAsia" w:cs="Times New Roman"/>
                <w:color w:val="000000" w:themeColor="text1"/>
                <w:kern w:val="21"/>
                <w:sz w:val="21"/>
                <w:szCs w:val="21"/>
                <w:highlight w:val="none"/>
                <w14:textFill>
                  <w14:solidFill>
                    <w14:schemeClr w14:val="tx1"/>
                  </w14:solidFill>
                </w14:textFill>
              </w:rPr>
              <w:t>运营期生态厕所收集后定期由密闭罐车拉运至周边生活污水处理厂处理</w:t>
            </w:r>
            <w:r>
              <w:rPr>
                <w:rFonts w:cs="Times New Roman"/>
                <w:color w:val="000000" w:themeColor="text1"/>
                <w:kern w:val="21"/>
                <w:sz w:val="21"/>
                <w:szCs w:val="21"/>
                <w:highlight w:val="none"/>
                <w14:textFill>
                  <w14:solidFill>
                    <w14:schemeClr w14:val="tx1"/>
                  </w14:solidFill>
                </w14:textFill>
              </w:rPr>
              <w:t>，不外排</w:t>
            </w:r>
            <w:r>
              <w:rPr>
                <w:rFonts w:hint="eastAsia" w:cs="Times New Roman"/>
                <w:color w:val="000000" w:themeColor="text1"/>
                <w:kern w:val="21"/>
                <w:sz w:val="21"/>
                <w:szCs w:val="21"/>
                <w:highlight w:val="none"/>
                <w14:textFill>
                  <w14:solidFill>
                    <w14:schemeClr w14:val="tx1"/>
                  </w14:solidFill>
                </w14:textFill>
              </w:rPr>
              <w:t>，试采期分离气田水进入试采站建设的污水罐暂存，然后通过密闭罐车拉运至赵家坝污水处理站处理达到《气田水回注方法》（SY/T 6596-2016）中注入水基本要求后管输至普光3井回注站回注处理，不外排</w:t>
            </w:r>
            <w:r>
              <w:rPr>
                <w:rFonts w:cs="Times New Roman"/>
                <w:color w:val="000000" w:themeColor="text1"/>
                <w:kern w:val="21"/>
                <w:sz w:val="21"/>
                <w:szCs w:val="21"/>
                <w:highlight w:val="none"/>
                <w14:textFill>
                  <w14:solidFill>
                    <w14:schemeClr w14:val="tx1"/>
                  </w14:solidFill>
                </w14:textFill>
              </w:rPr>
              <w:t>。</w:t>
            </w:r>
          </w:p>
        </w:tc>
        <w:tc>
          <w:tcPr>
            <w:tcW w:w="539" w:type="pct"/>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7" w:type="pct"/>
            <w:vMerge w:val="continue"/>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p>
        </w:tc>
        <w:tc>
          <w:tcPr>
            <w:tcW w:w="1419" w:type="pct"/>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14:textFill>
                  <w14:solidFill>
                    <w14:schemeClr w14:val="tx1"/>
                  </w14:solidFill>
                </w14:textFill>
              </w:rPr>
              <w:t>建设流域水环境风险联防联控体系。</w:t>
            </w:r>
          </w:p>
        </w:tc>
        <w:tc>
          <w:tcPr>
            <w:tcW w:w="2715" w:type="pct"/>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hint="eastAsia" w:cs="Times New Roman"/>
                <w:color w:val="000000" w:themeColor="text1"/>
                <w:kern w:val="21"/>
                <w:sz w:val="21"/>
                <w:szCs w:val="21"/>
                <w:highlight w:val="none"/>
                <w14:textFill>
                  <w14:solidFill>
                    <w14:schemeClr w14:val="tx1"/>
                  </w14:solidFill>
                </w14:textFill>
              </w:rPr>
              <w:t>本项目已落实</w:t>
            </w:r>
            <w:r>
              <w:rPr>
                <w:rFonts w:cs="Times New Roman"/>
                <w:color w:val="000000" w:themeColor="text1"/>
                <w:kern w:val="21"/>
                <w:sz w:val="21"/>
                <w:szCs w:val="21"/>
                <w:highlight w:val="none"/>
                <w14:textFill>
                  <w14:solidFill>
                    <w14:schemeClr w14:val="tx1"/>
                  </w14:solidFill>
                </w14:textFill>
              </w:rPr>
              <w:t>水环境风险</w:t>
            </w:r>
            <w:r>
              <w:rPr>
                <w:rFonts w:hint="eastAsia" w:cs="Times New Roman"/>
                <w:color w:val="000000" w:themeColor="text1"/>
                <w:kern w:val="21"/>
                <w:sz w:val="21"/>
                <w:szCs w:val="21"/>
                <w:highlight w:val="none"/>
                <w14:textFill>
                  <w14:solidFill>
                    <w14:schemeClr w14:val="tx1"/>
                  </w14:solidFill>
                </w14:textFill>
              </w:rPr>
              <w:t>保护措施。</w:t>
            </w:r>
          </w:p>
        </w:tc>
        <w:tc>
          <w:tcPr>
            <w:tcW w:w="539" w:type="pct"/>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6" w:hRule="atLeast"/>
          <w:jc w:val="center"/>
        </w:trPr>
        <w:tc>
          <w:tcPr>
            <w:tcW w:w="327" w:type="pct"/>
            <w:vMerge w:val="continue"/>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p>
        </w:tc>
        <w:tc>
          <w:tcPr>
            <w:tcW w:w="1419" w:type="pct"/>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14:textFill>
                  <w14:solidFill>
                    <w14:schemeClr w14:val="tx1"/>
                  </w14:solidFill>
                </w14:textFill>
              </w:rPr>
              <w:t>提高大气污染治理水平。</w:t>
            </w:r>
          </w:p>
        </w:tc>
        <w:tc>
          <w:tcPr>
            <w:tcW w:w="2715" w:type="pct"/>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14:textFill>
                  <w14:solidFill>
                    <w14:schemeClr w14:val="tx1"/>
                  </w14:solidFill>
                </w14:textFill>
              </w:rPr>
              <w:t>本项目为</w:t>
            </w:r>
            <w:r>
              <w:rPr>
                <w:rFonts w:hint="eastAsia" w:cs="Times New Roman"/>
                <w:color w:val="000000" w:themeColor="text1"/>
                <w:kern w:val="21"/>
                <w:sz w:val="21"/>
                <w:szCs w:val="21"/>
                <w:highlight w:val="none"/>
                <w14:textFill>
                  <w14:solidFill>
                    <w14:schemeClr w14:val="tx1"/>
                  </w14:solidFill>
                </w14:textFill>
              </w:rPr>
              <w:t>天然气试采工程</w:t>
            </w:r>
            <w:r>
              <w:rPr>
                <w:rFonts w:cs="Times New Roman"/>
                <w:color w:val="000000" w:themeColor="text1"/>
                <w:kern w:val="21"/>
                <w:sz w:val="21"/>
                <w:szCs w:val="21"/>
                <w:highlight w:val="none"/>
                <w14:textFill>
                  <w14:solidFill>
                    <w14:schemeClr w14:val="tx1"/>
                  </w14:solidFill>
                </w14:textFill>
              </w:rPr>
              <w:t>，施工期扬尘</w:t>
            </w:r>
            <w:r>
              <w:rPr>
                <w:rFonts w:hint="eastAsia" w:cs="Times New Roman"/>
                <w:color w:val="000000" w:themeColor="text1"/>
                <w:kern w:val="21"/>
                <w:sz w:val="21"/>
                <w:szCs w:val="21"/>
                <w:highlight w:val="none"/>
                <w14:textFill>
                  <w14:solidFill>
                    <w14:schemeClr w14:val="tx1"/>
                  </w14:solidFill>
                </w14:textFill>
              </w:rPr>
              <w:t>等</w:t>
            </w:r>
            <w:r>
              <w:rPr>
                <w:rFonts w:cs="Times New Roman"/>
                <w:color w:val="000000" w:themeColor="text1"/>
                <w:kern w:val="21"/>
                <w:sz w:val="21"/>
                <w:szCs w:val="21"/>
                <w:highlight w:val="none"/>
                <w14:textFill>
                  <w14:solidFill>
                    <w14:schemeClr w14:val="tx1"/>
                  </w14:solidFill>
                </w14:textFill>
              </w:rPr>
              <w:t>通过设置围挡、洒水降尘、文明施工等措施后，对环境影响轻微，不会导致超标</w:t>
            </w:r>
            <w:r>
              <w:rPr>
                <w:rFonts w:hint="eastAsia" w:cs="Times New Roman"/>
                <w:color w:val="000000" w:themeColor="text1"/>
                <w:kern w:val="21"/>
                <w:sz w:val="21"/>
                <w:szCs w:val="21"/>
                <w:highlight w:val="none"/>
                <w14:textFill>
                  <w14:solidFill>
                    <w14:schemeClr w14:val="tx1"/>
                  </w14:solidFill>
                </w14:textFill>
              </w:rPr>
              <w:t>，且随着施工期的结束而结束；水套炉燃烧废气通过水套炉自带8m高排气筒排放，满足《锅炉大气污染物排放标准》（GB13271-2014）中大气污染物的排放浓度限值要求</w:t>
            </w:r>
            <w:r>
              <w:rPr>
                <w:rFonts w:cs="Times New Roman"/>
                <w:color w:val="000000" w:themeColor="text1"/>
                <w:kern w:val="21"/>
                <w:sz w:val="21"/>
                <w:szCs w:val="21"/>
                <w:highlight w:val="none"/>
                <w14:textFill>
                  <w14:solidFill>
                    <w14:schemeClr w14:val="tx1"/>
                  </w14:solidFill>
                </w14:textFill>
              </w:rPr>
              <w:t>。</w:t>
            </w:r>
            <w:r>
              <w:rPr>
                <w:rFonts w:hint="eastAsia" w:cs="Times New Roman"/>
                <w:color w:val="000000" w:themeColor="text1"/>
                <w:kern w:val="21"/>
                <w:sz w:val="21"/>
                <w:szCs w:val="21"/>
                <w:highlight w:val="none"/>
                <w14:textFill>
                  <w14:solidFill>
                    <w14:schemeClr w14:val="tx1"/>
                  </w14:solidFill>
                </w14:textFill>
              </w:rPr>
              <w:t>通过环境质量公报及现场监测数据表明</w:t>
            </w:r>
            <w:r>
              <w:rPr>
                <w:rFonts w:cs="Times New Roman"/>
                <w:color w:val="000000" w:themeColor="text1"/>
                <w:kern w:val="21"/>
                <w:sz w:val="21"/>
                <w:szCs w:val="21"/>
                <w:highlight w:val="none"/>
                <w14:textFill>
                  <w14:solidFill>
                    <w14:schemeClr w14:val="tx1"/>
                  </w14:solidFill>
                </w14:textFill>
              </w:rPr>
              <w:t>区域环境质量状况较好</w:t>
            </w:r>
            <w:r>
              <w:rPr>
                <w:rFonts w:hint="eastAsia" w:cs="Times New Roman"/>
                <w:color w:val="000000" w:themeColor="text1"/>
                <w:kern w:val="21"/>
                <w:sz w:val="21"/>
                <w:szCs w:val="21"/>
                <w:highlight w:val="none"/>
                <w14:textFill>
                  <w14:solidFill>
                    <w14:schemeClr w14:val="tx1"/>
                  </w14:solidFill>
                </w14:textFill>
              </w:rPr>
              <w:t>。</w:t>
            </w:r>
          </w:p>
        </w:tc>
        <w:tc>
          <w:tcPr>
            <w:tcW w:w="539" w:type="pct"/>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14:textFill>
                  <w14:solidFill>
                    <w14:schemeClr w14:val="tx1"/>
                  </w14:solidFill>
                </w14:textFill>
              </w:rPr>
              <w:t>符合</w:t>
            </w:r>
          </w:p>
        </w:tc>
      </w:tr>
    </w:tbl>
    <w:p>
      <w:pPr>
        <w:pStyle w:val="153"/>
        <w:spacing w:before="120" w:beforeLines="50" w:line="360" w:lineRule="auto"/>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由上表可知，本项目符合（川府发〔2020〕9号）针对川东北经济区的相关管控要求。</w:t>
      </w:r>
    </w:p>
    <w:p>
      <w:pPr>
        <w:overflowPunct w:val="0"/>
        <w:adjustRightInd/>
        <w:snapToGrid/>
        <w:ind w:firstLine="0" w:firstLineChars="0"/>
        <w:jc w:val="left"/>
        <w:rPr>
          <w:rFonts w:cs="Times New Roman"/>
          <w:b/>
          <w:bCs/>
          <w:color w:val="000000" w:themeColor="text1"/>
          <w:kern w:val="21"/>
          <w:szCs w:val="24"/>
          <w:highlight w:val="none"/>
          <w14:textFill>
            <w14:solidFill>
              <w14:schemeClr w14:val="tx1"/>
            </w14:solidFill>
          </w14:textFill>
        </w:rPr>
      </w:pPr>
      <w:r>
        <w:rPr>
          <w:rFonts w:hint="eastAsia" w:cs="Times New Roman"/>
          <w:b/>
          <w:bCs/>
          <w:color w:val="000000" w:themeColor="text1"/>
          <w:kern w:val="21"/>
          <w:szCs w:val="24"/>
          <w:highlight w:val="none"/>
          <w:lang w:bidi="ar"/>
          <w14:textFill>
            <w14:solidFill>
              <w14:schemeClr w14:val="tx1"/>
            </w14:solidFill>
          </w14:textFill>
        </w:rPr>
        <w:t>3、</w:t>
      </w:r>
      <w:r>
        <w:rPr>
          <w:rFonts w:hint="eastAsia" w:cs="Times New Roman"/>
          <w:b/>
          <w:bCs/>
          <w:color w:val="000000" w:themeColor="text1"/>
          <w:kern w:val="21"/>
          <w:szCs w:val="24"/>
          <w:highlight w:val="none"/>
          <w14:textFill>
            <w14:solidFill>
              <w14:schemeClr w14:val="tx1"/>
            </w14:solidFill>
          </w14:textFill>
        </w:rPr>
        <w:t>与《达州市人民政府关于落实生态保护红线、环境质量底线、资源利用上线制定生态环境准入清单实施生态环境分区管控的通知》（达市府发〔2021〕17号）符合性分析</w:t>
      </w:r>
    </w:p>
    <w:p>
      <w:pPr>
        <w:pStyle w:val="153"/>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该通知要求，从生态环境保护角度，将全市行政区域划分为优先保护、重点管控和一般管控三类，共46个环境管控单元，其中，优先保护单元17个，重点管控单元22个，一般管控单元7个。达州市环境管控单元的总体生态环境管控要求见表2.7-17。</w:t>
      </w:r>
      <w:r>
        <w:rPr>
          <w:rFonts w:hint="eastAsia"/>
          <w:color w:val="000000" w:themeColor="text1"/>
          <w:highlight w:val="none"/>
          <w:u w:val="single"/>
          <w14:textFill>
            <w14:solidFill>
              <w14:schemeClr w14:val="tx1"/>
            </w14:solidFill>
          </w14:textFill>
        </w:rPr>
        <w:t>本项目位于四川省达州市宣汉县</w:t>
      </w:r>
      <w:r>
        <w:rPr>
          <w:rFonts w:hint="eastAsia"/>
          <w:color w:val="000000" w:themeColor="text1"/>
          <w:highlight w:val="none"/>
          <w:u w:val="single"/>
          <w:lang w:eastAsia="zh-CN"/>
          <w14:textFill>
            <w14:solidFill>
              <w14:schemeClr w14:val="tx1"/>
            </w14:solidFill>
          </w14:textFill>
        </w:rPr>
        <w:t>**</w:t>
      </w:r>
      <w:r>
        <w:rPr>
          <w:rFonts w:hint="eastAsia"/>
          <w:color w:val="000000" w:themeColor="text1"/>
          <w:highlight w:val="none"/>
          <w:u w:val="single"/>
          <w14:textFill>
            <w14:solidFill>
              <w14:schemeClr w14:val="tx1"/>
            </w14:solidFill>
          </w14:textFill>
        </w:rPr>
        <w:t>境内，外输管线涉及宣汉县</w:t>
      </w:r>
      <w:r>
        <w:rPr>
          <w:rFonts w:hint="eastAsia"/>
          <w:color w:val="000000" w:themeColor="text1"/>
          <w:highlight w:val="none"/>
          <w:u w:val="single"/>
          <w:lang w:eastAsia="zh-CN"/>
          <w14:textFill>
            <w14:solidFill>
              <w14:schemeClr w14:val="tx1"/>
            </w14:solidFill>
          </w14:textFill>
        </w:rPr>
        <w:t>**</w:t>
      </w:r>
      <w:r>
        <w:rPr>
          <w:rFonts w:hint="eastAsia"/>
          <w:color w:val="000000" w:themeColor="text1"/>
          <w:highlight w:val="none"/>
          <w:u w:val="single"/>
          <w14:textFill>
            <w14:solidFill>
              <w14:schemeClr w14:val="tx1"/>
            </w14:solidFill>
          </w14:textFill>
        </w:rPr>
        <w:t>、红岭镇、通川区魏兴镇，涉及宣汉县一般管控单元以及通川区工业重点管控单元。</w:t>
      </w:r>
      <w:r>
        <w:rPr>
          <w:rFonts w:hint="eastAsia"/>
          <w:color w:val="000000" w:themeColor="text1"/>
          <w:highlight w:val="none"/>
          <w14:textFill>
            <w14:solidFill>
              <w14:schemeClr w14:val="tx1"/>
            </w14:solidFill>
          </w14:textFill>
        </w:rPr>
        <w:t>本项目与达州市生态环境准入总体要求以及宣汉县生态环境准入总体要求符合性见下表。</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lang w:val="en-US" w:eastAsia="zh-CN"/>
          <w14:textFill>
            <w14:solidFill>
              <w14:schemeClr w14:val="tx1"/>
            </w14:solidFill>
          </w14:textFill>
        </w:rPr>
        <w:t xml:space="preserve">20 </w:t>
      </w:r>
      <w:r>
        <w:rPr>
          <w:rFonts w:hint="eastAsia"/>
          <w:color w:val="000000" w:themeColor="text1"/>
          <w:highlight w:val="none"/>
          <w14:textFill>
            <w14:solidFill>
              <w14:schemeClr w14:val="tx1"/>
            </w14:solidFill>
          </w14:textFill>
        </w:rPr>
        <w:t xml:space="preserve"> 全市环境管控单元生态环境管控要求</w:t>
      </w:r>
    </w:p>
    <w:tbl>
      <w:tblPr>
        <w:tblStyle w:val="41"/>
        <w:tblW w:w="49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32"/>
        <w:gridCol w:w="58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515" w:type="pct"/>
            <w:vAlign w:val="center"/>
          </w:tcPr>
          <w:p>
            <w:pPr>
              <w:overflowPunct w:val="0"/>
              <w:adjustRightInd/>
              <w:snapToGrid/>
              <w:spacing w:line="240" w:lineRule="auto"/>
              <w:ind w:firstLine="0" w:firstLineChars="0"/>
              <w:jc w:val="center"/>
              <w:rPr>
                <w:rFonts w:cs="Times New Roman"/>
                <w:b/>
                <w:color w:val="000000" w:themeColor="text1"/>
                <w:kern w:val="21"/>
                <w:sz w:val="21"/>
                <w:szCs w:val="21"/>
                <w:highlight w:val="none"/>
                <w14:textFill>
                  <w14:solidFill>
                    <w14:schemeClr w14:val="tx1"/>
                  </w14:solidFill>
                </w14:textFill>
              </w:rPr>
            </w:pPr>
            <w:r>
              <w:rPr>
                <w:rFonts w:cs="Times New Roman"/>
                <w:b/>
                <w:color w:val="000000" w:themeColor="text1"/>
                <w:kern w:val="21"/>
                <w:sz w:val="21"/>
                <w:szCs w:val="21"/>
                <w:highlight w:val="none"/>
                <w14:textFill>
                  <w14:solidFill>
                    <w14:schemeClr w14:val="tx1"/>
                  </w14:solidFill>
                </w14:textFill>
              </w:rPr>
              <w:t>环境管控单元类型</w:t>
            </w:r>
          </w:p>
        </w:tc>
        <w:tc>
          <w:tcPr>
            <w:tcW w:w="3485" w:type="pct"/>
            <w:vAlign w:val="center"/>
          </w:tcPr>
          <w:p>
            <w:pPr>
              <w:overflowPunct w:val="0"/>
              <w:adjustRightInd/>
              <w:snapToGrid/>
              <w:spacing w:line="240" w:lineRule="auto"/>
              <w:ind w:firstLine="0" w:firstLineChars="0"/>
              <w:jc w:val="center"/>
              <w:rPr>
                <w:rFonts w:cs="Times New Roman"/>
                <w:b/>
                <w:color w:val="000000" w:themeColor="text1"/>
                <w:kern w:val="21"/>
                <w:sz w:val="21"/>
                <w:szCs w:val="21"/>
                <w:highlight w:val="none"/>
                <w14:textFill>
                  <w14:solidFill>
                    <w14:schemeClr w14:val="tx1"/>
                  </w14:solidFill>
                </w14:textFill>
              </w:rPr>
            </w:pPr>
            <w:r>
              <w:rPr>
                <w:rFonts w:cs="Times New Roman"/>
                <w:b/>
                <w:color w:val="000000" w:themeColor="text1"/>
                <w:kern w:val="21"/>
                <w:sz w:val="21"/>
                <w:szCs w:val="21"/>
                <w:highlight w:val="none"/>
                <w14:textFill>
                  <w14:solidFill>
                    <w14:schemeClr w14:val="tx1"/>
                  </w14:solidFill>
                </w14:textFill>
              </w:rPr>
              <w:t>生态环境管控要求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15" w:type="pct"/>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14:textFill>
                  <w14:solidFill>
                    <w14:schemeClr w14:val="tx1"/>
                  </w14:solidFill>
                </w14:textFill>
              </w:rPr>
              <w:t>优先保护单元</w:t>
            </w:r>
          </w:p>
        </w:tc>
        <w:tc>
          <w:tcPr>
            <w:tcW w:w="3485" w:type="pct"/>
            <w:vAlign w:val="center"/>
          </w:tcPr>
          <w:p>
            <w:pPr>
              <w:overflowPunct w:val="0"/>
              <w:adjustRightInd/>
              <w:snapToGrid/>
              <w:spacing w:line="240" w:lineRule="auto"/>
              <w:ind w:firstLine="0" w:firstLineChars="0"/>
              <w:jc w:val="left"/>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14:textFill>
                  <w14:solidFill>
                    <w14:schemeClr w14:val="tx1"/>
                  </w14:solidFill>
                </w14:textFill>
              </w:rPr>
              <w:t>优先保护单元中，应以生态环境保护优先为原则，严格执行相关</w:t>
            </w:r>
            <w:r>
              <w:rPr>
                <w:rFonts w:hint="eastAsia" w:cs="Times New Roman"/>
                <w:color w:val="000000" w:themeColor="text1"/>
                <w:kern w:val="21"/>
                <w:sz w:val="21"/>
                <w:szCs w:val="21"/>
                <w:highlight w:val="none"/>
                <w14:textFill>
                  <w14:solidFill>
                    <w14:schemeClr w14:val="tx1"/>
                  </w14:solidFill>
                </w14:textFill>
              </w:rPr>
              <w:t>法律法规</w:t>
            </w:r>
            <w:r>
              <w:rPr>
                <w:rFonts w:cs="Times New Roman"/>
                <w:color w:val="000000" w:themeColor="text1"/>
                <w:kern w:val="21"/>
                <w:sz w:val="21"/>
                <w:szCs w:val="21"/>
                <w:highlight w:val="none"/>
                <w14:textFill>
                  <w14:solidFill>
                    <w14:schemeClr w14:val="tx1"/>
                  </w14:solidFill>
                </w14:textFill>
              </w:rPr>
              <w:t>要求，严守生态环境质量底线，确保生态环境功能不降低。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15" w:type="pct"/>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14:textFill>
                  <w14:solidFill>
                    <w14:schemeClr w14:val="tx1"/>
                  </w14:solidFill>
                </w14:textFill>
              </w:rPr>
              <w:t>重点管控单元</w:t>
            </w:r>
          </w:p>
        </w:tc>
        <w:tc>
          <w:tcPr>
            <w:tcW w:w="3485" w:type="pct"/>
            <w:vAlign w:val="center"/>
          </w:tcPr>
          <w:p>
            <w:pPr>
              <w:overflowPunct w:val="0"/>
              <w:adjustRightInd/>
              <w:snapToGrid/>
              <w:spacing w:line="240" w:lineRule="auto"/>
              <w:ind w:firstLine="0" w:firstLineChars="0"/>
              <w:jc w:val="left"/>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14:textFill>
                  <w14:solidFill>
                    <w14:schemeClr w14:val="tx1"/>
                  </w14:solidFill>
                </w14:textFill>
              </w:rPr>
              <w:t>重点管控单元中，应针对性地加强污染物排放控制和环境风险防控，解决生态环境质量不达标、生态环境风险突出等问题，制定差别化的生态环境准入要求；对环境质量不达标区域，提出污染物削减比例要求；对环境质量达标区域，提出允许排放量建议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15" w:type="pct"/>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14:textFill>
                  <w14:solidFill>
                    <w14:schemeClr w14:val="tx1"/>
                  </w14:solidFill>
                </w14:textFill>
              </w:rPr>
              <w:t>一般管控单元</w:t>
            </w:r>
          </w:p>
        </w:tc>
        <w:tc>
          <w:tcPr>
            <w:tcW w:w="3485" w:type="pct"/>
            <w:vAlign w:val="center"/>
          </w:tcPr>
          <w:p>
            <w:pPr>
              <w:overflowPunct w:val="0"/>
              <w:adjustRightInd/>
              <w:snapToGrid/>
              <w:spacing w:line="240" w:lineRule="auto"/>
              <w:ind w:firstLine="0" w:firstLineChars="0"/>
              <w:jc w:val="left"/>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14:textFill>
                  <w14:solidFill>
                    <w14:schemeClr w14:val="tx1"/>
                  </w14:solidFill>
                </w14:textFill>
              </w:rPr>
              <w:t>一般管控单元中，执行区域生态环境保护的基本要求，重点加强农业、生活等领域污染治理。</w:t>
            </w:r>
          </w:p>
        </w:tc>
      </w:tr>
    </w:tbl>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lang w:val="en-US" w:eastAsia="zh-CN"/>
          <w14:textFill>
            <w14:solidFill>
              <w14:schemeClr w14:val="tx1"/>
            </w14:solidFill>
          </w14:textFill>
        </w:rPr>
        <w:t>21</w:t>
      </w:r>
      <w:r>
        <w:rPr>
          <w:rFonts w:hint="eastAsia"/>
          <w:color w:val="000000" w:themeColor="text1"/>
          <w:highlight w:val="none"/>
          <w14:textFill>
            <w14:solidFill>
              <w14:schemeClr w14:val="tx1"/>
            </w14:solidFill>
          </w14:textFill>
        </w:rPr>
        <w:t>与达州市生态环境准入总体要求符合性分析</w:t>
      </w:r>
    </w:p>
    <w:tbl>
      <w:tblPr>
        <w:tblStyle w:val="41"/>
        <w:tblW w:w="490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4"/>
        <w:gridCol w:w="3813"/>
        <w:gridCol w:w="3087"/>
        <w:gridCol w:w="8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9" w:type="pct"/>
            <w:vAlign w:val="center"/>
          </w:tcPr>
          <w:p>
            <w:pPr>
              <w:overflowPunct w:val="0"/>
              <w:adjustRightInd/>
              <w:snapToGrid/>
              <w:spacing w:line="240" w:lineRule="auto"/>
              <w:ind w:firstLine="0" w:firstLineChars="0"/>
              <w:jc w:val="center"/>
              <w:rPr>
                <w:rFonts w:cs="Times New Roman"/>
                <w:b/>
                <w:bCs/>
                <w:color w:val="000000" w:themeColor="text1"/>
                <w:kern w:val="21"/>
                <w:sz w:val="21"/>
                <w:szCs w:val="21"/>
                <w:highlight w:val="none"/>
                <w14:textFill>
                  <w14:solidFill>
                    <w14:schemeClr w14:val="tx1"/>
                  </w14:solidFill>
                </w14:textFill>
              </w:rPr>
            </w:pPr>
            <w:r>
              <w:rPr>
                <w:rFonts w:cs="Times New Roman"/>
                <w:b/>
                <w:bCs/>
                <w:color w:val="000000" w:themeColor="text1"/>
                <w:kern w:val="21"/>
                <w:sz w:val="21"/>
                <w:szCs w:val="21"/>
                <w:highlight w:val="none"/>
                <w14:textFill>
                  <w14:solidFill>
                    <w14:schemeClr w14:val="tx1"/>
                  </w14:solidFill>
                </w14:textFill>
              </w:rPr>
              <w:t>分区</w:t>
            </w:r>
          </w:p>
        </w:tc>
        <w:tc>
          <w:tcPr>
            <w:tcW w:w="2281" w:type="pct"/>
            <w:vAlign w:val="center"/>
          </w:tcPr>
          <w:p>
            <w:pPr>
              <w:overflowPunct w:val="0"/>
              <w:adjustRightInd/>
              <w:snapToGrid/>
              <w:spacing w:line="240" w:lineRule="auto"/>
              <w:ind w:firstLine="0" w:firstLineChars="0"/>
              <w:jc w:val="center"/>
              <w:rPr>
                <w:rFonts w:cs="Times New Roman"/>
                <w:b/>
                <w:bCs/>
                <w:color w:val="000000" w:themeColor="text1"/>
                <w:kern w:val="21"/>
                <w:sz w:val="21"/>
                <w:szCs w:val="21"/>
                <w:highlight w:val="none"/>
                <w14:textFill>
                  <w14:solidFill>
                    <w14:schemeClr w14:val="tx1"/>
                  </w14:solidFill>
                </w14:textFill>
              </w:rPr>
            </w:pPr>
            <w:r>
              <w:rPr>
                <w:rFonts w:cs="Times New Roman"/>
                <w:b/>
                <w:bCs/>
                <w:color w:val="000000" w:themeColor="text1"/>
                <w:kern w:val="21"/>
                <w:sz w:val="21"/>
                <w:szCs w:val="21"/>
                <w:highlight w:val="none"/>
                <w14:textFill>
                  <w14:solidFill>
                    <w14:schemeClr w14:val="tx1"/>
                  </w14:solidFill>
                </w14:textFill>
              </w:rPr>
              <w:t>通知要求</w:t>
            </w:r>
          </w:p>
        </w:tc>
        <w:tc>
          <w:tcPr>
            <w:tcW w:w="1847" w:type="pct"/>
            <w:vAlign w:val="center"/>
          </w:tcPr>
          <w:p>
            <w:pPr>
              <w:overflowPunct w:val="0"/>
              <w:adjustRightInd/>
              <w:snapToGrid/>
              <w:spacing w:line="240" w:lineRule="auto"/>
              <w:ind w:firstLine="0" w:firstLineChars="0"/>
              <w:jc w:val="center"/>
              <w:rPr>
                <w:rFonts w:cs="Times New Roman"/>
                <w:b/>
                <w:bCs/>
                <w:color w:val="000000" w:themeColor="text1"/>
                <w:kern w:val="21"/>
                <w:sz w:val="21"/>
                <w:szCs w:val="21"/>
                <w:highlight w:val="none"/>
                <w14:textFill>
                  <w14:solidFill>
                    <w14:schemeClr w14:val="tx1"/>
                  </w14:solidFill>
                </w14:textFill>
              </w:rPr>
            </w:pPr>
            <w:r>
              <w:rPr>
                <w:rFonts w:cs="Times New Roman"/>
                <w:b/>
                <w:bCs/>
                <w:color w:val="000000" w:themeColor="text1"/>
                <w:kern w:val="21"/>
                <w:sz w:val="21"/>
                <w:szCs w:val="21"/>
                <w:highlight w:val="none"/>
                <w14:textFill>
                  <w14:solidFill>
                    <w14:schemeClr w14:val="tx1"/>
                  </w14:solidFill>
                </w14:textFill>
              </w:rPr>
              <w:t>本项目情况</w:t>
            </w:r>
          </w:p>
        </w:tc>
        <w:tc>
          <w:tcPr>
            <w:tcW w:w="493" w:type="pct"/>
            <w:vAlign w:val="center"/>
          </w:tcPr>
          <w:p>
            <w:pPr>
              <w:overflowPunct w:val="0"/>
              <w:adjustRightInd/>
              <w:snapToGrid/>
              <w:spacing w:line="240" w:lineRule="auto"/>
              <w:ind w:firstLine="0" w:firstLineChars="0"/>
              <w:jc w:val="center"/>
              <w:rPr>
                <w:rFonts w:cs="Times New Roman"/>
                <w:b/>
                <w:bCs/>
                <w:color w:val="000000" w:themeColor="text1"/>
                <w:kern w:val="21"/>
                <w:sz w:val="21"/>
                <w:szCs w:val="21"/>
                <w:highlight w:val="none"/>
                <w14:textFill>
                  <w14:solidFill>
                    <w14:schemeClr w14:val="tx1"/>
                  </w14:solidFill>
                </w14:textFill>
              </w:rPr>
            </w:pPr>
            <w:r>
              <w:rPr>
                <w:rFonts w:cs="Times New Roman"/>
                <w:b/>
                <w:bCs/>
                <w:color w:val="000000" w:themeColor="text1"/>
                <w:kern w:val="21"/>
                <w:sz w:val="21"/>
                <w:szCs w:val="21"/>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8" w:hRule="atLeast"/>
          <w:jc w:val="center"/>
        </w:trPr>
        <w:tc>
          <w:tcPr>
            <w:tcW w:w="379" w:type="pct"/>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14:textFill>
                  <w14:solidFill>
                    <w14:schemeClr w14:val="tx1"/>
                  </w14:solidFill>
                </w14:textFill>
              </w:rPr>
              <w:t>达州市</w:t>
            </w:r>
          </w:p>
        </w:tc>
        <w:tc>
          <w:tcPr>
            <w:tcW w:w="2281" w:type="pct"/>
            <w:vAlign w:val="center"/>
          </w:tcPr>
          <w:p>
            <w:pPr>
              <w:overflowPunct w:val="0"/>
              <w:adjustRightInd/>
              <w:snapToGrid/>
              <w:spacing w:line="240" w:lineRule="auto"/>
              <w:ind w:firstLine="0" w:firstLineChars="0"/>
              <w:jc w:val="left"/>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14:textFill>
                  <w14:solidFill>
                    <w14:schemeClr w14:val="tx1"/>
                  </w14:solidFill>
                </w14:textFill>
              </w:rPr>
              <w:t>1</w:t>
            </w:r>
            <w:r>
              <w:rPr>
                <w:rFonts w:hint="eastAsia" w:cs="Times New Roman"/>
                <w:color w:val="000000" w:themeColor="text1"/>
                <w:kern w:val="21"/>
                <w:sz w:val="21"/>
                <w:szCs w:val="21"/>
                <w:highlight w:val="none"/>
                <w14:textFill>
                  <w14:solidFill>
                    <w14:schemeClr w14:val="tx1"/>
                  </w14:solidFill>
                </w14:textFill>
              </w:rPr>
              <w:t>、</w:t>
            </w:r>
            <w:r>
              <w:rPr>
                <w:rFonts w:cs="Times New Roman"/>
                <w:color w:val="000000" w:themeColor="text1"/>
                <w:kern w:val="21"/>
                <w:sz w:val="21"/>
                <w:szCs w:val="21"/>
                <w:highlight w:val="none"/>
                <w14:textFill>
                  <w14:solidFill>
                    <w14:schemeClr w14:val="tx1"/>
                  </w14:solidFill>
                </w14:textFill>
              </w:rPr>
              <w:t>对钢铁行业提出严格资源环境绩效水平要求。</w:t>
            </w:r>
          </w:p>
          <w:p>
            <w:pPr>
              <w:overflowPunct w:val="0"/>
              <w:adjustRightInd/>
              <w:snapToGrid/>
              <w:spacing w:line="240" w:lineRule="auto"/>
              <w:ind w:firstLine="0" w:firstLineChars="0"/>
              <w:jc w:val="left"/>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14:textFill>
                  <w14:solidFill>
                    <w14:schemeClr w14:val="tx1"/>
                  </w14:solidFill>
                </w14:textFill>
              </w:rPr>
              <w:t>2</w:t>
            </w:r>
            <w:r>
              <w:rPr>
                <w:rFonts w:hint="eastAsia" w:cs="Times New Roman"/>
                <w:color w:val="000000" w:themeColor="text1"/>
                <w:kern w:val="21"/>
                <w:sz w:val="21"/>
                <w:szCs w:val="21"/>
                <w:highlight w:val="none"/>
                <w14:textFill>
                  <w14:solidFill>
                    <w14:schemeClr w14:val="tx1"/>
                  </w14:solidFill>
                </w14:textFill>
              </w:rPr>
              <w:t>、</w:t>
            </w:r>
            <w:r>
              <w:rPr>
                <w:rFonts w:cs="Times New Roman"/>
                <w:color w:val="000000" w:themeColor="text1"/>
                <w:kern w:val="21"/>
                <w:sz w:val="21"/>
                <w:szCs w:val="21"/>
                <w:highlight w:val="none"/>
                <w14:textFill>
                  <w14:solidFill>
                    <w14:schemeClr w14:val="tx1"/>
                  </w14:solidFill>
                </w14:textFill>
              </w:rPr>
              <w:t>高污染企业限期退城入园</w:t>
            </w:r>
            <w:r>
              <w:rPr>
                <w:rFonts w:hint="eastAsia" w:cs="Times New Roman"/>
                <w:color w:val="000000" w:themeColor="text1"/>
                <w:kern w:val="21"/>
                <w:sz w:val="21"/>
                <w:szCs w:val="21"/>
                <w:highlight w:val="none"/>
                <w14:textFill>
                  <w14:solidFill>
                    <w14:schemeClr w14:val="tx1"/>
                  </w14:solidFill>
                </w14:textFill>
              </w:rPr>
              <w:t>。</w:t>
            </w:r>
          </w:p>
          <w:p>
            <w:pPr>
              <w:overflowPunct w:val="0"/>
              <w:adjustRightInd/>
              <w:snapToGrid/>
              <w:spacing w:line="240" w:lineRule="auto"/>
              <w:ind w:firstLine="0" w:firstLineChars="0"/>
              <w:jc w:val="left"/>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14:textFill>
                  <w14:solidFill>
                    <w14:schemeClr w14:val="tx1"/>
                  </w14:solidFill>
                </w14:textFill>
              </w:rPr>
              <w:t>3</w:t>
            </w:r>
            <w:r>
              <w:rPr>
                <w:rFonts w:hint="eastAsia" w:cs="Times New Roman"/>
                <w:color w:val="000000" w:themeColor="text1"/>
                <w:kern w:val="21"/>
                <w:sz w:val="21"/>
                <w:szCs w:val="21"/>
                <w:highlight w:val="none"/>
                <w14:textFill>
                  <w14:solidFill>
                    <w14:schemeClr w14:val="tx1"/>
                  </w14:solidFill>
                </w14:textFill>
              </w:rPr>
              <w:t>、</w:t>
            </w:r>
            <w:r>
              <w:rPr>
                <w:rFonts w:cs="Times New Roman"/>
                <w:color w:val="000000" w:themeColor="text1"/>
                <w:kern w:val="21"/>
                <w:sz w:val="21"/>
                <w:szCs w:val="21"/>
                <w:highlight w:val="none"/>
                <w14:textFill>
                  <w14:solidFill>
                    <w14:schemeClr w14:val="tx1"/>
                  </w14:solidFill>
                </w14:textFill>
              </w:rPr>
              <w:t>普光气田开发污染防治和环境管理等方面要达到国内先进水平</w:t>
            </w:r>
            <w:r>
              <w:rPr>
                <w:rFonts w:cs="Times New Roman"/>
                <w:color w:val="000000" w:themeColor="text1"/>
                <w:kern w:val="21"/>
                <w:sz w:val="21"/>
                <w:szCs w:val="21"/>
                <w:highlight w:val="none"/>
                <w:shd w:val="clear" w:color="auto" w:fill="FFFFFF"/>
                <w14:textFill>
                  <w14:solidFill>
                    <w14:schemeClr w14:val="tx1"/>
                  </w14:solidFill>
                </w14:textFill>
              </w:rPr>
              <w:t>。</w:t>
            </w:r>
          </w:p>
          <w:p>
            <w:pPr>
              <w:overflowPunct w:val="0"/>
              <w:adjustRightInd/>
              <w:snapToGrid/>
              <w:spacing w:line="240" w:lineRule="auto"/>
              <w:ind w:firstLine="0" w:firstLineChars="0"/>
              <w:jc w:val="left"/>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14:textFill>
                  <w14:solidFill>
                    <w14:schemeClr w14:val="tx1"/>
                  </w14:solidFill>
                </w14:textFill>
              </w:rPr>
              <w:t>4</w:t>
            </w:r>
            <w:r>
              <w:rPr>
                <w:rFonts w:hint="eastAsia" w:cs="Times New Roman"/>
                <w:color w:val="000000" w:themeColor="text1"/>
                <w:kern w:val="21"/>
                <w:sz w:val="21"/>
                <w:szCs w:val="21"/>
                <w:highlight w:val="none"/>
                <w14:textFill>
                  <w14:solidFill>
                    <w14:schemeClr w14:val="tx1"/>
                  </w14:solidFill>
                </w14:textFill>
              </w:rPr>
              <w:t>、</w:t>
            </w:r>
            <w:r>
              <w:rPr>
                <w:rFonts w:cs="Times New Roman"/>
                <w:color w:val="000000" w:themeColor="text1"/>
                <w:kern w:val="21"/>
                <w:sz w:val="21"/>
                <w:szCs w:val="21"/>
                <w:highlight w:val="none"/>
                <w14:textFill>
                  <w14:solidFill>
                    <w14:schemeClr w14:val="tx1"/>
                  </w14:solidFill>
                </w14:textFill>
              </w:rPr>
              <w:t>引进项目应符合园区规划环评和区域产业准入清单要求</w:t>
            </w:r>
            <w:r>
              <w:rPr>
                <w:rFonts w:hint="eastAsia" w:cs="Times New Roman"/>
                <w:color w:val="000000" w:themeColor="text1"/>
                <w:kern w:val="21"/>
                <w:sz w:val="21"/>
                <w:szCs w:val="21"/>
                <w:highlight w:val="none"/>
                <w14:textFill>
                  <w14:solidFill>
                    <w14:schemeClr w14:val="tx1"/>
                  </w14:solidFill>
                </w14:textFill>
              </w:rPr>
              <w:t>。</w:t>
            </w:r>
          </w:p>
          <w:p>
            <w:pPr>
              <w:overflowPunct w:val="0"/>
              <w:adjustRightInd/>
              <w:snapToGrid/>
              <w:spacing w:line="240" w:lineRule="auto"/>
              <w:ind w:firstLine="0" w:firstLineChars="0"/>
              <w:jc w:val="left"/>
              <w:rPr>
                <w:rFonts w:cs="Times New Roman"/>
                <w:color w:val="000000" w:themeColor="text1"/>
                <w:kern w:val="21"/>
                <w:sz w:val="21"/>
                <w:szCs w:val="21"/>
                <w:highlight w:val="none"/>
                <w:shd w:val="clear" w:color="auto" w:fill="FFFFFF"/>
                <w14:textFill>
                  <w14:solidFill>
                    <w14:schemeClr w14:val="tx1"/>
                  </w14:solidFill>
                </w14:textFill>
              </w:rPr>
            </w:pPr>
            <w:r>
              <w:rPr>
                <w:rFonts w:cs="Times New Roman"/>
                <w:color w:val="000000" w:themeColor="text1"/>
                <w:kern w:val="21"/>
                <w:sz w:val="21"/>
                <w:szCs w:val="21"/>
                <w:highlight w:val="none"/>
                <w14:textFill>
                  <w14:solidFill>
                    <w14:schemeClr w14:val="tx1"/>
                  </w14:solidFill>
                </w14:textFill>
              </w:rPr>
              <w:t>5</w:t>
            </w:r>
            <w:r>
              <w:rPr>
                <w:rFonts w:hint="eastAsia" w:cs="Times New Roman"/>
                <w:color w:val="000000" w:themeColor="text1"/>
                <w:kern w:val="21"/>
                <w:sz w:val="21"/>
                <w:szCs w:val="21"/>
                <w:highlight w:val="none"/>
                <w14:textFill>
                  <w14:solidFill>
                    <w14:schemeClr w14:val="tx1"/>
                  </w14:solidFill>
                </w14:textFill>
              </w:rPr>
              <w:t>、</w:t>
            </w:r>
            <w:r>
              <w:rPr>
                <w:rFonts w:cs="Times New Roman"/>
                <w:color w:val="000000" w:themeColor="text1"/>
                <w:kern w:val="21"/>
                <w:sz w:val="21"/>
                <w:szCs w:val="21"/>
                <w:highlight w:val="none"/>
                <w14:textFill>
                  <w14:solidFill>
                    <w14:schemeClr w14:val="tx1"/>
                  </w14:solidFill>
                </w14:textFill>
              </w:rPr>
              <w:t>长江干支流岸线1km范围内，不得新建、扩建化工园区和化工项目</w:t>
            </w:r>
            <w:r>
              <w:rPr>
                <w:rFonts w:hint="eastAsia" w:cs="Times New Roman"/>
                <w:color w:val="000000" w:themeColor="text1"/>
                <w:kern w:val="21"/>
                <w:sz w:val="21"/>
                <w:szCs w:val="21"/>
                <w:highlight w:val="none"/>
                <w14:textFill>
                  <w14:solidFill>
                    <w14:schemeClr w14:val="tx1"/>
                  </w14:solidFill>
                </w14:textFill>
              </w:rPr>
              <w:t>。</w:t>
            </w:r>
          </w:p>
          <w:p>
            <w:pPr>
              <w:overflowPunct w:val="0"/>
              <w:adjustRightInd/>
              <w:snapToGrid/>
              <w:spacing w:line="240" w:lineRule="auto"/>
              <w:ind w:firstLine="0" w:firstLineChars="0"/>
              <w:jc w:val="left"/>
              <w:rPr>
                <w:rFonts w:cs="Times New Roman"/>
                <w:color w:val="000000" w:themeColor="text1"/>
                <w:kern w:val="21"/>
                <w:sz w:val="21"/>
                <w:szCs w:val="21"/>
                <w:highlight w:val="none"/>
                <w:shd w:val="clear" w:color="auto" w:fill="FFFFFF"/>
                <w14:textFill>
                  <w14:solidFill>
                    <w14:schemeClr w14:val="tx1"/>
                  </w14:solidFill>
                </w14:textFill>
              </w:rPr>
            </w:pPr>
            <w:r>
              <w:rPr>
                <w:rFonts w:cs="Times New Roman"/>
                <w:color w:val="000000" w:themeColor="text1"/>
                <w:kern w:val="21"/>
                <w:sz w:val="21"/>
                <w:szCs w:val="21"/>
                <w:highlight w:val="none"/>
                <w14:textFill>
                  <w14:solidFill>
                    <w14:schemeClr w14:val="tx1"/>
                  </w14:solidFill>
                </w14:textFill>
              </w:rPr>
              <w:t>6</w:t>
            </w:r>
            <w:r>
              <w:rPr>
                <w:rFonts w:hint="eastAsia" w:cs="Times New Roman"/>
                <w:color w:val="000000" w:themeColor="text1"/>
                <w:kern w:val="21"/>
                <w:sz w:val="21"/>
                <w:szCs w:val="21"/>
                <w:highlight w:val="none"/>
                <w14:textFill>
                  <w14:solidFill>
                    <w14:schemeClr w14:val="tx1"/>
                  </w14:solidFill>
                </w14:textFill>
              </w:rPr>
              <w:t>、</w:t>
            </w:r>
            <w:r>
              <w:rPr>
                <w:rFonts w:cs="Times New Roman"/>
                <w:color w:val="000000" w:themeColor="text1"/>
                <w:kern w:val="21"/>
                <w:sz w:val="21"/>
                <w:szCs w:val="21"/>
                <w:highlight w:val="none"/>
                <w14:textFill>
                  <w14:solidFill>
                    <w14:schemeClr w14:val="tx1"/>
                  </w14:solidFill>
                </w14:textFill>
              </w:rPr>
              <w:t>严控产业转移环境准入</w:t>
            </w:r>
            <w:r>
              <w:rPr>
                <w:rFonts w:cs="Times New Roman"/>
                <w:color w:val="000000" w:themeColor="text1"/>
                <w:kern w:val="21"/>
                <w:sz w:val="21"/>
                <w:szCs w:val="21"/>
                <w:highlight w:val="none"/>
                <w:shd w:val="clear" w:color="auto" w:fill="FFFFFF"/>
                <w14:textFill>
                  <w14:solidFill>
                    <w14:schemeClr w14:val="tx1"/>
                  </w14:solidFill>
                </w14:textFill>
              </w:rPr>
              <w:t>。</w:t>
            </w:r>
          </w:p>
          <w:p>
            <w:pPr>
              <w:overflowPunct w:val="0"/>
              <w:spacing w:line="240" w:lineRule="auto"/>
              <w:ind w:firstLine="0" w:firstLineChars="0"/>
              <w:jc w:val="left"/>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14:textFill>
                  <w14:solidFill>
                    <w14:schemeClr w14:val="tx1"/>
                  </w14:solidFill>
                </w14:textFill>
              </w:rPr>
              <w:t>7</w:t>
            </w:r>
            <w:r>
              <w:rPr>
                <w:rFonts w:hint="eastAsia" w:cs="Times New Roman"/>
                <w:color w:val="000000" w:themeColor="text1"/>
                <w:kern w:val="21"/>
                <w:sz w:val="21"/>
                <w:szCs w:val="21"/>
                <w:highlight w:val="none"/>
                <w14:textFill>
                  <w14:solidFill>
                    <w14:schemeClr w14:val="tx1"/>
                  </w14:solidFill>
                </w14:textFill>
              </w:rPr>
              <w:t>、</w:t>
            </w:r>
            <w:r>
              <w:rPr>
                <w:rFonts w:cs="Times New Roman"/>
                <w:color w:val="000000" w:themeColor="text1"/>
                <w:kern w:val="21"/>
                <w:sz w:val="21"/>
                <w:szCs w:val="21"/>
                <w:highlight w:val="none"/>
                <w14:textFill>
                  <w14:solidFill>
                    <w14:schemeClr w14:val="tx1"/>
                  </w14:solidFill>
                </w14:textFill>
              </w:rPr>
              <w:t>造纸等产业污染治理和环境管理应达到国内先进水平。优化制浆造纸产业布局，提升行业清洁生产水平，推动制浆造纸工业向节能、环保、绿色方向发展</w:t>
            </w:r>
            <w:r>
              <w:rPr>
                <w:rFonts w:hint="eastAsia" w:cs="Times New Roman"/>
                <w:color w:val="000000" w:themeColor="text1"/>
                <w:kern w:val="21"/>
                <w:sz w:val="21"/>
                <w:szCs w:val="21"/>
                <w:highlight w:val="none"/>
                <w14:textFill>
                  <w14:solidFill>
                    <w14:schemeClr w14:val="tx1"/>
                  </w14:solidFill>
                </w14:textFill>
              </w:rPr>
              <w:t>。</w:t>
            </w:r>
          </w:p>
        </w:tc>
        <w:tc>
          <w:tcPr>
            <w:tcW w:w="1847" w:type="pct"/>
            <w:vAlign w:val="center"/>
          </w:tcPr>
          <w:p>
            <w:pPr>
              <w:overflowPunct w:val="0"/>
              <w:spacing w:line="240" w:lineRule="auto"/>
              <w:ind w:firstLine="420"/>
              <w:jc w:val="left"/>
              <w:rPr>
                <w:rFonts w:cs="Times New Roman"/>
                <w:color w:val="000000" w:themeColor="text1"/>
                <w:kern w:val="21"/>
                <w:sz w:val="21"/>
                <w:szCs w:val="21"/>
                <w:highlight w:val="none"/>
                <w14:textFill>
                  <w14:solidFill>
                    <w14:schemeClr w14:val="tx1"/>
                  </w14:solidFill>
                </w14:textFill>
              </w:rPr>
            </w:pPr>
            <w:r>
              <w:rPr>
                <w:rFonts w:hint="eastAsia" w:cs="Times New Roman"/>
                <w:color w:val="000000" w:themeColor="text1"/>
                <w:kern w:val="21"/>
                <w:sz w:val="21"/>
                <w:szCs w:val="21"/>
                <w:highlight w:val="none"/>
                <w14:textFill>
                  <w14:solidFill>
                    <w14:schemeClr w14:val="tx1"/>
                  </w14:solidFill>
                </w14:textFill>
              </w:rPr>
              <w:t>本项目为天然气试采工程，污染防治和环境管理严格按照本环评报告书提出要求进行落实，同时落实中原油田普光分公司要求日常管理要求，确保本项目各种污染物得到妥善处置，不对项目所在地环境造成影响。</w:t>
            </w:r>
          </w:p>
        </w:tc>
        <w:tc>
          <w:tcPr>
            <w:tcW w:w="493" w:type="pct"/>
            <w:vAlign w:val="center"/>
          </w:tcPr>
          <w:p>
            <w:pPr>
              <w:overflowPunct w:val="0"/>
              <w:adjustRightInd/>
              <w:snapToGrid/>
              <w:spacing w:line="240" w:lineRule="auto"/>
              <w:ind w:firstLine="0" w:firstLineChars="0"/>
              <w:jc w:val="center"/>
              <w:rPr>
                <w:rFonts w:hint="eastAsia"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14:textFill>
                  <w14:solidFill>
                    <w14:schemeClr w14:val="tx1"/>
                  </w14:solidFill>
                </w14:textFill>
              </w:rPr>
              <w:t>符合</w:t>
            </w:r>
          </w:p>
        </w:tc>
      </w:tr>
    </w:tbl>
    <w:p>
      <w:pPr>
        <w:pStyle w:val="96"/>
        <w:spacing w:before="120"/>
        <w:rPr>
          <w:color w:val="000000" w:themeColor="text1"/>
          <w:highlight w:val="none"/>
          <w14:textFill>
            <w14:solidFill>
              <w14:schemeClr w14:val="tx1"/>
            </w14:solidFill>
          </w14:textFill>
        </w:rPr>
      </w:pPr>
      <w:bookmarkStart w:id="97" w:name="_Hlk164462065"/>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lang w:val="en-US" w:eastAsia="zh-CN"/>
          <w14:textFill>
            <w14:solidFill>
              <w14:schemeClr w14:val="tx1"/>
            </w14:solidFill>
          </w14:textFill>
        </w:rPr>
        <w:t>22</w:t>
      </w:r>
      <w:r>
        <w:rPr>
          <w:rFonts w:hint="eastAsia"/>
          <w:color w:val="000000" w:themeColor="text1"/>
          <w:highlight w:val="none"/>
          <w14:textFill>
            <w14:solidFill>
              <w14:schemeClr w14:val="tx1"/>
            </w14:solidFill>
          </w14:textFill>
        </w:rPr>
        <w:t xml:space="preserve"> 与宣汉县和通川区生态环境准入总体要求符合性分析</w:t>
      </w:r>
    </w:p>
    <w:tbl>
      <w:tblPr>
        <w:tblStyle w:val="41"/>
        <w:tblW w:w="49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4"/>
        <w:gridCol w:w="3916"/>
        <w:gridCol w:w="3193"/>
        <w:gridCol w:w="8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4" w:type="pct"/>
            <w:vAlign w:val="center"/>
          </w:tcPr>
          <w:p>
            <w:pPr>
              <w:overflowPunct w:val="0"/>
              <w:adjustRightInd/>
              <w:snapToGrid/>
              <w:spacing w:line="240" w:lineRule="auto"/>
              <w:ind w:firstLine="0" w:firstLineChars="0"/>
              <w:jc w:val="center"/>
              <w:rPr>
                <w:rFonts w:cs="Times New Roman"/>
                <w:b/>
                <w:bCs/>
                <w:color w:val="000000" w:themeColor="text1"/>
                <w:kern w:val="21"/>
                <w:sz w:val="21"/>
                <w:szCs w:val="21"/>
                <w:highlight w:val="none"/>
                <w14:textFill>
                  <w14:solidFill>
                    <w14:schemeClr w14:val="tx1"/>
                  </w14:solidFill>
                </w14:textFill>
              </w:rPr>
            </w:pPr>
            <w:r>
              <w:rPr>
                <w:rFonts w:cs="Times New Roman"/>
                <w:b/>
                <w:bCs/>
                <w:color w:val="000000" w:themeColor="text1"/>
                <w:kern w:val="21"/>
                <w:sz w:val="21"/>
                <w:szCs w:val="21"/>
                <w:highlight w:val="none"/>
                <w14:textFill>
                  <w14:solidFill>
                    <w14:schemeClr w14:val="tx1"/>
                  </w14:solidFill>
                </w14:textFill>
              </w:rPr>
              <w:t>分区</w:t>
            </w:r>
          </w:p>
        </w:tc>
        <w:tc>
          <w:tcPr>
            <w:tcW w:w="2343" w:type="pct"/>
            <w:vAlign w:val="center"/>
          </w:tcPr>
          <w:p>
            <w:pPr>
              <w:overflowPunct w:val="0"/>
              <w:adjustRightInd/>
              <w:snapToGrid/>
              <w:spacing w:line="240" w:lineRule="auto"/>
              <w:ind w:firstLine="0" w:firstLineChars="0"/>
              <w:jc w:val="center"/>
              <w:rPr>
                <w:rFonts w:cs="Times New Roman"/>
                <w:b/>
                <w:bCs/>
                <w:color w:val="000000" w:themeColor="text1"/>
                <w:kern w:val="21"/>
                <w:sz w:val="21"/>
                <w:szCs w:val="21"/>
                <w:highlight w:val="none"/>
                <w14:textFill>
                  <w14:solidFill>
                    <w14:schemeClr w14:val="tx1"/>
                  </w14:solidFill>
                </w14:textFill>
              </w:rPr>
            </w:pPr>
            <w:r>
              <w:rPr>
                <w:rFonts w:cs="Times New Roman"/>
                <w:b/>
                <w:bCs/>
                <w:color w:val="000000" w:themeColor="text1"/>
                <w:kern w:val="21"/>
                <w:sz w:val="21"/>
                <w:szCs w:val="21"/>
                <w:highlight w:val="none"/>
                <w14:textFill>
                  <w14:solidFill>
                    <w14:schemeClr w14:val="tx1"/>
                  </w14:solidFill>
                </w14:textFill>
              </w:rPr>
              <w:t>通知要求</w:t>
            </w:r>
          </w:p>
        </w:tc>
        <w:tc>
          <w:tcPr>
            <w:tcW w:w="1911" w:type="pct"/>
            <w:vAlign w:val="center"/>
          </w:tcPr>
          <w:p>
            <w:pPr>
              <w:overflowPunct w:val="0"/>
              <w:adjustRightInd/>
              <w:snapToGrid/>
              <w:spacing w:line="240" w:lineRule="auto"/>
              <w:ind w:firstLine="0" w:firstLineChars="0"/>
              <w:jc w:val="center"/>
              <w:rPr>
                <w:rFonts w:cs="Times New Roman"/>
                <w:b/>
                <w:bCs/>
                <w:color w:val="000000" w:themeColor="text1"/>
                <w:kern w:val="21"/>
                <w:sz w:val="21"/>
                <w:szCs w:val="21"/>
                <w:highlight w:val="none"/>
                <w14:textFill>
                  <w14:solidFill>
                    <w14:schemeClr w14:val="tx1"/>
                  </w14:solidFill>
                </w14:textFill>
              </w:rPr>
            </w:pPr>
            <w:r>
              <w:rPr>
                <w:rFonts w:cs="Times New Roman"/>
                <w:b/>
                <w:bCs/>
                <w:color w:val="000000" w:themeColor="text1"/>
                <w:kern w:val="21"/>
                <w:sz w:val="21"/>
                <w:szCs w:val="21"/>
                <w:highlight w:val="none"/>
                <w14:textFill>
                  <w14:solidFill>
                    <w14:schemeClr w14:val="tx1"/>
                  </w14:solidFill>
                </w14:textFill>
              </w:rPr>
              <w:t>本项目情况</w:t>
            </w:r>
          </w:p>
        </w:tc>
        <w:tc>
          <w:tcPr>
            <w:tcW w:w="492" w:type="pct"/>
            <w:vAlign w:val="center"/>
          </w:tcPr>
          <w:p>
            <w:pPr>
              <w:overflowPunct w:val="0"/>
              <w:adjustRightInd/>
              <w:snapToGrid/>
              <w:spacing w:line="240" w:lineRule="auto"/>
              <w:ind w:firstLine="0" w:firstLineChars="0"/>
              <w:jc w:val="center"/>
              <w:rPr>
                <w:rFonts w:cs="Times New Roman"/>
                <w:b/>
                <w:bCs/>
                <w:color w:val="000000" w:themeColor="text1"/>
                <w:kern w:val="21"/>
                <w:sz w:val="21"/>
                <w:szCs w:val="21"/>
                <w:highlight w:val="none"/>
                <w14:textFill>
                  <w14:solidFill>
                    <w14:schemeClr w14:val="tx1"/>
                  </w14:solidFill>
                </w14:textFill>
              </w:rPr>
            </w:pPr>
            <w:r>
              <w:rPr>
                <w:rFonts w:cs="Times New Roman"/>
                <w:b/>
                <w:bCs/>
                <w:color w:val="000000" w:themeColor="text1"/>
                <w:kern w:val="21"/>
                <w:sz w:val="21"/>
                <w:szCs w:val="21"/>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4" w:type="pct"/>
            <w:vMerge w:val="restart"/>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hint="eastAsia" w:cs="Times New Roman"/>
                <w:color w:val="000000" w:themeColor="text1"/>
                <w:kern w:val="21"/>
                <w:sz w:val="21"/>
                <w:szCs w:val="21"/>
                <w:highlight w:val="none"/>
                <w14:textFill>
                  <w14:solidFill>
                    <w14:schemeClr w14:val="tx1"/>
                  </w14:solidFill>
                </w14:textFill>
              </w:rPr>
              <w:t>宣汉县</w:t>
            </w:r>
          </w:p>
        </w:tc>
        <w:tc>
          <w:tcPr>
            <w:tcW w:w="2343" w:type="pct"/>
            <w:vAlign w:val="center"/>
          </w:tcPr>
          <w:p>
            <w:pPr>
              <w:overflowPunct w:val="0"/>
              <w:adjustRightInd/>
              <w:snapToGrid/>
              <w:spacing w:line="240" w:lineRule="auto"/>
              <w:ind w:firstLine="0" w:firstLineChars="0"/>
              <w:jc w:val="left"/>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14:textFill>
                  <w14:solidFill>
                    <w14:schemeClr w14:val="tx1"/>
                  </w14:solidFill>
                </w14:textFill>
              </w:rPr>
              <w:t>1．</w:t>
            </w:r>
            <w:r>
              <w:rPr>
                <w:rFonts w:hint="eastAsia" w:cs="Times New Roman"/>
                <w:color w:val="000000" w:themeColor="text1"/>
                <w:kern w:val="21"/>
                <w:sz w:val="21"/>
                <w:szCs w:val="21"/>
                <w:highlight w:val="none"/>
                <w14:textFill>
                  <w14:solidFill>
                    <w14:schemeClr w14:val="tx1"/>
                  </w14:solidFill>
                </w14:textFill>
              </w:rPr>
              <w:t>加强小流域水环境保护，推动农村环保基础设施建设，全面推进农村环境综合整治、生活污水处理项目。大力开展沿河畜禽养殖污染整治，大力推广生态种植，减少农药化肥使用量</w:t>
            </w:r>
            <w:r>
              <w:rPr>
                <w:rFonts w:cs="Times New Roman"/>
                <w:color w:val="000000" w:themeColor="text1"/>
                <w:kern w:val="21"/>
                <w:sz w:val="21"/>
                <w:szCs w:val="21"/>
                <w:highlight w:val="none"/>
                <w14:textFill>
                  <w14:solidFill>
                    <w14:schemeClr w14:val="tx1"/>
                  </w14:solidFill>
                </w14:textFill>
              </w:rPr>
              <w:t>。</w:t>
            </w:r>
          </w:p>
        </w:tc>
        <w:tc>
          <w:tcPr>
            <w:tcW w:w="1911" w:type="pct"/>
            <w:vMerge w:val="restart"/>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hint="eastAsia" w:cs="Times New Roman"/>
                <w:color w:val="000000" w:themeColor="text1"/>
                <w:kern w:val="21"/>
                <w:sz w:val="21"/>
                <w:szCs w:val="21"/>
                <w:highlight w:val="none"/>
                <w14:textFill>
                  <w14:solidFill>
                    <w14:schemeClr w14:val="tx1"/>
                  </w14:solidFill>
                </w14:textFill>
              </w:rPr>
              <w:t>本项目为天然气试采工程，不涉及以上总体生态环境管控要求。</w:t>
            </w:r>
          </w:p>
        </w:tc>
        <w:tc>
          <w:tcPr>
            <w:tcW w:w="492" w:type="pct"/>
            <w:vMerge w:val="restart"/>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4" w:type="pct"/>
            <w:vMerge w:val="continue"/>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p>
        </w:tc>
        <w:tc>
          <w:tcPr>
            <w:tcW w:w="2343" w:type="pct"/>
            <w:vAlign w:val="center"/>
          </w:tcPr>
          <w:p>
            <w:pPr>
              <w:overflowPunct w:val="0"/>
              <w:adjustRightInd/>
              <w:snapToGrid/>
              <w:spacing w:line="240" w:lineRule="auto"/>
              <w:ind w:firstLine="0" w:firstLineChars="0"/>
              <w:jc w:val="left"/>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14:textFill>
                  <w14:solidFill>
                    <w14:schemeClr w14:val="tx1"/>
                  </w14:solidFill>
                </w14:textFill>
              </w:rPr>
              <w:t>2．</w:t>
            </w:r>
            <w:r>
              <w:rPr>
                <w:rFonts w:hint="eastAsia" w:cs="Times New Roman"/>
                <w:color w:val="000000" w:themeColor="text1"/>
                <w:kern w:val="21"/>
                <w:sz w:val="21"/>
                <w:szCs w:val="21"/>
                <w:highlight w:val="none"/>
                <w14:textFill>
                  <w14:solidFill>
                    <w14:schemeClr w14:val="tx1"/>
                  </w14:solidFill>
                </w14:textFill>
              </w:rPr>
              <w:t>打好升级版污染防治攻坚战。持续优化调整产业布局，以PM2.5和臭氧污染协同控制为重点，全面开展VOCs治理，实施移动源整治，持续推进空气质量精细化管理</w:t>
            </w:r>
            <w:r>
              <w:rPr>
                <w:rFonts w:cs="Times New Roman"/>
                <w:color w:val="000000" w:themeColor="text1"/>
                <w:kern w:val="21"/>
                <w:sz w:val="21"/>
                <w:szCs w:val="21"/>
                <w:highlight w:val="none"/>
                <w:shd w:val="clear" w:color="auto" w:fill="FFFFFF"/>
                <w14:textFill>
                  <w14:solidFill>
                    <w14:schemeClr w14:val="tx1"/>
                  </w14:solidFill>
                </w14:textFill>
              </w:rPr>
              <w:t>。</w:t>
            </w:r>
          </w:p>
        </w:tc>
        <w:tc>
          <w:tcPr>
            <w:tcW w:w="1911" w:type="pct"/>
            <w:vMerge w:val="continue"/>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p>
        </w:tc>
        <w:tc>
          <w:tcPr>
            <w:tcW w:w="492" w:type="pct"/>
            <w:vMerge w:val="continue"/>
            <w:vAlign w:val="center"/>
          </w:tcPr>
          <w:p>
            <w:pPr>
              <w:overflowPunct w:val="0"/>
              <w:spacing w:line="240" w:lineRule="auto"/>
              <w:ind w:firstLine="420"/>
              <w:jc w:val="center"/>
              <w:rPr>
                <w:rFonts w:cs="Times New Roman"/>
                <w:color w:val="000000" w:themeColor="text1"/>
                <w:kern w:val="2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4" w:type="pct"/>
            <w:vMerge w:val="continue"/>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p>
        </w:tc>
        <w:tc>
          <w:tcPr>
            <w:tcW w:w="2343" w:type="pct"/>
            <w:vAlign w:val="center"/>
          </w:tcPr>
          <w:p>
            <w:pPr>
              <w:overflowPunct w:val="0"/>
              <w:adjustRightInd/>
              <w:snapToGrid/>
              <w:spacing w:line="240" w:lineRule="auto"/>
              <w:ind w:firstLine="0" w:firstLineChars="0"/>
              <w:jc w:val="left"/>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14:textFill>
                  <w14:solidFill>
                    <w14:schemeClr w14:val="tx1"/>
                  </w14:solidFill>
                </w14:textFill>
              </w:rPr>
              <w:t>3．</w:t>
            </w:r>
            <w:r>
              <w:rPr>
                <w:rFonts w:hint="eastAsia" w:cs="Times New Roman"/>
                <w:color w:val="000000" w:themeColor="text1"/>
                <w:kern w:val="21"/>
                <w:sz w:val="21"/>
                <w:szCs w:val="21"/>
                <w:highlight w:val="none"/>
                <w14:textFill>
                  <w14:solidFill>
                    <w14:schemeClr w14:val="tx1"/>
                  </w14:solidFill>
                </w14:textFill>
              </w:rPr>
              <w:t>优化天然气化工、硫化工、锂钾综合开发、冶金建材、新材料等产业布局，切实做好危险化学品生产、使用、贮运、废弃全过程的安全防范措施，妥善处理好锂钾综合开发产业副产物及“三废”的综合利用途径或处置去向。</w:t>
            </w:r>
          </w:p>
        </w:tc>
        <w:tc>
          <w:tcPr>
            <w:tcW w:w="1911" w:type="pct"/>
            <w:vMerge w:val="continue"/>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p>
        </w:tc>
        <w:tc>
          <w:tcPr>
            <w:tcW w:w="492" w:type="pct"/>
            <w:vMerge w:val="continue"/>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4" w:type="pct"/>
            <w:vMerge w:val="restart"/>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hint="eastAsia" w:cs="Times New Roman"/>
                <w:color w:val="000000" w:themeColor="text1"/>
                <w:kern w:val="21"/>
                <w:sz w:val="21"/>
                <w:szCs w:val="21"/>
                <w:highlight w:val="none"/>
                <w14:textFill>
                  <w14:solidFill>
                    <w14:schemeClr w14:val="tx1"/>
                  </w14:solidFill>
                </w14:textFill>
              </w:rPr>
              <w:t>通川区</w:t>
            </w:r>
          </w:p>
        </w:tc>
        <w:tc>
          <w:tcPr>
            <w:tcW w:w="2343" w:type="pct"/>
            <w:vAlign w:val="center"/>
          </w:tcPr>
          <w:p>
            <w:pPr>
              <w:overflowPunct w:val="0"/>
              <w:adjustRightInd/>
              <w:snapToGrid/>
              <w:spacing w:line="240" w:lineRule="auto"/>
              <w:ind w:firstLine="0" w:firstLineChars="0"/>
              <w:jc w:val="left"/>
              <w:rPr>
                <w:rFonts w:cs="Times New Roman"/>
                <w:color w:val="000000" w:themeColor="text1"/>
                <w:kern w:val="21"/>
                <w:sz w:val="21"/>
                <w:szCs w:val="21"/>
                <w:highlight w:val="none"/>
                <w14:textFill>
                  <w14:solidFill>
                    <w14:schemeClr w14:val="tx1"/>
                  </w14:solidFill>
                </w14:textFill>
              </w:rPr>
            </w:pPr>
            <w:r>
              <w:rPr>
                <w:rFonts w:hint="eastAsia" w:cs="Times New Roman"/>
                <w:color w:val="000000" w:themeColor="text1"/>
                <w:kern w:val="21"/>
                <w:sz w:val="21"/>
                <w:szCs w:val="21"/>
                <w:highlight w:val="none"/>
                <w14:textFill>
                  <w14:solidFill>
                    <w14:schemeClr w14:val="tx1"/>
                  </w14:solidFill>
                </w14:textFill>
              </w:rPr>
              <w:t>1．调整农作物种植结构，加强农业氨污染控制，大力发展节水农业。</w:t>
            </w:r>
          </w:p>
        </w:tc>
        <w:tc>
          <w:tcPr>
            <w:tcW w:w="1911" w:type="pct"/>
            <w:vMerge w:val="restart"/>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hint="eastAsia" w:cs="Times New Roman"/>
                <w:color w:val="000000" w:themeColor="text1"/>
                <w:kern w:val="21"/>
                <w:sz w:val="21"/>
                <w:szCs w:val="21"/>
                <w:highlight w:val="none"/>
                <w14:textFill>
                  <w14:solidFill>
                    <w14:schemeClr w14:val="tx1"/>
                  </w14:solidFill>
                </w14:textFill>
              </w:rPr>
              <w:t>本项目为天然气试采工程，仅外输管线涉及通川区，不涉及以上总体生态环境管控要求。</w:t>
            </w:r>
          </w:p>
        </w:tc>
        <w:tc>
          <w:tcPr>
            <w:tcW w:w="492" w:type="pct"/>
            <w:vMerge w:val="restart"/>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hint="eastAsia" w:cs="Times New Roman"/>
                <w:color w:val="000000" w:themeColor="text1"/>
                <w:kern w:val="2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4" w:type="pct"/>
            <w:vMerge w:val="continue"/>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p>
        </w:tc>
        <w:tc>
          <w:tcPr>
            <w:tcW w:w="2343" w:type="pct"/>
            <w:vAlign w:val="center"/>
          </w:tcPr>
          <w:p>
            <w:pPr>
              <w:overflowPunct w:val="0"/>
              <w:adjustRightInd/>
              <w:snapToGrid/>
              <w:spacing w:line="240" w:lineRule="auto"/>
              <w:ind w:firstLine="0" w:firstLineChars="0"/>
              <w:jc w:val="left"/>
              <w:rPr>
                <w:rFonts w:cs="Times New Roman"/>
                <w:color w:val="000000" w:themeColor="text1"/>
                <w:kern w:val="21"/>
                <w:sz w:val="21"/>
                <w:szCs w:val="21"/>
                <w:highlight w:val="none"/>
                <w14:textFill>
                  <w14:solidFill>
                    <w14:schemeClr w14:val="tx1"/>
                  </w14:solidFill>
                </w14:textFill>
              </w:rPr>
            </w:pPr>
            <w:r>
              <w:rPr>
                <w:rFonts w:hint="eastAsia" w:cs="Times New Roman"/>
                <w:color w:val="000000" w:themeColor="text1"/>
                <w:kern w:val="21"/>
                <w:sz w:val="21"/>
                <w:szCs w:val="21"/>
                <w:highlight w:val="none"/>
                <w14:textFill>
                  <w14:solidFill>
                    <w14:schemeClr w14:val="tx1"/>
                  </w14:solidFill>
                </w14:textFill>
              </w:rPr>
              <w:t>2．加强建筑工程日常监管，对重点环节采取遮盖、洒水、封闭等措施控制扬尘排放。提高道路硬化率，减少道路起尘源。推动非道路移动机械达标排放示范企业建设。</w:t>
            </w:r>
          </w:p>
        </w:tc>
        <w:tc>
          <w:tcPr>
            <w:tcW w:w="1911" w:type="pct"/>
            <w:vMerge w:val="continue"/>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p>
        </w:tc>
        <w:tc>
          <w:tcPr>
            <w:tcW w:w="492" w:type="pct"/>
            <w:vMerge w:val="continue"/>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4" w:type="pct"/>
            <w:vMerge w:val="continue"/>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p>
        </w:tc>
        <w:tc>
          <w:tcPr>
            <w:tcW w:w="2343" w:type="pct"/>
            <w:vAlign w:val="center"/>
          </w:tcPr>
          <w:p>
            <w:pPr>
              <w:overflowPunct w:val="0"/>
              <w:adjustRightInd/>
              <w:snapToGrid/>
              <w:spacing w:line="240" w:lineRule="auto"/>
              <w:ind w:firstLine="0" w:firstLineChars="0"/>
              <w:jc w:val="left"/>
              <w:rPr>
                <w:rFonts w:cs="Times New Roman"/>
                <w:color w:val="000000" w:themeColor="text1"/>
                <w:kern w:val="21"/>
                <w:sz w:val="21"/>
                <w:szCs w:val="21"/>
                <w:highlight w:val="none"/>
                <w14:textFill>
                  <w14:solidFill>
                    <w14:schemeClr w14:val="tx1"/>
                  </w14:solidFill>
                </w14:textFill>
              </w:rPr>
            </w:pPr>
            <w:r>
              <w:rPr>
                <w:rFonts w:hint="eastAsia" w:cs="Times New Roman"/>
                <w:color w:val="000000" w:themeColor="text1"/>
                <w:kern w:val="21"/>
                <w:sz w:val="21"/>
                <w:szCs w:val="21"/>
                <w:highlight w:val="none"/>
                <w14:textFill>
                  <w14:solidFill>
                    <w14:schemeClr w14:val="tx1"/>
                  </w14:solidFill>
                </w14:textFill>
              </w:rPr>
              <w:t>3．优化调整产业布局，以PM2.5和臭氧污染协同控制为重点，全面开展VOCs治理，实施移动源整治，持续推进空气质量精细化管理。</w:t>
            </w:r>
          </w:p>
        </w:tc>
        <w:tc>
          <w:tcPr>
            <w:tcW w:w="1911" w:type="pct"/>
            <w:vMerge w:val="continue"/>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p>
        </w:tc>
        <w:tc>
          <w:tcPr>
            <w:tcW w:w="492" w:type="pct"/>
            <w:vMerge w:val="continue"/>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4" w:type="pct"/>
            <w:vMerge w:val="continue"/>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p>
        </w:tc>
        <w:tc>
          <w:tcPr>
            <w:tcW w:w="2343" w:type="pct"/>
            <w:vAlign w:val="center"/>
          </w:tcPr>
          <w:p>
            <w:pPr>
              <w:overflowPunct w:val="0"/>
              <w:adjustRightInd/>
              <w:snapToGrid/>
              <w:spacing w:line="240" w:lineRule="auto"/>
              <w:ind w:firstLine="0" w:firstLineChars="0"/>
              <w:jc w:val="left"/>
              <w:rPr>
                <w:rFonts w:cs="Times New Roman"/>
                <w:color w:val="000000" w:themeColor="text1"/>
                <w:kern w:val="21"/>
                <w:sz w:val="21"/>
                <w:szCs w:val="21"/>
                <w:highlight w:val="none"/>
                <w14:textFill>
                  <w14:solidFill>
                    <w14:schemeClr w14:val="tx1"/>
                  </w14:solidFill>
                </w14:textFill>
              </w:rPr>
            </w:pPr>
            <w:r>
              <w:rPr>
                <w:rFonts w:hint="eastAsia" w:cs="Times New Roman"/>
                <w:color w:val="000000" w:themeColor="text1"/>
                <w:kern w:val="21"/>
                <w:sz w:val="21"/>
                <w:szCs w:val="21"/>
                <w:highlight w:val="none"/>
                <w14:textFill>
                  <w14:solidFill>
                    <w14:schemeClr w14:val="tx1"/>
                  </w14:solidFill>
                </w14:textFill>
              </w:rPr>
              <w:t>4．建立健全农业节水体系，推广使用节水灌溉技术，探索乡镇、农村生活污染水资源化还田利用。大力整治沿河畜禽养殖污染整治，实现畜禽粪污减量化排放、无害化处理和资源化利用。</w:t>
            </w:r>
          </w:p>
        </w:tc>
        <w:tc>
          <w:tcPr>
            <w:tcW w:w="1911" w:type="pct"/>
            <w:vMerge w:val="continue"/>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p>
        </w:tc>
        <w:tc>
          <w:tcPr>
            <w:tcW w:w="492" w:type="pct"/>
            <w:vMerge w:val="continue"/>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p>
        </w:tc>
      </w:tr>
      <w:bookmarkEnd w:id="97"/>
    </w:tbl>
    <w:p>
      <w:pPr>
        <w:pStyle w:val="153"/>
        <w:ind w:firstLine="480"/>
        <w:rPr>
          <w:b/>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由上表可知，本项目位于达州市宣汉县</w:t>
      </w:r>
      <w:r>
        <w:rPr>
          <w:rFonts w:hint="eastAsia"/>
          <w:color w:val="000000" w:themeColor="text1"/>
          <w:highlight w:val="none"/>
          <w:u w:val="single"/>
          <w:lang w:eastAsia="zh-CN"/>
          <w14:textFill>
            <w14:solidFill>
              <w14:schemeClr w14:val="tx1"/>
            </w14:solidFill>
          </w14:textFill>
        </w:rPr>
        <w:t>**</w:t>
      </w:r>
      <w:r>
        <w:rPr>
          <w:rFonts w:hint="eastAsia"/>
          <w:color w:val="000000" w:themeColor="text1"/>
          <w:highlight w:val="none"/>
          <w:u w:val="single"/>
          <w14:textFill>
            <w14:solidFill>
              <w14:schemeClr w14:val="tx1"/>
            </w14:solidFill>
          </w14:textFill>
        </w:rPr>
        <w:t>境内，外输管线涉及宣汉县</w:t>
      </w:r>
      <w:r>
        <w:rPr>
          <w:rFonts w:hint="eastAsia"/>
          <w:color w:val="000000" w:themeColor="text1"/>
          <w:highlight w:val="none"/>
          <w:u w:val="single"/>
          <w:lang w:eastAsia="zh-CN"/>
          <w14:textFill>
            <w14:solidFill>
              <w14:schemeClr w14:val="tx1"/>
            </w14:solidFill>
          </w14:textFill>
        </w:rPr>
        <w:t>**</w:t>
      </w:r>
      <w:r>
        <w:rPr>
          <w:rFonts w:hint="eastAsia"/>
          <w:color w:val="000000" w:themeColor="text1"/>
          <w:highlight w:val="none"/>
          <w:u w:val="single"/>
          <w14:textFill>
            <w14:solidFill>
              <w14:schemeClr w14:val="tx1"/>
            </w14:solidFill>
          </w14:textFill>
        </w:rPr>
        <w:t>、红岭镇、通川区魏兴镇，涉及宣汉县一般管控单元以及通川区工业重点管控单元，项目为天然气试采工程，符合达州市生态环境准入总体要求以及宣汉县和通川区生态环境准入总体要求。</w:t>
      </w:r>
    </w:p>
    <w:p>
      <w:pPr>
        <w:overflowPunct w:val="0"/>
        <w:adjustRightInd/>
        <w:snapToGrid/>
        <w:ind w:firstLine="0" w:firstLineChars="0"/>
        <w:rPr>
          <w:rFonts w:cs="Times New Roman"/>
          <w:b/>
          <w:bCs/>
          <w:color w:val="000000" w:themeColor="text1"/>
          <w:kern w:val="21"/>
          <w:szCs w:val="24"/>
          <w:highlight w:val="none"/>
          <w:lang w:bidi="ar"/>
          <w14:textFill>
            <w14:solidFill>
              <w14:schemeClr w14:val="tx1"/>
            </w14:solidFill>
          </w14:textFill>
        </w:rPr>
      </w:pPr>
      <w:r>
        <w:rPr>
          <w:rFonts w:hint="eastAsia" w:cs="Times New Roman"/>
          <w:b/>
          <w:bCs/>
          <w:color w:val="000000" w:themeColor="text1"/>
          <w:kern w:val="21"/>
          <w:szCs w:val="24"/>
          <w:highlight w:val="none"/>
          <w:lang w:bidi="ar"/>
          <w14:textFill>
            <w14:solidFill>
              <w14:schemeClr w14:val="tx1"/>
            </w14:solidFill>
          </w14:textFill>
        </w:rPr>
        <w:t>4、与《四川省、重庆市长江经济带发展负面清单实施细则（试行）》（试行、</w:t>
      </w:r>
      <w:r>
        <w:rPr>
          <w:rFonts w:cs="Times New Roman"/>
          <w:b/>
          <w:bCs/>
          <w:color w:val="000000" w:themeColor="text1"/>
          <w:kern w:val="21"/>
          <w:szCs w:val="24"/>
          <w:highlight w:val="none"/>
          <w:lang w:bidi="ar"/>
          <w14:textFill>
            <w14:solidFill>
              <w14:schemeClr w14:val="tx1"/>
            </w14:solidFill>
          </w14:textFill>
        </w:rPr>
        <w:t>2022</w:t>
      </w:r>
      <w:r>
        <w:rPr>
          <w:rFonts w:hint="eastAsia" w:cs="Times New Roman"/>
          <w:b/>
          <w:bCs/>
          <w:color w:val="000000" w:themeColor="text1"/>
          <w:kern w:val="21"/>
          <w:szCs w:val="24"/>
          <w:highlight w:val="none"/>
          <w:lang w:bidi="ar"/>
          <w14:textFill>
            <w14:solidFill>
              <w14:schemeClr w14:val="tx1"/>
            </w14:solidFill>
          </w14:textFill>
        </w:rPr>
        <w:t>年版）（川长江办发〔</w:t>
      </w:r>
      <w:r>
        <w:rPr>
          <w:rFonts w:cs="Times New Roman"/>
          <w:b/>
          <w:bCs/>
          <w:color w:val="000000" w:themeColor="text1"/>
          <w:kern w:val="21"/>
          <w:szCs w:val="24"/>
          <w:highlight w:val="none"/>
          <w:lang w:bidi="ar"/>
          <w14:textFill>
            <w14:solidFill>
              <w14:schemeClr w14:val="tx1"/>
            </w14:solidFill>
          </w14:textFill>
        </w:rPr>
        <w:t>2022</w:t>
      </w:r>
      <w:r>
        <w:rPr>
          <w:rFonts w:hint="eastAsia" w:cs="Times New Roman"/>
          <w:b/>
          <w:bCs/>
          <w:color w:val="000000" w:themeColor="text1"/>
          <w:kern w:val="21"/>
          <w:szCs w:val="24"/>
          <w:highlight w:val="none"/>
          <w:lang w:bidi="ar"/>
          <w14:textFill>
            <w14:solidFill>
              <w14:schemeClr w14:val="tx1"/>
            </w14:solidFill>
          </w14:textFill>
        </w:rPr>
        <w:t>〕</w:t>
      </w:r>
      <w:r>
        <w:rPr>
          <w:rFonts w:cs="Times New Roman"/>
          <w:b/>
          <w:bCs/>
          <w:color w:val="000000" w:themeColor="text1"/>
          <w:kern w:val="21"/>
          <w:szCs w:val="24"/>
          <w:highlight w:val="none"/>
          <w:lang w:bidi="ar"/>
          <w14:textFill>
            <w14:solidFill>
              <w14:schemeClr w14:val="tx1"/>
            </w14:solidFill>
          </w14:textFill>
        </w:rPr>
        <w:t>17</w:t>
      </w:r>
      <w:r>
        <w:rPr>
          <w:rFonts w:hint="eastAsia" w:cs="Times New Roman"/>
          <w:b/>
          <w:bCs/>
          <w:color w:val="000000" w:themeColor="text1"/>
          <w:kern w:val="21"/>
          <w:szCs w:val="24"/>
          <w:highlight w:val="none"/>
          <w:lang w:bidi="ar"/>
          <w14:textFill>
            <w14:solidFill>
              <w14:schemeClr w14:val="tx1"/>
            </w14:solidFill>
          </w14:textFill>
        </w:rPr>
        <w:t>号）符合性分析</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3</w:t>
      </w:r>
      <w:r>
        <w:rPr>
          <w:color w:val="000000" w:themeColor="text1"/>
          <w:highlight w:val="none"/>
          <w14:textFill>
            <w14:solidFill>
              <w14:schemeClr w14:val="tx1"/>
            </w14:solidFill>
          </w14:textFill>
        </w:rPr>
        <w:fldChar w:fldCharType="end"/>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 xml:space="preserve"> 与川长江办发〔</w:t>
      </w:r>
      <w:r>
        <w:rPr>
          <w:color w:val="000000" w:themeColor="text1"/>
          <w:highlight w:val="none"/>
          <w14:textFill>
            <w14:solidFill>
              <w14:schemeClr w14:val="tx1"/>
            </w14:solidFill>
          </w14:textFill>
        </w:rPr>
        <w:t>2022〕17号符合性分析表</w:t>
      </w:r>
    </w:p>
    <w:tbl>
      <w:tblPr>
        <w:tblStyle w:val="387"/>
        <w:tblW w:w="49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3"/>
        <w:gridCol w:w="4154"/>
        <w:gridCol w:w="2564"/>
        <w:gridCol w:w="10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367" w:type="pct"/>
            <w:vAlign w:val="center"/>
          </w:tcPr>
          <w:p>
            <w:pPr>
              <w:overflowPunct w:val="0"/>
              <w:adjustRightInd/>
              <w:snapToGrid/>
              <w:spacing w:line="240" w:lineRule="auto"/>
              <w:ind w:firstLine="0" w:firstLineChars="0"/>
              <w:jc w:val="center"/>
              <w:rPr>
                <w:rFonts w:ascii="Calibri" w:hAnsi="Calibri" w:cs="Times New Roman"/>
                <w:b/>
                <w:bCs/>
                <w:color w:val="000000" w:themeColor="text1"/>
                <w:kern w:val="21"/>
                <w:sz w:val="21"/>
                <w:szCs w:val="21"/>
                <w:highlight w:val="none"/>
                <w14:textFill>
                  <w14:solidFill>
                    <w14:schemeClr w14:val="tx1"/>
                  </w14:solidFill>
                </w14:textFill>
              </w:rPr>
            </w:pPr>
            <w:r>
              <w:rPr>
                <w:rFonts w:ascii="Calibri" w:hAnsi="Calibri" w:cs="Times New Roman"/>
                <w:b/>
                <w:bCs/>
                <w:color w:val="000000" w:themeColor="text1"/>
                <w:kern w:val="21"/>
                <w:sz w:val="21"/>
                <w:szCs w:val="21"/>
                <w:highlight w:val="none"/>
                <w14:textFill>
                  <w14:solidFill>
                    <w14:schemeClr w14:val="tx1"/>
                  </w14:solidFill>
                </w14:textFill>
              </w:rPr>
              <w:t>序号</w:t>
            </w:r>
          </w:p>
        </w:tc>
        <w:tc>
          <w:tcPr>
            <w:tcW w:w="2486" w:type="pct"/>
            <w:vAlign w:val="center"/>
          </w:tcPr>
          <w:p>
            <w:pPr>
              <w:overflowPunct w:val="0"/>
              <w:adjustRightInd/>
              <w:snapToGrid/>
              <w:spacing w:line="240" w:lineRule="auto"/>
              <w:ind w:firstLine="0" w:firstLineChars="0"/>
              <w:jc w:val="center"/>
              <w:rPr>
                <w:rFonts w:ascii="Calibri" w:hAnsi="Calibri" w:cs="Times New Roman"/>
                <w:b/>
                <w:bCs/>
                <w:color w:val="000000" w:themeColor="text1"/>
                <w:kern w:val="21"/>
                <w:sz w:val="21"/>
                <w:szCs w:val="21"/>
                <w:highlight w:val="none"/>
                <w14:textFill>
                  <w14:solidFill>
                    <w14:schemeClr w14:val="tx1"/>
                  </w14:solidFill>
                </w14:textFill>
              </w:rPr>
            </w:pPr>
            <w:r>
              <w:rPr>
                <w:rFonts w:ascii="Calibri" w:hAnsi="Calibri" w:cs="Times New Roman"/>
                <w:b/>
                <w:bCs/>
                <w:color w:val="000000" w:themeColor="text1"/>
                <w:kern w:val="21"/>
                <w:sz w:val="21"/>
                <w:szCs w:val="21"/>
                <w:highlight w:val="none"/>
                <w14:textFill>
                  <w14:solidFill>
                    <w14:schemeClr w14:val="tx1"/>
                  </w14:solidFill>
                </w14:textFill>
              </w:rPr>
              <w:t>相关要求</w:t>
            </w:r>
          </w:p>
        </w:tc>
        <w:tc>
          <w:tcPr>
            <w:tcW w:w="1534" w:type="pct"/>
            <w:vAlign w:val="center"/>
          </w:tcPr>
          <w:p>
            <w:pPr>
              <w:overflowPunct w:val="0"/>
              <w:adjustRightInd/>
              <w:snapToGrid/>
              <w:spacing w:line="240" w:lineRule="auto"/>
              <w:ind w:firstLine="0" w:firstLineChars="0"/>
              <w:jc w:val="center"/>
              <w:rPr>
                <w:rFonts w:ascii="Calibri" w:hAnsi="Calibri" w:cs="Times New Roman"/>
                <w:b/>
                <w:bCs/>
                <w:color w:val="000000" w:themeColor="text1"/>
                <w:kern w:val="21"/>
                <w:sz w:val="21"/>
                <w:szCs w:val="21"/>
                <w:highlight w:val="none"/>
                <w14:textFill>
                  <w14:solidFill>
                    <w14:schemeClr w14:val="tx1"/>
                  </w14:solidFill>
                </w14:textFill>
              </w:rPr>
            </w:pPr>
            <w:r>
              <w:rPr>
                <w:rFonts w:ascii="Calibri" w:hAnsi="Calibri" w:cs="Times New Roman"/>
                <w:b/>
                <w:bCs/>
                <w:color w:val="000000" w:themeColor="text1"/>
                <w:kern w:val="21"/>
                <w:sz w:val="21"/>
                <w:szCs w:val="21"/>
                <w:highlight w:val="none"/>
                <w14:textFill>
                  <w14:solidFill>
                    <w14:schemeClr w14:val="tx1"/>
                  </w14:solidFill>
                </w14:textFill>
              </w:rPr>
              <w:t>本项目情况</w:t>
            </w:r>
          </w:p>
        </w:tc>
        <w:tc>
          <w:tcPr>
            <w:tcW w:w="613" w:type="pct"/>
            <w:vAlign w:val="center"/>
          </w:tcPr>
          <w:p>
            <w:pPr>
              <w:overflowPunct w:val="0"/>
              <w:adjustRightInd/>
              <w:snapToGrid/>
              <w:spacing w:line="240" w:lineRule="auto"/>
              <w:ind w:firstLine="0" w:firstLineChars="0"/>
              <w:jc w:val="center"/>
              <w:rPr>
                <w:rFonts w:ascii="Calibri" w:hAnsi="Calibri" w:cs="Times New Roman"/>
                <w:b/>
                <w:bCs/>
                <w:color w:val="000000" w:themeColor="text1"/>
                <w:kern w:val="21"/>
                <w:sz w:val="21"/>
                <w:szCs w:val="21"/>
                <w:highlight w:val="none"/>
                <w14:textFill>
                  <w14:solidFill>
                    <w14:schemeClr w14:val="tx1"/>
                  </w14:solidFill>
                </w14:textFill>
              </w:rPr>
            </w:pPr>
            <w:r>
              <w:rPr>
                <w:rFonts w:ascii="Calibri" w:hAnsi="Calibri" w:cs="Times New Roman"/>
                <w:b/>
                <w:bCs/>
                <w:color w:val="000000" w:themeColor="text1"/>
                <w:kern w:val="21"/>
                <w:sz w:val="21"/>
                <w:szCs w:val="21"/>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7"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1</w:t>
            </w:r>
          </w:p>
        </w:tc>
        <w:tc>
          <w:tcPr>
            <w:tcW w:w="2486"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lang w:bidi="ar"/>
                <w14:textFill>
                  <w14:solidFill>
                    <w14:schemeClr w14:val="tx1"/>
                  </w14:solidFill>
                </w14:textFill>
              </w:rPr>
              <w:t>禁止新建、改建和扩建不符合全国港口布局规划，以及《四川省内河水运发展规划》《泸州一宜宾一乐山港口群布局以及《重庆港总体规划（2035年）》等省级港口布局规划及市级规划港口总体规划的码头项目。</w:t>
            </w:r>
          </w:p>
        </w:tc>
        <w:tc>
          <w:tcPr>
            <w:tcW w:w="1534"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lang w:bidi="ar"/>
                <w14:textFill>
                  <w14:solidFill>
                    <w14:schemeClr w14:val="tx1"/>
                  </w14:solidFill>
                </w14:textFill>
              </w:rPr>
              <w:t>本项目为</w:t>
            </w:r>
            <w:r>
              <w:rPr>
                <w:rFonts w:hint="eastAsia" w:ascii="Calibri" w:hAnsi="Calibri" w:cs="Times New Roman"/>
                <w:color w:val="000000" w:themeColor="text1"/>
                <w:kern w:val="21"/>
                <w:sz w:val="21"/>
                <w:szCs w:val="21"/>
                <w:highlight w:val="none"/>
                <w:lang w:bidi="ar"/>
                <w14:textFill>
                  <w14:solidFill>
                    <w14:schemeClr w14:val="tx1"/>
                  </w14:solidFill>
                </w14:textFill>
              </w:rPr>
              <w:t>天然气试采工程</w:t>
            </w:r>
            <w:r>
              <w:rPr>
                <w:rFonts w:ascii="Calibri" w:hAnsi="Calibri" w:cs="Times New Roman"/>
                <w:color w:val="000000" w:themeColor="text1"/>
                <w:kern w:val="21"/>
                <w:sz w:val="21"/>
                <w:szCs w:val="21"/>
                <w:highlight w:val="none"/>
                <w:lang w:bidi="ar"/>
                <w14:textFill>
                  <w14:solidFill>
                    <w14:schemeClr w14:val="tx1"/>
                  </w14:solidFill>
                </w14:textFill>
              </w:rPr>
              <w:t>，不属于码头项目。</w:t>
            </w:r>
          </w:p>
        </w:tc>
        <w:tc>
          <w:tcPr>
            <w:tcW w:w="613"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7"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2</w:t>
            </w:r>
          </w:p>
        </w:tc>
        <w:tc>
          <w:tcPr>
            <w:tcW w:w="2486"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lang w:bidi="ar"/>
                <w14:textFill>
                  <w14:solidFill>
                    <w14:schemeClr w14:val="tx1"/>
                  </w14:solidFill>
                </w14:textFill>
              </w:rPr>
              <w:t>禁止新建、改建和扩建不符合《长江干线过江通道布局规划（2020-2035）》的过长江通道项目（含桥梁、隧道），布局规划（</w:t>
            </w:r>
            <w:r>
              <w:rPr>
                <w:rFonts w:hint="eastAsia" w:ascii="Calibri" w:hAnsi="Calibri" w:cs="Times New Roman"/>
                <w:color w:val="000000" w:themeColor="text1"/>
                <w:kern w:val="21"/>
                <w:sz w:val="21"/>
                <w:szCs w:val="21"/>
                <w:highlight w:val="none"/>
                <w:lang w:bidi="ar"/>
                <w14:textFill>
                  <w14:solidFill>
                    <w14:schemeClr w14:val="tx1"/>
                  </w14:solidFill>
                </w14:textFill>
              </w:rPr>
              <w:t>2020—2035</w:t>
            </w:r>
            <w:r>
              <w:rPr>
                <w:rFonts w:ascii="Calibri" w:hAnsi="Calibri" w:cs="Times New Roman"/>
                <w:color w:val="000000" w:themeColor="text1"/>
                <w:kern w:val="21"/>
                <w:sz w:val="21"/>
                <w:szCs w:val="21"/>
                <w:highlight w:val="none"/>
                <w:lang w:bidi="ar"/>
                <w14:textFill>
                  <w14:solidFill>
                    <w14:schemeClr w14:val="tx1"/>
                  </w14:solidFill>
                </w14:textFill>
              </w:rPr>
              <w:t>）》的过长江通道项目（含桥梁、隧道），国家发展改革委同意过长江通道线位调整的除外。禁止在自然保护区核心区、缓冲区的岸线和河段范围内投资建设旅游和生产经营项目。自然保护区的内部未分区的，依照核心区和缓冲区的规定管控。</w:t>
            </w:r>
          </w:p>
        </w:tc>
        <w:tc>
          <w:tcPr>
            <w:tcW w:w="1534"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lang w:bidi="ar"/>
                <w14:textFill>
                  <w14:solidFill>
                    <w14:schemeClr w14:val="tx1"/>
                  </w14:solidFill>
                </w14:textFill>
              </w:rPr>
              <w:t>本项目不属于过长江通道项目。</w:t>
            </w:r>
          </w:p>
        </w:tc>
        <w:tc>
          <w:tcPr>
            <w:tcW w:w="613"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7"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3</w:t>
            </w:r>
          </w:p>
        </w:tc>
        <w:tc>
          <w:tcPr>
            <w:tcW w:w="2486"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lang w:bidi="ar"/>
                <w14:textFill>
                  <w14:solidFill>
                    <w14:schemeClr w14:val="tx1"/>
                  </w14:solidFill>
                </w14:textFill>
              </w:rPr>
            </w:pPr>
            <w:r>
              <w:rPr>
                <w:rFonts w:ascii="Calibri" w:hAnsi="Calibri" w:cs="Times New Roman"/>
                <w:color w:val="000000" w:themeColor="text1"/>
                <w:kern w:val="21"/>
                <w:sz w:val="21"/>
                <w:szCs w:val="21"/>
                <w:highlight w:val="none"/>
                <w:lang w:bidi="ar"/>
                <w14:textFill>
                  <w14:solidFill>
                    <w14:schemeClr w14:val="tx1"/>
                  </w14:solidFill>
                </w14:textFill>
              </w:rPr>
              <w:t>禁止在自然保护区核心区、缓冲区的岸线和河段范围内投资建设旅游和生产经营项目。自然保护区的内部未分区的，依照核心区和缓冲区的规定管控。</w:t>
            </w:r>
          </w:p>
        </w:tc>
        <w:tc>
          <w:tcPr>
            <w:tcW w:w="1534"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lang w:bidi="ar"/>
                <w14:textFill>
                  <w14:solidFill>
                    <w14:schemeClr w14:val="tx1"/>
                  </w14:solidFill>
                </w14:textFill>
              </w:rPr>
            </w:pPr>
            <w:r>
              <w:rPr>
                <w:rFonts w:ascii="Calibri" w:hAnsi="Calibri" w:cs="Times New Roman"/>
                <w:color w:val="000000" w:themeColor="text1"/>
                <w:kern w:val="21"/>
                <w:sz w:val="21"/>
                <w:szCs w:val="21"/>
                <w:highlight w:val="none"/>
                <w:lang w:bidi="ar"/>
                <w14:textFill>
                  <w14:solidFill>
                    <w14:schemeClr w14:val="tx1"/>
                  </w14:solidFill>
                </w14:textFill>
              </w:rPr>
              <w:t>本项目不涉及自然保护区。</w:t>
            </w:r>
          </w:p>
        </w:tc>
        <w:tc>
          <w:tcPr>
            <w:tcW w:w="613"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7"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4</w:t>
            </w:r>
          </w:p>
        </w:tc>
        <w:tc>
          <w:tcPr>
            <w:tcW w:w="2486"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lang w:bidi="ar"/>
                <w14:textFill>
                  <w14:solidFill>
                    <w14:schemeClr w14:val="tx1"/>
                  </w14:solidFill>
                </w14:textFill>
              </w:rPr>
              <w:t>禁止违反风景名胜区规划，在风景名胜区内设立各类开发区。禁止在风景名胜区核心景区的岸线和河段范围内建设宾馆、招待所、培训中心、疗养院以及与风景名胜区资源保护无关的项目。</w:t>
            </w:r>
          </w:p>
        </w:tc>
        <w:tc>
          <w:tcPr>
            <w:tcW w:w="1534"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lang w:bidi="ar"/>
                <w14:textFill>
                  <w14:solidFill>
                    <w14:schemeClr w14:val="tx1"/>
                  </w14:solidFill>
                </w14:textFill>
              </w:rPr>
              <w:t>本项目不涉及风景名胜区。</w:t>
            </w:r>
          </w:p>
        </w:tc>
        <w:tc>
          <w:tcPr>
            <w:tcW w:w="613"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7"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5</w:t>
            </w:r>
          </w:p>
        </w:tc>
        <w:tc>
          <w:tcPr>
            <w:tcW w:w="2486"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lang w:bidi="ar"/>
                <w14:textFill>
                  <w14:solidFill>
                    <w14:schemeClr w14:val="tx1"/>
                  </w14:solidFill>
                </w14:textFill>
              </w:rPr>
              <w:t>禁止在饮用水水源准保护区的岸线和河段范围内新建、扩建对水体污染严重的建设项目，禁止改建增加排污量的建设项目。</w:t>
            </w:r>
          </w:p>
        </w:tc>
        <w:tc>
          <w:tcPr>
            <w:tcW w:w="1534" w:type="pct"/>
            <w:vAlign w:val="center"/>
          </w:tcPr>
          <w:p>
            <w:pPr>
              <w:adjustRightInd/>
              <w:snapToGrid/>
              <w:spacing w:line="240" w:lineRule="auto"/>
              <w:ind w:firstLine="0" w:firstLineChars="0"/>
              <w:jc w:val="left"/>
              <w:rPr>
                <w:rFonts w:ascii="Calibri" w:hAnsi="Calibri" w:cs="Times New Roman"/>
                <w:color w:val="000000" w:themeColor="text1"/>
                <w:kern w:val="21"/>
                <w:sz w:val="21"/>
                <w:szCs w:val="21"/>
                <w:highlight w:val="none"/>
                <w14:textFill>
                  <w14:solidFill>
                    <w14:schemeClr w14:val="tx1"/>
                  </w14:solidFill>
                </w14:textFill>
              </w:rPr>
            </w:pPr>
            <w:r>
              <w:rPr>
                <w:rFonts w:hint="eastAsia" w:ascii="Calibri" w:hAnsi="Calibri" w:cs="Times New Roman"/>
                <w:color w:val="000000" w:themeColor="text1"/>
                <w:kern w:val="0"/>
                <w:sz w:val="21"/>
                <w:szCs w:val="21"/>
                <w:highlight w:val="none"/>
                <w14:textFill>
                  <w14:solidFill>
                    <w14:schemeClr w14:val="tx1"/>
                  </w14:solidFill>
                </w14:textFill>
              </w:rPr>
              <w:t>本项目不涉及饮用水水源准保护区</w:t>
            </w:r>
            <w:r>
              <w:rPr>
                <w:rFonts w:ascii="Calibri" w:hAnsi="Calibri" w:cs="Times New Roman"/>
                <w:color w:val="000000" w:themeColor="text1"/>
                <w:kern w:val="0"/>
                <w:sz w:val="21"/>
                <w:szCs w:val="21"/>
                <w:highlight w:val="none"/>
                <w14:textFill>
                  <w14:solidFill>
                    <w14:schemeClr w14:val="tx1"/>
                  </w14:solidFill>
                </w14:textFill>
              </w:rPr>
              <w:t>。</w:t>
            </w:r>
          </w:p>
        </w:tc>
        <w:tc>
          <w:tcPr>
            <w:tcW w:w="613"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7"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6</w:t>
            </w:r>
          </w:p>
        </w:tc>
        <w:tc>
          <w:tcPr>
            <w:tcW w:w="2486"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lang w:bidi="ar"/>
                <w14:textFill>
                  <w14:solidFill>
                    <w14:schemeClr w14:val="tx1"/>
                  </w14:solidFill>
                </w14:textFill>
              </w:rPr>
              <w:t>饮用水水源二级保护区的岸线和河段范围内，除遵守准保护区规定外，禁止新建、改建、扩建排放污染物的投资建设项目；禁止从事对水体有污染的水产养殖等活动。</w:t>
            </w:r>
          </w:p>
        </w:tc>
        <w:tc>
          <w:tcPr>
            <w:tcW w:w="1534" w:type="pct"/>
            <w:vAlign w:val="center"/>
          </w:tcPr>
          <w:p>
            <w:pPr>
              <w:adjustRightInd/>
              <w:snapToGrid/>
              <w:spacing w:line="240" w:lineRule="auto"/>
              <w:ind w:firstLine="0" w:firstLineChars="0"/>
              <w:jc w:val="left"/>
              <w:rPr>
                <w:rFonts w:ascii="Calibri" w:hAnsi="Calibri" w:cs="Times New Roman"/>
                <w:color w:val="000000" w:themeColor="text1"/>
                <w:kern w:val="21"/>
                <w:sz w:val="21"/>
                <w:szCs w:val="21"/>
                <w:highlight w:val="none"/>
                <w14:textFill>
                  <w14:solidFill>
                    <w14:schemeClr w14:val="tx1"/>
                  </w14:solidFill>
                </w14:textFill>
              </w:rPr>
            </w:pPr>
            <w:r>
              <w:rPr>
                <w:rFonts w:hint="eastAsia" w:ascii="Calibri" w:hAnsi="Calibri" w:cs="Times New Roman"/>
                <w:color w:val="000000" w:themeColor="text1"/>
                <w:kern w:val="0"/>
                <w:sz w:val="21"/>
                <w:szCs w:val="21"/>
                <w:highlight w:val="none"/>
                <w14:textFill>
                  <w14:solidFill>
                    <w14:schemeClr w14:val="tx1"/>
                  </w14:solidFill>
                </w14:textFill>
              </w:rPr>
              <w:t>本项目不涉及饮用水水源二级保护区</w:t>
            </w:r>
            <w:r>
              <w:rPr>
                <w:rFonts w:ascii="Calibri" w:hAnsi="Calibri" w:cs="Times New Roman"/>
                <w:color w:val="000000" w:themeColor="text1"/>
                <w:kern w:val="0"/>
                <w:sz w:val="21"/>
                <w:szCs w:val="21"/>
                <w:highlight w:val="none"/>
                <w14:textFill>
                  <w14:solidFill>
                    <w14:schemeClr w14:val="tx1"/>
                  </w14:solidFill>
                </w14:textFill>
              </w:rPr>
              <w:t>。</w:t>
            </w:r>
          </w:p>
        </w:tc>
        <w:tc>
          <w:tcPr>
            <w:tcW w:w="613"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7"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7</w:t>
            </w:r>
          </w:p>
        </w:tc>
        <w:tc>
          <w:tcPr>
            <w:tcW w:w="2486"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lang w:bidi="ar"/>
                <w14:textFill>
                  <w14:solidFill>
                    <w14:schemeClr w14:val="tx1"/>
                  </w14:solidFill>
                </w14:textFill>
              </w:rPr>
              <w:t>饮用水水源一级保护区的岸线和河段范围内，除遵守二级保护区规定外，禁止新建、改建、扩建与供水设施和保护水源无关的项目，以及网箱养殖、畜禽养殖、旅游等可能污染饮用水水体的投资建设项目。</w:t>
            </w:r>
          </w:p>
        </w:tc>
        <w:tc>
          <w:tcPr>
            <w:tcW w:w="1534" w:type="pct"/>
            <w:vAlign w:val="center"/>
          </w:tcPr>
          <w:p>
            <w:pPr>
              <w:adjustRightInd/>
              <w:snapToGrid/>
              <w:spacing w:line="240" w:lineRule="auto"/>
              <w:ind w:firstLine="0" w:firstLineChars="0"/>
              <w:jc w:val="left"/>
              <w:rPr>
                <w:rFonts w:ascii="Calibri" w:hAnsi="Calibri" w:cs="Times New Roman"/>
                <w:color w:val="000000" w:themeColor="text1"/>
                <w:kern w:val="21"/>
                <w:sz w:val="21"/>
                <w:szCs w:val="21"/>
                <w:highlight w:val="none"/>
                <w14:textFill>
                  <w14:solidFill>
                    <w14:schemeClr w14:val="tx1"/>
                  </w14:solidFill>
                </w14:textFill>
              </w:rPr>
            </w:pPr>
            <w:r>
              <w:rPr>
                <w:rFonts w:hint="eastAsia" w:ascii="Calibri" w:hAnsi="Calibri" w:cs="Times New Roman"/>
                <w:color w:val="000000" w:themeColor="text1"/>
                <w:kern w:val="0"/>
                <w:sz w:val="21"/>
                <w:szCs w:val="21"/>
                <w:highlight w:val="none"/>
                <w14:textFill>
                  <w14:solidFill>
                    <w14:schemeClr w14:val="tx1"/>
                  </w14:solidFill>
                </w14:textFill>
              </w:rPr>
              <w:t>本项目不涉及饮用水水源一级保护区。</w:t>
            </w:r>
          </w:p>
        </w:tc>
        <w:tc>
          <w:tcPr>
            <w:tcW w:w="613"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7"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8</w:t>
            </w:r>
          </w:p>
        </w:tc>
        <w:tc>
          <w:tcPr>
            <w:tcW w:w="2486"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lang w:bidi="ar"/>
                <w14:textFill>
                  <w14:solidFill>
                    <w14:schemeClr w14:val="tx1"/>
                  </w14:solidFill>
                </w14:textFill>
              </w:rPr>
              <w:t>禁止在水产种质资源保护区岸线和河段范围内新建围湖造田、围湖造地或挖沙采石等投资建设项目。</w:t>
            </w:r>
          </w:p>
        </w:tc>
        <w:tc>
          <w:tcPr>
            <w:tcW w:w="1534" w:type="pct"/>
            <w:vAlign w:val="center"/>
          </w:tcPr>
          <w:p>
            <w:pPr>
              <w:adjustRightInd/>
              <w:snapToGrid/>
              <w:spacing w:line="240" w:lineRule="auto"/>
              <w:ind w:firstLine="0" w:firstLineChars="0"/>
              <w:jc w:val="left"/>
              <w:rPr>
                <w:rFonts w:ascii="Calibri" w:hAnsi="Calibri" w:cs="Times New Roman"/>
                <w:color w:val="000000" w:themeColor="text1"/>
                <w:kern w:val="21"/>
                <w:sz w:val="21"/>
                <w:szCs w:val="21"/>
                <w:highlight w:val="none"/>
                <w14:textFill>
                  <w14:solidFill>
                    <w14:schemeClr w14:val="tx1"/>
                  </w14:solidFill>
                </w14:textFill>
              </w:rPr>
            </w:pPr>
            <w:r>
              <w:rPr>
                <w:rFonts w:hint="eastAsia" w:ascii="Calibri" w:hAnsi="Calibri" w:cs="Times New Roman"/>
                <w:color w:val="000000" w:themeColor="text1"/>
                <w:kern w:val="0"/>
                <w:sz w:val="21"/>
                <w:szCs w:val="21"/>
                <w:highlight w:val="none"/>
                <w14:textFill>
                  <w14:solidFill>
                    <w14:schemeClr w14:val="tx1"/>
                  </w14:solidFill>
                </w14:textFill>
              </w:rPr>
              <w:t>本项目</w:t>
            </w:r>
            <w:r>
              <w:rPr>
                <w:rFonts w:ascii="Calibri" w:hAnsi="Calibri" w:cs="Times New Roman"/>
                <w:color w:val="000000" w:themeColor="text1"/>
                <w:kern w:val="0"/>
                <w:sz w:val="21"/>
                <w:szCs w:val="21"/>
                <w:highlight w:val="none"/>
                <w14:textFill>
                  <w14:solidFill>
                    <w14:schemeClr w14:val="tx1"/>
                  </w14:solidFill>
                </w14:textFill>
              </w:rPr>
              <w:t>不涉及水产种质资源保护区，</w:t>
            </w:r>
            <w:r>
              <w:rPr>
                <w:rFonts w:ascii="Calibri" w:hAnsi="Calibri" w:cs="Times New Roman"/>
                <w:color w:val="000000" w:themeColor="text1"/>
                <w:kern w:val="21"/>
                <w:sz w:val="21"/>
                <w:szCs w:val="21"/>
                <w:highlight w:val="none"/>
                <w:lang w:bidi="ar"/>
                <w14:textFill>
                  <w14:solidFill>
                    <w14:schemeClr w14:val="tx1"/>
                  </w14:solidFill>
                </w14:textFill>
              </w:rPr>
              <w:t>且本项目为</w:t>
            </w:r>
            <w:r>
              <w:rPr>
                <w:rFonts w:hint="eastAsia" w:ascii="Calibri" w:hAnsi="Calibri" w:cs="Times New Roman"/>
                <w:color w:val="000000" w:themeColor="text1"/>
                <w:kern w:val="21"/>
                <w:sz w:val="21"/>
                <w:szCs w:val="21"/>
                <w:highlight w:val="none"/>
                <w:lang w:bidi="ar"/>
                <w14:textFill>
                  <w14:solidFill>
                    <w14:schemeClr w14:val="tx1"/>
                  </w14:solidFill>
                </w14:textFill>
              </w:rPr>
              <w:t>天然气试采工程</w:t>
            </w:r>
            <w:r>
              <w:rPr>
                <w:rFonts w:ascii="Calibri" w:hAnsi="Calibri" w:cs="Times New Roman"/>
                <w:color w:val="000000" w:themeColor="text1"/>
                <w:kern w:val="21"/>
                <w:sz w:val="21"/>
                <w:szCs w:val="21"/>
                <w:highlight w:val="none"/>
                <w:lang w:bidi="ar"/>
                <w14:textFill>
                  <w14:solidFill>
                    <w14:schemeClr w14:val="tx1"/>
                  </w14:solidFill>
                </w14:textFill>
              </w:rPr>
              <w:t>，不涉及围湖造田、围湖造地或挖沙采石等投资建设项目。</w:t>
            </w:r>
          </w:p>
        </w:tc>
        <w:tc>
          <w:tcPr>
            <w:tcW w:w="613"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7"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9</w:t>
            </w:r>
          </w:p>
        </w:tc>
        <w:tc>
          <w:tcPr>
            <w:tcW w:w="2486"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lang w:bidi="ar"/>
                <w14:textFill>
                  <w14:solidFill>
                    <w14:schemeClr w14:val="tx1"/>
                  </w14:solidFill>
                </w14:textFill>
              </w:rPr>
              <w:t>禁止在国家湿地公园的岸线和河段范围内开（围）垦、填埋或者排干湿地，截断湿地水源，挖沙、采矿，倾倒有毒有害物质、废弃物、垃圾，从事房地产、度假村、高尔夫球场、风力发电、光伏发电等任何不符合主体功能定位的建设项目和开发活动，破坏野生动物栖息地和迁徙通道、鱼类洄游通道。</w:t>
            </w:r>
          </w:p>
        </w:tc>
        <w:tc>
          <w:tcPr>
            <w:tcW w:w="1534"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lang w:bidi="ar"/>
                <w14:textFill>
                  <w14:solidFill>
                    <w14:schemeClr w14:val="tx1"/>
                  </w14:solidFill>
                </w14:textFill>
              </w:rPr>
              <w:t>本项目不涉及国家湿地公园。</w:t>
            </w:r>
          </w:p>
        </w:tc>
        <w:tc>
          <w:tcPr>
            <w:tcW w:w="613"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7"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10</w:t>
            </w:r>
          </w:p>
        </w:tc>
        <w:tc>
          <w:tcPr>
            <w:tcW w:w="2486"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lang w:bidi="ar"/>
                <w14:textFill>
                  <w14:solidFill>
                    <w14:schemeClr w14:val="tx1"/>
                  </w14:solidFill>
                </w14:textFill>
              </w:rPr>
              <w:t>禁止违法利用、占用长江流域河湖岸线。禁止在《长江岸线保护和开发利用总体规划》划定的岸线保护区和岸线保留区内投资建设除事关公共安全及公众利益的防洪护岸、河道治理、供水、生态环境保护、航道整治、国家重要基础设施以外的项目。</w:t>
            </w:r>
          </w:p>
        </w:tc>
        <w:tc>
          <w:tcPr>
            <w:tcW w:w="1534"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lang w:bidi="ar"/>
                <w14:textFill>
                  <w14:solidFill>
                    <w14:schemeClr w14:val="tx1"/>
                  </w14:solidFill>
                </w14:textFill>
              </w:rPr>
              <w:t>本项目不涉及长江流域河湖岸线。</w:t>
            </w:r>
          </w:p>
        </w:tc>
        <w:tc>
          <w:tcPr>
            <w:tcW w:w="613"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7"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11</w:t>
            </w:r>
          </w:p>
        </w:tc>
        <w:tc>
          <w:tcPr>
            <w:tcW w:w="2486"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lang w:bidi="ar"/>
                <w14:textFill>
                  <w14:solidFill>
                    <w14:schemeClr w14:val="tx1"/>
                  </w14:solidFill>
                </w14:textFill>
              </w:rPr>
              <w:t>禁止在《全国重要江河湖泊水功能区划》划定的河段及湖泊保护区、保留区内投资建设不利于水资源及自然生态保护的项目。</w:t>
            </w:r>
          </w:p>
        </w:tc>
        <w:tc>
          <w:tcPr>
            <w:tcW w:w="1534"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hint="eastAsia" w:ascii="Calibri" w:hAnsi="Calibri" w:cs="Times New Roman"/>
                <w:color w:val="000000" w:themeColor="text1"/>
                <w:sz w:val="21"/>
                <w:szCs w:val="21"/>
                <w:highlight w:val="none"/>
                <w14:textFill>
                  <w14:solidFill>
                    <w14:schemeClr w14:val="tx1"/>
                  </w14:solidFill>
                </w14:textFill>
              </w:rPr>
              <w:t>本项目不涉及</w:t>
            </w:r>
            <w:r>
              <w:rPr>
                <w:rFonts w:ascii="Calibri" w:hAnsi="Calibri" w:cs="Times New Roman"/>
                <w:color w:val="000000" w:themeColor="text1"/>
                <w:kern w:val="21"/>
                <w:sz w:val="21"/>
                <w:szCs w:val="21"/>
                <w:highlight w:val="none"/>
                <w:lang w:bidi="ar"/>
                <w14:textFill>
                  <w14:solidFill>
                    <w14:schemeClr w14:val="tx1"/>
                  </w14:solidFill>
                </w14:textFill>
              </w:rPr>
              <w:t>《全国重要江河湖泊水功能区划》划定的河段及湖泊保护区、保留区。</w:t>
            </w:r>
          </w:p>
        </w:tc>
        <w:tc>
          <w:tcPr>
            <w:tcW w:w="613"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7"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12</w:t>
            </w:r>
          </w:p>
        </w:tc>
        <w:tc>
          <w:tcPr>
            <w:tcW w:w="2486"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lang w:bidi="ar"/>
                <w14:textFill>
                  <w14:solidFill>
                    <w14:schemeClr w14:val="tx1"/>
                  </w14:solidFill>
                </w14:textFill>
              </w:rPr>
              <w:t>禁止在长江流域江河、湖泊新设、改设或者扩大排污口，经有管辖权的生态环境主管部门或者长江流域生态环境监督管理机构同意的除外。</w:t>
            </w:r>
          </w:p>
        </w:tc>
        <w:tc>
          <w:tcPr>
            <w:tcW w:w="1534"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本项目不设排污口。</w:t>
            </w:r>
          </w:p>
        </w:tc>
        <w:tc>
          <w:tcPr>
            <w:tcW w:w="613"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7"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13</w:t>
            </w:r>
          </w:p>
        </w:tc>
        <w:tc>
          <w:tcPr>
            <w:tcW w:w="2486"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lang w:bidi="ar"/>
                <w14:textFill>
                  <w14:solidFill>
                    <w14:schemeClr w14:val="tx1"/>
                  </w14:solidFill>
                </w14:textFill>
              </w:rPr>
              <w:t>禁止在长江干流、大渡河、岷江、赤水河、沱江、嘉陵江、乌江、汉江和51个（四川省45个、重庆市6个）水生生物保护区开展生产性捕捞。</w:t>
            </w:r>
          </w:p>
        </w:tc>
        <w:tc>
          <w:tcPr>
            <w:tcW w:w="1534"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lang w:bidi="ar"/>
                <w14:textFill>
                  <w14:solidFill>
                    <w14:schemeClr w14:val="tx1"/>
                  </w14:solidFill>
                </w14:textFill>
              </w:rPr>
              <w:t>本项目不涉及生产性捕捞。</w:t>
            </w:r>
          </w:p>
        </w:tc>
        <w:tc>
          <w:tcPr>
            <w:tcW w:w="613"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7"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14</w:t>
            </w:r>
          </w:p>
        </w:tc>
        <w:tc>
          <w:tcPr>
            <w:tcW w:w="2486"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lang w:bidi="ar"/>
                <w14:textFill>
                  <w14:solidFill>
                    <w14:schemeClr w14:val="tx1"/>
                  </w14:solidFill>
                </w14:textFill>
              </w:rPr>
              <w:t>禁止在长江干支流、重要湖泊岸线一公里范围内新建、扩建化工园区和化工项目。</w:t>
            </w:r>
          </w:p>
        </w:tc>
        <w:tc>
          <w:tcPr>
            <w:tcW w:w="1534"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lang w:bidi="ar"/>
                <w14:textFill>
                  <w14:solidFill>
                    <w14:schemeClr w14:val="tx1"/>
                  </w14:solidFill>
                </w14:textFill>
              </w:rPr>
              <w:t>本项目为</w:t>
            </w:r>
            <w:r>
              <w:rPr>
                <w:rFonts w:hint="eastAsia" w:ascii="Calibri" w:hAnsi="Calibri" w:cs="Times New Roman"/>
                <w:color w:val="000000" w:themeColor="text1"/>
                <w:kern w:val="21"/>
                <w:sz w:val="21"/>
                <w:szCs w:val="21"/>
                <w:highlight w:val="none"/>
                <w:lang w:bidi="ar"/>
                <w14:textFill>
                  <w14:solidFill>
                    <w14:schemeClr w14:val="tx1"/>
                  </w14:solidFill>
                </w14:textFill>
              </w:rPr>
              <w:t>天然气试采工程</w:t>
            </w:r>
            <w:r>
              <w:rPr>
                <w:rFonts w:ascii="Calibri" w:hAnsi="Calibri" w:cs="Times New Roman"/>
                <w:color w:val="000000" w:themeColor="text1"/>
                <w:kern w:val="21"/>
                <w:sz w:val="21"/>
                <w:szCs w:val="21"/>
                <w:highlight w:val="none"/>
                <w:lang w:bidi="ar"/>
                <w14:textFill>
                  <w14:solidFill>
                    <w14:schemeClr w14:val="tx1"/>
                  </w14:solidFill>
                </w14:textFill>
              </w:rPr>
              <w:t>，不属于化工项目。</w:t>
            </w:r>
          </w:p>
        </w:tc>
        <w:tc>
          <w:tcPr>
            <w:tcW w:w="613"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7"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15</w:t>
            </w:r>
          </w:p>
        </w:tc>
        <w:tc>
          <w:tcPr>
            <w:tcW w:w="2486"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lang w:bidi="ar"/>
                <w14:textFill>
                  <w14:solidFill>
                    <w14:schemeClr w14:val="tx1"/>
                  </w14:solidFill>
                </w14:textFill>
              </w:rPr>
              <w:t>禁止在长江干流岸线三公里范围内和重要支流岸线一公里范围内新建、改建、扩建尾矿库、冶炼渣库、磷石膏库，以提升安全、生态环境保护水平为目的的改建除外。</w:t>
            </w:r>
          </w:p>
        </w:tc>
        <w:tc>
          <w:tcPr>
            <w:tcW w:w="1534"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lang w:bidi="ar"/>
                <w14:textFill>
                  <w14:solidFill>
                    <w14:schemeClr w14:val="tx1"/>
                  </w14:solidFill>
                </w14:textFill>
              </w:rPr>
              <w:t>本项目为</w:t>
            </w:r>
            <w:r>
              <w:rPr>
                <w:rFonts w:hint="eastAsia" w:ascii="Calibri" w:hAnsi="Calibri" w:cs="Times New Roman"/>
                <w:color w:val="000000" w:themeColor="text1"/>
                <w:kern w:val="21"/>
                <w:sz w:val="21"/>
                <w:szCs w:val="21"/>
                <w:highlight w:val="none"/>
                <w:lang w:bidi="ar"/>
                <w14:textFill>
                  <w14:solidFill>
                    <w14:schemeClr w14:val="tx1"/>
                  </w14:solidFill>
                </w14:textFill>
              </w:rPr>
              <w:t>天然气试采工程</w:t>
            </w:r>
            <w:r>
              <w:rPr>
                <w:rFonts w:ascii="Calibri" w:hAnsi="Calibri" w:cs="Times New Roman"/>
                <w:color w:val="000000" w:themeColor="text1"/>
                <w:kern w:val="21"/>
                <w:sz w:val="21"/>
                <w:szCs w:val="21"/>
                <w:highlight w:val="none"/>
                <w:lang w:bidi="ar"/>
                <w14:textFill>
                  <w14:solidFill>
                    <w14:schemeClr w14:val="tx1"/>
                  </w14:solidFill>
                </w14:textFill>
              </w:rPr>
              <w:t>，不涉及尾矿库、冶炼渣库、磷石膏库等的建设。</w:t>
            </w:r>
          </w:p>
        </w:tc>
        <w:tc>
          <w:tcPr>
            <w:tcW w:w="613"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7"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16</w:t>
            </w:r>
          </w:p>
        </w:tc>
        <w:tc>
          <w:tcPr>
            <w:tcW w:w="2486"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lang w:bidi="ar"/>
                <w14:textFill>
                  <w14:solidFill>
                    <w14:schemeClr w14:val="tx1"/>
                  </w14:solidFill>
                </w14:textFill>
              </w:rPr>
              <w:t>禁止在生态保护红线区域、永久基本农田集中区域和其他需要特别保护的区域内选址建设尾矿库、冶炼渣库、磷石膏库。</w:t>
            </w:r>
          </w:p>
        </w:tc>
        <w:tc>
          <w:tcPr>
            <w:tcW w:w="1534"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lang w:bidi="ar"/>
                <w14:textFill>
                  <w14:solidFill>
                    <w14:schemeClr w14:val="tx1"/>
                  </w14:solidFill>
                </w14:textFill>
              </w:rPr>
              <w:t>本项目为</w:t>
            </w:r>
            <w:r>
              <w:rPr>
                <w:rFonts w:hint="eastAsia" w:ascii="Calibri" w:hAnsi="Calibri" w:cs="Times New Roman"/>
                <w:color w:val="000000" w:themeColor="text1"/>
                <w:kern w:val="21"/>
                <w:sz w:val="21"/>
                <w:szCs w:val="21"/>
                <w:highlight w:val="none"/>
                <w:lang w:bidi="ar"/>
                <w14:textFill>
                  <w14:solidFill>
                    <w14:schemeClr w14:val="tx1"/>
                  </w14:solidFill>
                </w14:textFill>
              </w:rPr>
              <w:t>天然气试采工程</w:t>
            </w:r>
            <w:r>
              <w:rPr>
                <w:rFonts w:ascii="Calibri" w:hAnsi="Calibri" w:cs="Times New Roman"/>
                <w:color w:val="000000" w:themeColor="text1"/>
                <w:kern w:val="21"/>
                <w:sz w:val="21"/>
                <w:szCs w:val="21"/>
                <w:highlight w:val="none"/>
                <w:lang w:bidi="ar"/>
                <w14:textFill>
                  <w14:solidFill>
                    <w14:schemeClr w14:val="tx1"/>
                  </w14:solidFill>
                </w14:textFill>
              </w:rPr>
              <w:t>，不涉及尾矿库、冶炼渣库、磷石膏库等的建设。</w:t>
            </w:r>
          </w:p>
        </w:tc>
        <w:tc>
          <w:tcPr>
            <w:tcW w:w="613"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7"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17</w:t>
            </w:r>
          </w:p>
        </w:tc>
        <w:tc>
          <w:tcPr>
            <w:tcW w:w="2486"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lang w:bidi="ar"/>
                <w14:textFill>
                  <w14:solidFill>
                    <w14:schemeClr w14:val="tx1"/>
                  </w14:solidFill>
                </w14:textFill>
              </w:rPr>
              <w:t>禁止在合规园区外新建、扩建钢铁、石化、化工、焦化、建材、有色、制浆造纸等高污染项目。</w:t>
            </w:r>
          </w:p>
        </w:tc>
        <w:tc>
          <w:tcPr>
            <w:tcW w:w="1534" w:type="pct"/>
            <w:vAlign w:val="center"/>
          </w:tcPr>
          <w:p>
            <w:pPr>
              <w:adjustRightInd/>
              <w:snapToGrid/>
              <w:spacing w:line="240" w:lineRule="auto"/>
              <w:ind w:firstLine="0" w:firstLineChars="0"/>
              <w:jc w:val="left"/>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lang w:bidi="ar"/>
                <w14:textFill>
                  <w14:solidFill>
                    <w14:schemeClr w14:val="tx1"/>
                  </w14:solidFill>
                </w14:textFill>
              </w:rPr>
              <w:t>本项目为</w:t>
            </w:r>
            <w:r>
              <w:rPr>
                <w:rFonts w:hint="eastAsia" w:ascii="Calibri" w:hAnsi="Calibri" w:cs="Times New Roman"/>
                <w:color w:val="000000" w:themeColor="text1"/>
                <w:kern w:val="21"/>
                <w:sz w:val="21"/>
                <w:szCs w:val="21"/>
                <w:highlight w:val="none"/>
                <w:lang w:bidi="ar"/>
                <w14:textFill>
                  <w14:solidFill>
                    <w14:schemeClr w14:val="tx1"/>
                  </w14:solidFill>
                </w14:textFill>
              </w:rPr>
              <w:t>天然气试采工程</w:t>
            </w:r>
            <w:r>
              <w:rPr>
                <w:rFonts w:ascii="Calibri" w:hAnsi="Calibri" w:cs="Times New Roman"/>
                <w:color w:val="000000" w:themeColor="text1"/>
                <w:kern w:val="21"/>
                <w:sz w:val="21"/>
                <w:szCs w:val="21"/>
                <w:highlight w:val="none"/>
                <w:lang w:bidi="ar"/>
                <w14:textFill>
                  <w14:solidFill>
                    <w14:schemeClr w14:val="tx1"/>
                  </w14:solidFill>
                </w14:textFill>
              </w:rPr>
              <w:t>，不涉及上述项目。</w:t>
            </w:r>
          </w:p>
        </w:tc>
        <w:tc>
          <w:tcPr>
            <w:tcW w:w="613"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7"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18</w:t>
            </w:r>
          </w:p>
        </w:tc>
        <w:tc>
          <w:tcPr>
            <w:tcW w:w="2486"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lang w:bidi="ar"/>
                <w14:textFill>
                  <w14:solidFill>
                    <w14:schemeClr w14:val="tx1"/>
                  </w14:solidFill>
                </w14:textFill>
              </w:rPr>
              <w:t>禁止新建、扩建不符合国家石化、现代煤化工等产业布局规划的项目。（一）严格控制新增炼油产能，未列入《石化产业规划布局方案（修订版）》的新增炼油产能一律不得建设。（二）新建煤制烯烃、煤制芳烃项目必须列入《现代煤化工产业创新发展布局方案》，必须符合现代煤化工建设项目环境标准。</w:t>
            </w:r>
          </w:p>
        </w:tc>
        <w:tc>
          <w:tcPr>
            <w:tcW w:w="1534" w:type="pct"/>
            <w:vAlign w:val="center"/>
          </w:tcPr>
          <w:p>
            <w:pPr>
              <w:adjustRightInd/>
              <w:snapToGrid/>
              <w:spacing w:line="240" w:lineRule="auto"/>
              <w:ind w:firstLine="0" w:firstLineChars="0"/>
              <w:jc w:val="left"/>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lang w:bidi="ar"/>
                <w14:textFill>
                  <w14:solidFill>
                    <w14:schemeClr w14:val="tx1"/>
                  </w14:solidFill>
                </w14:textFill>
              </w:rPr>
              <w:t>本项目为</w:t>
            </w:r>
            <w:r>
              <w:rPr>
                <w:rFonts w:hint="eastAsia" w:ascii="Calibri" w:hAnsi="Calibri" w:cs="Times New Roman"/>
                <w:color w:val="000000" w:themeColor="text1"/>
                <w:kern w:val="21"/>
                <w:sz w:val="21"/>
                <w:szCs w:val="21"/>
                <w:highlight w:val="none"/>
                <w:lang w:bidi="ar"/>
                <w14:textFill>
                  <w14:solidFill>
                    <w14:schemeClr w14:val="tx1"/>
                  </w14:solidFill>
                </w14:textFill>
              </w:rPr>
              <w:t>天然气试采工程</w:t>
            </w:r>
            <w:r>
              <w:rPr>
                <w:rFonts w:ascii="Calibri" w:hAnsi="Calibri" w:cs="Times New Roman"/>
                <w:color w:val="000000" w:themeColor="text1"/>
                <w:kern w:val="21"/>
                <w:sz w:val="21"/>
                <w:szCs w:val="21"/>
                <w:highlight w:val="none"/>
                <w:lang w:bidi="ar"/>
                <w14:textFill>
                  <w14:solidFill>
                    <w14:schemeClr w14:val="tx1"/>
                  </w14:solidFill>
                </w14:textFill>
              </w:rPr>
              <w:t>，不涉及上述项目。</w:t>
            </w:r>
          </w:p>
        </w:tc>
        <w:tc>
          <w:tcPr>
            <w:tcW w:w="613"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7"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19</w:t>
            </w:r>
          </w:p>
        </w:tc>
        <w:tc>
          <w:tcPr>
            <w:tcW w:w="2486"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lang w:bidi="ar"/>
                <w14:textFill>
                  <w14:solidFill>
                    <w14:schemeClr w14:val="tx1"/>
                  </w14:solidFill>
                </w14:textFill>
              </w:rPr>
              <w:t>禁止新建、扩建法律法规和相关政策明令禁止的落后产能项目。对《产业结构调整指导目录》中淘汰类项目，禁止投资限制类的新建项目，禁止投资，对属于限制类的现有生产能力，允许企业在一定期限内采取措施改造升级。</w:t>
            </w:r>
          </w:p>
        </w:tc>
        <w:tc>
          <w:tcPr>
            <w:tcW w:w="1534"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lang w:bidi="ar"/>
                <w14:textFill>
                  <w14:solidFill>
                    <w14:schemeClr w14:val="tx1"/>
                  </w14:solidFill>
                </w14:textFill>
              </w:rPr>
              <w:t>本项目为</w:t>
            </w:r>
            <w:r>
              <w:rPr>
                <w:rFonts w:hint="eastAsia" w:ascii="Calibri" w:hAnsi="Calibri" w:cs="Times New Roman"/>
                <w:color w:val="000000" w:themeColor="text1"/>
                <w:kern w:val="21"/>
                <w:sz w:val="21"/>
                <w:szCs w:val="21"/>
                <w:highlight w:val="none"/>
                <w:lang w:bidi="ar"/>
                <w14:textFill>
                  <w14:solidFill>
                    <w14:schemeClr w14:val="tx1"/>
                  </w14:solidFill>
                </w14:textFill>
              </w:rPr>
              <w:t>天然气试采工程</w:t>
            </w:r>
            <w:r>
              <w:rPr>
                <w:rFonts w:ascii="Calibri" w:hAnsi="Calibri" w:cs="Times New Roman"/>
                <w:color w:val="000000" w:themeColor="text1"/>
                <w:kern w:val="21"/>
                <w:sz w:val="21"/>
                <w:szCs w:val="21"/>
                <w:highlight w:val="none"/>
                <w:lang w:bidi="ar"/>
                <w14:textFill>
                  <w14:solidFill>
                    <w14:schemeClr w14:val="tx1"/>
                  </w14:solidFill>
                </w14:textFill>
              </w:rPr>
              <w:t>，属于《产业结构调整指导目录（2024年）》中鼓励类项目。</w:t>
            </w:r>
          </w:p>
        </w:tc>
        <w:tc>
          <w:tcPr>
            <w:tcW w:w="613"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7"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20</w:t>
            </w:r>
          </w:p>
        </w:tc>
        <w:tc>
          <w:tcPr>
            <w:tcW w:w="2486"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lang w:bidi="ar"/>
                <w14:textFill>
                  <w14:solidFill>
                    <w14:schemeClr w14:val="tx1"/>
                  </w14:solidFill>
                </w14:textFill>
              </w:rPr>
              <w:t>禁止新建、扩建不符合国家产能置换要求的严重过剩产能行业的项目。对于不符合国家产能置换要求的严重过剩产能行业，不得以其他任何名义、任何方式备案新增产能项目。</w:t>
            </w:r>
          </w:p>
        </w:tc>
        <w:tc>
          <w:tcPr>
            <w:tcW w:w="1534"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lang w:bidi="ar"/>
                <w14:textFill>
                  <w14:solidFill>
                    <w14:schemeClr w14:val="tx1"/>
                  </w14:solidFill>
                </w14:textFill>
              </w:rPr>
              <w:t>本项目不属于严重过剩产能行业。</w:t>
            </w:r>
          </w:p>
        </w:tc>
        <w:tc>
          <w:tcPr>
            <w:tcW w:w="613"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7"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21</w:t>
            </w:r>
          </w:p>
        </w:tc>
        <w:tc>
          <w:tcPr>
            <w:tcW w:w="2486"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lang w:bidi="ar"/>
                <w14:textFill>
                  <w14:solidFill>
                    <w14:schemeClr w14:val="tx1"/>
                  </w14:solidFill>
                </w14:textFill>
              </w:rPr>
              <w:t>禁止建设以下燃油汽车投资项目（不在中国境内销售产品的投资项目除外）：（一）新建独立燃油汽车企业；（二）现有汽车企业跨乘用车、商用车类别建设燃油汽车生产能力；（三）外省现有燃油汽车企业整体搬迁至本省（列入国家级区域发展规划或不改变企业股权结构的项目除外）；（四）对行业管理部门特别公示的燃油汽车企业进行投资（企业原有股东投资或将该企业转为非独立法人的投资项目除外）。</w:t>
            </w:r>
          </w:p>
        </w:tc>
        <w:tc>
          <w:tcPr>
            <w:tcW w:w="1534"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本项目为</w:t>
            </w:r>
            <w:r>
              <w:rPr>
                <w:rFonts w:hint="eastAsia" w:ascii="Calibri" w:hAnsi="Calibri" w:cs="Times New Roman"/>
                <w:color w:val="000000" w:themeColor="text1"/>
                <w:kern w:val="21"/>
                <w:sz w:val="21"/>
                <w:szCs w:val="21"/>
                <w:highlight w:val="none"/>
                <w14:textFill>
                  <w14:solidFill>
                    <w14:schemeClr w14:val="tx1"/>
                  </w14:solidFill>
                </w14:textFill>
              </w:rPr>
              <w:t>天然气试采工程</w:t>
            </w:r>
            <w:r>
              <w:rPr>
                <w:rFonts w:ascii="Calibri" w:hAnsi="Calibri" w:cs="Times New Roman"/>
                <w:color w:val="000000" w:themeColor="text1"/>
                <w:kern w:val="21"/>
                <w:sz w:val="21"/>
                <w:szCs w:val="21"/>
                <w:highlight w:val="none"/>
                <w14:textFill>
                  <w14:solidFill>
                    <w14:schemeClr w14:val="tx1"/>
                  </w14:solidFill>
                </w14:textFill>
              </w:rPr>
              <w:t>，不涉及上述所列行业。</w:t>
            </w:r>
          </w:p>
        </w:tc>
        <w:tc>
          <w:tcPr>
            <w:tcW w:w="613"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7"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22</w:t>
            </w:r>
          </w:p>
        </w:tc>
        <w:tc>
          <w:tcPr>
            <w:tcW w:w="2486"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lang w:bidi="ar"/>
                <w14:textFill>
                  <w14:solidFill>
                    <w14:schemeClr w14:val="tx1"/>
                  </w14:solidFill>
                </w14:textFill>
              </w:rPr>
              <w:t>禁止新建、扩建不符合要求的高耗能、高排放、低水平项目。</w:t>
            </w:r>
          </w:p>
        </w:tc>
        <w:tc>
          <w:tcPr>
            <w:tcW w:w="1534"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lang w:bidi="ar"/>
                <w14:textFill>
                  <w14:solidFill>
                    <w14:schemeClr w14:val="tx1"/>
                  </w14:solidFill>
                </w14:textFill>
              </w:rPr>
              <w:t>本项目为</w:t>
            </w:r>
            <w:r>
              <w:rPr>
                <w:rFonts w:hint="eastAsia" w:ascii="Calibri" w:hAnsi="Calibri" w:cs="Times New Roman"/>
                <w:color w:val="000000" w:themeColor="text1"/>
                <w:kern w:val="21"/>
                <w:sz w:val="21"/>
                <w:szCs w:val="21"/>
                <w:highlight w:val="none"/>
                <w:lang w:bidi="ar"/>
                <w14:textFill>
                  <w14:solidFill>
                    <w14:schemeClr w14:val="tx1"/>
                  </w14:solidFill>
                </w14:textFill>
              </w:rPr>
              <w:t>天然气试采工程</w:t>
            </w:r>
            <w:r>
              <w:rPr>
                <w:rFonts w:ascii="Calibri" w:hAnsi="Calibri" w:cs="Times New Roman"/>
                <w:color w:val="000000" w:themeColor="text1"/>
                <w:kern w:val="21"/>
                <w:sz w:val="21"/>
                <w:szCs w:val="21"/>
                <w:highlight w:val="none"/>
                <w:lang w:bidi="ar"/>
                <w14:textFill>
                  <w14:solidFill>
                    <w14:schemeClr w14:val="tx1"/>
                  </w14:solidFill>
                </w14:textFill>
              </w:rPr>
              <w:t>，不属于高耗能、高排放、低水平项目。</w:t>
            </w:r>
          </w:p>
        </w:tc>
        <w:tc>
          <w:tcPr>
            <w:tcW w:w="613" w:type="pct"/>
            <w:vAlign w:val="center"/>
          </w:tcPr>
          <w:p>
            <w:pPr>
              <w:overflowPunct w:val="0"/>
              <w:adjustRightInd/>
              <w:snapToGrid/>
              <w:spacing w:line="240" w:lineRule="auto"/>
              <w:ind w:firstLine="0" w:firstLineChars="0"/>
              <w:jc w:val="center"/>
              <w:rPr>
                <w:rFonts w:ascii="Calibri" w:hAnsi="Calibri" w:cs="Times New Roman"/>
                <w:color w:val="000000" w:themeColor="text1"/>
                <w:kern w:val="21"/>
                <w:sz w:val="21"/>
                <w:szCs w:val="21"/>
                <w:highlight w:val="none"/>
                <w14:textFill>
                  <w14:solidFill>
                    <w14:schemeClr w14:val="tx1"/>
                  </w14:solidFill>
                </w14:textFill>
              </w:rPr>
            </w:pPr>
            <w:r>
              <w:rPr>
                <w:rFonts w:ascii="Calibri" w:hAnsi="Calibri" w:cs="Times New Roman"/>
                <w:color w:val="000000" w:themeColor="text1"/>
                <w:kern w:val="21"/>
                <w:sz w:val="21"/>
                <w:szCs w:val="21"/>
                <w:highlight w:val="none"/>
                <w14:textFill>
                  <w14:solidFill>
                    <w14:schemeClr w14:val="tx1"/>
                  </w14:solidFill>
                </w14:textFill>
              </w:rPr>
              <w:t>符合</w:t>
            </w:r>
          </w:p>
        </w:tc>
      </w:tr>
    </w:tbl>
    <w:p>
      <w:pPr>
        <w:pStyle w:val="153"/>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eastAsia"/>
          <w:color w:val="000000" w:themeColor="text1"/>
          <w:highlight w:val="none"/>
          <w:u w:val="single"/>
          <w:lang w:bidi="ar"/>
          <w14:textFill>
            <w14:solidFill>
              <w14:schemeClr w14:val="tx1"/>
            </w14:solidFill>
          </w14:textFill>
        </w:rPr>
      </w:pPr>
      <w:r>
        <w:rPr>
          <w:rFonts w:hint="eastAsia"/>
          <w:color w:val="000000" w:themeColor="text1"/>
          <w:highlight w:val="none"/>
          <w:u w:val="single"/>
          <w:lang w:bidi="ar"/>
          <w14:textFill>
            <w14:solidFill>
              <w14:schemeClr w14:val="tx1"/>
            </w14:solidFill>
          </w14:textFill>
        </w:rPr>
        <w:t>由上表可知，本项目符合《四川省、重庆市长江经济带发展负面清单实施细则》（试行、</w:t>
      </w:r>
      <w:r>
        <w:rPr>
          <w:color w:val="000000" w:themeColor="text1"/>
          <w:highlight w:val="none"/>
          <w:u w:val="single"/>
          <w:lang w:bidi="ar"/>
          <w14:textFill>
            <w14:solidFill>
              <w14:schemeClr w14:val="tx1"/>
            </w14:solidFill>
          </w14:textFill>
        </w:rPr>
        <w:t>2022</w:t>
      </w:r>
      <w:r>
        <w:rPr>
          <w:rFonts w:hint="eastAsia"/>
          <w:color w:val="000000" w:themeColor="text1"/>
          <w:highlight w:val="none"/>
          <w:u w:val="single"/>
          <w:lang w:bidi="ar"/>
          <w14:textFill>
            <w14:solidFill>
              <w14:schemeClr w14:val="tx1"/>
            </w14:solidFill>
          </w14:textFill>
        </w:rPr>
        <w:t>年版）（川长江办发〔</w:t>
      </w:r>
      <w:r>
        <w:rPr>
          <w:color w:val="000000" w:themeColor="text1"/>
          <w:highlight w:val="none"/>
          <w:u w:val="single"/>
          <w:lang w:bidi="ar"/>
          <w14:textFill>
            <w14:solidFill>
              <w14:schemeClr w14:val="tx1"/>
            </w14:solidFill>
          </w14:textFill>
        </w:rPr>
        <w:t>2022</w:t>
      </w:r>
      <w:r>
        <w:rPr>
          <w:rFonts w:hint="eastAsia"/>
          <w:color w:val="000000" w:themeColor="text1"/>
          <w:highlight w:val="none"/>
          <w:u w:val="single"/>
          <w:lang w:bidi="ar"/>
          <w14:textFill>
            <w14:solidFill>
              <w14:schemeClr w14:val="tx1"/>
            </w14:solidFill>
          </w14:textFill>
        </w:rPr>
        <w:t>〕</w:t>
      </w:r>
      <w:r>
        <w:rPr>
          <w:color w:val="000000" w:themeColor="text1"/>
          <w:highlight w:val="none"/>
          <w:u w:val="single"/>
          <w:lang w:bidi="ar"/>
          <w14:textFill>
            <w14:solidFill>
              <w14:schemeClr w14:val="tx1"/>
            </w14:solidFill>
          </w14:textFill>
        </w:rPr>
        <w:t>17</w:t>
      </w:r>
      <w:r>
        <w:rPr>
          <w:rFonts w:hint="eastAsia"/>
          <w:color w:val="000000" w:themeColor="text1"/>
          <w:highlight w:val="none"/>
          <w:u w:val="single"/>
          <w:lang w:bidi="ar"/>
          <w14:textFill>
            <w14:solidFill>
              <w14:schemeClr w14:val="tx1"/>
            </w14:solidFill>
          </w14:textFill>
        </w:rPr>
        <w:t>号）的相关要求。</w:t>
      </w:r>
    </w:p>
    <w:p>
      <w:pPr>
        <w:pStyle w:val="153"/>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eastAsia" w:eastAsia="宋体"/>
          <w:color w:val="000000" w:themeColor="text1"/>
          <w:highlight w:val="none"/>
          <w:u w:val="single"/>
          <w:lang w:eastAsia="zh-CN" w:bidi="ar"/>
          <w14:textFill>
            <w14:solidFill>
              <w14:schemeClr w14:val="tx1"/>
            </w14:solidFill>
          </w14:textFill>
        </w:rPr>
      </w:pPr>
      <w:r>
        <w:rPr>
          <w:rFonts w:cs="Times New Roman"/>
          <w:color w:val="000000" w:themeColor="text1"/>
          <w:szCs w:val="24"/>
          <w:highlight w:val="none"/>
          <w14:textFill>
            <w14:solidFill>
              <w14:schemeClr w14:val="tx1"/>
            </w14:solidFill>
          </w14:textFill>
        </w:rPr>
        <w:t>综上，本项目</w:t>
      </w:r>
      <w:r>
        <w:rPr>
          <w:rFonts w:hint="eastAsia" w:cs="Times New Roman"/>
          <w:color w:val="000000" w:themeColor="text1"/>
          <w:szCs w:val="24"/>
          <w:highlight w:val="none"/>
          <w:lang w:val="en-US" w:eastAsia="zh-CN"/>
          <w14:textFill>
            <w14:solidFill>
              <w14:schemeClr w14:val="tx1"/>
            </w14:solidFill>
          </w14:textFill>
        </w:rPr>
        <w:t>试采站</w:t>
      </w:r>
      <w:r>
        <w:rPr>
          <w:rFonts w:hint="eastAsia"/>
          <w:color w:val="000000" w:themeColor="text1"/>
          <w:highlight w:val="none"/>
          <w14:textFill>
            <w14:solidFill>
              <w14:schemeClr w14:val="tx1"/>
            </w14:solidFill>
          </w14:textFill>
        </w:rPr>
        <w:t>四川省达州市宣汉县</w:t>
      </w:r>
      <w:r>
        <w:rPr>
          <w:rFonts w:hint="eastAsia"/>
          <w:color w:val="000000" w:themeColor="text1"/>
          <w:highlight w:val="none"/>
          <w:lang w:eastAsia="zh-CN"/>
          <w14:textFill>
            <w14:solidFill>
              <w14:schemeClr w14:val="tx1"/>
            </w14:solidFill>
          </w14:textFill>
        </w:rPr>
        <w:t>**</w:t>
      </w:r>
      <w:r>
        <w:rPr>
          <w:rFonts w:hint="eastAsia"/>
          <w:color w:val="000000" w:themeColor="text1"/>
          <w:kern w:val="21"/>
          <w:szCs w:val="32"/>
          <w:highlight w:val="none"/>
          <w14:textFill>
            <w14:solidFill>
              <w14:schemeClr w14:val="tx1"/>
            </w14:solidFill>
          </w14:textFill>
        </w:rPr>
        <w:t>境内，外输管线涉及宣汉县</w:t>
      </w:r>
      <w:r>
        <w:rPr>
          <w:rFonts w:hint="eastAsia"/>
          <w:color w:val="000000" w:themeColor="text1"/>
          <w:kern w:val="21"/>
          <w:szCs w:val="32"/>
          <w:highlight w:val="none"/>
          <w:lang w:eastAsia="zh-CN"/>
          <w14:textFill>
            <w14:solidFill>
              <w14:schemeClr w14:val="tx1"/>
            </w14:solidFill>
          </w14:textFill>
        </w:rPr>
        <w:t>**</w:t>
      </w:r>
      <w:r>
        <w:rPr>
          <w:rFonts w:hint="eastAsia"/>
          <w:color w:val="000000" w:themeColor="text1"/>
          <w:kern w:val="21"/>
          <w:szCs w:val="32"/>
          <w:highlight w:val="none"/>
          <w14:textFill>
            <w14:solidFill>
              <w14:schemeClr w14:val="tx1"/>
            </w14:solidFill>
          </w14:textFill>
        </w:rPr>
        <w:t>、红岭镇、通川区魏兴镇</w:t>
      </w:r>
      <w:r>
        <w:rPr>
          <w:rFonts w:cs="Times New Roman"/>
          <w:color w:val="000000" w:themeColor="text1"/>
          <w:szCs w:val="24"/>
          <w:highlight w:val="none"/>
          <w14:textFill>
            <w14:solidFill>
              <w14:schemeClr w14:val="tx1"/>
            </w14:solidFill>
          </w14:textFill>
        </w:rPr>
        <w:t>，查阅相关资料，项目建设区域不属于自然保护区、风景名胜区、饮用水源保护区以及生态保护红线范围等。项目为天然气试采项目，属于鼓励类项目</w:t>
      </w:r>
      <w:r>
        <w:rPr>
          <w:rFonts w:hint="eastAsia" w:cs="Times New Roman"/>
          <w:color w:val="000000" w:themeColor="text1"/>
          <w:szCs w:val="24"/>
          <w:highlight w:val="none"/>
          <w:lang w:eastAsia="zh-CN"/>
          <w14:textFill>
            <w14:solidFill>
              <w14:schemeClr w14:val="tx1"/>
            </w14:solidFill>
          </w14:textFill>
        </w:rPr>
        <w:t>，</w:t>
      </w:r>
      <w:r>
        <w:rPr>
          <w:rFonts w:cs="Times New Roman"/>
          <w:color w:val="000000" w:themeColor="text1"/>
          <w:szCs w:val="24"/>
          <w:highlight w:val="none"/>
          <w14:textFill>
            <w14:solidFill>
              <w14:schemeClr w14:val="tx1"/>
            </w14:solidFill>
          </w14:textFill>
        </w:rPr>
        <w:t>项目的建设满足区域</w:t>
      </w:r>
      <w:r>
        <w:rPr>
          <w:rFonts w:ascii="宋体" w:hAnsi="宋体" w:cs="Times New Roman"/>
          <w:color w:val="000000" w:themeColor="text1"/>
          <w:szCs w:val="24"/>
          <w:highlight w:val="none"/>
          <w14:textFill>
            <w14:solidFill>
              <w14:schemeClr w14:val="tx1"/>
            </w14:solidFill>
          </w14:textFill>
        </w:rPr>
        <w:t>“三线一单”</w:t>
      </w:r>
      <w:r>
        <w:rPr>
          <w:rFonts w:cs="Times New Roman"/>
          <w:color w:val="000000" w:themeColor="text1"/>
          <w:szCs w:val="24"/>
          <w:highlight w:val="none"/>
          <w14:textFill>
            <w14:solidFill>
              <w14:schemeClr w14:val="tx1"/>
            </w14:solidFill>
          </w14:textFill>
        </w:rPr>
        <w:t>的环境管理要求</w:t>
      </w:r>
      <w:r>
        <w:rPr>
          <w:rFonts w:hint="eastAsia" w:cs="Times New Roman"/>
          <w:color w:val="000000" w:themeColor="text1"/>
          <w:szCs w:val="24"/>
          <w:highlight w:val="none"/>
          <w:lang w:eastAsia="zh-CN"/>
          <w14:textFill>
            <w14:solidFill>
              <w14:schemeClr w14:val="tx1"/>
            </w14:solidFill>
          </w14:textFill>
        </w:rPr>
        <w:t>。</w:t>
      </w:r>
    </w:p>
    <w:p>
      <w:pPr>
        <w:pStyle w:val="5"/>
        <w:numPr>
          <w:ilvl w:val="0"/>
          <w:numId w:val="0"/>
        </w:numPr>
        <w:spacing w:before="120"/>
        <w:rPr>
          <w:color w:val="000000" w:themeColor="text1"/>
          <w:szCs w:val="24"/>
          <w:highlight w:val="none"/>
          <w:lang w:eastAsia="zh-CN"/>
          <w14:textFill>
            <w14:solidFill>
              <w14:schemeClr w14:val="tx1"/>
            </w14:solidFill>
          </w14:textFill>
        </w:rPr>
      </w:pPr>
      <w:r>
        <w:rPr>
          <w:rFonts w:hint="eastAsia"/>
          <w:color w:val="000000" w:themeColor="text1"/>
          <w:szCs w:val="24"/>
          <w:highlight w:val="none"/>
          <w:lang w:eastAsia="zh-CN"/>
          <w14:textFill>
            <w14:solidFill>
              <w14:schemeClr w14:val="tx1"/>
            </w14:solidFill>
          </w14:textFill>
        </w:rPr>
        <w:t>2.7.</w:t>
      </w:r>
      <w:r>
        <w:rPr>
          <w:rFonts w:hint="eastAsia"/>
          <w:color w:val="000000" w:themeColor="text1"/>
          <w:szCs w:val="24"/>
          <w:highlight w:val="none"/>
          <w:lang w:val="en-US" w:eastAsia="zh-CN"/>
          <w14:textFill>
            <w14:solidFill>
              <w14:schemeClr w14:val="tx1"/>
            </w14:solidFill>
          </w14:textFill>
        </w:rPr>
        <w:t>8</w:t>
      </w:r>
      <w:r>
        <w:rPr>
          <w:color w:val="000000" w:themeColor="text1"/>
          <w:szCs w:val="24"/>
          <w:highlight w:val="none"/>
          <w:lang w:eastAsia="zh-CN"/>
          <w14:textFill>
            <w14:solidFill>
              <w14:schemeClr w14:val="tx1"/>
            </w14:solidFill>
          </w14:textFill>
        </w:rPr>
        <w:t>项目</w:t>
      </w:r>
      <w:r>
        <w:rPr>
          <w:rFonts w:hint="eastAsia"/>
          <w:color w:val="000000" w:themeColor="text1"/>
          <w:szCs w:val="24"/>
          <w:highlight w:val="none"/>
          <w:lang w:eastAsia="zh-CN"/>
          <w14:textFill>
            <w14:solidFill>
              <w14:schemeClr w14:val="tx1"/>
            </w14:solidFill>
          </w14:textFill>
        </w:rPr>
        <w:t>周边饮用水水源地保护区</w:t>
      </w:r>
      <w:r>
        <w:rPr>
          <w:color w:val="000000" w:themeColor="text1"/>
          <w:szCs w:val="24"/>
          <w:highlight w:val="none"/>
          <w:lang w:eastAsia="zh-CN"/>
          <w14:textFill>
            <w14:solidFill>
              <w14:schemeClr w14:val="tx1"/>
            </w14:solidFill>
          </w14:textFill>
        </w:rPr>
        <w:t>符合性分析</w:t>
      </w:r>
    </w:p>
    <w:p>
      <w:pPr>
        <w:ind w:firstLine="482"/>
        <w:rPr>
          <w:rFonts w:cs="Times New Roman"/>
          <w:b/>
          <w:bCs/>
          <w:color w:val="000000" w:themeColor="text1"/>
          <w:kern w:val="0"/>
          <w:szCs w:val="24"/>
          <w:highlight w:val="none"/>
          <w14:textFill>
            <w14:solidFill>
              <w14:schemeClr w14:val="tx1"/>
            </w14:solidFill>
          </w14:textFill>
        </w:rPr>
      </w:pPr>
      <w:r>
        <w:rPr>
          <w:rFonts w:hint="eastAsia" w:cs="Times New Roman"/>
          <w:b/>
          <w:bCs/>
          <w:color w:val="000000" w:themeColor="text1"/>
          <w:kern w:val="0"/>
          <w:szCs w:val="24"/>
          <w:highlight w:val="none"/>
          <w14:textFill>
            <w14:solidFill>
              <w14:schemeClr w14:val="tx1"/>
            </w14:solidFill>
          </w14:textFill>
        </w:rPr>
        <w:t>（1）项目与周边饮用水水源地保护区位置关系</w:t>
      </w:r>
    </w:p>
    <w:p>
      <w:pPr>
        <w:widowControl/>
        <w:ind w:firstLine="480"/>
        <w:rPr>
          <w:rFonts w:cs="Times New Roman"/>
          <w:bCs/>
          <w:color w:val="000000" w:themeColor="text1"/>
          <w:kern w:val="0"/>
          <w:szCs w:val="24"/>
          <w:highlight w:val="none"/>
          <w14:textFill>
            <w14:solidFill>
              <w14:schemeClr w14:val="tx1"/>
            </w14:solidFill>
          </w14:textFill>
        </w:rPr>
      </w:pPr>
      <w:r>
        <w:rPr>
          <w:rFonts w:hint="eastAsia" w:cs="Times New Roman"/>
          <w:bCs/>
          <w:color w:val="000000" w:themeColor="text1"/>
          <w:kern w:val="0"/>
          <w:szCs w:val="24"/>
          <w:highlight w:val="none"/>
          <w14:textFill>
            <w14:solidFill>
              <w14:schemeClr w14:val="tx1"/>
            </w14:solidFill>
          </w14:textFill>
        </w:rPr>
        <w:t>根据调查，本项目井场和管线地表水评价范围内无集中式饮用水水源保护区、饮用水取水口涉水的自然保护区、风景名胜区、重要湿地、重点保护与珍稀水生生物的栖息地、重要水生生物的自然产卵场及索饵场、越冬场和洄游通道天然渔场等渔业水体以及水产种质资源保护区等。</w:t>
      </w:r>
    </w:p>
    <w:p>
      <w:pPr>
        <w:widowControl/>
        <w:ind w:firstLine="480"/>
        <w:rPr>
          <w:rFonts w:cs="Times New Roman"/>
          <w:bCs/>
          <w:color w:val="000000" w:themeColor="text1"/>
          <w:kern w:val="0"/>
          <w:szCs w:val="24"/>
          <w:highlight w:val="none"/>
          <w14:textFill>
            <w14:solidFill>
              <w14:schemeClr w14:val="tx1"/>
            </w14:solidFill>
          </w14:textFill>
        </w:rPr>
      </w:pPr>
      <w:r>
        <w:rPr>
          <w:rFonts w:hint="eastAsia" w:cs="Times New Roman"/>
          <w:bCs/>
          <w:color w:val="000000" w:themeColor="text1"/>
          <w:kern w:val="0"/>
          <w:szCs w:val="24"/>
          <w:highlight w:val="none"/>
          <w14:textFill>
            <w14:solidFill>
              <w14:schemeClr w14:val="tx1"/>
            </w14:solidFill>
          </w14:textFill>
        </w:rPr>
        <w:t>通过与宣汉县饮用水源地保护区叠图，本项目距宣汉县最近的饮用水水源保护区为明月羊儿沟饮用水水源保护区，项目距明月羊儿沟饮用水水源保护区二级陆域最近距离约为8975m，距明月羊儿沟饮用水水源保护区二级陆域最近距离约为8690m</w:t>
      </w:r>
      <w:r>
        <w:rPr>
          <w:rFonts w:cs="Times New Roman"/>
          <w:bCs/>
          <w:color w:val="000000" w:themeColor="text1"/>
          <w:kern w:val="0"/>
          <w:szCs w:val="24"/>
          <w:highlight w:val="none"/>
          <w14:textFill>
            <w14:solidFill>
              <w14:schemeClr w14:val="tx1"/>
            </w14:solidFill>
          </w14:textFill>
        </w:rPr>
        <w:t>。</w:t>
      </w:r>
    </w:p>
    <w:p>
      <w:pPr>
        <w:pStyle w:val="306"/>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5276850" cy="3395345"/>
            <wp:effectExtent l="0" t="0" r="0" b="0"/>
            <wp:docPr id="7718650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865023" name="图片 1"/>
                    <pic:cNvPicPr>
                      <a:picLocks noChangeAspect="1"/>
                    </pic:cNvPicPr>
                  </pic:nvPicPr>
                  <pic:blipFill>
                    <a:blip r:embed="rId32"/>
                    <a:stretch>
                      <a:fillRect/>
                    </a:stretch>
                  </pic:blipFill>
                  <pic:spPr>
                    <a:xfrm>
                      <a:off x="0" y="0"/>
                      <a:ext cx="5276850" cy="3395345"/>
                    </a:xfrm>
                    <a:prstGeom prst="rect">
                      <a:avLst/>
                    </a:prstGeom>
                  </pic:spPr>
                </pic:pic>
              </a:graphicData>
            </a:graphic>
          </wp:inline>
        </w:drawing>
      </w:r>
    </w:p>
    <w:p>
      <w:pPr>
        <w:pStyle w:val="188"/>
        <w:keepNext/>
        <w:keepLines w:val="0"/>
        <w:pageBreakBefore w:val="0"/>
        <w:widowControl w:val="0"/>
        <w:kinsoku/>
        <w:wordWrap/>
        <w:overflowPunct/>
        <w:topLinePunct w:val="0"/>
        <w:autoSpaceDE/>
        <w:autoSpaceDN/>
        <w:bidi w:val="0"/>
        <w:adjustRightInd w:val="0"/>
        <w:snapToGrid w:val="0"/>
        <w:ind w:firstLine="482"/>
        <w:textAlignment w:val="auto"/>
        <w:outlineLvl w:val="9"/>
        <w:rPr>
          <w:bCs/>
          <w:color w:val="000000" w:themeColor="text1"/>
          <w:kern w:val="0"/>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项目与宣汉县饮用水水源地保护区位置关系图</w:t>
      </w:r>
    </w:p>
    <w:p>
      <w:pPr>
        <w:spacing w:before="120" w:beforeLines="50"/>
        <w:ind w:firstLine="480"/>
        <w:rPr>
          <w:rFonts w:cs="Times New Roman"/>
          <w:bCs/>
          <w:color w:val="000000" w:themeColor="text1"/>
          <w:kern w:val="0"/>
          <w:szCs w:val="24"/>
          <w:highlight w:val="none"/>
          <w14:textFill>
            <w14:solidFill>
              <w14:schemeClr w14:val="tx1"/>
            </w14:solidFill>
          </w14:textFill>
        </w:rPr>
      </w:pPr>
      <w:r>
        <w:rPr>
          <w:rFonts w:hint="eastAsia" w:cs="Times New Roman"/>
          <w:bCs/>
          <w:color w:val="000000" w:themeColor="text1"/>
          <w:kern w:val="0"/>
          <w:szCs w:val="24"/>
          <w:highlight w:val="none"/>
          <w14:textFill>
            <w14:solidFill>
              <w14:schemeClr w14:val="tx1"/>
            </w14:solidFill>
          </w14:textFill>
        </w:rPr>
        <w:t>通过与通川区饮用水源地保护区叠图，本项目距通川区最近的饮用水水源保护区为罗江库区水源地保护区，根据四川省人民政府下发了《关于同意调整达州市、德阳市饮用水水源保护区的批复》（川府函〔2012〕73号），结合现场调查，罗江库区取水口位于通川区罗江镇红梁村3组州河盐点河段（罗江口水库大坝上游400m附近），一级保护区水域范围为取水点上游1000m，下游至罗江电站大坝内的水库区域，以及水库正常水位线淹没的区域。二级保护区为一级保护区上游边界向上游延伸2500米的水库正常水位线内的水域，以及沿二级保护区水域正常水位线纵深水平距离1000米的陆域（不超过二级水域保护区所在河段的流域分水线）和沿陆域一级保护区边界纵深1000米的陆域（不超过一级水域保护区所在河段的流域分水线）。准保护区为二级保护区上游边界向上游延伸5000米的水库正常水位线内的水域，以及沿水库准保护区水域正常水位线纵深水平距离1000米的陆域（不超过准保护区所在河段的流域分水线）。</w:t>
      </w:r>
    </w:p>
    <w:p>
      <w:pPr>
        <w:ind w:firstLine="480"/>
        <w:rPr>
          <w:rFonts w:cs="Times New Roman"/>
          <w:color w:val="000000" w:themeColor="text1"/>
          <w:kern w:val="0"/>
          <w:szCs w:val="24"/>
          <w:highlight w:val="none"/>
          <w14:textFill>
            <w14:solidFill>
              <w14:schemeClr w14:val="tx1"/>
            </w14:solidFill>
          </w14:textFill>
        </w:rPr>
      </w:pPr>
      <w:r>
        <w:rPr>
          <w:rFonts w:hint="eastAsia" w:cs="Times New Roman"/>
          <w:bCs/>
          <w:color w:val="000000" w:themeColor="text1"/>
          <w:kern w:val="0"/>
          <w:szCs w:val="24"/>
          <w:highlight w:val="none"/>
          <w14:textFill>
            <w14:solidFill>
              <w14:schemeClr w14:val="tx1"/>
            </w14:solidFill>
          </w14:textFill>
        </w:rPr>
        <w:t>本项目距离罗江库区饮用水源保护区准保护区陆域最近距离630m，距离取水口4.3km，本项目位于保护区取水口上游，但施工废水不外排，生活污水全部拉运处理；试采期间气田水进入污水罐，然后通过密闭罐车拉运至赵家坝污水处理站处理达到《气田水回注方法》（SY/T 6596-2016）中注入水基本要求后管输至普光3井回注站回注处理，不外排。试采期雷页1井试采站设置10人值守，生活污水经生态厕所收集后定期由密闭罐车拉运至周边生活污水处理厂处理。项目施工期及运营期所产废水均不会影响该保护区水质</w:t>
      </w:r>
      <w:r>
        <w:rPr>
          <w:rFonts w:hint="eastAsia" w:cs="Times New Roman"/>
          <w:color w:val="000000" w:themeColor="text1"/>
          <w:kern w:val="0"/>
          <w:szCs w:val="24"/>
          <w:highlight w:val="none"/>
          <w14:textFill>
            <w14:solidFill>
              <w14:schemeClr w14:val="tx1"/>
            </w14:solidFill>
          </w14:textFill>
        </w:rPr>
        <w:t>。</w:t>
      </w:r>
    </w:p>
    <w:p>
      <w:pPr>
        <w:pStyle w:val="306"/>
        <w:keepNex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5276850" cy="2725420"/>
            <wp:effectExtent l="19050" t="19050" r="19050" b="17780"/>
            <wp:docPr id="8868754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875474" name="图片 1"/>
                    <pic:cNvPicPr>
                      <a:picLocks noChangeAspect="1"/>
                    </pic:cNvPicPr>
                  </pic:nvPicPr>
                  <pic:blipFill>
                    <a:blip r:embed="rId33"/>
                    <a:stretch>
                      <a:fillRect/>
                    </a:stretch>
                  </pic:blipFill>
                  <pic:spPr>
                    <a:xfrm>
                      <a:off x="0" y="0"/>
                      <a:ext cx="5276850" cy="2725420"/>
                    </a:xfrm>
                    <a:prstGeom prst="rect">
                      <a:avLst/>
                    </a:prstGeom>
                    <a:ln>
                      <a:solidFill>
                        <a:schemeClr val="tx1"/>
                      </a:solidFill>
                    </a:ln>
                  </pic:spPr>
                </pic:pic>
              </a:graphicData>
            </a:graphic>
          </wp:inline>
        </w:drawing>
      </w:r>
    </w:p>
    <w:p>
      <w:pPr>
        <w:pStyle w:val="14"/>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项目与周边饮用水源地保护区位置关系示意图</w:t>
      </w:r>
    </w:p>
    <w:p>
      <w:pPr>
        <w:spacing w:before="120" w:beforeLines="50"/>
        <w:ind w:firstLine="482"/>
        <w:rPr>
          <w:rFonts w:cs="Times New Roman"/>
          <w:b/>
          <w:bCs/>
          <w:color w:val="000000" w:themeColor="text1"/>
          <w:kern w:val="0"/>
          <w:szCs w:val="24"/>
          <w:highlight w:val="none"/>
          <w14:textFill>
            <w14:solidFill>
              <w14:schemeClr w14:val="tx1"/>
            </w14:solidFill>
          </w14:textFill>
        </w:rPr>
      </w:pPr>
      <w:r>
        <w:rPr>
          <w:rFonts w:hint="eastAsia" w:cs="Times New Roman"/>
          <w:b/>
          <w:bCs/>
          <w:color w:val="000000" w:themeColor="text1"/>
          <w:kern w:val="0"/>
          <w:szCs w:val="24"/>
          <w:highlight w:val="none"/>
          <w14:textFill>
            <w14:solidFill>
              <w14:schemeClr w14:val="tx1"/>
            </w14:solidFill>
          </w14:textFill>
        </w:rPr>
        <w:t>（2）项目与《达州市饮用水水源地保护区管理条例》符合性分析</w:t>
      </w:r>
    </w:p>
    <w:p>
      <w:pPr>
        <w:autoSpaceDE w:val="0"/>
        <w:autoSpaceDN w:val="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w:t>
      </w:r>
      <w:r>
        <w:rPr>
          <w:rFonts w:hint="eastAsia" w:cs="Times New Roman"/>
          <w:bCs/>
          <w:color w:val="000000" w:themeColor="text1"/>
          <w:szCs w:val="24"/>
          <w:highlight w:val="none"/>
          <w14:textFill>
            <w14:solidFill>
              <w14:schemeClr w14:val="tx1"/>
            </w14:solidFill>
          </w14:textFill>
        </w:rPr>
        <w:t>2020年3月31日四川省第十三届人民代表大会常务委员会第十七次会议批准的《关于修改〈达州市集中式饮用水水源保护管理条例〉的决定》修正）（2020年4月2日施行），</w:t>
      </w:r>
      <w:r>
        <w:rPr>
          <w:rFonts w:cs="Times New Roman"/>
          <w:bCs/>
          <w:color w:val="000000" w:themeColor="text1"/>
          <w:szCs w:val="24"/>
          <w:highlight w:val="none"/>
          <w14:textFill>
            <w14:solidFill>
              <w14:schemeClr w14:val="tx1"/>
            </w14:solidFill>
          </w14:textFill>
        </w:rPr>
        <w:t>本项目与其符合性分析如下：</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4</w:t>
      </w:r>
      <w:r>
        <w:rPr>
          <w:color w:val="000000" w:themeColor="text1"/>
          <w:highlight w:val="none"/>
          <w14:textFill>
            <w14:solidFill>
              <w14:schemeClr w14:val="tx1"/>
            </w14:solidFill>
          </w14:textFill>
        </w:rPr>
        <w:fldChar w:fldCharType="end"/>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与《达州市饮用水水源地保护区管理条例》符合性分析</w:t>
      </w:r>
    </w:p>
    <w:tbl>
      <w:tblPr>
        <w:tblStyle w:val="41"/>
        <w:tblW w:w="517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565"/>
        <w:gridCol w:w="3960"/>
        <w:gridCol w:w="3194"/>
        <w:gridCol w:w="9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2" w:hRule="atLeast"/>
          <w:tblHeader/>
          <w:jc w:val="center"/>
        </w:trPr>
        <w:tc>
          <w:tcPr>
            <w:tcW w:w="326"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序号</w:t>
            </w:r>
          </w:p>
        </w:tc>
        <w:tc>
          <w:tcPr>
            <w:tcW w:w="2285"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条例管理要求</w:t>
            </w:r>
          </w:p>
        </w:tc>
        <w:tc>
          <w:tcPr>
            <w:tcW w:w="1843"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项目内容</w:t>
            </w:r>
          </w:p>
        </w:tc>
        <w:tc>
          <w:tcPr>
            <w:tcW w:w="546"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6" w:hRule="atLeast"/>
          <w:jc w:val="center"/>
        </w:trPr>
        <w:tc>
          <w:tcPr>
            <w:tcW w:w="326" w:type="pct"/>
            <w:vAlign w:val="center"/>
          </w:tcPr>
          <w:p>
            <w:pPr>
              <w:pStyle w:val="118"/>
              <w:rPr>
                <w:color w:val="000000" w:themeColor="text1"/>
                <w:highlight w:val="none"/>
                <w14:textFill>
                  <w14:solidFill>
                    <w14:schemeClr w14:val="tx1"/>
                  </w14:solidFill>
                </w14:textFill>
              </w:rPr>
            </w:pPr>
            <w:r>
              <w:rPr>
                <w:color w:val="000000" w:themeColor="text1"/>
                <w:highlight w:val="none"/>
                <w:shd w:val="clear" w:color="auto" w:fill="FFFFFF"/>
                <w14:textFill>
                  <w14:solidFill>
                    <w14:schemeClr w14:val="tx1"/>
                  </w14:solidFill>
                </w14:textFill>
              </w:rPr>
              <w:t>第十八条</w:t>
            </w:r>
          </w:p>
        </w:tc>
        <w:tc>
          <w:tcPr>
            <w:tcW w:w="2285" w:type="pct"/>
            <w:vAlign w:val="center"/>
          </w:tcPr>
          <w:p>
            <w:pPr>
              <w:pStyle w:val="118"/>
              <w:rPr>
                <w:color w:val="000000" w:themeColor="text1"/>
                <w:highlight w:val="none"/>
                <w14:textFill>
                  <w14:solidFill>
                    <w14:schemeClr w14:val="tx1"/>
                  </w14:solidFill>
                </w14:textFill>
              </w:rPr>
            </w:pPr>
            <w:r>
              <w:rPr>
                <w:color w:val="000000" w:themeColor="text1"/>
                <w:highlight w:val="none"/>
                <w:shd w:val="clear" w:color="auto" w:fill="FFFFFF"/>
                <w14:textFill>
                  <w14:solidFill>
                    <w14:schemeClr w14:val="tx1"/>
                  </w14:solidFill>
                </w14:textFill>
              </w:rPr>
              <w:t>集中式饮用水水源保护区内，禁止设置排污口。</w:t>
            </w:r>
          </w:p>
        </w:tc>
        <w:tc>
          <w:tcPr>
            <w:tcW w:w="1843"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本项目各类废水均依托处置，不设置排污口</w:t>
            </w:r>
          </w:p>
        </w:tc>
        <w:tc>
          <w:tcPr>
            <w:tcW w:w="54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6" w:hRule="atLeast"/>
          <w:jc w:val="center"/>
        </w:trPr>
        <w:tc>
          <w:tcPr>
            <w:tcW w:w="326" w:type="pct"/>
            <w:vMerge w:val="restart"/>
            <w:vAlign w:val="center"/>
          </w:tcPr>
          <w:p>
            <w:pPr>
              <w:pStyle w:val="118"/>
              <w:rPr>
                <w:color w:val="000000" w:themeColor="text1"/>
                <w:highlight w:val="none"/>
                <w14:textFill>
                  <w14:solidFill>
                    <w14:schemeClr w14:val="tx1"/>
                  </w14:solidFill>
                </w14:textFill>
              </w:rPr>
            </w:pPr>
            <w:r>
              <w:rPr>
                <w:color w:val="000000" w:themeColor="text1"/>
                <w:highlight w:val="none"/>
                <w:shd w:val="clear" w:color="auto" w:fill="FFFFFF"/>
                <w14:textFill>
                  <w14:solidFill>
                    <w14:schemeClr w14:val="tx1"/>
                  </w14:solidFill>
                </w14:textFill>
              </w:rPr>
              <w:t>第十九条</w:t>
            </w:r>
          </w:p>
        </w:tc>
        <w:tc>
          <w:tcPr>
            <w:tcW w:w="4674" w:type="pct"/>
            <w:gridSpan w:val="3"/>
            <w:vAlign w:val="center"/>
          </w:tcPr>
          <w:p>
            <w:pPr>
              <w:pStyle w:val="118"/>
              <w:rPr>
                <w:color w:val="000000" w:themeColor="text1"/>
                <w:highlight w:val="none"/>
                <w14:textFill>
                  <w14:solidFill>
                    <w14:schemeClr w14:val="tx1"/>
                  </w14:solidFill>
                </w14:textFill>
              </w:rPr>
            </w:pPr>
            <w:r>
              <w:rPr>
                <w:color w:val="000000" w:themeColor="text1"/>
                <w:highlight w:val="none"/>
                <w:shd w:val="clear" w:color="auto" w:fill="FFFFFF"/>
                <w14:textFill>
                  <w14:solidFill>
                    <w14:schemeClr w14:val="tx1"/>
                  </w14:solidFill>
                </w14:textFill>
              </w:rPr>
              <w:t>集中式地表水饮用水水源准保护区内，应当遵守下列规定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6" w:hRule="atLeast"/>
          <w:jc w:val="center"/>
        </w:trPr>
        <w:tc>
          <w:tcPr>
            <w:tcW w:w="326" w:type="pct"/>
            <w:vMerge w:val="continue"/>
            <w:vAlign w:val="center"/>
          </w:tcPr>
          <w:p>
            <w:pPr>
              <w:pStyle w:val="118"/>
              <w:rPr>
                <w:color w:val="000000" w:themeColor="text1"/>
                <w:highlight w:val="none"/>
                <w14:textFill>
                  <w14:solidFill>
                    <w14:schemeClr w14:val="tx1"/>
                  </w14:solidFill>
                </w14:textFill>
              </w:rPr>
            </w:pPr>
          </w:p>
        </w:tc>
        <w:tc>
          <w:tcPr>
            <w:tcW w:w="2285" w:type="pct"/>
            <w:vAlign w:val="center"/>
          </w:tcPr>
          <w:p>
            <w:pPr>
              <w:pStyle w:val="118"/>
              <w:rPr>
                <w:color w:val="000000" w:themeColor="text1"/>
                <w:highlight w:val="none"/>
                <w14:textFill>
                  <w14:solidFill>
                    <w14:schemeClr w14:val="tx1"/>
                  </w14:solidFill>
                </w14:textFill>
              </w:rPr>
            </w:pPr>
            <w:r>
              <w:rPr>
                <w:color w:val="000000" w:themeColor="text1"/>
                <w:highlight w:val="none"/>
                <w:shd w:val="clear" w:color="auto" w:fill="FFFFFF"/>
                <w14:textFill>
                  <w14:solidFill>
                    <w14:schemeClr w14:val="tx1"/>
                  </w14:solidFill>
                </w14:textFill>
              </w:rPr>
              <w:t>（一）禁止新建、扩建造纸、制革、印染、染料、炼焦、炼砷、炼油、电镀、农药、化工、冶炼等对水体污染严重的建设项目；改建建设项目，不得增加排污量；</w:t>
            </w:r>
          </w:p>
        </w:tc>
        <w:tc>
          <w:tcPr>
            <w:tcW w:w="1843" w:type="pct"/>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本项目选址</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选线位于地表水</w:t>
            </w:r>
            <w:r>
              <w:rPr>
                <w:color w:val="000000" w:themeColor="text1"/>
                <w:highlight w:val="none"/>
                <w:shd w:val="clear" w:color="auto" w:fill="FFFFFF"/>
                <w14:textFill>
                  <w14:solidFill>
                    <w14:schemeClr w14:val="tx1"/>
                  </w14:solidFill>
                </w14:textFill>
              </w:rPr>
              <w:t>饮用水水源准保护区外，不涉及违反上述规定</w:t>
            </w:r>
          </w:p>
        </w:tc>
        <w:tc>
          <w:tcPr>
            <w:tcW w:w="54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6" w:hRule="atLeast"/>
          <w:jc w:val="center"/>
        </w:trPr>
        <w:tc>
          <w:tcPr>
            <w:tcW w:w="326" w:type="pct"/>
            <w:vMerge w:val="continue"/>
            <w:vAlign w:val="center"/>
          </w:tcPr>
          <w:p>
            <w:pPr>
              <w:pStyle w:val="118"/>
              <w:rPr>
                <w:color w:val="000000" w:themeColor="text1"/>
                <w:highlight w:val="none"/>
                <w14:textFill>
                  <w14:solidFill>
                    <w14:schemeClr w14:val="tx1"/>
                  </w14:solidFill>
                </w14:textFill>
              </w:rPr>
            </w:pPr>
          </w:p>
        </w:tc>
        <w:tc>
          <w:tcPr>
            <w:tcW w:w="2285" w:type="pct"/>
            <w:vAlign w:val="center"/>
          </w:tcPr>
          <w:p>
            <w:pPr>
              <w:pStyle w:val="118"/>
              <w:rPr>
                <w:color w:val="000000" w:themeColor="text1"/>
                <w:highlight w:val="none"/>
                <w14:textFill>
                  <w14:solidFill>
                    <w14:schemeClr w14:val="tx1"/>
                  </w14:solidFill>
                </w14:textFill>
              </w:rPr>
            </w:pPr>
            <w:r>
              <w:rPr>
                <w:color w:val="000000" w:themeColor="text1"/>
                <w:highlight w:val="none"/>
                <w:shd w:val="clear" w:color="auto" w:fill="FFFFFF"/>
                <w14:textFill>
                  <w14:solidFill>
                    <w14:schemeClr w14:val="tx1"/>
                  </w14:solidFill>
                </w14:textFill>
              </w:rPr>
              <w:t>（二）禁止设置易溶性、有毒有害废弃物和危险废物的暂存和转运场所；禁止设置生活垃圾和工业固体废物的处置场所，生活垃圾转运站和工业固体废物暂存场所应当设置防护设施；</w:t>
            </w:r>
          </w:p>
        </w:tc>
        <w:tc>
          <w:tcPr>
            <w:tcW w:w="1843" w:type="pct"/>
            <w:vMerge w:val="continue"/>
            <w:vAlign w:val="center"/>
          </w:tcPr>
          <w:p>
            <w:pPr>
              <w:pStyle w:val="118"/>
              <w:rPr>
                <w:color w:val="000000" w:themeColor="text1"/>
                <w:highlight w:val="none"/>
                <w14:textFill>
                  <w14:solidFill>
                    <w14:schemeClr w14:val="tx1"/>
                  </w14:solidFill>
                </w14:textFill>
              </w:rPr>
            </w:pPr>
          </w:p>
        </w:tc>
        <w:tc>
          <w:tcPr>
            <w:tcW w:w="54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6" w:hRule="atLeast"/>
          <w:jc w:val="center"/>
        </w:trPr>
        <w:tc>
          <w:tcPr>
            <w:tcW w:w="326" w:type="pct"/>
            <w:vMerge w:val="continue"/>
            <w:vAlign w:val="center"/>
          </w:tcPr>
          <w:p>
            <w:pPr>
              <w:pStyle w:val="118"/>
              <w:rPr>
                <w:color w:val="000000" w:themeColor="text1"/>
                <w:highlight w:val="none"/>
                <w14:textFill>
                  <w14:solidFill>
                    <w14:schemeClr w14:val="tx1"/>
                  </w14:solidFill>
                </w14:textFill>
              </w:rPr>
            </w:pPr>
          </w:p>
        </w:tc>
        <w:tc>
          <w:tcPr>
            <w:tcW w:w="2285" w:type="pct"/>
            <w:vAlign w:val="center"/>
          </w:tcPr>
          <w:p>
            <w:pPr>
              <w:pStyle w:val="118"/>
              <w:rPr>
                <w:color w:val="000000" w:themeColor="text1"/>
                <w:highlight w:val="none"/>
                <w14:textFill>
                  <w14:solidFill>
                    <w14:schemeClr w14:val="tx1"/>
                  </w14:solidFill>
                </w14:textFill>
              </w:rPr>
            </w:pPr>
            <w:r>
              <w:rPr>
                <w:color w:val="000000" w:themeColor="text1"/>
                <w:highlight w:val="none"/>
                <w:shd w:val="clear" w:color="auto" w:fill="FFFFFF"/>
                <w14:textFill>
                  <w14:solidFill>
                    <w14:schemeClr w14:val="tx1"/>
                  </w14:solidFill>
                </w14:textFill>
              </w:rPr>
              <w:t>（三）禁止进行可能影响饮用水水源水质的天然气、石灰石、盐卤等矿产勘查、开采等活动；</w:t>
            </w:r>
          </w:p>
        </w:tc>
        <w:tc>
          <w:tcPr>
            <w:tcW w:w="1843" w:type="pct"/>
            <w:vMerge w:val="continue"/>
            <w:vAlign w:val="center"/>
          </w:tcPr>
          <w:p>
            <w:pPr>
              <w:pStyle w:val="118"/>
              <w:rPr>
                <w:color w:val="000000" w:themeColor="text1"/>
                <w:highlight w:val="none"/>
                <w14:textFill>
                  <w14:solidFill>
                    <w14:schemeClr w14:val="tx1"/>
                  </w14:solidFill>
                </w14:textFill>
              </w:rPr>
            </w:pPr>
          </w:p>
        </w:tc>
        <w:tc>
          <w:tcPr>
            <w:tcW w:w="54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6" w:hRule="atLeast"/>
          <w:jc w:val="center"/>
        </w:trPr>
        <w:tc>
          <w:tcPr>
            <w:tcW w:w="326" w:type="pct"/>
            <w:vMerge w:val="continue"/>
            <w:vAlign w:val="center"/>
          </w:tcPr>
          <w:p>
            <w:pPr>
              <w:pStyle w:val="118"/>
              <w:rPr>
                <w:color w:val="000000" w:themeColor="text1"/>
                <w:highlight w:val="none"/>
                <w14:textFill>
                  <w14:solidFill>
                    <w14:schemeClr w14:val="tx1"/>
                  </w14:solidFill>
                </w14:textFill>
              </w:rPr>
            </w:pPr>
          </w:p>
        </w:tc>
        <w:tc>
          <w:tcPr>
            <w:tcW w:w="2285" w:type="pct"/>
            <w:vAlign w:val="center"/>
          </w:tcPr>
          <w:p>
            <w:pPr>
              <w:pStyle w:val="118"/>
              <w:rPr>
                <w:color w:val="000000" w:themeColor="text1"/>
                <w:highlight w:val="none"/>
                <w14:textFill>
                  <w14:solidFill>
                    <w14:schemeClr w14:val="tx1"/>
                  </w14:solidFill>
                </w14:textFill>
              </w:rPr>
            </w:pPr>
            <w:r>
              <w:rPr>
                <w:color w:val="000000" w:themeColor="text1"/>
                <w:highlight w:val="none"/>
                <w:shd w:val="clear" w:color="auto" w:fill="FFFFFF"/>
                <w14:textFill>
                  <w14:solidFill>
                    <w14:schemeClr w14:val="tx1"/>
                  </w14:solidFill>
                </w14:textFill>
              </w:rPr>
              <w:t>（四）法律、法规禁止的其他行为。</w:t>
            </w:r>
          </w:p>
        </w:tc>
        <w:tc>
          <w:tcPr>
            <w:tcW w:w="1843" w:type="pct"/>
            <w:vMerge w:val="continue"/>
            <w:vAlign w:val="center"/>
          </w:tcPr>
          <w:p>
            <w:pPr>
              <w:pStyle w:val="118"/>
              <w:rPr>
                <w:color w:val="000000" w:themeColor="text1"/>
                <w:highlight w:val="none"/>
                <w14:textFill>
                  <w14:solidFill>
                    <w14:schemeClr w14:val="tx1"/>
                  </w14:solidFill>
                </w14:textFill>
              </w:rPr>
            </w:pPr>
          </w:p>
        </w:tc>
        <w:tc>
          <w:tcPr>
            <w:tcW w:w="54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6" w:hRule="atLeast"/>
          <w:jc w:val="center"/>
        </w:trPr>
        <w:tc>
          <w:tcPr>
            <w:tcW w:w="326" w:type="pct"/>
            <w:vMerge w:val="restart"/>
            <w:vAlign w:val="center"/>
          </w:tcPr>
          <w:p>
            <w:pPr>
              <w:pStyle w:val="118"/>
              <w:rPr>
                <w:color w:val="000000" w:themeColor="text1"/>
                <w:highlight w:val="none"/>
                <w14:textFill>
                  <w14:solidFill>
                    <w14:schemeClr w14:val="tx1"/>
                  </w14:solidFill>
                </w14:textFill>
              </w:rPr>
            </w:pPr>
            <w:r>
              <w:rPr>
                <w:color w:val="000000" w:themeColor="text1"/>
                <w:highlight w:val="none"/>
                <w:shd w:val="clear" w:color="auto" w:fill="FFFFFF"/>
                <w14:textFill>
                  <w14:solidFill>
                    <w14:schemeClr w14:val="tx1"/>
                  </w14:solidFill>
                </w14:textFill>
              </w:rPr>
              <w:t>第二十条</w:t>
            </w:r>
          </w:p>
        </w:tc>
        <w:tc>
          <w:tcPr>
            <w:tcW w:w="4674" w:type="pct"/>
            <w:gridSpan w:val="3"/>
            <w:vAlign w:val="center"/>
          </w:tcPr>
          <w:p>
            <w:pPr>
              <w:pStyle w:val="118"/>
              <w:rPr>
                <w:color w:val="000000" w:themeColor="text1"/>
                <w:highlight w:val="none"/>
                <w14:textFill>
                  <w14:solidFill>
                    <w14:schemeClr w14:val="tx1"/>
                  </w14:solidFill>
                </w14:textFill>
              </w:rPr>
            </w:pPr>
            <w:r>
              <w:rPr>
                <w:color w:val="000000" w:themeColor="text1"/>
                <w:highlight w:val="none"/>
                <w:shd w:val="clear" w:color="auto" w:fill="FFFFFF"/>
                <w14:textFill>
                  <w14:solidFill>
                    <w14:schemeClr w14:val="tx1"/>
                  </w14:solidFill>
                </w14:textFill>
              </w:rPr>
              <w:t>集中式地表水饮用水水源二级保护区内，应当遵守下列规定</w:t>
            </w:r>
            <w:r>
              <w:rPr>
                <w:rFonts w:hint="eastAsia"/>
                <w:color w:val="000000" w:themeColor="text1"/>
                <w:highlight w:val="none"/>
                <w:shd w:val="clear" w:color="auto" w:fill="FFFFFF"/>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6" w:hRule="atLeast"/>
          <w:jc w:val="center"/>
        </w:trPr>
        <w:tc>
          <w:tcPr>
            <w:tcW w:w="326" w:type="pct"/>
            <w:vMerge w:val="continue"/>
            <w:vAlign w:val="center"/>
          </w:tcPr>
          <w:p>
            <w:pPr>
              <w:pStyle w:val="118"/>
              <w:rPr>
                <w:color w:val="000000" w:themeColor="text1"/>
                <w:highlight w:val="none"/>
                <w14:textFill>
                  <w14:solidFill>
                    <w14:schemeClr w14:val="tx1"/>
                  </w14:solidFill>
                </w14:textFill>
              </w:rPr>
            </w:pPr>
          </w:p>
        </w:tc>
        <w:tc>
          <w:tcPr>
            <w:tcW w:w="2285" w:type="pct"/>
            <w:vAlign w:val="center"/>
          </w:tcPr>
          <w:p>
            <w:pPr>
              <w:pStyle w:val="118"/>
              <w:rPr>
                <w:color w:val="000000" w:themeColor="text1"/>
                <w:highlight w:val="none"/>
                <w14:textFill>
                  <w14:solidFill>
                    <w14:schemeClr w14:val="tx1"/>
                  </w14:solidFill>
                </w14:textFill>
              </w:rPr>
            </w:pPr>
            <w:r>
              <w:rPr>
                <w:color w:val="000000" w:themeColor="text1"/>
                <w:highlight w:val="none"/>
                <w:shd w:val="clear" w:color="auto" w:fill="FFFFFF"/>
                <w14:textFill>
                  <w14:solidFill>
                    <w14:schemeClr w14:val="tx1"/>
                  </w14:solidFill>
                </w14:textFill>
              </w:rPr>
              <w:t>（一）禁止新建、改建、扩建排放污染物的建设项目（含排污口不在保护区的建设项目）；已建成的排放污染物的建设项目，由市、县级人民政府责令限期拆除或者关闭；饮用水水源二级保护区内已存在的乡镇（居民聚居点）可以建设生活污水集中处理设施，生活污水经集中处理后排到水源保护区外；</w:t>
            </w:r>
          </w:p>
        </w:tc>
        <w:tc>
          <w:tcPr>
            <w:tcW w:w="1843" w:type="pct"/>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本项目选址</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选线位于地表水</w:t>
            </w:r>
            <w:r>
              <w:rPr>
                <w:color w:val="000000" w:themeColor="text1"/>
                <w:highlight w:val="none"/>
                <w:shd w:val="clear" w:color="auto" w:fill="FFFFFF"/>
                <w14:textFill>
                  <w14:solidFill>
                    <w14:schemeClr w14:val="tx1"/>
                  </w14:solidFill>
                </w14:textFill>
              </w:rPr>
              <w:t>饮用水水源二级保护区外，不涉及违反上述规定</w:t>
            </w:r>
          </w:p>
        </w:tc>
        <w:tc>
          <w:tcPr>
            <w:tcW w:w="54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6" w:hRule="atLeast"/>
          <w:jc w:val="center"/>
        </w:trPr>
        <w:tc>
          <w:tcPr>
            <w:tcW w:w="326" w:type="pct"/>
            <w:vMerge w:val="continue"/>
            <w:vAlign w:val="center"/>
          </w:tcPr>
          <w:p>
            <w:pPr>
              <w:pStyle w:val="118"/>
              <w:rPr>
                <w:color w:val="000000" w:themeColor="text1"/>
                <w:highlight w:val="none"/>
                <w14:textFill>
                  <w14:solidFill>
                    <w14:schemeClr w14:val="tx1"/>
                  </w14:solidFill>
                </w14:textFill>
              </w:rPr>
            </w:pPr>
          </w:p>
        </w:tc>
        <w:tc>
          <w:tcPr>
            <w:tcW w:w="2285" w:type="pct"/>
            <w:vAlign w:val="center"/>
          </w:tcPr>
          <w:p>
            <w:pPr>
              <w:pStyle w:val="118"/>
              <w:rPr>
                <w:color w:val="000000" w:themeColor="text1"/>
                <w:highlight w:val="none"/>
                <w14:textFill>
                  <w14:solidFill>
                    <w14:schemeClr w14:val="tx1"/>
                  </w14:solidFill>
                </w14:textFill>
              </w:rPr>
            </w:pPr>
            <w:r>
              <w:rPr>
                <w:color w:val="000000" w:themeColor="text1"/>
                <w:highlight w:val="none"/>
                <w:shd w:val="clear" w:color="auto" w:fill="FFFFFF"/>
                <w14:textFill>
                  <w14:solidFill>
                    <w14:schemeClr w14:val="tx1"/>
                  </w14:solidFill>
                </w14:textFill>
              </w:rPr>
              <w:t>（二）禁止从事经营性取土和采石（砂）等活动；</w:t>
            </w:r>
          </w:p>
        </w:tc>
        <w:tc>
          <w:tcPr>
            <w:tcW w:w="1843" w:type="pct"/>
            <w:vMerge w:val="continue"/>
            <w:vAlign w:val="center"/>
          </w:tcPr>
          <w:p>
            <w:pPr>
              <w:pStyle w:val="118"/>
              <w:rPr>
                <w:color w:val="000000" w:themeColor="text1"/>
                <w:highlight w:val="none"/>
                <w14:textFill>
                  <w14:solidFill>
                    <w14:schemeClr w14:val="tx1"/>
                  </w14:solidFill>
                </w14:textFill>
              </w:rPr>
            </w:pPr>
          </w:p>
        </w:tc>
        <w:tc>
          <w:tcPr>
            <w:tcW w:w="54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6" w:hRule="atLeast"/>
          <w:jc w:val="center"/>
        </w:trPr>
        <w:tc>
          <w:tcPr>
            <w:tcW w:w="326" w:type="pct"/>
            <w:vMerge w:val="continue"/>
            <w:vAlign w:val="center"/>
          </w:tcPr>
          <w:p>
            <w:pPr>
              <w:pStyle w:val="118"/>
              <w:rPr>
                <w:color w:val="000000" w:themeColor="text1"/>
                <w:highlight w:val="none"/>
                <w14:textFill>
                  <w14:solidFill>
                    <w14:schemeClr w14:val="tx1"/>
                  </w14:solidFill>
                </w14:textFill>
              </w:rPr>
            </w:pPr>
          </w:p>
        </w:tc>
        <w:tc>
          <w:tcPr>
            <w:tcW w:w="2285" w:type="pct"/>
            <w:vAlign w:val="center"/>
          </w:tcPr>
          <w:p>
            <w:pPr>
              <w:pStyle w:val="118"/>
              <w:rPr>
                <w:color w:val="000000" w:themeColor="text1"/>
                <w:highlight w:val="none"/>
                <w14:textFill>
                  <w14:solidFill>
                    <w14:schemeClr w14:val="tx1"/>
                  </w14:solidFill>
                </w14:textFill>
              </w:rPr>
            </w:pPr>
            <w:r>
              <w:rPr>
                <w:color w:val="000000" w:themeColor="text1"/>
                <w:highlight w:val="none"/>
                <w:shd w:val="clear" w:color="auto" w:fill="FFFFFF"/>
                <w14:textFill>
                  <w14:solidFill>
                    <w14:schemeClr w14:val="tx1"/>
                  </w14:solidFill>
                </w14:textFill>
              </w:rPr>
              <w:t>（三）禁止设置畜禽养殖场、养殖小区；</w:t>
            </w:r>
          </w:p>
        </w:tc>
        <w:tc>
          <w:tcPr>
            <w:tcW w:w="1843" w:type="pct"/>
            <w:vMerge w:val="continue"/>
            <w:vAlign w:val="center"/>
          </w:tcPr>
          <w:p>
            <w:pPr>
              <w:pStyle w:val="118"/>
              <w:rPr>
                <w:color w:val="000000" w:themeColor="text1"/>
                <w:highlight w:val="none"/>
                <w14:textFill>
                  <w14:solidFill>
                    <w14:schemeClr w14:val="tx1"/>
                  </w14:solidFill>
                </w14:textFill>
              </w:rPr>
            </w:pPr>
          </w:p>
        </w:tc>
        <w:tc>
          <w:tcPr>
            <w:tcW w:w="54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6" w:hRule="atLeast"/>
          <w:jc w:val="center"/>
        </w:trPr>
        <w:tc>
          <w:tcPr>
            <w:tcW w:w="326" w:type="pct"/>
            <w:vMerge w:val="continue"/>
            <w:vAlign w:val="center"/>
          </w:tcPr>
          <w:p>
            <w:pPr>
              <w:pStyle w:val="118"/>
              <w:rPr>
                <w:color w:val="000000" w:themeColor="text1"/>
                <w:highlight w:val="none"/>
                <w14:textFill>
                  <w14:solidFill>
                    <w14:schemeClr w14:val="tx1"/>
                  </w14:solidFill>
                </w14:textFill>
              </w:rPr>
            </w:pPr>
          </w:p>
        </w:tc>
        <w:tc>
          <w:tcPr>
            <w:tcW w:w="2285" w:type="pct"/>
            <w:vAlign w:val="center"/>
          </w:tcPr>
          <w:p>
            <w:pPr>
              <w:pStyle w:val="118"/>
              <w:rPr>
                <w:color w:val="000000" w:themeColor="text1"/>
                <w:highlight w:val="none"/>
                <w14:textFill>
                  <w14:solidFill>
                    <w14:schemeClr w14:val="tx1"/>
                  </w14:solidFill>
                </w14:textFill>
              </w:rPr>
            </w:pPr>
            <w:r>
              <w:rPr>
                <w:color w:val="000000" w:themeColor="text1"/>
                <w:highlight w:val="none"/>
                <w:shd w:val="clear" w:color="auto" w:fill="FFFFFF"/>
                <w14:textFill>
                  <w14:solidFill>
                    <w14:schemeClr w14:val="tx1"/>
                  </w14:solidFill>
                </w14:textFill>
              </w:rPr>
              <w:t>（四）禁止从事网箱养殖、施肥养鱼、超标准养殖、投放暂存鱼、电鱼、炸鱼、毒鱼等污染饮用水水体的活动；</w:t>
            </w:r>
          </w:p>
        </w:tc>
        <w:tc>
          <w:tcPr>
            <w:tcW w:w="1843" w:type="pct"/>
            <w:vMerge w:val="continue"/>
            <w:vAlign w:val="center"/>
          </w:tcPr>
          <w:p>
            <w:pPr>
              <w:pStyle w:val="118"/>
              <w:rPr>
                <w:color w:val="000000" w:themeColor="text1"/>
                <w:highlight w:val="none"/>
                <w14:textFill>
                  <w14:solidFill>
                    <w14:schemeClr w14:val="tx1"/>
                  </w14:solidFill>
                </w14:textFill>
              </w:rPr>
            </w:pPr>
          </w:p>
        </w:tc>
        <w:tc>
          <w:tcPr>
            <w:tcW w:w="54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6" w:hRule="atLeast"/>
          <w:jc w:val="center"/>
        </w:trPr>
        <w:tc>
          <w:tcPr>
            <w:tcW w:w="326" w:type="pct"/>
            <w:vMerge w:val="continue"/>
            <w:vAlign w:val="center"/>
          </w:tcPr>
          <w:p>
            <w:pPr>
              <w:pStyle w:val="118"/>
              <w:rPr>
                <w:color w:val="000000" w:themeColor="text1"/>
                <w:highlight w:val="none"/>
                <w14:textFill>
                  <w14:solidFill>
                    <w14:schemeClr w14:val="tx1"/>
                  </w14:solidFill>
                </w14:textFill>
              </w:rPr>
            </w:pPr>
          </w:p>
        </w:tc>
        <w:tc>
          <w:tcPr>
            <w:tcW w:w="2285" w:type="pct"/>
            <w:vAlign w:val="center"/>
          </w:tcPr>
          <w:p>
            <w:pPr>
              <w:pStyle w:val="118"/>
              <w:rPr>
                <w:color w:val="000000" w:themeColor="text1"/>
                <w:highlight w:val="none"/>
                <w14:textFill>
                  <w14:solidFill>
                    <w14:schemeClr w14:val="tx1"/>
                  </w14:solidFill>
                </w14:textFill>
              </w:rPr>
            </w:pPr>
            <w:r>
              <w:rPr>
                <w:color w:val="000000" w:themeColor="text1"/>
                <w:highlight w:val="none"/>
                <w:shd w:val="clear" w:color="auto" w:fill="FFFFFF"/>
                <w14:textFill>
                  <w14:solidFill>
                    <w14:schemeClr w14:val="tx1"/>
                  </w14:solidFill>
                </w14:textFill>
              </w:rPr>
              <w:t>（五）禁止使用农药；禁止丢弃农药、农药包装物或者清洗施药器械；限制使用化肥；</w:t>
            </w:r>
          </w:p>
        </w:tc>
        <w:tc>
          <w:tcPr>
            <w:tcW w:w="1843" w:type="pct"/>
            <w:vMerge w:val="continue"/>
            <w:vAlign w:val="center"/>
          </w:tcPr>
          <w:p>
            <w:pPr>
              <w:pStyle w:val="118"/>
              <w:rPr>
                <w:color w:val="000000" w:themeColor="text1"/>
                <w:highlight w:val="none"/>
                <w14:textFill>
                  <w14:solidFill>
                    <w14:schemeClr w14:val="tx1"/>
                  </w14:solidFill>
                </w14:textFill>
              </w:rPr>
            </w:pPr>
          </w:p>
        </w:tc>
        <w:tc>
          <w:tcPr>
            <w:tcW w:w="54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6" w:hRule="atLeast"/>
          <w:jc w:val="center"/>
        </w:trPr>
        <w:tc>
          <w:tcPr>
            <w:tcW w:w="326" w:type="pct"/>
            <w:vMerge w:val="continue"/>
            <w:vAlign w:val="center"/>
          </w:tcPr>
          <w:p>
            <w:pPr>
              <w:pStyle w:val="118"/>
              <w:rPr>
                <w:color w:val="000000" w:themeColor="text1"/>
                <w:highlight w:val="none"/>
                <w14:textFill>
                  <w14:solidFill>
                    <w14:schemeClr w14:val="tx1"/>
                  </w14:solidFill>
                </w14:textFill>
              </w:rPr>
            </w:pPr>
          </w:p>
        </w:tc>
        <w:tc>
          <w:tcPr>
            <w:tcW w:w="2285" w:type="pct"/>
            <w:vAlign w:val="center"/>
          </w:tcPr>
          <w:p>
            <w:pPr>
              <w:pStyle w:val="118"/>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（六）法律、法规和本条例第十九条禁止的其他行为。</w:t>
            </w:r>
          </w:p>
        </w:tc>
        <w:tc>
          <w:tcPr>
            <w:tcW w:w="1843" w:type="pct"/>
            <w:vMerge w:val="continue"/>
            <w:vAlign w:val="center"/>
          </w:tcPr>
          <w:p>
            <w:pPr>
              <w:pStyle w:val="118"/>
              <w:rPr>
                <w:color w:val="000000" w:themeColor="text1"/>
                <w:highlight w:val="none"/>
                <w14:textFill>
                  <w14:solidFill>
                    <w14:schemeClr w14:val="tx1"/>
                  </w14:solidFill>
                </w14:textFill>
              </w:rPr>
            </w:pPr>
          </w:p>
        </w:tc>
        <w:tc>
          <w:tcPr>
            <w:tcW w:w="54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6" w:hRule="atLeast"/>
          <w:jc w:val="center"/>
        </w:trPr>
        <w:tc>
          <w:tcPr>
            <w:tcW w:w="326" w:type="pct"/>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第二十一条</w:t>
            </w:r>
          </w:p>
        </w:tc>
        <w:tc>
          <w:tcPr>
            <w:tcW w:w="4674" w:type="pct"/>
            <w:gridSpan w:val="3"/>
            <w:vAlign w:val="center"/>
          </w:tcPr>
          <w:p>
            <w:pPr>
              <w:pStyle w:val="118"/>
              <w:rPr>
                <w:color w:val="000000" w:themeColor="text1"/>
                <w:highlight w:val="none"/>
                <w14:textFill>
                  <w14:solidFill>
                    <w14:schemeClr w14:val="tx1"/>
                  </w14:solidFill>
                </w14:textFill>
              </w:rPr>
            </w:pPr>
            <w:r>
              <w:rPr>
                <w:color w:val="000000" w:themeColor="text1"/>
                <w:highlight w:val="none"/>
                <w:shd w:val="clear" w:color="auto" w:fill="FFFFFF"/>
                <w14:textFill>
                  <w14:solidFill>
                    <w14:schemeClr w14:val="tx1"/>
                  </w14:solidFill>
                </w14:textFill>
              </w:rPr>
              <w:t>中式地表水饮用水水源一级保护区内，应当遵守下列规定：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6" w:hRule="atLeast"/>
          <w:jc w:val="center"/>
        </w:trPr>
        <w:tc>
          <w:tcPr>
            <w:tcW w:w="326" w:type="pct"/>
            <w:vMerge w:val="continue"/>
            <w:vAlign w:val="center"/>
          </w:tcPr>
          <w:p>
            <w:pPr>
              <w:pStyle w:val="118"/>
              <w:rPr>
                <w:color w:val="000000" w:themeColor="text1"/>
                <w:highlight w:val="none"/>
                <w14:textFill>
                  <w14:solidFill>
                    <w14:schemeClr w14:val="tx1"/>
                  </w14:solidFill>
                </w14:textFill>
              </w:rPr>
            </w:pPr>
          </w:p>
        </w:tc>
        <w:tc>
          <w:tcPr>
            <w:tcW w:w="2285" w:type="pct"/>
            <w:vAlign w:val="center"/>
          </w:tcPr>
          <w:p>
            <w:pPr>
              <w:pStyle w:val="118"/>
              <w:rPr>
                <w:color w:val="000000" w:themeColor="text1"/>
                <w:highlight w:val="none"/>
                <w14:textFill>
                  <w14:solidFill>
                    <w14:schemeClr w14:val="tx1"/>
                  </w14:solidFill>
                </w14:textFill>
              </w:rPr>
            </w:pPr>
            <w:r>
              <w:rPr>
                <w:color w:val="000000" w:themeColor="text1"/>
                <w:highlight w:val="none"/>
                <w:shd w:val="clear" w:color="auto" w:fill="FFFFFF"/>
                <w14:textFill>
                  <w14:solidFill>
                    <w14:schemeClr w14:val="tx1"/>
                  </w14:solidFill>
                </w14:textFill>
              </w:rPr>
              <w:t>（一）禁止从事餐饮、旅游、游泳、垂钓或者其他可能污染水体的活动；</w:t>
            </w:r>
          </w:p>
        </w:tc>
        <w:tc>
          <w:tcPr>
            <w:tcW w:w="1843" w:type="pct"/>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本项目选址</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选线位于地表水</w:t>
            </w:r>
            <w:r>
              <w:rPr>
                <w:color w:val="000000" w:themeColor="text1"/>
                <w:highlight w:val="none"/>
                <w:shd w:val="clear" w:color="auto" w:fill="FFFFFF"/>
                <w14:textFill>
                  <w14:solidFill>
                    <w14:schemeClr w14:val="tx1"/>
                  </w14:solidFill>
                </w14:textFill>
              </w:rPr>
              <w:t>饮用水水源一级保护区外，不涉及违反上述规定</w:t>
            </w:r>
          </w:p>
        </w:tc>
        <w:tc>
          <w:tcPr>
            <w:tcW w:w="54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6" w:hRule="atLeast"/>
          <w:jc w:val="center"/>
        </w:trPr>
        <w:tc>
          <w:tcPr>
            <w:tcW w:w="326" w:type="pct"/>
            <w:vMerge w:val="continue"/>
            <w:vAlign w:val="center"/>
          </w:tcPr>
          <w:p>
            <w:pPr>
              <w:pStyle w:val="118"/>
              <w:rPr>
                <w:color w:val="000000" w:themeColor="text1"/>
                <w:highlight w:val="none"/>
                <w14:textFill>
                  <w14:solidFill>
                    <w14:schemeClr w14:val="tx1"/>
                  </w14:solidFill>
                </w14:textFill>
              </w:rPr>
            </w:pPr>
          </w:p>
        </w:tc>
        <w:tc>
          <w:tcPr>
            <w:tcW w:w="2285" w:type="pct"/>
            <w:vAlign w:val="center"/>
          </w:tcPr>
          <w:p>
            <w:pPr>
              <w:pStyle w:val="118"/>
              <w:rPr>
                <w:color w:val="000000" w:themeColor="text1"/>
                <w:highlight w:val="none"/>
                <w14:textFill>
                  <w14:solidFill>
                    <w14:schemeClr w14:val="tx1"/>
                  </w14:solidFill>
                </w14:textFill>
              </w:rPr>
            </w:pPr>
            <w:r>
              <w:rPr>
                <w:color w:val="000000" w:themeColor="text1"/>
                <w:highlight w:val="none"/>
                <w:shd w:val="clear" w:color="auto" w:fill="FFFFFF"/>
                <w14:textFill>
                  <w14:solidFill>
                    <w14:schemeClr w14:val="tx1"/>
                  </w14:solidFill>
                </w14:textFill>
              </w:rPr>
              <w:t>（二）法律、法规和本条例第十九条、第二十条禁止的行为。</w:t>
            </w:r>
          </w:p>
        </w:tc>
        <w:tc>
          <w:tcPr>
            <w:tcW w:w="1843" w:type="pct"/>
            <w:vMerge w:val="continue"/>
            <w:vAlign w:val="center"/>
          </w:tcPr>
          <w:p>
            <w:pPr>
              <w:pStyle w:val="118"/>
              <w:rPr>
                <w:color w:val="000000" w:themeColor="text1"/>
                <w:highlight w:val="none"/>
                <w14:textFill>
                  <w14:solidFill>
                    <w14:schemeClr w14:val="tx1"/>
                  </w14:solidFill>
                </w14:textFill>
              </w:rPr>
            </w:pPr>
          </w:p>
        </w:tc>
        <w:tc>
          <w:tcPr>
            <w:tcW w:w="54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bl>
    <w:p>
      <w:pPr>
        <w:tabs>
          <w:tab w:val="left" w:pos="3864"/>
        </w:tabs>
        <w:spacing w:before="120" w:beforeLines="50"/>
        <w:ind w:firstLine="480"/>
        <w:rPr>
          <w:bCs/>
          <w:color w:val="000000" w:themeColor="text1"/>
          <w:highlight w:val="none"/>
          <w14:textFill>
            <w14:solidFill>
              <w14:schemeClr w14:val="tx1"/>
            </w14:solidFill>
          </w14:textFill>
        </w:rPr>
      </w:pPr>
      <w:r>
        <w:rPr>
          <w:rFonts w:hint="eastAsia"/>
          <w:bCs/>
          <w:color w:val="000000" w:themeColor="text1"/>
          <w:highlight w:val="none"/>
          <w14:textFill>
            <w14:solidFill>
              <w14:schemeClr w14:val="tx1"/>
            </w14:solidFill>
          </w14:textFill>
        </w:rPr>
        <w:t>综上所述，本项目选址、选线均不涉及达州市集中式饮用水水源各级保护区，本项目的建设与《达州市饮用水水源地保护区管理条例》相符合。</w:t>
      </w:r>
    </w:p>
    <w:p>
      <w:pPr>
        <w:pStyle w:val="4"/>
        <w:spacing w:before="120"/>
        <w:rPr>
          <w:color w:val="000000" w:themeColor="text1"/>
          <w:sz w:val="26"/>
          <w:szCs w:val="26"/>
          <w:highlight w:val="none"/>
          <w:lang w:eastAsia="zh-CN"/>
          <w14:textFill>
            <w14:solidFill>
              <w14:schemeClr w14:val="tx1"/>
            </w14:solidFill>
          </w14:textFill>
        </w:rPr>
      </w:pPr>
      <w:bookmarkStart w:id="98" w:name="_Toc15764"/>
      <w:r>
        <w:rPr>
          <w:color w:val="000000" w:themeColor="text1"/>
          <w:highlight w:val="none"/>
          <w:lang w:eastAsia="zh-CN"/>
          <w14:textFill>
            <w14:solidFill>
              <w14:schemeClr w14:val="tx1"/>
            </w14:solidFill>
          </w14:textFill>
        </w:rPr>
        <w:t>评价内容及时段</w:t>
      </w:r>
      <w:bookmarkEnd w:id="98"/>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1、评价内容</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（1）分析本项目建设方案与相关法律法规、环境经济技术政策、产业政策以及相关规划的协调性；</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（2）调查项目建设现状，对污染源污染治理设施、污染物排放方式和去向进行回顾性调查，对存在的环境问题提出整改措施建议；</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（3）运用现状监测与资料收集等手段，对项目所在区域进行环境质量回顾性评价，分析环境空气、地表水、地下水、土壤、声环境等环境质量变化趋势；</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（4）对可能会对区域内的环境空气、地表水环境、地下水环境、声环境、土壤环境、生态环境等带来的环境污染影响和环境风险影响进行全面深入的分析、预测和评价，同时结合项目选址</w:t>
      </w:r>
      <w:r>
        <w:rPr>
          <w:rFonts w:hint="eastAsia" w:cs="Times New Roman"/>
          <w:bCs/>
          <w:color w:val="000000" w:themeColor="text1"/>
          <w:szCs w:val="24"/>
          <w:highlight w:val="none"/>
          <w14:textFill>
            <w14:solidFill>
              <w14:schemeClr w14:val="tx1"/>
            </w14:solidFill>
          </w14:textFill>
        </w:rPr>
        <w:t>、选线</w:t>
      </w:r>
      <w:r>
        <w:rPr>
          <w:rFonts w:cs="Times New Roman"/>
          <w:bCs/>
          <w:color w:val="000000" w:themeColor="text1"/>
          <w:szCs w:val="24"/>
          <w:highlight w:val="none"/>
          <w14:textFill>
            <w14:solidFill>
              <w14:schemeClr w14:val="tx1"/>
            </w14:solidFill>
          </w14:textFill>
        </w:rPr>
        <w:t>的合理性，论证产能建设项目的环境可行性；</w:t>
      </w:r>
    </w:p>
    <w:p>
      <w:pPr>
        <w:tabs>
          <w:tab w:val="left" w:pos="0"/>
        </w:tabs>
        <w:ind w:firstLine="480"/>
        <w:rPr>
          <w:rFonts w:hint="eastAsia"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（5）分析管线穿越河流和沟渠的方式，对地表水及水生生态的影响；</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（6）调查项目依托环保基础设施现状，说明污水处理设施、回注井等设施的建设地点、规模、服务范围以及运行现状，分析评价依托处置规模合理性，工艺可行性，环保设施可依托性等，论证项目的可依托性；</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（7）从天然气开发活动是否突破当地生态保护红线、环境质量底线、资源利用上线和生态环境准入清单，从环境保护角度分析建设项目区域环境的可承载性。</w:t>
      </w:r>
    </w:p>
    <w:p>
      <w:pPr>
        <w:tabs>
          <w:tab w:val="left" w:pos="0"/>
        </w:tabs>
        <w:ind w:firstLine="480"/>
        <w:rPr>
          <w:rFonts w:eastAsia="黑体" w:cs="Times New Roman"/>
          <w:bCs/>
          <w:color w:val="000000" w:themeColor="text1"/>
          <w:szCs w:val="24"/>
          <w:highlight w:val="none"/>
          <w14:textFill>
            <w14:solidFill>
              <w14:schemeClr w14:val="tx1"/>
            </w14:solidFill>
          </w14:textFill>
        </w:rPr>
      </w:pPr>
      <w:r>
        <w:rPr>
          <w:rFonts w:eastAsia="黑体" w:cs="Times New Roman"/>
          <w:bCs/>
          <w:color w:val="000000" w:themeColor="text1"/>
          <w:szCs w:val="24"/>
          <w:highlight w:val="none"/>
          <w14:textFill>
            <w14:solidFill>
              <w14:schemeClr w14:val="tx1"/>
            </w14:solidFill>
          </w14:textFill>
        </w:rPr>
        <w:t>2、评价重点</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（1）分析本项目建设方案与相关政策、法规、规划在资源利用、环境保护要求等方面的符合性。</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调查识别区域环境敏感区和重点生态功能区等环境保护目标的分布情况及保护要求，分析资源利用和保护中存在的问题，评价区域环境质量状况，评价生态系统的组成、结构与功能状况、变化趋势和存在的主要环境问题，提出本项目建设的资源与环境制约因素。</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（3）本项目天然气试采对区域环境质量的影响，对区域生态系统完整性所造成的影响，对主要环境敏感区和重点生态功能区等环境保护目标的影响性质与程度。</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（4）分析评价区域资源与环境承载能力对本项目天然气开发的支撑状况，综合论证建设方案的环境合理性，提出项目建设方案优化调整建议。</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（5）以</w:t>
      </w:r>
      <w:r>
        <w:rPr>
          <w:rFonts w:ascii="宋体" w:hAnsi="宋体" w:cs="Times New Roman"/>
          <w:bCs/>
          <w:color w:val="000000" w:themeColor="text1"/>
          <w:szCs w:val="24"/>
          <w:highlight w:val="none"/>
          <w14:textFill>
            <w14:solidFill>
              <w14:schemeClr w14:val="tx1"/>
            </w14:solidFill>
          </w14:textFill>
        </w:rPr>
        <w:t>“三线一单”</w:t>
      </w:r>
      <w:r>
        <w:rPr>
          <w:rFonts w:cs="Times New Roman"/>
          <w:bCs/>
          <w:color w:val="000000" w:themeColor="text1"/>
          <w:szCs w:val="24"/>
          <w:highlight w:val="none"/>
          <w14:textFill>
            <w14:solidFill>
              <w14:schemeClr w14:val="tx1"/>
            </w14:solidFill>
          </w14:textFill>
        </w:rPr>
        <w:t>（生态保护红线、环境质量底线、资源利用上线和环境准入负面清单）为手段，强化空间、准入环境管理和总量控制。</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（6）提出预防或者减轻不良环境影响的对策和措施。</w:t>
      </w:r>
    </w:p>
    <w:p>
      <w:pPr>
        <w:tabs>
          <w:tab w:val="left" w:pos="0"/>
        </w:tabs>
        <w:ind w:firstLine="480"/>
        <w:rPr>
          <w:rFonts w:cs="Times New Roman"/>
          <w:bCs/>
          <w:color w:val="000000" w:themeColor="text1"/>
          <w:szCs w:val="24"/>
          <w:highlight w:val="none"/>
          <w14:textFill>
            <w14:solidFill>
              <w14:schemeClr w14:val="tx1"/>
            </w14:solidFill>
          </w14:textFill>
        </w:rPr>
      </w:pPr>
      <w:r>
        <w:rPr>
          <w:rFonts w:eastAsia="黑体" w:cs="Times New Roman"/>
          <w:bCs/>
          <w:color w:val="000000" w:themeColor="text1"/>
          <w:szCs w:val="24"/>
          <w:highlight w:val="none"/>
          <w14:textFill>
            <w14:solidFill>
              <w14:schemeClr w14:val="tx1"/>
            </w14:solidFill>
          </w14:textFill>
        </w:rPr>
        <w:t>3、评价时段</w:t>
      </w:r>
    </w:p>
    <w:p>
      <w:pPr>
        <w:tabs>
          <w:tab w:val="left" w:pos="0"/>
        </w:tabs>
        <w:ind w:firstLine="480"/>
        <w:rPr>
          <w:rFonts w:cs="Times New Roman"/>
          <w:color w:val="000000" w:themeColor="text1"/>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根据《环境影响评价技术导则陆地石油天然气开发建设项目》（HJ 349-2023）中的有关规定，本次评价时段分施工期、运行期（试采期）来开展环境影响评价。</w:t>
      </w:r>
    </w:p>
    <w:p>
      <w:pPr>
        <w:pStyle w:val="4"/>
        <w:spacing w:before="120"/>
        <w:rPr>
          <w:color w:val="000000" w:themeColor="text1"/>
          <w:highlight w:val="none"/>
          <w:lang w:eastAsia="zh-CN"/>
          <w14:textFill>
            <w14:solidFill>
              <w14:schemeClr w14:val="tx1"/>
            </w14:solidFill>
          </w14:textFill>
        </w:rPr>
      </w:pPr>
      <w:bookmarkStart w:id="99" w:name="_Toc18501"/>
      <w:r>
        <w:rPr>
          <w:color w:val="000000" w:themeColor="text1"/>
          <w:highlight w:val="none"/>
          <w:lang w:eastAsia="zh-CN"/>
          <w14:textFill>
            <w14:solidFill>
              <w14:schemeClr w14:val="tx1"/>
            </w14:solidFill>
          </w14:textFill>
        </w:rPr>
        <w:t>环境保护目标</w:t>
      </w:r>
      <w:bookmarkEnd w:id="99"/>
    </w:p>
    <w:p>
      <w:pPr>
        <w:pStyle w:val="5"/>
        <w:spacing w:before="120"/>
        <w:ind w:firstLine="480"/>
        <w:rPr>
          <w:b/>
          <w:color w:val="000000" w:themeColor="text1"/>
          <w:highlight w:val="none"/>
          <w:lang w:eastAsia="zh-CN"/>
          <w14:textFill>
            <w14:solidFill>
              <w14:schemeClr w14:val="tx1"/>
            </w14:solidFill>
          </w14:textFill>
        </w:rPr>
      </w:pPr>
      <w:bookmarkStart w:id="100" w:name="_Toc120173085"/>
      <w:r>
        <w:rPr>
          <w:color w:val="000000" w:themeColor="text1"/>
          <w:highlight w:val="none"/>
          <w:lang w:eastAsia="zh-CN"/>
          <w14:textFill>
            <w14:solidFill>
              <w14:schemeClr w14:val="tx1"/>
            </w14:solidFill>
          </w14:textFill>
        </w:rPr>
        <w:t>外环境关系</w:t>
      </w:r>
      <w:bookmarkEnd w:id="100"/>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w:t>
      </w:r>
      <w:r>
        <w:rPr>
          <w:rFonts w:hint="eastAsia" w:cs="Times New Roman"/>
          <w:bCs/>
          <w:color w:val="000000" w:themeColor="text1"/>
          <w:szCs w:val="24"/>
          <w:highlight w:val="none"/>
          <w14:textFill>
            <w14:solidFill>
              <w14:schemeClr w14:val="tx1"/>
            </w14:solidFill>
          </w14:textFill>
        </w:rPr>
        <w:t>拟建试采站</w:t>
      </w:r>
      <w:r>
        <w:rPr>
          <w:rFonts w:cs="Times New Roman"/>
          <w:bCs/>
          <w:color w:val="000000" w:themeColor="text1"/>
          <w:szCs w:val="24"/>
          <w:highlight w:val="none"/>
          <w14:textFill>
            <w14:solidFill>
              <w14:schemeClr w14:val="tx1"/>
            </w14:solidFill>
          </w14:textFill>
        </w:rPr>
        <w:t>外环境简况</w:t>
      </w:r>
    </w:p>
    <w:p>
      <w:pPr>
        <w:tabs>
          <w:tab w:val="left" w:pos="5812"/>
        </w:tabs>
        <w:adjustRightInd/>
        <w:snapToGrid/>
        <w:ind w:firstLine="480"/>
        <w:textAlignment w:val="baseline"/>
        <w:rPr>
          <w:rFonts w:cs="Times New Roman"/>
          <w:color w:val="000000" w:themeColor="text1"/>
          <w:kern w:val="0"/>
          <w:szCs w:val="20"/>
          <w:highlight w:val="none"/>
          <w14:textFill>
            <w14:solidFill>
              <w14:schemeClr w14:val="tx1"/>
            </w14:solidFill>
          </w14:textFill>
        </w:rPr>
      </w:pPr>
      <w:r>
        <w:rPr>
          <w:rFonts w:cs="Times New Roman"/>
          <w:color w:val="000000" w:themeColor="text1"/>
          <w:kern w:val="0"/>
          <w:highlight w:val="none"/>
          <w14:textFill>
            <w14:solidFill>
              <w14:schemeClr w14:val="tx1"/>
            </w14:solidFill>
          </w14:textFill>
        </w:rPr>
        <w:t>本项目</w:t>
      </w:r>
      <w:r>
        <w:rPr>
          <w:rFonts w:hint="eastAsia" w:cs="Times New Roman"/>
          <w:color w:val="000000" w:themeColor="text1"/>
          <w:kern w:val="0"/>
          <w:highlight w:val="none"/>
          <w14:textFill>
            <w14:solidFill>
              <w14:schemeClr w14:val="tx1"/>
            </w14:solidFill>
          </w14:textFill>
        </w:rPr>
        <w:t>试采站位于四川省宣汉县</w:t>
      </w:r>
      <w:r>
        <w:rPr>
          <w:rFonts w:hint="eastAsia" w:cs="Times New Roman"/>
          <w:color w:val="000000" w:themeColor="text1"/>
          <w:kern w:val="0"/>
          <w:highlight w:val="none"/>
          <w:lang w:eastAsia="zh-CN"/>
          <w14:textFill>
            <w14:solidFill>
              <w14:schemeClr w14:val="tx1"/>
            </w14:solidFill>
          </w14:textFill>
        </w:rPr>
        <w:t>**</w:t>
      </w:r>
      <w:r>
        <w:rPr>
          <w:rFonts w:hint="eastAsia" w:cs="Times New Roman"/>
          <w:color w:val="000000" w:themeColor="text1"/>
          <w:kern w:val="0"/>
          <w:highlight w:val="none"/>
          <w14:textFill>
            <w14:solidFill>
              <w14:schemeClr w14:val="tx1"/>
            </w14:solidFill>
          </w14:textFill>
        </w:rPr>
        <w:t>石虎村8组</w:t>
      </w:r>
      <w:r>
        <w:rPr>
          <w:rFonts w:cs="Times New Roman"/>
          <w:color w:val="000000" w:themeColor="text1"/>
          <w:kern w:val="0"/>
          <w:highlight w:val="none"/>
          <w14:textFill>
            <w14:solidFill>
              <w14:schemeClr w14:val="tx1"/>
            </w14:solidFill>
          </w14:textFill>
        </w:rPr>
        <w:t>，</w:t>
      </w:r>
      <w:r>
        <w:rPr>
          <w:rFonts w:cs="Times New Roman"/>
          <w:color w:val="000000" w:themeColor="text1"/>
          <w:kern w:val="0"/>
          <w:szCs w:val="20"/>
          <w:highlight w:val="none"/>
          <w14:textFill>
            <w14:solidFill>
              <w14:schemeClr w14:val="tx1"/>
            </w14:solidFill>
          </w14:textFill>
        </w:rPr>
        <w:t>项目所在地属于农村环境，</w:t>
      </w:r>
      <w:r>
        <w:rPr>
          <w:rFonts w:hint="eastAsia" w:cs="Times New Roman"/>
          <w:color w:val="000000" w:themeColor="text1"/>
          <w:kern w:val="0"/>
          <w:szCs w:val="20"/>
          <w:highlight w:val="none"/>
          <w14:textFill>
            <w14:solidFill>
              <w14:schemeClr w14:val="tx1"/>
            </w14:solidFill>
          </w14:textFill>
        </w:rPr>
        <w:t>外环境关系简单，雷页1井试采站四周</w:t>
      </w:r>
      <w:r>
        <w:rPr>
          <w:rFonts w:cs="Times New Roman"/>
          <w:color w:val="000000" w:themeColor="text1"/>
          <w:kern w:val="0"/>
          <w:szCs w:val="20"/>
          <w:highlight w:val="none"/>
          <w14:textFill>
            <w14:solidFill>
              <w14:schemeClr w14:val="tx1"/>
            </w14:solidFill>
          </w14:textFill>
        </w:rPr>
        <w:t>500m范围内不同距离处主要</w:t>
      </w:r>
      <w:r>
        <w:rPr>
          <w:rFonts w:hint="eastAsia" w:cs="Times New Roman"/>
          <w:color w:val="000000" w:themeColor="text1"/>
          <w:kern w:val="0"/>
          <w:szCs w:val="20"/>
          <w:highlight w:val="none"/>
          <w14:textFill>
            <w14:solidFill>
              <w14:schemeClr w14:val="tx1"/>
            </w14:solidFill>
          </w14:textFill>
        </w:rPr>
        <w:t>零散</w:t>
      </w:r>
      <w:r>
        <w:rPr>
          <w:rFonts w:cs="Times New Roman"/>
          <w:color w:val="000000" w:themeColor="text1"/>
          <w:kern w:val="0"/>
          <w:szCs w:val="20"/>
          <w:highlight w:val="none"/>
          <w14:textFill>
            <w14:solidFill>
              <w14:schemeClr w14:val="tx1"/>
            </w14:solidFill>
          </w14:textFill>
        </w:rPr>
        <w:t>分布有农村居民等环境敏感目标</w:t>
      </w:r>
      <w:r>
        <w:rPr>
          <w:rFonts w:hint="eastAsia" w:cs="Times New Roman"/>
          <w:color w:val="000000" w:themeColor="text1"/>
          <w:kern w:val="0"/>
          <w:szCs w:val="20"/>
          <w:highlight w:val="none"/>
          <w14:textFill>
            <w14:solidFill>
              <w14:schemeClr w14:val="tx1"/>
            </w14:solidFill>
          </w14:textFill>
        </w:rPr>
        <w:t>，集输管线两侧200m范围内分布有散居居民</w:t>
      </w:r>
      <w:r>
        <w:rPr>
          <w:rFonts w:cs="Times New Roman"/>
          <w:color w:val="000000" w:themeColor="text1"/>
          <w:kern w:val="0"/>
          <w:szCs w:val="20"/>
          <w:highlight w:val="none"/>
          <w14:textFill>
            <w14:solidFill>
              <w14:schemeClr w14:val="tx1"/>
            </w14:solidFill>
          </w14:textFill>
        </w:rPr>
        <w:t>；项目</w:t>
      </w:r>
      <w:r>
        <w:rPr>
          <w:rFonts w:hint="eastAsia" w:cs="Times New Roman"/>
          <w:color w:val="000000" w:themeColor="text1"/>
          <w:kern w:val="0"/>
          <w:szCs w:val="20"/>
          <w:highlight w:val="none"/>
          <w14:textFill>
            <w14:solidFill>
              <w14:schemeClr w14:val="tx1"/>
            </w14:solidFill>
          </w14:textFill>
        </w:rPr>
        <w:t>周围主要为耕地、林地，林地类型主要为乔木林地。</w:t>
      </w:r>
    </w:p>
    <w:p>
      <w:pPr>
        <w:ind w:firstLine="480"/>
        <w:rPr>
          <w:rFonts w:cs="Times New Roman"/>
          <w:bCs/>
          <w:color w:val="000000" w:themeColor="text1"/>
          <w:szCs w:val="24"/>
          <w:highlight w:val="none"/>
          <w14:textFill>
            <w14:solidFill>
              <w14:schemeClr w14:val="tx1"/>
            </w14:solidFill>
          </w14:textFill>
        </w:rPr>
      </w:pPr>
      <w:r>
        <w:rPr>
          <w:rFonts w:hint="eastAsia" w:cs="Times New Roman"/>
          <w:color w:val="000000" w:themeColor="text1"/>
          <w:kern w:val="0"/>
          <w:szCs w:val="20"/>
          <w:highlight w:val="none"/>
          <w14:textFill>
            <w14:solidFill>
              <w14:schemeClr w14:val="tx1"/>
            </w14:solidFill>
          </w14:textFill>
        </w:rPr>
        <w:t>试采站</w:t>
      </w:r>
      <w:r>
        <w:rPr>
          <w:rFonts w:cs="Times New Roman"/>
          <w:color w:val="000000" w:themeColor="text1"/>
          <w:kern w:val="0"/>
          <w:szCs w:val="20"/>
          <w:highlight w:val="none"/>
          <w14:textFill>
            <w14:solidFill>
              <w14:schemeClr w14:val="tx1"/>
            </w14:solidFill>
          </w14:textFill>
        </w:rPr>
        <w:t>500m范围内</w:t>
      </w:r>
      <w:r>
        <w:rPr>
          <w:rFonts w:hint="eastAsia" w:cs="Times New Roman"/>
          <w:color w:val="000000" w:themeColor="text1"/>
          <w:kern w:val="0"/>
          <w:szCs w:val="20"/>
          <w:highlight w:val="none"/>
          <w14:textFill>
            <w14:solidFill>
              <w14:schemeClr w14:val="tx1"/>
            </w14:solidFill>
          </w14:textFill>
        </w:rPr>
        <w:t>及线路两侧200m范围内</w:t>
      </w:r>
      <w:r>
        <w:rPr>
          <w:rFonts w:cs="Times New Roman"/>
          <w:color w:val="000000" w:themeColor="text1"/>
          <w:kern w:val="0"/>
          <w:szCs w:val="20"/>
          <w:highlight w:val="none"/>
          <w14:textFill>
            <w14:solidFill>
              <w14:schemeClr w14:val="tx1"/>
            </w14:solidFill>
          </w14:textFill>
        </w:rPr>
        <w:t>不涉及自然保护</w:t>
      </w:r>
      <w:r>
        <w:rPr>
          <w:rFonts w:cs="Times New Roman"/>
          <w:color w:val="000000" w:themeColor="text1"/>
          <w:spacing w:val="-1"/>
          <w:kern w:val="0"/>
          <w:szCs w:val="20"/>
          <w:highlight w:val="none"/>
          <w14:textFill>
            <w14:solidFill>
              <w14:schemeClr w14:val="tx1"/>
            </w14:solidFill>
          </w14:textFill>
        </w:rPr>
        <w:t>区</w:t>
      </w:r>
      <w:r>
        <w:rPr>
          <w:rFonts w:cs="Times New Roman"/>
          <w:color w:val="000000" w:themeColor="text1"/>
          <w:kern w:val="0"/>
          <w:szCs w:val="20"/>
          <w:highlight w:val="none"/>
          <w14:textFill>
            <w14:solidFill>
              <w14:schemeClr w14:val="tx1"/>
            </w14:solidFill>
          </w14:textFill>
        </w:rPr>
        <w:t>、风景名胜区、森林公园、</w:t>
      </w:r>
      <w:r>
        <w:rPr>
          <w:rFonts w:hint="eastAsia" w:cs="Times New Roman"/>
          <w:color w:val="000000" w:themeColor="text1"/>
          <w:kern w:val="0"/>
          <w:szCs w:val="20"/>
          <w:highlight w:val="none"/>
          <w14:textFill>
            <w14:solidFill>
              <w14:schemeClr w14:val="tx1"/>
            </w14:solidFill>
          </w14:textFill>
        </w:rPr>
        <w:t>集中式</w:t>
      </w:r>
      <w:r>
        <w:rPr>
          <w:rFonts w:cs="Times New Roman"/>
          <w:color w:val="000000" w:themeColor="text1"/>
          <w:kern w:val="0"/>
          <w:szCs w:val="20"/>
          <w:highlight w:val="none"/>
          <w14:textFill>
            <w14:solidFill>
              <w14:schemeClr w14:val="tx1"/>
            </w14:solidFill>
          </w14:textFill>
        </w:rPr>
        <w:t>饮用水</w:t>
      </w:r>
      <w:r>
        <w:rPr>
          <w:rFonts w:hint="eastAsia" w:cs="Times New Roman"/>
          <w:color w:val="000000" w:themeColor="text1"/>
          <w:kern w:val="0"/>
          <w:szCs w:val="20"/>
          <w:highlight w:val="none"/>
          <w14:textFill>
            <w14:solidFill>
              <w14:schemeClr w14:val="tx1"/>
            </w14:solidFill>
          </w14:textFill>
        </w:rPr>
        <w:t>水</w:t>
      </w:r>
      <w:r>
        <w:rPr>
          <w:rFonts w:cs="Times New Roman"/>
          <w:color w:val="000000" w:themeColor="text1"/>
          <w:kern w:val="0"/>
          <w:szCs w:val="20"/>
          <w:highlight w:val="none"/>
          <w14:textFill>
            <w14:solidFill>
              <w14:schemeClr w14:val="tx1"/>
            </w14:solidFill>
          </w14:textFill>
        </w:rPr>
        <w:t>源保护区等特殊和重要的敏感区</w:t>
      </w:r>
      <w:r>
        <w:rPr>
          <w:rFonts w:cs="Times New Roman"/>
          <w:bCs/>
          <w:color w:val="000000" w:themeColor="text1"/>
          <w:szCs w:val="24"/>
          <w:highlight w:val="none"/>
          <w14:textFill>
            <w14:solidFill>
              <w14:schemeClr w14:val="tx1"/>
            </w14:solidFill>
          </w14:textFill>
        </w:rPr>
        <w:t>。</w:t>
      </w:r>
    </w:p>
    <w:p>
      <w:pPr>
        <w:tabs>
          <w:tab w:val="left" w:pos="0"/>
        </w:tabs>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项目所在地道路较发达，大多为水泥路，周边铺设了电网。项目位于</w:t>
      </w:r>
      <w:r>
        <w:rPr>
          <w:rFonts w:hint="eastAsia" w:cs="Times New Roman"/>
          <w:bCs/>
          <w:color w:val="000000" w:themeColor="text1"/>
          <w:szCs w:val="24"/>
          <w:highlight w:val="none"/>
          <w:lang w:eastAsia="zh-CN"/>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西南侧，距离</w:t>
      </w:r>
      <w:r>
        <w:rPr>
          <w:rFonts w:hint="eastAsia" w:cs="Times New Roman"/>
          <w:bCs/>
          <w:color w:val="000000" w:themeColor="text1"/>
          <w:szCs w:val="24"/>
          <w:highlight w:val="none"/>
          <w:lang w:eastAsia="zh-CN"/>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场镇约1.6km。该项目外环境关系情况见附图2</w:t>
      </w:r>
      <w:r>
        <w:rPr>
          <w:rFonts w:cs="Times New Roman"/>
          <w:bCs/>
          <w:color w:val="000000" w:themeColor="text1"/>
          <w:szCs w:val="24"/>
          <w:highlight w:val="none"/>
          <w14:textFill>
            <w14:solidFill>
              <w14:schemeClr w14:val="tx1"/>
            </w14:solidFill>
          </w14:textFill>
        </w:rPr>
        <w:t>。</w:t>
      </w:r>
    </w:p>
    <w:tbl>
      <w:tblPr>
        <w:tblStyle w:val="41"/>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111"/>
        <w:gridCol w:w="41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222" w:type="dxa"/>
            <w:gridSpan w:val="2"/>
          </w:tcPr>
          <w:p>
            <w:pPr>
              <w:pStyle w:val="118"/>
              <w:rPr>
                <w:rFonts w:ascii="宋体" w:hAnsi="宋体" w:cs="宋体"/>
                <w:color w:val="000000" w:themeColor="text1"/>
                <w:kern w:val="0"/>
                <w:szCs w:val="24"/>
                <w:highlight w:val="none"/>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2733040</wp:posOffset>
                      </wp:positionH>
                      <wp:positionV relativeFrom="paragraph">
                        <wp:posOffset>2345055</wp:posOffset>
                      </wp:positionV>
                      <wp:extent cx="448310" cy="359410"/>
                      <wp:effectExtent l="38100" t="38100" r="27940" b="21590"/>
                      <wp:wrapNone/>
                      <wp:docPr id="751448769" name="直接箭头连接符 15"/>
                      <wp:cNvGraphicFramePr/>
                      <a:graphic xmlns:a="http://schemas.openxmlformats.org/drawingml/2006/main">
                        <a:graphicData uri="http://schemas.microsoft.com/office/word/2010/wordprocessingShape">
                          <wps:wsp>
                            <wps:cNvCnPr/>
                            <wps:spPr>
                              <a:xfrm flipH="1" flipV="1">
                                <a:off x="0" y="0"/>
                                <a:ext cx="448421" cy="359437"/>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15" o:spid="_x0000_s1026" o:spt="32" type="#_x0000_t32" style="position:absolute;left:0pt;flip:x y;margin-left:215.2pt;margin-top:184.65pt;height:28.3pt;width:35.3pt;z-index:251664384;mso-width-relative:page;mso-height-relative:page;" filled="f" stroked="t" coordsize="21600,21600" o:gfxdata="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Fgtr&#10;zdkAAAALAQAADwAAAAAAAAABACAAAAAiAAAAZHJzL2Rvd25yZXYueG1sUEsBAhQAFAAAAAgAh07i&#10;QEPAMBIhAgAAAwQAAA4AAAAAAAAAAQAgAAAAKAEAAGRycy9lMm9Eb2MueG1sUEsFBgAAAAAGAAYA&#10;WQEAALsFAAAAAA==&#10;">
                      <v:fill on="f" focussize="0,0"/>
                      <v:stroke weight="2.25pt" color="#FF0000 [3204]" miterlimit="8" joinstyle="miter" endarrow="block"/>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63360" behindDoc="0" locked="0" layoutInCell="1" allowOverlap="1">
                      <wp:simplePos x="0" y="0"/>
                      <wp:positionH relativeFrom="column">
                        <wp:posOffset>3184525</wp:posOffset>
                      </wp:positionH>
                      <wp:positionV relativeFrom="paragraph">
                        <wp:posOffset>2700655</wp:posOffset>
                      </wp:positionV>
                      <wp:extent cx="1070610" cy="219710"/>
                      <wp:effectExtent l="0" t="0" r="15240" b="27940"/>
                      <wp:wrapNone/>
                      <wp:docPr id="1918080266" name="文本框 14"/>
                      <wp:cNvGraphicFramePr/>
                      <a:graphic xmlns:a="http://schemas.openxmlformats.org/drawingml/2006/main">
                        <a:graphicData uri="http://schemas.microsoft.com/office/word/2010/wordprocessingShape">
                          <wps:wsp>
                            <wps:cNvSpPr txBox="1"/>
                            <wps:spPr bwMode="auto">
                              <a:xfrm>
                                <a:off x="0" y="0"/>
                                <a:ext cx="1070658" cy="219919"/>
                              </a:xfrm>
                              <a:prstGeom prst="rect">
                                <a:avLst/>
                              </a:prstGeom>
                              <a:solidFill>
                                <a:srgbClr val="FFFFFF"/>
                              </a:solidFill>
                              <a:ln w="9525">
                                <a:solidFill>
                                  <a:srgbClr val="000000"/>
                                </a:solidFill>
                                <a:miter lim="800000"/>
                              </a:ln>
                            </wps:spPr>
                            <wps:txbx>
                              <w:txbxContent>
                                <w:p>
                                  <w:pPr>
                                    <w:ind w:firstLine="0" w:firstLineChars="0"/>
                                    <w:jc w:val="center"/>
                                    <w:rPr>
                                      <w:sz w:val="16"/>
                                      <w:szCs w:val="15"/>
                                    </w:rPr>
                                  </w:pPr>
                                  <w:r>
                                    <w:rPr>
                                      <w:rFonts w:hint="eastAsia"/>
                                      <w:sz w:val="16"/>
                                      <w:szCs w:val="15"/>
                                    </w:rPr>
                                    <w:t>本项目井场拟建地</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文本框 14" o:spid="_x0000_s1026" o:spt="202" type="#_x0000_t202" style="position:absolute;left:0pt;margin-left:250.75pt;margin-top:212.65pt;height:17.3pt;width:84.3pt;z-index:251663360;mso-width-relative:page;mso-height-relative:page;" fillcolor="#FFFFFF" filled="t" stroked="t" coordsize="21600,21600" o:gfxdata="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E7qGUjaAAAACwEAAA8AAAAAAAAAAQAgAAAAIgAA&#10;AGRycy9kb3ducmV2LnhtbFBLAQIUABQAAAAIAIdO4kBNyI/AeAIAAPMEAAAOAAAAAAAAAAEAIAAA&#10;ACkBAABkcnMvZTJvRG9jLnhtbFBLBQYAAAAABgAGAFkBAAATBgAAAAA=&#10;">
                      <v:fill on="t" focussize="0,0"/>
                      <v:stroke color="#000000" miterlimit="8" joinstyle="miter"/>
                      <v:imagedata o:title=""/>
                      <o:lock v:ext="edit" aspectratio="f"/>
                      <v:textbox>
                        <w:txbxContent>
                          <w:p>
                            <w:pPr>
                              <w:ind w:firstLine="0" w:firstLineChars="0"/>
                              <w:jc w:val="center"/>
                              <w:rPr>
                                <w:sz w:val="16"/>
                                <w:szCs w:val="15"/>
                              </w:rPr>
                            </w:pPr>
                            <w:r>
                              <w:rPr>
                                <w:rFonts w:hint="eastAsia"/>
                                <w:sz w:val="16"/>
                                <w:szCs w:val="15"/>
                              </w:rPr>
                              <w:t>本项目井场拟建地</w:t>
                            </w:r>
                          </w:p>
                        </w:txbxContent>
                      </v:textbox>
                    </v:shape>
                  </w:pict>
                </mc:Fallback>
              </mc:AlternateContent>
            </w:r>
            <w:r>
              <w:rPr>
                <w:color w:val="000000" w:themeColor="text1"/>
                <w:highlight w:val="none"/>
                <w14:textFill>
                  <w14:solidFill>
                    <w14:schemeClr w14:val="tx1"/>
                  </w14:solidFill>
                </w14:textFill>
              </w:rPr>
              <w:drawing>
                <wp:inline distT="0" distB="0" distL="0" distR="0">
                  <wp:extent cx="5220970" cy="3640455"/>
                  <wp:effectExtent l="0" t="0" r="0" b="0"/>
                  <wp:docPr id="12111869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186962" name="图片 1"/>
                          <pic:cNvPicPr>
                            <a:picLocks noChangeAspect="1"/>
                          </pic:cNvPicPr>
                        </pic:nvPicPr>
                        <pic:blipFill>
                          <a:blip r:embed="rId34"/>
                          <a:stretch>
                            <a:fillRect/>
                          </a:stretch>
                        </pic:blipFill>
                        <pic:spPr>
                          <a:xfrm>
                            <a:off x="0" y="0"/>
                            <a:ext cx="5220970" cy="36404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222" w:type="dxa"/>
            <w:gridSpan w:val="2"/>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本项目拟建地（位于雷页1井场西侧）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222" w:type="dxa"/>
            <w:gridSpan w:val="2"/>
          </w:tcPr>
          <w:p>
            <w:pPr>
              <w:pStyle w:val="118"/>
              <w:rPr>
                <w:color w:val="000000" w:themeColor="text1"/>
                <w:szCs w:val="21"/>
                <w:highlight w:val="none"/>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684864" behindDoc="0" locked="0" layoutInCell="1" allowOverlap="1">
                      <wp:simplePos x="0" y="0"/>
                      <wp:positionH relativeFrom="column">
                        <wp:posOffset>290195</wp:posOffset>
                      </wp:positionH>
                      <wp:positionV relativeFrom="paragraph">
                        <wp:posOffset>404495</wp:posOffset>
                      </wp:positionV>
                      <wp:extent cx="717550" cy="261620"/>
                      <wp:effectExtent l="38100" t="19050" r="6985" b="62230"/>
                      <wp:wrapNone/>
                      <wp:docPr id="1326328189" name="直接箭头连接符 15"/>
                      <wp:cNvGraphicFramePr/>
                      <a:graphic xmlns:a="http://schemas.openxmlformats.org/drawingml/2006/main">
                        <a:graphicData uri="http://schemas.microsoft.com/office/word/2010/wordprocessingShape">
                          <wps:wsp>
                            <wps:cNvCnPr/>
                            <wps:spPr>
                              <a:xfrm flipH="1">
                                <a:off x="0" y="0"/>
                                <a:ext cx="717274" cy="261813"/>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15" o:spid="_x0000_s1026" o:spt="32" type="#_x0000_t32" style="position:absolute;left:0pt;flip:x;margin-left:22.85pt;margin-top:31.85pt;height:20.6pt;width:56.5pt;z-index:251684864;mso-width-relative:page;mso-height-relative:page;" filled="f" stroked="t" coordsize="21600,21600" o:gfxdata="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mQhtg2QAA&#10;AAkBAAAPAAAAAAAAAAEAIAAAACIAAABkcnMvZG93bnJldi54bWxQSwECFAAUAAAACACHTuJA26lo&#10;Ux0CAAD6AwAADgAAAAAAAAABACAAAAAoAQAAZHJzL2Uyb0RvYy54bWxQSwUGAAAAAAYABgBZAQAA&#10;twUAAAAA&#10;">
                      <v:fill on="f" focussize="0,0"/>
                      <v:stroke weight="2.25pt" color="#FF0000 [3204]" miterlimit="8" joinstyle="miter" endarrow="block"/>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83840" behindDoc="0" locked="0" layoutInCell="1" allowOverlap="1">
                      <wp:simplePos x="0" y="0"/>
                      <wp:positionH relativeFrom="column">
                        <wp:posOffset>1009650</wp:posOffset>
                      </wp:positionH>
                      <wp:positionV relativeFrom="paragraph">
                        <wp:posOffset>313055</wp:posOffset>
                      </wp:positionV>
                      <wp:extent cx="954405" cy="219710"/>
                      <wp:effectExtent l="0" t="0" r="17780" b="27940"/>
                      <wp:wrapNone/>
                      <wp:docPr id="1497204616" name="文本框 14"/>
                      <wp:cNvGraphicFramePr/>
                      <a:graphic xmlns:a="http://schemas.openxmlformats.org/drawingml/2006/main">
                        <a:graphicData uri="http://schemas.microsoft.com/office/word/2010/wordprocessingShape">
                          <wps:wsp>
                            <wps:cNvSpPr txBox="1"/>
                            <wps:spPr bwMode="auto">
                              <a:xfrm>
                                <a:off x="0" y="0"/>
                                <a:ext cx="954156" cy="219710"/>
                              </a:xfrm>
                              <a:prstGeom prst="rect">
                                <a:avLst/>
                              </a:prstGeom>
                              <a:solidFill>
                                <a:srgbClr val="FFFFFF"/>
                              </a:solidFill>
                              <a:ln w="9525">
                                <a:solidFill>
                                  <a:srgbClr val="000000"/>
                                </a:solidFill>
                                <a:miter lim="800000"/>
                              </a:ln>
                            </wps:spPr>
                            <wps:txbx>
                              <w:txbxContent>
                                <w:p>
                                  <w:pPr>
                                    <w:ind w:firstLine="0" w:firstLineChars="0"/>
                                    <w:rPr>
                                      <w:sz w:val="16"/>
                                      <w:szCs w:val="15"/>
                                    </w:rPr>
                                  </w:pPr>
                                  <w:r>
                                    <w:rPr>
                                      <w:rFonts w:hint="eastAsia"/>
                                      <w:sz w:val="16"/>
                                      <w:szCs w:val="15"/>
                                    </w:rPr>
                                    <w:t>魏兴交接计量站</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文本框 14" o:spid="_x0000_s1026" o:spt="202" type="#_x0000_t202" style="position:absolute;left:0pt;margin-left:79.5pt;margin-top:24.65pt;height:17.3pt;width:75.15pt;z-index:251683840;mso-width-relative:page;mso-height-relative:page;" fillcolor="#FFFFFF" filled="t" stroked="t" coordsize="21600,21600" o:gfxdata="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J4ONa9gAAAAJAQAADwAAAAAAAAABACAAAAAiAAAA&#10;ZHJzL2Rvd25yZXYueG1sUEsBAhQAFAAAAAgAh07iQFypwOZ5AgAA8gQAAA4AAAAAAAAAAQAgAAAA&#10;JwEAAGRycy9lMm9Eb2MueG1sUEsFBgAAAAAGAAYAWQEAABIGAAAAAA==&#10;">
                      <v:fill on="t" focussize="0,0"/>
                      <v:stroke color="#000000" miterlimit="8" joinstyle="miter"/>
                      <v:imagedata o:title=""/>
                      <o:lock v:ext="edit" aspectratio="f"/>
                      <v:textbox>
                        <w:txbxContent>
                          <w:p>
                            <w:pPr>
                              <w:ind w:firstLine="0" w:firstLineChars="0"/>
                              <w:rPr>
                                <w:sz w:val="16"/>
                                <w:szCs w:val="15"/>
                              </w:rPr>
                            </w:pPr>
                            <w:r>
                              <w:rPr>
                                <w:rFonts w:hint="eastAsia"/>
                                <w:sz w:val="16"/>
                                <w:szCs w:val="15"/>
                              </w:rPr>
                              <w:t>魏兴交接计量站</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82816" behindDoc="0" locked="0" layoutInCell="1" allowOverlap="1">
                      <wp:simplePos x="0" y="0"/>
                      <wp:positionH relativeFrom="column">
                        <wp:posOffset>4847590</wp:posOffset>
                      </wp:positionH>
                      <wp:positionV relativeFrom="paragraph">
                        <wp:posOffset>1384300</wp:posOffset>
                      </wp:positionV>
                      <wp:extent cx="48895" cy="1011555"/>
                      <wp:effectExtent l="57150" t="19050" r="65405" b="55245"/>
                      <wp:wrapNone/>
                      <wp:docPr id="1522554046" name="直接箭头连接符 15"/>
                      <wp:cNvGraphicFramePr/>
                      <a:graphic xmlns:a="http://schemas.openxmlformats.org/drawingml/2006/main">
                        <a:graphicData uri="http://schemas.microsoft.com/office/word/2010/wordprocessingShape">
                          <wps:wsp>
                            <wps:cNvCnPr/>
                            <wps:spPr>
                              <a:xfrm>
                                <a:off x="0" y="0"/>
                                <a:ext cx="49199" cy="101155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15" o:spid="_x0000_s1026" o:spt="32" type="#_x0000_t32" style="position:absolute;left:0pt;margin-left:381.7pt;margin-top:109pt;height:79.65pt;width:3.85pt;z-index:251682816;mso-width-relative:page;mso-height-relative:page;" filled="f" stroked="t" coordsize="21600,21600" o:gfxdata="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ayT0vNsAAAALAQAA&#10;DwAAAAAAAAABACAAAAAiAAAAZHJzL2Rvd25yZXYueG1sUEsBAhQAFAAAAAgAh07iQHry9fwWAgAA&#10;8AMAAA4AAAAAAAAAAQAgAAAAKgEAAGRycy9lMm9Eb2MueG1sUEsFBgAAAAAGAAYAWQEAALIFAAAA&#10;AA==&#10;">
                      <v:fill on="f" focussize="0,0"/>
                      <v:stroke weight="2.25pt" color="#FF0000 [3204]" miterlimit="8" joinstyle="miter" endarrow="block"/>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65408" behindDoc="0" locked="0" layoutInCell="1" allowOverlap="1">
                      <wp:simplePos x="0" y="0"/>
                      <wp:positionH relativeFrom="column">
                        <wp:posOffset>1193165</wp:posOffset>
                      </wp:positionH>
                      <wp:positionV relativeFrom="paragraph">
                        <wp:posOffset>1673225</wp:posOffset>
                      </wp:positionV>
                      <wp:extent cx="457835" cy="282575"/>
                      <wp:effectExtent l="19050" t="38100" r="37465" b="22225"/>
                      <wp:wrapNone/>
                      <wp:docPr id="588874931" name="直接箭头连接符 15"/>
                      <wp:cNvGraphicFramePr/>
                      <a:graphic xmlns:a="http://schemas.openxmlformats.org/drawingml/2006/main">
                        <a:graphicData uri="http://schemas.microsoft.com/office/word/2010/wordprocessingShape">
                          <wps:wsp>
                            <wps:cNvCnPr/>
                            <wps:spPr>
                              <a:xfrm flipV="1">
                                <a:off x="0" y="0"/>
                                <a:ext cx="458028" cy="282603"/>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15" o:spid="_x0000_s1026" o:spt="32" type="#_x0000_t32" style="position:absolute;left:0pt;flip:y;margin-left:93.95pt;margin-top:131.75pt;height:22.25pt;width:36.05pt;z-index:251665408;mso-width-relative:page;mso-height-relative:page;" filled="f" stroked="t" coordsize="21600,21600" o:gfxdata="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NljTN2gAA&#10;AAsBAAAPAAAAAAAAAAEAIAAAACIAAABkcnMvZG93bnJldi54bWxQSwECFAAUAAAACACHTuJAXPWY&#10;3hwCAAD5AwAADgAAAAAAAAABACAAAAApAQAAZHJzL2Uyb0RvYy54bWxQSwUGAAAAAAYABgBZAQAA&#10;twUAAAAA&#10;">
                      <v:fill on="f" focussize="0,0"/>
                      <v:stroke weight="2.25pt" color="#FF0000 [3204]" miterlimit="8" joinstyle="miter" endarrow="block"/>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81792" behindDoc="0" locked="0" layoutInCell="1" allowOverlap="1">
                      <wp:simplePos x="0" y="0"/>
                      <wp:positionH relativeFrom="column">
                        <wp:posOffset>4256405</wp:posOffset>
                      </wp:positionH>
                      <wp:positionV relativeFrom="paragraph">
                        <wp:posOffset>1163955</wp:posOffset>
                      </wp:positionV>
                      <wp:extent cx="954405" cy="219710"/>
                      <wp:effectExtent l="0" t="0" r="17780" b="27940"/>
                      <wp:wrapNone/>
                      <wp:docPr id="83787875" name="文本框 14"/>
                      <wp:cNvGraphicFramePr/>
                      <a:graphic xmlns:a="http://schemas.openxmlformats.org/drawingml/2006/main">
                        <a:graphicData uri="http://schemas.microsoft.com/office/word/2010/wordprocessingShape">
                          <wps:wsp>
                            <wps:cNvSpPr txBox="1"/>
                            <wps:spPr bwMode="auto">
                              <a:xfrm>
                                <a:off x="0" y="0"/>
                                <a:ext cx="954156" cy="219710"/>
                              </a:xfrm>
                              <a:prstGeom prst="rect">
                                <a:avLst/>
                              </a:prstGeom>
                              <a:solidFill>
                                <a:srgbClr val="FFFFFF"/>
                              </a:solidFill>
                              <a:ln w="9525">
                                <a:solidFill>
                                  <a:srgbClr val="000000"/>
                                </a:solidFill>
                                <a:miter lim="800000"/>
                              </a:ln>
                            </wps:spPr>
                            <wps:txbx>
                              <w:txbxContent>
                                <w:p>
                                  <w:pPr>
                                    <w:ind w:firstLine="0" w:firstLineChars="0"/>
                                    <w:rPr>
                                      <w:sz w:val="16"/>
                                      <w:szCs w:val="15"/>
                                    </w:rPr>
                                  </w:pPr>
                                  <w:r>
                                    <w:rPr>
                                      <w:rFonts w:hint="eastAsia"/>
                                      <w:sz w:val="16"/>
                                      <w:szCs w:val="15"/>
                                    </w:rPr>
                                    <w:t>雷页1井试采站</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文本框 14" o:spid="_x0000_s1026" o:spt="202" type="#_x0000_t202" style="position:absolute;left:0pt;margin-left:335.15pt;margin-top:91.65pt;height:17.3pt;width:75.15pt;z-index:251681792;mso-width-relative:page;mso-height-relative:page;" fillcolor="#FFFFFF" filled="t" stroked="t" coordsize="21600,21600" o:gfxdata="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CmY4GB2QAAAAsBAAAPAAAAAAAAAAEAIAAAACIAAABk&#10;cnMvZG93bnJldi54bWxQSwECFAAUAAAACACHTuJAm7gk+3cCAADwBAAADgAAAAAAAAABACAAAAAo&#10;AQAAZHJzL2Uyb0RvYy54bWxQSwUGAAAAAAYABgBZAQAAEQYAAAAA&#10;">
                      <v:fill on="t" focussize="0,0"/>
                      <v:stroke color="#000000" miterlimit="8" joinstyle="miter"/>
                      <v:imagedata o:title=""/>
                      <o:lock v:ext="edit" aspectratio="f"/>
                      <v:textbox>
                        <w:txbxContent>
                          <w:p>
                            <w:pPr>
                              <w:ind w:firstLine="0" w:firstLineChars="0"/>
                              <w:rPr>
                                <w:sz w:val="16"/>
                                <w:szCs w:val="15"/>
                              </w:rPr>
                            </w:pPr>
                            <w:r>
                              <w:rPr>
                                <w:rFonts w:hint="eastAsia"/>
                                <w:sz w:val="16"/>
                                <w:szCs w:val="15"/>
                              </w:rPr>
                              <w:t>雷页1井试采站</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80768" behindDoc="0" locked="0" layoutInCell="1" allowOverlap="1">
                      <wp:simplePos x="0" y="0"/>
                      <wp:positionH relativeFrom="column">
                        <wp:posOffset>194945</wp:posOffset>
                      </wp:positionH>
                      <wp:positionV relativeFrom="paragraph">
                        <wp:posOffset>1807845</wp:posOffset>
                      </wp:positionV>
                      <wp:extent cx="1000760" cy="219710"/>
                      <wp:effectExtent l="0" t="0" r="27940" b="27940"/>
                      <wp:wrapNone/>
                      <wp:docPr id="1806513952" name="文本框 14"/>
                      <wp:cNvGraphicFramePr/>
                      <a:graphic xmlns:a="http://schemas.openxmlformats.org/drawingml/2006/main">
                        <a:graphicData uri="http://schemas.microsoft.com/office/word/2010/wordprocessingShape">
                          <wps:wsp>
                            <wps:cNvSpPr txBox="1"/>
                            <wps:spPr bwMode="auto">
                              <a:xfrm>
                                <a:off x="0" y="0"/>
                                <a:ext cx="1000760" cy="219710"/>
                              </a:xfrm>
                              <a:prstGeom prst="rect">
                                <a:avLst/>
                              </a:prstGeom>
                              <a:solidFill>
                                <a:srgbClr val="FFFFFF"/>
                              </a:solidFill>
                              <a:ln w="9525">
                                <a:solidFill>
                                  <a:srgbClr val="000000"/>
                                </a:solidFill>
                                <a:miter lim="800000"/>
                              </a:ln>
                            </wps:spPr>
                            <wps:txbx>
                              <w:txbxContent>
                                <w:p>
                                  <w:pPr>
                                    <w:ind w:firstLine="0" w:firstLineChars="0"/>
                                    <w:rPr>
                                      <w:sz w:val="16"/>
                                      <w:szCs w:val="15"/>
                                    </w:rPr>
                                  </w:pPr>
                                  <w:r>
                                    <w:rPr>
                                      <w:rFonts w:hint="eastAsia"/>
                                      <w:sz w:val="16"/>
                                      <w:szCs w:val="15"/>
                                    </w:rPr>
                                    <w:t>本项目输气管线</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文本框 14" o:spid="_x0000_s1026" o:spt="202" type="#_x0000_t202" style="position:absolute;left:0pt;margin-left:15.35pt;margin-top:142.35pt;height:17.3pt;width:78.8pt;z-index:251680768;mso-width-relative:page;mso-height-relative:page;" fillcolor="#FFFFFF" filled="t" stroked="t" coordsize="21600,21600" o:gfxdata="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DS/rj/2QAAAAoBAAAPAAAAAAAAAAEAIAAAACIA&#10;AABkcnMvZG93bnJldi54bWxQSwECFAAUAAAACACHTuJAbHq673oCAADzBAAADgAAAAAAAAABACAA&#10;AAAoAQAAZHJzL2Uyb0RvYy54bWxQSwUGAAAAAAYABgBZAQAAFAYAAAAA&#10;">
                      <v:fill on="t" focussize="0,0"/>
                      <v:stroke color="#000000" miterlimit="8" joinstyle="miter"/>
                      <v:imagedata o:title=""/>
                      <o:lock v:ext="edit" aspectratio="f"/>
                      <v:textbox>
                        <w:txbxContent>
                          <w:p>
                            <w:pPr>
                              <w:ind w:firstLine="0" w:firstLineChars="0"/>
                              <w:rPr>
                                <w:sz w:val="16"/>
                                <w:szCs w:val="15"/>
                              </w:rPr>
                            </w:pPr>
                            <w:r>
                              <w:rPr>
                                <w:rFonts w:hint="eastAsia"/>
                                <w:sz w:val="16"/>
                                <w:szCs w:val="15"/>
                              </w:rPr>
                              <w:t>本项目输气管线</w:t>
                            </w:r>
                          </w:p>
                        </w:txbxContent>
                      </v:textbox>
                    </v:shape>
                  </w:pict>
                </mc:Fallback>
              </mc:AlternateContent>
            </w:r>
            <w:r>
              <w:rPr>
                <w:color w:val="000000" w:themeColor="text1"/>
                <w:highlight w:val="none"/>
                <w14:textFill>
                  <w14:solidFill>
                    <w14:schemeClr w14:val="tx1"/>
                  </w14:solidFill>
                </w14:textFill>
              </w:rPr>
              <w:drawing>
                <wp:inline distT="0" distB="0" distL="0" distR="0">
                  <wp:extent cx="5220970" cy="2670175"/>
                  <wp:effectExtent l="0" t="0" r="0" b="0"/>
                  <wp:docPr id="3035781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578187" name="图片 1"/>
                          <pic:cNvPicPr>
                            <a:picLocks noChangeAspect="1"/>
                          </pic:cNvPicPr>
                        </pic:nvPicPr>
                        <pic:blipFill>
                          <a:blip r:embed="rId35"/>
                          <a:stretch>
                            <a:fillRect/>
                          </a:stretch>
                        </pic:blipFill>
                        <pic:spPr>
                          <a:xfrm>
                            <a:off x="0" y="0"/>
                            <a:ext cx="5220970" cy="26701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222" w:type="dxa"/>
            <w:gridSpan w:val="2"/>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新建</w:t>
            </w:r>
            <w:r>
              <w:rPr>
                <w:rFonts w:hint="eastAsia"/>
                <w:color w:val="000000" w:themeColor="text1"/>
                <w:highlight w:val="none"/>
                <w14:textFill>
                  <w14:solidFill>
                    <w14:schemeClr w14:val="tx1"/>
                  </w14:solidFill>
                </w14:textFill>
              </w:rPr>
              <w:t>雷页1井试采</w:t>
            </w:r>
            <w:r>
              <w:rPr>
                <w:color w:val="000000" w:themeColor="text1"/>
                <w:highlight w:val="none"/>
                <w14:textFill>
                  <w14:solidFill>
                    <w14:schemeClr w14:val="tx1"/>
                  </w14:solidFill>
                </w14:textFill>
              </w:rPr>
              <w:t>站</w:t>
            </w:r>
            <w:r>
              <w:rPr>
                <w:rFonts w:hint="eastAsia"/>
                <w:color w:val="000000" w:themeColor="text1"/>
                <w:highlight w:val="none"/>
                <w14:textFill>
                  <w14:solidFill>
                    <w14:schemeClr w14:val="tx1"/>
                  </w14:solidFill>
                </w14:textFill>
              </w:rPr>
              <w:t>～魏兴交界计量站</w:t>
            </w:r>
            <w:r>
              <w:rPr>
                <w:color w:val="000000" w:themeColor="text1"/>
                <w:highlight w:val="none"/>
                <w14:textFill>
                  <w14:solidFill>
                    <w14:schemeClr w14:val="tx1"/>
                  </w14:solidFill>
                </w14:textFill>
              </w:rPr>
              <w:t>管线沿线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111" w:type="dxa"/>
          </w:tcPr>
          <w:p>
            <w:pPr>
              <w:pStyle w:val="118"/>
              <w:rPr>
                <w:color w:val="000000" w:themeColor="text1"/>
                <w:szCs w:val="2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2561590" cy="2189480"/>
                  <wp:effectExtent l="0" t="0" r="0" b="1270"/>
                  <wp:docPr id="11269540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954076" name="图片 1"/>
                          <pic:cNvPicPr>
                            <a:picLocks noChangeAspect="1"/>
                          </pic:cNvPicPr>
                        </pic:nvPicPr>
                        <pic:blipFill>
                          <a:blip r:embed="rId36"/>
                          <a:stretch>
                            <a:fillRect/>
                          </a:stretch>
                        </pic:blipFill>
                        <pic:spPr>
                          <a:xfrm>
                            <a:off x="0" y="0"/>
                            <a:ext cx="2574396" cy="2200419"/>
                          </a:xfrm>
                          <a:prstGeom prst="rect">
                            <a:avLst/>
                          </a:prstGeom>
                        </pic:spPr>
                      </pic:pic>
                    </a:graphicData>
                  </a:graphic>
                </wp:inline>
              </w:drawing>
            </w:r>
          </w:p>
        </w:tc>
        <w:tc>
          <w:tcPr>
            <w:tcW w:w="4111" w:type="dxa"/>
            <w:vAlign w:val="center"/>
          </w:tcPr>
          <w:p>
            <w:pPr>
              <w:pStyle w:val="118"/>
              <w:rPr>
                <w:color w:val="000000" w:themeColor="text1"/>
                <w:szCs w:val="2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2518410" cy="2189480"/>
                  <wp:effectExtent l="0" t="0" r="0" b="1270"/>
                  <wp:docPr id="14875286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528664" name="图片 1"/>
                          <pic:cNvPicPr>
                            <a:picLocks noChangeAspect="1"/>
                          </pic:cNvPicPr>
                        </pic:nvPicPr>
                        <pic:blipFill>
                          <a:blip r:embed="rId37"/>
                          <a:stretch>
                            <a:fillRect/>
                          </a:stretch>
                        </pic:blipFill>
                        <pic:spPr>
                          <a:xfrm>
                            <a:off x="0" y="0"/>
                            <a:ext cx="2522956" cy="2193843"/>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111" w:type="dxa"/>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管线穿越州河支流处</w:t>
            </w:r>
          </w:p>
        </w:tc>
        <w:tc>
          <w:tcPr>
            <w:tcW w:w="4111" w:type="dxa"/>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外输管线沿线典型沟渠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111" w:type="dxa"/>
          </w:tcPr>
          <w:p>
            <w:pPr>
              <w:pStyle w:val="118"/>
              <w:rPr>
                <w:color w:val="000000" w:themeColor="text1"/>
                <w:szCs w:val="2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2519680" cy="2664460"/>
                  <wp:effectExtent l="0" t="0" r="0" b="2540"/>
                  <wp:docPr id="534028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02861" name="图片 1"/>
                          <pic:cNvPicPr>
                            <a:picLocks noChangeAspect="1"/>
                          </pic:cNvPicPr>
                        </pic:nvPicPr>
                        <pic:blipFill>
                          <a:blip r:embed="rId38"/>
                          <a:stretch>
                            <a:fillRect/>
                          </a:stretch>
                        </pic:blipFill>
                        <pic:spPr>
                          <a:xfrm>
                            <a:off x="0" y="0"/>
                            <a:ext cx="2524054" cy="2669085"/>
                          </a:xfrm>
                          <a:prstGeom prst="rect">
                            <a:avLst/>
                          </a:prstGeom>
                        </pic:spPr>
                      </pic:pic>
                    </a:graphicData>
                  </a:graphic>
                </wp:inline>
              </w:drawing>
            </w:r>
          </w:p>
        </w:tc>
        <w:tc>
          <w:tcPr>
            <w:tcW w:w="4111" w:type="dxa"/>
          </w:tcPr>
          <w:p>
            <w:pPr>
              <w:pStyle w:val="118"/>
              <w:rPr>
                <w:color w:val="000000" w:themeColor="text1"/>
                <w:szCs w:val="2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2525395" cy="2664460"/>
                  <wp:effectExtent l="0" t="0" r="8255" b="2540"/>
                  <wp:docPr id="4212132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213248" name="图片 1"/>
                          <pic:cNvPicPr>
                            <a:picLocks noChangeAspect="1"/>
                          </pic:cNvPicPr>
                        </pic:nvPicPr>
                        <pic:blipFill>
                          <a:blip r:embed="rId39"/>
                          <a:stretch>
                            <a:fillRect/>
                          </a:stretch>
                        </pic:blipFill>
                        <pic:spPr>
                          <a:xfrm>
                            <a:off x="0" y="0"/>
                            <a:ext cx="2526293" cy="2665376"/>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111" w:type="dxa"/>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管线穿越G65高速处</w:t>
            </w:r>
          </w:p>
        </w:tc>
        <w:tc>
          <w:tcPr>
            <w:tcW w:w="4111" w:type="dxa"/>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管线穿越G</w:t>
            </w:r>
            <w:r>
              <w:rPr>
                <w:color w:val="000000" w:themeColor="text1"/>
                <w:highlight w:val="none"/>
                <w14:textFill>
                  <w14:solidFill>
                    <w14:schemeClr w14:val="tx1"/>
                  </w14:solidFill>
                </w14:textFill>
              </w:rPr>
              <w:t>210</w:t>
            </w:r>
            <w:r>
              <w:rPr>
                <w:rFonts w:hint="eastAsia"/>
                <w:color w:val="000000" w:themeColor="text1"/>
                <w:highlight w:val="none"/>
                <w14:textFill>
                  <w14:solidFill>
                    <w14:schemeClr w14:val="tx1"/>
                  </w14:solidFill>
                </w14:textFill>
              </w:rPr>
              <w:t>国道处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111" w:type="dxa"/>
          </w:tcPr>
          <w:p>
            <w:pPr>
              <w:pStyle w:val="118"/>
              <w:rPr>
                <w:color w:val="000000" w:themeColor="text1"/>
                <w:szCs w:val="21"/>
                <w:highlight w:val="none"/>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706368" behindDoc="0" locked="0" layoutInCell="1" allowOverlap="1">
                      <wp:simplePos x="0" y="0"/>
                      <wp:positionH relativeFrom="column">
                        <wp:posOffset>378460</wp:posOffset>
                      </wp:positionH>
                      <wp:positionV relativeFrom="paragraph">
                        <wp:posOffset>1243965</wp:posOffset>
                      </wp:positionV>
                      <wp:extent cx="1734185" cy="327660"/>
                      <wp:effectExtent l="19050" t="57150" r="19050" b="34290"/>
                      <wp:wrapNone/>
                      <wp:docPr id="29756388" name="直接箭头连接符 1"/>
                      <wp:cNvGraphicFramePr/>
                      <a:graphic xmlns:a="http://schemas.openxmlformats.org/drawingml/2006/main">
                        <a:graphicData uri="http://schemas.microsoft.com/office/word/2010/wordprocessingShape">
                          <wps:wsp>
                            <wps:cNvCnPr/>
                            <wps:spPr>
                              <a:xfrm flipH="1" flipV="1">
                                <a:off x="0" y="0"/>
                                <a:ext cx="1733909" cy="32780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1" o:spid="_x0000_s1026" o:spt="32" type="#_x0000_t32" style="position:absolute;left:0pt;flip:x y;margin-left:29.8pt;margin-top:97.95pt;height:25.8pt;width:136.55pt;z-index:251706368;mso-width-relative:page;mso-height-relative:page;" filled="f" stroked="t" coordsize="21600,21600" o:gfxdata="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x8Z/L90AAAAKAQAADwAAAAAAAAABACAAAAAiAAAAZHJzL2Rvd25yZXYueG1sUEsBAhQAFAAAAAgA&#10;h07iQM/d69ggAgAAAQQAAA4AAAAAAAAAAQAgAAAALAEAAGRycy9lMm9Eb2MueG1sUEsFBgAAAAAG&#10;AAYAWQEAAL4FAAAAAA==&#10;">
                      <v:fill on="f" focussize="0,0"/>
                      <v:stroke weight="0.5pt" color="#FF0000 [3204]" miterlimit="8" joinstyle="miter" endarrow="block"/>
                      <v:imagedata o:title=""/>
                      <o:lock v:ext="edit" aspectratio="f"/>
                    </v:shape>
                  </w:pict>
                </mc:Fallback>
              </mc:AlternateContent>
            </w:r>
            <w:r>
              <w:rPr>
                <w:color w:val="000000" w:themeColor="text1"/>
                <w:highlight w:val="none"/>
                <w14:textFill>
                  <w14:solidFill>
                    <w14:schemeClr w14:val="tx1"/>
                  </w14:solidFill>
                </w14:textFill>
              </w:rPr>
              <w:drawing>
                <wp:inline distT="0" distB="0" distL="0" distR="0">
                  <wp:extent cx="2561590" cy="2152015"/>
                  <wp:effectExtent l="0" t="0" r="0" b="635"/>
                  <wp:docPr id="20474082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408221" name="图片 1"/>
                          <pic:cNvPicPr>
                            <a:picLocks noChangeAspect="1"/>
                          </pic:cNvPicPr>
                        </pic:nvPicPr>
                        <pic:blipFill>
                          <a:blip r:embed="rId40"/>
                          <a:stretch>
                            <a:fillRect/>
                          </a:stretch>
                        </pic:blipFill>
                        <pic:spPr>
                          <a:xfrm>
                            <a:off x="0" y="0"/>
                            <a:ext cx="2563453" cy="2153058"/>
                          </a:xfrm>
                          <a:prstGeom prst="rect">
                            <a:avLst/>
                          </a:prstGeom>
                        </pic:spPr>
                      </pic:pic>
                    </a:graphicData>
                  </a:graphic>
                </wp:inline>
              </w:drawing>
            </w:r>
          </w:p>
        </w:tc>
        <w:tc>
          <w:tcPr>
            <w:tcW w:w="4111" w:type="dxa"/>
          </w:tcPr>
          <w:p>
            <w:pPr>
              <w:pStyle w:val="118"/>
              <w:rPr>
                <w:color w:val="000000" w:themeColor="text1"/>
                <w:szCs w:val="21"/>
                <w:highlight w:val="none"/>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707392" behindDoc="0" locked="0" layoutInCell="1" allowOverlap="1">
                      <wp:simplePos x="0" y="0"/>
                      <wp:positionH relativeFrom="column">
                        <wp:posOffset>579755</wp:posOffset>
                      </wp:positionH>
                      <wp:positionV relativeFrom="paragraph">
                        <wp:posOffset>1240790</wp:posOffset>
                      </wp:positionV>
                      <wp:extent cx="1759585" cy="80645"/>
                      <wp:effectExtent l="19050" t="76200" r="12065" b="33655"/>
                      <wp:wrapNone/>
                      <wp:docPr id="1152934680" name="直接箭头连接符 2"/>
                      <wp:cNvGraphicFramePr/>
                      <a:graphic xmlns:a="http://schemas.openxmlformats.org/drawingml/2006/main">
                        <a:graphicData uri="http://schemas.microsoft.com/office/word/2010/wordprocessingShape">
                          <wps:wsp>
                            <wps:cNvCnPr/>
                            <wps:spPr>
                              <a:xfrm flipH="1" flipV="1">
                                <a:off x="0" y="0"/>
                                <a:ext cx="1759789" cy="80873"/>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2" o:spid="_x0000_s1026" o:spt="32" type="#_x0000_t32" style="position:absolute;left:0pt;flip:x y;margin-left:45.65pt;margin-top:97.7pt;height:6.35pt;width:138.55pt;z-index:251707392;mso-width-relative:page;mso-height-relative:page;" filled="f" stroked="t" coordsize="21600,21600" o:gfxdata="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YTsX&#10;W9sAAAAKAQAADwAAAAAAAAABACAAAAAiAAAAZHJzL2Rvd25yZXYueG1sUEsBAhQAFAAAAAgAh07i&#10;QIxzLR8fAgAAAgQAAA4AAAAAAAAAAQAgAAAAKgEAAGRycy9lMm9Eb2MueG1sUEsFBgAAAAAGAAYA&#10;WQEAALsFAAAAAA==&#10;">
                      <v:fill on="f" focussize="0,0"/>
                      <v:stroke weight="0.5pt" color="#FF0000 [3204]" miterlimit="8" joinstyle="miter" endarrow="block"/>
                      <v:imagedata o:title=""/>
                      <o:lock v:ext="edit" aspectratio="f"/>
                    </v:shape>
                  </w:pict>
                </mc:Fallback>
              </mc:AlternateContent>
            </w:r>
            <w:r>
              <w:rPr>
                <w:color w:val="000000" w:themeColor="text1"/>
                <w:highlight w:val="none"/>
                <w14:textFill>
                  <w14:solidFill>
                    <w14:schemeClr w14:val="tx1"/>
                  </w14:solidFill>
                </w14:textFill>
              </w:rPr>
              <w:drawing>
                <wp:inline distT="0" distB="0" distL="0" distR="0">
                  <wp:extent cx="2514600" cy="2152015"/>
                  <wp:effectExtent l="0" t="0" r="0" b="635"/>
                  <wp:docPr id="7635897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589746" name="图片 1"/>
                          <pic:cNvPicPr>
                            <a:picLocks noChangeAspect="1"/>
                          </pic:cNvPicPr>
                        </pic:nvPicPr>
                        <pic:blipFill>
                          <a:blip r:embed="rId41"/>
                          <a:stretch>
                            <a:fillRect/>
                          </a:stretch>
                        </pic:blipFill>
                        <pic:spPr>
                          <a:xfrm>
                            <a:off x="0" y="0"/>
                            <a:ext cx="2515028" cy="2152217"/>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222" w:type="dxa"/>
            <w:gridSpan w:val="2"/>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外输管线沿线穿越乡村公路</w:t>
            </w:r>
          </w:p>
        </w:tc>
      </w:tr>
    </w:tbl>
    <w:p>
      <w:pPr>
        <w:tabs>
          <w:tab w:val="left" w:pos="3864"/>
        </w:tabs>
        <w:ind w:firstLine="420"/>
        <w:jc w:val="center"/>
        <w:rPr>
          <w:rFonts w:eastAsia="黑体"/>
          <w:color w:val="000000" w:themeColor="text1"/>
          <w:sz w:val="21"/>
          <w:szCs w:val="21"/>
          <w:highlight w:val="none"/>
          <w14:textFill>
            <w14:solidFill>
              <w14:schemeClr w14:val="tx1"/>
            </w14:solidFill>
          </w14:textFill>
        </w:rPr>
      </w:pPr>
      <w:r>
        <w:rPr>
          <w:rFonts w:eastAsia="黑体"/>
          <w:color w:val="000000" w:themeColor="text1"/>
          <w:sz w:val="21"/>
          <w:szCs w:val="21"/>
          <w:highlight w:val="none"/>
          <w14:textFill>
            <w14:solidFill>
              <w14:schemeClr w14:val="tx1"/>
            </w14:solidFill>
          </w14:textFill>
        </w:rPr>
        <w:t>图2.9-1项目及周边照片</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w:t>
      </w:r>
      <w:r>
        <w:rPr>
          <w:rFonts w:hint="eastAsia" w:cs="Times New Roman"/>
          <w:bCs/>
          <w:color w:val="000000" w:themeColor="text1"/>
          <w:szCs w:val="24"/>
          <w:highlight w:val="none"/>
          <w14:textFill>
            <w14:solidFill>
              <w14:schemeClr w14:val="tx1"/>
            </w14:solidFill>
          </w14:textFill>
        </w:rPr>
        <w:t>拟建项目</w:t>
      </w:r>
      <w:r>
        <w:rPr>
          <w:rFonts w:cs="Times New Roman"/>
          <w:bCs/>
          <w:color w:val="000000" w:themeColor="text1"/>
          <w:szCs w:val="24"/>
          <w:highlight w:val="none"/>
          <w14:textFill>
            <w14:solidFill>
              <w14:schemeClr w14:val="tx1"/>
            </w14:solidFill>
          </w14:textFill>
        </w:rPr>
        <w:t>周边地下水现状</w:t>
      </w:r>
    </w:p>
    <w:p>
      <w:pPr>
        <w:tabs>
          <w:tab w:val="left" w:pos="0"/>
        </w:tabs>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根据现场调查，本项目</w:t>
      </w:r>
      <w:r>
        <w:rPr>
          <w:rFonts w:hint="eastAsia"/>
          <w:bCs/>
          <w:color w:val="000000" w:themeColor="text1"/>
          <w:szCs w:val="24"/>
          <w:highlight w:val="none"/>
          <w14:textFill>
            <w14:solidFill>
              <w14:schemeClr w14:val="tx1"/>
            </w14:solidFill>
          </w14:textFill>
        </w:rPr>
        <w:t>试采站</w:t>
      </w:r>
      <w:r>
        <w:rPr>
          <w:bCs/>
          <w:color w:val="000000" w:themeColor="text1"/>
          <w:szCs w:val="24"/>
          <w:highlight w:val="none"/>
          <w14:textFill>
            <w14:solidFill>
              <w14:schemeClr w14:val="tx1"/>
            </w14:solidFill>
          </w14:textFill>
        </w:rPr>
        <w:t>位于宣汉县</w:t>
      </w:r>
      <w:r>
        <w:rPr>
          <w:rFonts w:hint="eastAsia"/>
          <w:bCs/>
          <w:color w:val="000000" w:themeColor="text1"/>
          <w:szCs w:val="24"/>
          <w:highlight w:val="none"/>
          <w:lang w:eastAsia="zh-CN"/>
          <w14:textFill>
            <w14:solidFill>
              <w14:schemeClr w14:val="tx1"/>
            </w14:solidFill>
          </w14:textFill>
        </w:rPr>
        <w:t>**</w:t>
      </w:r>
      <w:r>
        <w:rPr>
          <w:bCs/>
          <w:color w:val="000000" w:themeColor="text1"/>
          <w:szCs w:val="24"/>
          <w:highlight w:val="none"/>
          <w14:textFill>
            <w14:solidFill>
              <w14:schemeClr w14:val="tx1"/>
            </w14:solidFill>
          </w14:textFill>
        </w:rPr>
        <w:t>石虎村8组，</w:t>
      </w:r>
      <w:r>
        <w:rPr>
          <w:rFonts w:hint="eastAsia"/>
          <w:bCs/>
          <w:color w:val="000000" w:themeColor="text1"/>
          <w:szCs w:val="24"/>
          <w:highlight w:val="none"/>
          <w14:textFill>
            <w14:solidFill>
              <w14:schemeClr w14:val="tx1"/>
            </w14:solidFill>
          </w14:textFill>
        </w:rPr>
        <w:t>试采站周边</w:t>
      </w:r>
      <w:r>
        <w:rPr>
          <w:bCs/>
          <w:color w:val="000000" w:themeColor="text1"/>
          <w:szCs w:val="24"/>
          <w:highlight w:val="none"/>
          <w14:textFill>
            <w14:solidFill>
              <w14:schemeClr w14:val="tx1"/>
            </w14:solidFill>
          </w14:textFill>
        </w:rPr>
        <w:t>区域属中低山斜坡地形，周边生态环境属农村环境，项目周边农户以井水作为饮用水源。地下水评价范围内具备饮用功能的井泉约10处，井深约3～12m，水位埋深一般为0.2-8m以内，最近一处水井位于</w:t>
      </w:r>
      <w:r>
        <w:rPr>
          <w:rFonts w:hint="eastAsia"/>
          <w:bCs/>
          <w:color w:val="000000" w:themeColor="text1"/>
          <w:szCs w:val="24"/>
          <w:highlight w:val="none"/>
          <w14:textFill>
            <w14:solidFill>
              <w14:schemeClr w14:val="tx1"/>
            </w14:solidFill>
          </w14:textFill>
        </w:rPr>
        <w:t>污水罐西侧55</w:t>
      </w:r>
      <w:r>
        <w:rPr>
          <w:bCs/>
          <w:color w:val="000000" w:themeColor="text1"/>
          <w:szCs w:val="24"/>
          <w:highlight w:val="none"/>
          <w14:textFill>
            <w14:solidFill>
              <w14:schemeClr w14:val="tx1"/>
            </w14:solidFill>
          </w14:textFill>
        </w:rPr>
        <w:t>m处。这些水井均为各农户自家使用的分散式水井，不涉及集中式饮用水取水口。</w:t>
      </w:r>
    </w:p>
    <w:p>
      <w:pPr>
        <w:tabs>
          <w:tab w:val="left" w:pos="0"/>
        </w:tabs>
        <w:ind w:firstLine="480"/>
        <w:rPr>
          <w:rFonts w:cs="Times New Roman"/>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项目区地下水取水层位为侏罗系中统上沙溪 庙组</w:t>
      </w:r>
      <w:r>
        <w:rPr>
          <w:rFonts w:hint="eastAsia"/>
          <w:bCs/>
          <w:color w:val="000000" w:themeColor="text1"/>
          <w:szCs w:val="24"/>
          <w:highlight w:val="none"/>
          <w14:textFill>
            <w14:solidFill>
              <w14:schemeClr w14:val="tx1"/>
            </w14:solidFill>
          </w14:textFill>
        </w:rPr>
        <w:t>（</w:t>
      </w:r>
      <w:r>
        <w:rPr>
          <w:bCs/>
          <w:color w:val="000000" w:themeColor="text1"/>
          <w:szCs w:val="24"/>
          <w:highlight w:val="none"/>
          <w14:textFill>
            <w14:solidFill>
              <w14:schemeClr w14:val="tx1"/>
            </w14:solidFill>
          </w14:textFill>
        </w:rPr>
        <w:t>J</w:t>
      </w:r>
      <w:r>
        <w:rPr>
          <w:bCs/>
          <w:color w:val="000000" w:themeColor="text1"/>
          <w:szCs w:val="24"/>
          <w:highlight w:val="none"/>
          <w:vertAlign w:val="subscript"/>
          <w14:textFill>
            <w14:solidFill>
              <w14:schemeClr w14:val="tx1"/>
            </w14:solidFill>
          </w14:textFill>
        </w:rPr>
        <w:t>2</w:t>
      </w:r>
      <w:r>
        <w:rPr>
          <w:bCs/>
          <w:color w:val="000000" w:themeColor="text1"/>
          <w:szCs w:val="24"/>
          <w:highlight w:val="none"/>
          <w14:textFill>
            <w14:solidFill>
              <w14:schemeClr w14:val="tx1"/>
            </w14:solidFill>
          </w14:textFill>
        </w:rPr>
        <w:t>s</w:t>
      </w:r>
      <w:r>
        <w:rPr>
          <w:bCs/>
          <w:color w:val="000000" w:themeColor="text1"/>
          <w:szCs w:val="24"/>
          <w:highlight w:val="none"/>
          <w:vertAlign w:val="superscript"/>
          <w14:textFill>
            <w14:solidFill>
              <w14:schemeClr w14:val="tx1"/>
            </w14:solidFill>
          </w14:textFill>
        </w:rPr>
        <w:t>2</w:t>
      </w:r>
      <w:r>
        <w:rPr>
          <w:bCs/>
          <w:color w:val="000000" w:themeColor="text1"/>
          <w:szCs w:val="24"/>
          <w:highlight w:val="none"/>
          <w14:textFill>
            <w14:solidFill>
              <w14:schemeClr w14:val="tx1"/>
            </w14:solidFill>
          </w14:textFill>
        </w:rPr>
        <w:t xml:space="preserve"> </w:t>
      </w:r>
      <w:r>
        <w:rPr>
          <w:rFonts w:hint="eastAsia"/>
          <w:bCs/>
          <w:color w:val="000000" w:themeColor="text1"/>
          <w:szCs w:val="24"/>
          <w:highlight w:val="none"/>
          <w14:textFill>
            <w14:solidFill>
              <w14:schemeClr w14:val="tx1"/>
            </w14:solidFill>
          </w14:textFill>
        </w:rPr>
        <w:t>）</w:t>
      </w:r>
      <w:r>
        <w:rPr>
          <w:bCs/>
          <w:color w:val="000000" w:themeColor="text1"/>
          <w:szCs w:val="24"/>
          <w:highlight w:val="none"/>
          <w14:textFill>
            <w14:solidFill>
              <w14:schemeClr w14:val="tx1"/>
            </w14:solidFill>
          </w14:textFill>
        </w:rPr>
        <w:t>含水层，地下水类型为浅层风化带裂隙潜水。根据外环境调查，井场附近居民家中均使用山泉水或地下水作为饮用水源，基本为3~15户1泉井</w:t>
      </w:r>
      <w:r>
        <w:rPr>
          <w:rFonts w:hint="eastAsia" w:cs="Times New Roman"/>
          <w:bCs/>
          <w:color w:val="000000" w:themeColor="text1"/>
          <w:szCs w:val="24"/>
          <w:highlight w:val="none"/>
          <w14:textFill>
            <w14:solidFill>
              <w14:schemeClr w14:val="tx1"/>
            </w14:solidFill>
          </w14:textFill>
        </w:rPr>
        <w:t>。</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w:t>
      </w:r>
      <w:r>
        <w:rPr>
          <w:rFonts w:hint="eastAsia" w:cs="Times New Roman"/>
          <w:bCs/>
          <w:color w:val="000000" w:themeColor="text1"/>
          <w:szCs w:val="24"/>
          <w:highlight w:val="none"/>
          <w14:textFill>
            <w14:solidFill>
              <w14:schemeClr w14:val="tx1"/>
            </w14:solidFill>
          </w14:textFill>
        </w:rPr>
        <w:t>拟建试采站</w:t>
      </w:r>
      <w:r>
        <w:rPr>
          <w:rFonts w:cs="Times New Roman"/>
          <w:bCs/>
          <w:color w:val="000000" w:themeColor="text1"/>
          <w:szCs w:val="24"/>
          <w:highlight w:val="none"/>
          <w14:textFill>
            <w14:solidFill>
              <w14:schemeClr w14:val="tx1"/>
            </w14:solidFill>
          </w14:textFill>
        </w:rPr>
        <w:t>周边植被及地表水现状</w:t>
      </w:r>
    </w:p>
    <w:p>
      <w:pPr>
        <w:tabs>
          <w:tab w:val="left" w:pos="0"/>
        </w:tabs>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本项目井场所在地及周边地貌主要为林地、耕地，中低山等较陡地段地表一般为植被覆盖，包括乔木、灌木，主要有麻栎、青冈、栓皮栎、枫香、响叶杨、马尾松、杉木、柏木为主的针叶林植被等林地等，耕地主要种植</w:t>
      </w:r>
      <w:r>
        <w:rPr>
          <w:color w:val="000000" w:themeColor="text1"/>
          <w:highlight w:val="none"/>
          <w14:textFill>
            <w14:solidFill>
              <w14:schemeClr w14:val="tx1"/>
            </w14:solidFill>
          </w14:textFill>
        </w:rPr>
        <w:t>玉米、红苕、棉花、花生、小麦、马铃薯、豌豆</w:t>
      </w:r>
      <w:r>
        <w:rPr>
          <w:bCs/>
          <w:color w:val="000000" w:themeColor="text1"/>
          <w:szCs w:val="24"/>
          <w:highlight w:val="none"/>
          <w14:textFill>
            <w14:solidFill>
              <w14:schemeClr w14:val="tx1"/>
            </w14:solidFill>
          </w14:textFill>
        </w:rPr>
        <w:t>等。项目周边外环境无珍稀动植物。</w:t>
      </w:r>
    </w:p>
    <w:p>
      <w:pPr>
        <w:tabs>
          <w:tab w:val="left" w:pos="0"/>
        </w:tabs>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根据</w:t>
      </w:r>
      <w:r>
        <w:rPr>
          <w:rFonts w:hint="eastAsia"/>
          <w:bCs/>
          <w:color w:val="000000" w:themeColor="text1"/>
          <w:szCs w:val="24"/>
          <w:highlight w:val="none"/>
          <w14:textFill>
            <w14:solidFill>
              <w14:schemeClr w14:val="tx1"/>
            </w14:solidFill>
          </w14:textFill>
        </w:rPr>
        <w:t>现场勘查</w:t>
      </w:r>
      <w:r>
        <w:rPr>
          <w:bCs/>
          <w:color w:val="000000" w:themeColor="text1"/>
          <w:szCs w:val="24"/>
          <w:highlight w:val="none"/>
          <w14:textFill>
            <w14:solidFill>
              <w14:schemeClr w14:val="tx1"/>
            </w14:solidFill>
          </w14:textFill>
        </w:rPr>
        <w:t>，本项目最近的河流为场区东南侧6</w:t>
      </w:r>
      <w:r>
        <w:rPr>
          <w:rFonts w:hint="eastAsia"/>
          <w:bCs/>
          <w:color w:val="000000" w:themeColor="text1"/>
          <w:szCs w:val="24"/>
          <w:highlight w:val="none"/>
          <w14:textFill>
            <w14:solidFill>
              <w14:schemeClr w14:val="tx1"/>
            </w14:solidFill>
          </w14:textFill>
        </w:rPr>
        <w:t>8</w:t>
      </w:r>
      <w:r>
        <w:rPr>
          <w:bCs/>
          <w:color w:val="000000" w:themeColor="text1"/>
          <w:szCs w:val="24"/>
          <w:highlight w:val="none"/>
          <w14:textFill>
            <w14:solidFill>
              <w14:schemeClr w14:val="tx1"/>
            </w14:solidFill>
          </w14:textFill>
        </w:rPr>
        <w:t>0m处州河，州河的主要水体功能为灌溉</w:t>
      </w:r>
      <w:r>
        <w:rPr>
          <w:rFonts w:hint="eastAsia"/>
          <w:bCs/>
          <w:color w:val="000000" w:themeColor="text1"/>
          <w:szCs w:val="24"/>
          <w:highlight w:val="none"/>
          <w:lang w:eastAsia="zh-CN"/>
          <w14:textFill>
            <w14:solidFill>
              <w14:schemeClr w14:val="tx1"/>
            </w14:solidFill>
          </w14:textFill>
        </w:rPr>
        <w:t>、</w:t>
      </w:r>
      <w:r>
        <w:rPr>
          <w:bCs/>
          <w:color w:val="000000" w:themeColor="text1"/>
          <w:szCs w:val="24"/>
          <w:highlight w:val="none"/>
          <w14:textFill>
            <w14:solidFill>
              <w14:schemeClr w14:val="tx1"/>
            </w14:solidFill>
          </w14:textFill>
        </w:rPr>
        <w:t>行洪</w:t>
      </w:r>
      <w:r>
        <w:rPr>
          <w:rFonts w:hint="eastAsia"/>
          <w:bCs/>
          <w:color w:val="000000" w:themeColor="text1"/>
          <w:szCs w:val="24"/>
          <w:highlight w:val="none"/>
          <w:lang w:val="en-US" w:eastAsia="zh-CN"/>
          <w14:textFill>
            <w14:solidFill>
              <w14:schemeClr w14:val="tx1"/>
            </w14:solidFill>
          </w14:textFill>
        </w:rPr>
        <w:t>及</w:t>
      </w:r>
      <w:r>
        <w:rPr>
          <w:bCs/>
          <w:color w:val="000000" w:themeColor="text1"/>
          <w:szCs w:val="24"/>
          <w:highlight w:val="none"/>
          <w14:textFill>
            <w14:solidFill>
              <w14:schemeClr w14:val="tx1"/>
            </w14:solidFill>
          </w14:textFill>
        </w:rPr>
        <w:t>饮用水</w:t>
      </w:r>
      <w:r>
        <w:rPr>
          <w:rFonts w:hint="eastAsia"/>
          <w:bCs/>
          <w:color w:val="000000" w:themeColor="text1"/>
          <w:szCs w:val="24"/>
          <w:highlight w:val="none"/>
          <w:lang w:val="en-US" w:eastAsia="zh-CN"/>
          <w14:textFill>
            <w14:solidFill>
              <w14:schemeClr w14:val="tx1"/>
            </w14:solidFill>
          </w14:textFill>
        </w:rPr>
        <w:t>功能</w:t>
      </w:r>
      <w:r>
        <w:rPr>
          <w:bCs/>
          <w:color w:val="000000" w:themeColor="text1"/>
          <w:szCs w:val="24"/>
          <w:highlight w:val="none"/>
          <w14:textFill>
            <w14:solidFill>
              <w14:schemeClr w14:val="tx1"/>
            </w14:solidFill>
          </w14:textFill>
        </w:rPr>
        <w:t>。</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4、</w:t>
      </w:r>
      <w:r>
        <w:rPr>
          <w:rFonts w:hint="eastAsia" w:cs="Times New Roman"/>
          <w:bCs/>
          <w:color w:val="000000" w:themeColor="text1"/>
          <w:szCs w:val="24"/>
          <w:highlight w:val="none"/>
          <w14:textFill>
            <w14:solidFill>
              <w14:schemeClr w14:val="tx1"/>
            </w14:solidFill>
          </w14:textFill>
        </w:rPr>
        <w:t>依托</w:t>
      </w:r>
      <w:r>
        <w:rPr>
          <w:rFonts w:cs="Times New Roman"/>
          <w:bCs/>
          <w:color w:val="000000" w:themeColor="text1"/>
          <w:szCs w:val="24"/>
          <w:highlight w:val="none"/>
          <w14:textFill>
            <w14:solidFill>
              <w14:schemeClr w14:val="tx1"/>
            </w14:solidFill>
          </w14:textFill>
        </w:rPr>
        <w:t>井场道路周边外环境简况</w:t>
      </w:r>
    </w:p>
    <w:p>
      <w:pPr>
        <w:tabs>
          <w:tab w:val="left" w:pos="0"/>
        </w:tabs>
        <w:ind w:firstLine="480"/>
        <w:rPr>
          <w:rFonts w:cs="Times New Roman"/>
          <w:bCs/>
          <w:color w:val="000000" w:themeColor="text1"/>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本项目</w:t>
      </w:r>
      <w:r>
        <w:rPr>
          <w:rFonts w:hint="eastAsia" w:cs="Times New Roman"/>
          <w:bCs/>
          <w:color w:val="000000" w:themeColor="text1"/>
          <w:szCs w:val="24"/>
          <w:highlight w:val="none"/>
          <w14:textFill>
            <w14:solidFill>
              <w14:schemeClr w14:val="tx1"/>
            </w14:solidFill>
          </w14:textFill>
        </w:rPr>
        <w:t>依托进场道路100m</w:t>
      </w:r>
      <w:r>
        <w:rPr>
          <w:rFonts w:cs="Times New Roman"/>
          <w:bCs/>
          <w:color w:val="000000" w:themeColor="text1"/>
          <w:szCs w:val="24"/>
          <w:highlight w:val="none"/>
          <w14:textFill>
            <w14:solidFill>
              <w14:schemeClr w14:val="tx1"/>
            </w14:solidFill>
          </w14:textFill>
        </w:rPr>
        <w:t>，位于</w:t>
      </w:r>
      <w:r>
        <w:rPr>
          <w:rFonts w:hint="eastAsia" w:cs="Times New Roman"/>
          <w:bCs/>
          <w:color w:val="000000" w:themeColor="text1"/>
          <w:szCs w:val="24"/>
          <w:highlight w:val="none"/>
          <w14:textFill>
            <w14:solidFill>
              <w14:schemeClr w14:val="tx1"/>
            </w14:solidFill>
          </w14:textFill>
        </w:rPr>
        <w:t>试采站西侧</w:t>
      </w:r>
      <w:r>
        <w:rPr>
          <w:rFonts w:cs="Times New Roman"/>
          <w:bCs/>
          <w:color w:val="000000" w:themeColor="text1"/>
          <w:szCs w:val="24"/>
          <w:highlight w:val="none"/>
          <w14:textFill>
            <w14:solidFill>
              <w14:schemeClr w14:val="tx1"/>
            </w14:solidFill>
          </w14:textFill>
        </w:rPr>
        <w:t>，道路</w:t>
      </w:r>
      <w:r>
        <w:rPr>
          <w:rFonts w:hint="eastAsia" w:cs="Times New Roman"/>
          <w:bCs/>
          <w:color w:val="000000" w:themeColor="text1"/>
          <w:szCs w:val="24"/>
          <w:highlight w:val="none"/>
          <w14:textFill>
            <w14:solidFill>
              <w14:schemeClr w14:val="tx1"/>
            </w14:solidFill>
          </w14:textFill>
        </w:rPr>
        <w:t>东</w:t>
      </w:r>
      <w:r>
        <w:rPr>
          <w:rFonts w:cs="Times New Roman"/>
          <w:bCs/>
          <w:color w:val="000000" w:themeColor="text1"/>
          <w:szCs w:val="24"/>
          <w:highlight w:val="none"/>
          <w14:textFill>
            <w14:solidFill>
              <w14:schemeClr w14:val="tx1"/>
            </w14:solidFill>
          </w14:textFill>
        </w:rPr>
        <w:t>侧分布有林地。</w:t>
      </w:r>
      <w:r>
        <w:rPr>
          <w:rFonts w:cs="Times New Roman"/>
          <w:bCs/>
          <w:color w:val="000000" w:themeColor="text1"/>
          <w:highlight w:val="none"/>
          <w14:textFill>
            <w14:solidFill>
              <w14:schemeClr w14:val="tx1"/>
            </w14:solidFill>
          </w14:textFill>
        </w:rPr>
        <w:t>周边均无珍稀动植物和保护区分布。</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5、管线沿线周边外环境简况</w:t>
      </w:r>
    </w:p>
    <w:p>
      <w:pPr>
        <w:ind w:firstLine="480"/>
        <w:rPr>
          <w:rFonts w:cs="Times New Roman"/>
          <w:bCs/>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本项目</w:t>
      </w:r>
      <w:r>
        <w:rPr>
          <w:rFonts w:hint="eastAsia" w:cs="Times New Roman"/>
          <w:color w:val="000000" w:themeColor="text1"/>
          <w:highlight w:val="none"/>
          <w14:textFill>
            <w14:solidFill>
              <w14:schemeClr w14:val="tx1"/>
            </w14:solidFill>
          </w14:textFill>
        </w:rPr>
        <w:t>雷页1井试采</w:t>
      </w:r>
      <w:r>
        <w:rPr>
          <w:rFonts w:cs="Times New Roman"/>
          <w:color w:val="000000" w:themeColor="text1"/>
          <w:highlight w:val="none"/>
          <w14:textFill>
            <w14:solidFill>
              <w14:schemeClr w14:val="tx1"/>
            </w14:solidFill>
          </w14:textFill>
        </w:rPr>
        <w:t>站</w:t>
      </w:r>
      <w:r>
        <w:rPr>
          <w:rFonts w:hint="eastAsia" w:cs="Times New Roman"/>
          <w:color w:val="000000" w:themeColor="text1"/>
          <w:highlight w:val="none"/>
          <w14:textFill>
            <w14:solidFill>
              <w14:schemeClr w14:val="tx1"/>
            </w14:solidFill>
          </w14:textFill>
        </w:rPr>
        <w:t>～魏兴交接计量站</w:t>
      </w:r>
      <w:r>
        <w:rPr>
          <w:rFonts w:cs="Times New Roman"/>
          <w:color w:val="000000" w:themeColor="text1"/>
          <w:highlight w:val="none"/>
          <w14:textFill>
            <w14:solidFill>
              <w14:schemeClr w14:val="tx1"/>
            </w14:solidFill>
          </w14:textFill>
        </w:rPr>
        <w:t>管线长度约</w:t>
      </w:r>
      <w:r>
        <w:rPr>
          <w:rFonts w:hint="eastAsia" w:cs="Times New Roman"/>
          <w:color w:val="000000" w:themeColor="text1"/>
          <w:highlight w:val="none"/>
          <w14:textFill>
            <w14:solidFill>
              <w14:schemeClr w14:val="tx1"/>
            </w14:solidFill>
          </w14:textFill>
        </w:rPr>
        <w:t>11.8k</w:t>
      </w:r>
      <w:r>
        <w:rPr>
          <w:rFonts w:cs="Times New Roman"/>
          <w:color w:val="000000" w:themeColor="text1"/>
          <w:highlight w:val="none"/>
          <w14:textFill>
            <w14:solidFill>
              <w14:schemeClr w14:val="tx1"/>
            </w14:solidFill>
          </w14:textFill>
        </w:rPr>
        <w:t>m，管线沿线</w:t>
      </w:r>
      <w:r>
        <w:rPr>
          <w:rFonts w:cs="Times New Roman"/>
          <w:bCs/>
          <w:color w:val="000000" w:themeColor="text1"/>
          <w:highlight w:val="none"/>
          <w14:textFill>
            <w14:solidFill>
              <w14:schemeClr w14:val="tx1"/>
            </w14:solidFill>
          </w14:textFill>
        </w:rPr>
        <w:t>均无珍稀动植物和保护区分布，200m范围内</w:t>
      </w:r>
      <w:r>
        <w:rPr>
          <w:rFonts w:hint="eastAsia" w:cs="Times New Roman"/>
          <w:bCs/>
          <w:color w:val="000000" w:themeColor="text1"/>
          <w:highlight w:val="none"/>
          <w14:textFill>
            <w14:solidFill>
              <w14:schemeClr w14:val="tx1"/>
            </w14:solidFill>
          </w14:textFill>
        </w:rPr>
        <w:t>主要为零散</w:t>
      </w:r>
      <w:r>
        <w:rPr>
          <w:rFonts w:cs="Times New Roman"/>
          <w:bCs/>
          <w:color w:val="000000" w:themeColor="text1"/>
          <w:highlight w:val="none"/>
          <w14:textFill>
            <w14:solidFill>
              <w14:schemeClr w14:val="tx1"/>
            </w14:solidFill>
          </w14:textFill>
        </w:rPr>
        <w:t>居民点分布。</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项目现场情况见下图。</w:t>
      </w:r>
    </w:p>
    <w:tbl>
      <w:tblPr>
        <w:tblStyle w:val="18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vAlign w:val="center"/>
          </w:tcPr>
          <w:p>
            <w:pPr>
              <w:spacing w:line="240" w:lineRule="auto"/>
              <w:ind w:firstLine="0" w:firstLineChars="0"/>
              <w:jc w:val="center"/>
              <w:rPr>
                <w:rFonts w:eastAsia="Times New Roman"/>
                <w:color w:val="000000" w:themeColor="text1"/>
                <w:sz w:val="21"/>
                <w:szCs w:val="21"/>
                <w:highlight w:val="none"/>
                <w14:textFill>
                  <w14:solidFill>
                    <w14:schemeClr w14:val="tx1"/>
                  </w14:solidFill>
                </w14:textFill>
                <w14:ligatures w14:val="standardContextual"/>
              </w:rPr>
            </w:pPr>
            <w:r>
              <w:rPr>
                <w:rFonts w:eastAsia="Times New Roman"/>
                <w:color w:val="000000" w:themeColor="text1"/>
                <w:highlight w:val="none"/>
                <w14:textFill>
                  <w14:solidFill>
                    <w14:schemeClr w14:val="tx1"/>
                  </w14:solidFill>
                </w14:textFill>
                <w14:ligatures w14:val="standardContextual"/>
              </w:rPr>
              <mc:AlternateContent>
                <mc:Choice Requires="wps">
                  <w:drawing>
                    <wp:anchor distT="0" distB="0" distL="114300" distR="114300" simplePos="0" relativeHeight="251686912" behindDoc="0" locked="0" layoutInCell="1" allowOverlap="1">
                      <wp:simplePos x="0" y="0"/>
                      <wp:positionH relativeFrom="column">
                        <wp:posOffset>2148205</wp:posOffset>
                      </wp:positionH>
                      <wp:positionV relativeFrom="paragraph">
                        <wp:posOffset>3192780</wp:posOffset>
                      </wp:positionV>
                      <wp:extent cx="1231900" cy="386080"/>
                      <wp:effectExtent l="247650" t="304800" r="25400" b="13970"/>
                      <wp:wrapNone/>
                      <wp:docPr id="8" name="线形标注 1 8"/>
                      <wp:cNvGraphicFramePr/>
                      <a:graphic xmlns:a="http://schemas.openxmlformats.org/drawingml/2006/main">
                        <a:graphicData uri="http://schemas.microsoft.com/office/word/2010/wordprocessingShape">
                          <wps:wsp>
                            <wps:cNvSpPr/>
                            <wps:spPr>
                              <a:xfrm>
                                <a:off x="3357230" y="4123217"/>
                                <a:ext cx="1231900" cy="386080"/>
                              </a:xfrm>
                              <a:prstGeom prst="borderCallout1">
                                <a:avLst>
                                  <a:gd name="adj1" fmla="val 18750"/>
                                  <a:gd name="adj2" fmla="val -8333"/>
                                  <a:gd name="adj3" fmla="val -77947"/>
                                  <a:gd name="adj4" fmla="val -19536"/>
                                </a:avLst>
                              </a:prstGeom>
                            </wps:spPr>
                            <wps:style>
                              <a:lnRef idx="2">
                                <a:schemeClr val="accent1">
                                  <a:lumMod val="75000"/>
                                </a:schemeClr>
                              </a:lnRef>
                              <a:fillRef idx="1">
                                <a:schemeClr val="accent1"/>
                              </a:fillRef>
                              <a:effectRef idx="0">
                                <a:srgbClr val="FFFFFF"/>
                              </a:effectRef>
                              <a:fontRef idx="minor">
                                <a:schemeClr val="lt1"/>
                              </a:fontRef>
                            </wps:style>
                            <wps:txbx>
                              <w:txbxContent>
                                <w:p>
                                  <w:pPr>
                                    <w:ind w:firstLine="0" w:firstLineChars="0"/>
                                  </w:pPr>
                                  <w:r>
                                    <w:rPr>
                                      <w:rFonts w:hint="eastAsia"/>
                                    </w:rPr>
                                    <w:t>本项目试采站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7" type="#_x0000_t47" style="position:absolute;left:0pt;margin-left:169.15pt;margin-top:251.4pt;height:30.4pt;width:97pt;z-index:251686912;v-text-anchor:middle;mso-width-relative:page;mso-height-relative:page;" fillcolor="#4472C4 [3204]" filled="t" stroked="t" coordsize="21600,21600" o:gfxdata="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" adj="-4220,-16837,-1800,4050">
                      <v:fill on="t" focussize="0,0"/>
                      <v:stroke weight="1pt" color="#2F5597 [2404]" miterlimit="8" joinstyle="miter"/>
                      <v:imagedata o:title=""/>
                      <o:lock v:ext="edit" aspectratio="f"/>
                      <v:textbox>
                        <w:txbxContent>
                          <w:p>
                            <w:pPr>
                              <w:ind w:firstLine="0" w:firstLineChars="0"/>
                            </w:pPr>
                            <w:r>
                              <w:rPr>
                                <w:rFonts w:hint="eastAsia"/>
                              </w:rPr>
                              <w:t>本项目试采站</w:t>
                            </w:r>
                          </w:p>
                        </w:txbxContent>
                      </v:textbox>
                    </v:shape>
                  </w:pict>
                </mc:Fallback>
              </mc:AlternateContent>
            </w:r>
            <w:r>
              <w:rPr>
                <w:rFonts w:eastAsia="Times New Roman"/>
                <w:color w:val="000000" w:themeColor="text1"/>
                <w:highlight w:val="none"/>
                <w14:textFill>
                  <w14:solidFill>
                    <w14:schemeClr w14:val="tx1"/>
                  </w14:solidFill>
                </w14:textFill>
                <w14:ligatures w14:val="standardContextual"/>
              </w:rPr>
              <mc:AlternateContent>
                <mc:Choice Requires="wps">
                  <w:drawing>
                    <wp:anchor distT="0" distB="0" distL="114300" distR="114300" simplePos="0" relativeHeight="251687936" behindDoc="0" locked="0" layoutInCell="1" allowOverlap="1">
                      <wp:simplePos x="0" y="0"/>
                      <wp:positionH relativeFrom="column">
                        <wp:posOffset>4037330</wp:posOffset>
                      </wp:positionH>
                      <wp:positionV relativeFrom="paragraph">
                        <wp:posOffset>1132205</wp:posOffset>
                      </wp:positionV>
                      <wp:extent cx="1019810" cy="324485"/>
                      <wp:effectExtent l="419100" t="0" r="27940" b="856615"/>
                      <wp:wrapNone/>
                      <wp:docPr id="11" name="线形标注 1 11"/>
                      <wp:cNvGraphicFramePr/>
                      <a:graphic xmlns:a="http://schemas.openxmlformats.org/drawingml/2006/main">
                        <a:graphicData uri="http://schemas.microsoft.com/office/word/2010/wordprocessingShape">
                          <wps:wsp>
                            <wps:cNvSpPr/>
                            <wps:spPr>
                              <a:xfrm>
                                <a:off x="5246281" y="2062716"/>
                                <a:ext cx="1019810" cy="324485"/>
                              </a:xfrm>
                              <a:prstGeom prst="borderCallout1">
                                <a:avLst>
                                  <a:gd name="adj1" fmla="val 103945"/>
                                  <a:gd name="adj2" fmla="val 11476"/>
                                  <a:gd name="adj3" fmla="val 357279"/>
                                  <a:gd name="adj4" fmla="val -39666"/>
                                </a:avLst>
                              </a:prstGeom>
                            </wps:spPr>
                            <wps:style>
                              <a:lnRef idx="2">
                                <a:schemeClr val="accent1">
                                  <a:lumMod val="75000"/>
                                </a:schemeClr>
                              </a:lnRef>
                              <a:fillRef idx="1">
                                <a:schemeClr val="accent1"/>
                              </a:fillRef>
                              <a:effectRef idx="0">
                                <a:srgbClr val="FFFFFF"/>
                              </a:effectRef>
                              <a:fontRef idx="minor">
                                <a:schemeClr val="lt1"/>
                              </a:fontRef>
                            </wps:style>
                            <wps:txbx>
                              <w:txbxContent>
                                <w:p>
                                  <w:pPr>
                                    <w:ind w:firstLine="0" w:firstLineChars="0"/>
                                  </w:pPr>
                                  <w:r>
                                    <w:rPr>
                                      <w:rFonts w:hint="eastAsia"/>
                                    </w:rPr>
                                    <w:t>雷页1井场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7" type="#_x0000_t47" style="position:absolute;left:0pt;margin-left:317.9pt;margin-top:89.15pt;height:25.55pt;width:80.3pt;z-index:251687936;v-text-anchor:middle;mso-width-relative:page;mso-height-relative:page;" fillcolor="#4472C4 [3204]" filled="t" stroked="t" coordsize="21600,21600" o:gfxdata="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" adj="-8568,77172,2479,22452">
                      <v:fill on="t" focussize="0,0"/>
                      <v:stroke weight="1pt" color="#2F5597 [2404]" miterlimit="8" joinstyle="miter"/>
                      <v:imagedata o:title=""/>
                      <o:lock v:ext="edit" aspectratio="f"/>
                      <v:textbox>
                        <w:txbxContent>
                          <w:p>
                            <w:pPr>
                              <w:ind w:firstLine="0" w:firstLineChars="0"/>
                            </w:pPr>
                            <w:r>
                              <w:rPr>
                                <w:rFonts w:hint="eastAsia"/>
                              </w:rPr>
                              <w:t>雷页1井场</w:t>
                            </w:r>
                          </w:p>
                        </w:txbxContent>
                      </v:textbox>
                    </v:shape>
                  </w:pict>
                </mc:Fallback>
              </mc:AlternateContent>
            </w:r>
            <w:r>
              <w:rPr>
                <w:rFonts w:eastAsia="Times New Roman"/>
                <w:color w:val="000000" w:themeColor="text1"/>
                <w:highlight w:val="none"/>
                <w14:textFill>
                  <w14:solidFill>
                    <w14:schemeClr w14:val="tx1"/>
                  </w14:solidFill>
                </w14:textFill>
                <w14:ligatures w14:val="standardContextual"/>
              </w:rPr>
              <mc:AlternateContent>
                <mc:Choice Requires="wps">
                  <w:drawing>
                    <wp:anchor distT="0" distB="0" distL="114300" distR="114300" simplePos="0" relativeHeight="251685888" behindDoc="0" locked="0" layoutInCell="1" allowOverlap="1">
                      <wp:simplePos x="0" y="0"/>
                      <wp:positionH relativeFrom="column">
                        <wp:posOffset>1771015</wp:posOffset>
                      </wp:positionH>
                      <wp:positionV relativeFrom="paragraph">
                        <wp:posOffset>2089150</wp:posOffset>
                      </wp:positionV>
                      <wp:extent cx="1209675" cy="816610"/>
                      <wp:effectExtent l="13970" t="15240" r="33655" b="25400"/>
                      <wp:wrapNone/>
                      <wp:docPr id="2" name="任意多边形 2"/>
                      <wp:cNvGraphicFramePr/>
                      <a:graphic xmlns:a="http://schemas.openxmlformats.org/drawingml/2006/main">
                        <a:graphicData uri="http://schemas.microsoft.com/office/word/2010/wordprocessingShape">
                          <wps:wsp>
                            <wps:cNvSpPr/>
                            <wps:spPr>
                              <a:xfrm>
                                <a:off x="2868930" y="7753350"/>
                                <a:ext cx="1209675" cy="816610"/>
                              </a:xfrm>
                              <a:custGeom>
                                <a:avLst/>
                                <a:gdLst>
                                  <a:gd name="connisteX0" fmla="*/ 0 w 1254760"/>
                                  <a:gd name="connsiteY0" fmla="*/ 33655 h 862330"/>
                                  <a:gd name="connisteX1" fmla="*/ 44450 w 1254760"/>
                                  <a:gd name="connsiteY1" fmla="*/ 862330 h 862330"/>
                                  <a:gd name="connisteX2" fmla="*/ 1254760 w 1254760"/>
                                  <a:gd name="connsiteY2" fmla="*/ 706120 h 862330"/>
                                  <a:gd name="connisteX3" fmla="*/ 1030605 w 1254760"/>
                                  <a:gd name="connsiteY3" fmla="*/ 0 h 862330"/>
                                  <a:gd name="connisteX4" fmla="*/ 10795 w 1254760"/>
                                  <a:gd name="connsiteY4" fmla="*/ 66675 h 86233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254760" h="862330">
                                    <a:moveTo>
                                      <a:pt x="0" y="33655"/>
                                    </a:moveTo>
                                    <a:lnTo>
                                      <a:pt x="44450" y="862330"/>
                                    </a:lnTo>
                                    <a:lnTo>
                                      <a:pt x="1254760" y="706120"/>
                                    </a:lnTo>
                                    <a:lnTo>
                                      <a:pt x="1030605" y="0"/>
                                    </a:lnTo>
                                    <a:lnTo>
                                      <a:pt x="10795" y="66675"/>
                                    </a:lnTo>
                                  </a:path>
                                </a:pathLst>
                              </a:custGeom>
                              <a:noFill/>
                              <a:ln w="28575">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39.45pt;margin-top:164.5pt;height:64.3pt;width:95.25pt;z-index:251685888;mso-width-relative:page;mso-height-relative:page;" filled="f" stroked="t" coordsize="1254760,862330" o:gfxdata="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" path="m0,33655l44450,862330,1254760,706120,1030605,0,10795,66675e">
                      <v:path o:connectlocs="0,31870;42852,816610;1209675,668682;993574,0;10407,63139" o:connectangles="0,0,0,0,0"/>
                      <v:fill on="f" focussize="0,0"/>
                      <v:stroke weight="2.25pt" color="#FF0000 [2404]" miterlimit="8" joinstyle="miter"/>
                      <v:imagedata o:title=""/>
                      <o:lock v:ext="edit" aspectratio="f"/>
                    </v:shape>
                  </w:pict>
                </mc:Fallback>
              </mc:AlternateContent>
            </w:r>
            <w:r>
              <w:rPr>
                <w:rFonts w:eastAsia="Times New Roman"/>
                <w:color w:val="000000" w:themeColor="text1"/>
                <w:highlight w:val="none"/>
                <w14:textFill>
                  <w14:solidFill>
                    <w14:schemeClr w14:val="tx1"/>
                  </w14:solidFill>
                </w14:textFill>
                <w14:ligatures w14:val="standardContextual"/>
              </w:rPr>
              <w:drawing>
                <wp:inline distT="0" distB="0" distL="114300" distR="114300">
                  <wp:extent cx="5272405" cy="3876675"/>
                  <wp:effectExtent l="0" t="0" r="4445" b="9525"/>
                  <wp:docPr id="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7"/>
                          <pic:cNvPicPr>
                            <a:picLocks noChangeAspect="1"/>
                          </pic:cNvPicPr>
                        </pic:nvPicPr>
                        <pic:blipFill>
                          <a:blip r:embed="rId42"/>
                          <a:stretch>
                            <a:fillRect/>
                          </a:stretch>
                        </pic:blipFill>
                        <pic:spPr>
                          <a:xfrm>
                            <a:off x="0" y="0"/>
                            <a:ext cx="5272405" cy="38766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vAlign w:val="center"/>
          </w:tcPr>
          <w:p>
            <w:pPr>
              <w:spacing w:line="240" w:lineRule="auto"/>
              <w:ind w:firstLine="0" w:firstLineChars="0"/>
              <w:jc w:val="center"/>
              <w:rPr>
                <w:rFonts w:eastAsia="Times New Roman"/>
                <w:color w:val="000000" w:themeColor="text1"/>
                <w:sz w:val="21"/>
                <w:szCs w:val="21"/>
                <w:highlight w:val="none"/>
                <w14:textFill>
                  <w14:solidFill>
                    <w14:schemeClr w14:val="tx1"/>
                  </w14:solidFill>
                </w14:textFill>
                <w14:ligatures w14:val="standardContextual"/>
              </w:rPr>
            </w:pPr>
            <w:r>
              <w:rPr>
                <w:rFonts w:hint="eastAsia" w:ascii="宋体" w:hAnsi="宋体" w:eastAsia="Times New Roman" w:cs="宋体"/>
                <w:color w:val="000000" w:themeColor="text1"/>
                <w:sz w:val="21"/>
                <w:szCs w:val="21"/>
                <w:highlight w:val="none"/>
                <w14:textFill>
                  <w14:solidFill>
                    <w14:schemeClr w14:val="tx1"/>
                  </w14:solidFill>
                </w14:textFill>
                <w14:ligatures w14:val="standardContextual"/>
              </w:rPr>
              <w:t>试采站拟建地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vAlign w:val="center"/>
          </w:tcPr>
          <w:p>
            <w:pPr>
              <w:spacing w:line="240" w:lineRule="auto"/>
              <w:ind w:firstLine="0" w:firstLineChars="0"/>
              <w:jc w:val="center"/>
              <w:rPr>
                <w:rFonts w:eastAsia="Times New Roman"/>
                <w:color w:val="000000" w:themeColor="text1"/>
                <w:sz w:val="21"/>
                <w:szCs w:val="21"/>
                <w:highlight w:val="none"/>
                <w14:textFill>
                  <w14:solidFill>
                    <w14:schemeClr w14:val="tx1"/>
                  </w14:solidFill>
                </w14:textFill>
                <w14:ligatures w14:val="standardContextual"/>
              </w:rPr>
            </w:pPr>
            <w:r>
              <w:rPr>
                <w:rFonts w:eastAsia="Times New Roman"/>
                <w:color w:val="000000" w:themeColor="text1"/>
                <w:highlight w:val="none"/>
                <w14:textFill>
                  <w14:solidFill>
                    <w14:schemeClr w14:val="tx1"/>
                  </w14:solidFill>
                </w14:textFill>
                <w14:ligatures w14:val="standardContextual"/>
              </w:rPr>
              <w:drawing>
                <wp:inline distT="0" distB="0" distL="114300" distR="114300">
                  <wp:extent cx="5273040" cy="3681730"/>
                  <wp:effectExtent l="0" t="0" r="3810" b="13970"/>
                  <wp:docPr id="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pic:cNvPicPr>
                            <a:picLocks noChangeAspect="1"/>
                          </pic:cNvPicPr>
                        </pic:nvPicPr>
                        <pic:blipFill>
                          <a:blip r:embed="rId43"/>
                          <a:stretch>
                            <a:fillRect/>
                          </a:stretch>
                        </pic:blipFill>
                        <pic:spPr>
                          <a:xfrm>
                            <a:off x="0" y="0"/>
                            <a:ext cx="5273040" cy="368173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vAlign w:val="center"/>
          </w:tcPr>
          <w:p>
            <w:pPr>
              <w:spacing w:line="240" w:lineRule="auto"/>
              <w:ind w:firstLine="0" w:firstLineChars="0"/>
              <w:jc w:val="center"/>
              <w:rPr>
                <w:rFonts w:eastAsia="Times New Roman"/>
                <w:color w:val="000000" w:themeColor="text1"/>
                <w:sz w:val="21"/>
                <w:szCs w:val="21"/>
                <w:highlight w:val="none"/>
                <w14:textFill>
                  <w14:solidFill>
                    <w14:schemeClr w14:val="tx1"/>
                  </w14:solidFill>
                </w14:textFill>
                <w14:ligatures w14:val="standardContextual"/>
              </w:rPr>
            </w:pPr>
            <w:r>
              <w:rPr>
                <w:rFonts w:hint="eastAsia" w:ascii="宋体" w:hAnsi="宋体" w:eastAsia="Times New Roman" w:cs="宋体"/>
                <w:color w:val="000000" w:themeColor="text1"/>
                <w:sz w:val="21"/>
                <w:szCs w:val="21"/>
                <w:highlight w:val="none"/>
                <w14:textFill>
                  <w14:solidFill>
                    <w14:schemeClr w14:val="tx1"/>
                  </w14:solidFill>
                </w14:textFill>
                <w14:ligatures w14:val="standardContextual"/>
              </w:rPr>
              <w:t>试采站拟建地西侧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vAlign w:val="center"/>
          </w:tcPr>
          <w:p>
            <w:pPr>
              <w:spacing w:line="240" w:lineRule="auto"/>
              <w:ind w:firstLine="0" w:firstLineChars="0"/>
              <w:jc w:val="center"/>
              <w:rPr>
                <w:rFonts w:eastAsia="Times New Roman"/>
                <w:b/>
                <w:bCs/>
                <w:color w:val="000000" w:themeColor="text1"/>
                <w:sz w:val="21"/>
                <w:szCs w:val="21"/>
                <w:highlight w:val="none"/>
                <w14:textFill>
                  <w14:solidFill>
                    <w14:schemeClr w14:val="tx1"/>
                  </w14:solidFill>
                </w14:textFill>
                <w14:ligatures w14:val="standardContextual"/>
              </w:rPr>
            </w:pPr>
            <w:r>
              <w:rPr>
                <w:rFonts w:eastAsia="Times New Roman"/>
                <w:color w:val="000000" w:themeColor="text1"/>
                <w:highlight w:val="none"/>
                <w14:textFill>
                  <w14:solidFill>
                    <w14:schemeClr w14:val="tx1"/>
                  </w14:solidFill>
                </w14:textFill>
                <w14:ligatures w14:val="standardContextual"/>
              </w:rPr>
              <w:drawing>
                <wp:inline distT="0" distB="0" distL="114300" distR="114300">
                  <wp:extent cx="5274945" cy="4346575"/>
                  <wp:effectExtent l="0" t="0" r="1905" b="15875"/>
                  <wp:docPr id="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0"/>
                          <pic:cNvPicPr>
                            <a:picLocks noChangeAspect="1"/>
                          </pic:cNvPicPr>
                        </pic:nvPicPr>
                        <pic:blipFill>
                          <a:blip r:embed="rId44"/>
                          <a:stretch>
                            <a:fillRect/>
                          </a:stretch>
                        </pic:blipFill>
                        <pic:spPr>
                          <a:xfrm>
                            <a:off x="0" y="0"/>
                            <a:ext cx="5274945" cy="43465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vAlign w:val="center"/>
          </w:tcPr>
          <w:p>
            <w:pPr>
              <w:spacing w:line="240" w:lineRule="auto"/>
              <w:ind w:firstLine="0" w:firstLineChars="0"/>
              <w:jc w:val="center"/>
              <w:rPr>
                <w:rFonts w:eastAsia="Times New Roman"/>
                <w:color w:val="000000" w:themeColor="text1"/>
                <w:highlight w:val="none"/>
                <w14:textFill>
                  <w14:solidFill>
                    <w14:schemeClr w14:val="tx1"/>
                  </w14:solidFill>
                </w14:textFill>
                <w14:ligatures w14:val="standardContextual"/>
              </w:rPr>
            </w:pPr>
            <w:r>
              <w:rPr>
                <w:rFonts w:hint="eastAsia" w:ascii="宋体" w:hAnsi="宋体" w:eastAsia="Times New Roman" w:cs="宋体"/>
                <w:color w:val="000000" w:themeColor="text1"/>
                <w:sz w:val="21"/>
                <w:szCs w:val="21"/>
                <w:highlight w:val="none"/>
                <w14:textFill>
                  <w14:solidFill>
                    <w14:schemeClr w14:val="tx1"/>
                  </w14:solidFill>
                </w14:textFill>
                <w14:ligatures w14:val="standardContextual"/>
              </w:rPr>
              <w:t>试采站拟建地南侧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vAlign w:val="center"/>
          </w:tcPr>
          <w:p>
            <w:pPr>
              <w:spacing w:line="240" w:lineRule="auto"/>
              <w:ind w:firstLine="0" w:firstLineChars="0"/>
              <w:jc w:val="center"/>
              <w:rPr>
                <w:rFonts w:ascii="宋体" w:hAnsi="宋体" w:eastAsia="Times New Roman" w:cs="宋体"/>
                <w:color w:val="000000" w:themeColor="text1"/>
                <w:sz w:val="21"/>
                <w:szCs w:val="21"/>
                <w:highlight w:val="none"/>
                <w14:textFill>
                  <w14:solidFill>
                    <w14:schemeClr w14:val="tx1"/>
                  </w14:solidFill>
                </w14:textFill>
                <w14:ligatures w14:val="standardContextual"/>
              </w:rPr>
            </w:pPr>
            <w:r>
              <w:rPr>
                <w:rFonts w:eastAsia="Times New Roman"/>
                <w:color w:val="000000" w:themeColor="text1"/>
                <w:highlight w:val="none"/>
                <w14:textFill>
                  <w14:solidFill>
                    <w14:schemeClr w14:val="tx1"/>
                  </w14:solidFill>
                </w14:textFill>
                <w14:ligatures w14:val="standardContextual"/>
              </w:rPr>
              <w:drawing>
                <wp:inline distT="0" distB="0" distL="114300" distR="114300">
                  <wp:extent cx="5270500" cy="4012565"/>
                  <wp:effectExtent l="0" t="0" r="6350" b="6985"/>
                  <wp:docPr id="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1"/>
                          <pic:cNvPicPr>
                            <a:picLocks noChangeAspect="1"/>
                          </pic:cNvPicPr>
                        </pic:nvPicPr>
                        <pic:blipFill>
                          <a:blip r:embed="rId45"/>
                          <a:stretch>
                            <a:fillRect/>
                          </a:stretch>
                        </pic:blipFill>
                        <pic:spPr>
                          <a:xfrm>
                            <a:off x="0" y="0"/>
                            <a:ext cx="5270500" cy="401256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vAlign w:val="center"/>
          </w:tcPr>
          <w:p>
            <w:pPr>
              <w:spacing w:line="240" w:lineRule="auto"/>
              <w:ind w:firstLine="0" w:firstLineChars="0"/>
              <w:jc w:val="center"/>
              <w:rPr>
                <w:rFonts w:ascii="宋体" w:hAnsi="宋体" w:eastAsia="Times New Roman" w:cs="宋体"/>
                <w:color w:val="000000" w:themeColor="text1"/>
                <w:sz w:val="21"/>
                <w:szCs w:val="21"/>
                <w:highlight w:val="none"/>
                <w14:textFill>
                  <w14:solidFill>
                    <w14:schemeClr w14:val="tx1"/>
                  </w14:solidFill>
                </w14:textFill>
                <w14:ligatures w14:val="standardContextual"/>
              </w:rPr>
            </w:pPr>
            <w:r>
              <w:rPr>
                <w:rFonts w:hint="eastAsia" w:ascii="宋体" w:hAnsi="宋体" w:eastAsia="Times New Roman" w:cs="宋体"/>
                <w:color w:val="000000" w:themeColor="text1"/>
                <w:sz w:val="21"/>
                <w:szCs w:val="21"/>
                <w:highlight w:val="none"/>
                <w14:textFill>
                  <w14:solidFill>
                    <w14:schemeClr w14:val="tx1"/>
                  </w14:solidFill>
                </w14:textFill>
                <w14:ligatures w14:val="standardContextual"/>
              </w:rPr>
              <w:t>试采站拟建地东侧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vAlign w:val="center"/>
          </w:tcPr>
          <w:p>
            <w:pPr>
              <w:keepNext/>
              <w:spacing w:line="240" w:lineRule="auto"/>
              <w:ind w:firstLine="0" w:firstLineChars="0"/>
              <w:jc w:val="center"/>
              <w:rPr>
                <w:rFonts w:ascii="宋体" w:hAnsi="宋体" w:eastAsia="Times New Roman" w:cs="宋体"/>
                <w:color w:val="000000" w:themeColor="text1"/>
                <w:sz w:val="21"/>
                <w:szCs w:val="21"/>
                <w:highlight w:val="none"/>
                <w14:textFill>
                  <w14:solidFill>
                    <w14:schemeClr w14:val="tx1"/>
                  </w14:solidFill>
                </w14:textFill>
                <w14:ligatures w14:val="standardContextual"/>
              </w:rPr>
            </w:pPr>
            <w:r>
              <w:rPr>
                <w:rFonts w:eastAsia="Times New Roman"/>
                <w:color w:val="000000" w:themeColor="text1"/>
                <w:highlight w:val="none"/>
                <w14:textFill>
                  <w14:solidFill>
                    <w14:schemeClr w14:val="tx1"/>
                  </w14:solidFill>
                </w14:textFill>
                <w14:ligatures w14:val="standardContextual"/>
              </w:rPr>
              <w:drawing>
                <wp:inline distT="0" distB="0" distL="114300" distR="114300">
                  <wp:extent cx="5270500" cy="4037965"/>
                  <wp:effectExtent l="0" t="0" r="6350" b="635"/>
                  <wp:docPr id="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2"/>
                          <pic:cNvPicPr>
                            <a:picLocks noChangeAspect="1"/>
                          </pic:cNvPicPr>
                        </pic:nvPicPr>
                        <pic:blipFill>
                          <a:blip r:embed="rId46"/>
                          <a:stretch>
                            <a:fillRect/>
                          </a:stretch>
                        </pic:blipFill>
                        <pic:spPr>
                          <a:xfrm>
                            <a:off x="0" y="0"/>
                            <a:ext cx="5270500" cy="403796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vAlign w:val="center"/>
          </w:tcPr>
          <w:p>
            <w:pPr>
              <w:keepNext/>
              <w:spacing w:line="240" w:lineRule="auto"/>
              <w:ind w:firstLine="0" w:firstLineChars="0"/>
              <w:jc w:val="center"/>
              <w:rPr>
                <w:rFonts w:ascii="宋体" w:hAnsi="宋体" w:eastAsia="Times New Roman" w:cs="宋体"/>
                <w:color w:val="000000" w:themeColor="text1"/>
                <w:sz w:val="21"/>
                <w:szCs w:val="21"/>
                <w:highlight w:val="none"/>
                <w14:textFill>
                  <w14:solidFill>
                    <w14:schemeClr w14:val="tx1"/>
                  </w14:solidFill>
                </w14:textFill>
                <w14:ligatures w14:val="standardContextual"/>
              </w:rPr>
            </w:pPr>
            <w:r>
              <w:rPr>
                <w:rFonts w:hint="eastAsia" w:ascii="宋体" w:hAnsi="宋体" w:eastAsia="Times New Roman" w:cs="宋体"/>
                <w:color w:val="000000" w:themeColor="text1"/>
                <w:sz w:val="21"/>
                <w:szCs w:val="21"/>
                <w:highlight w:val="none"/>
                <w14:textFill>
                  <w14:solidFill>
                    <w14:schemeClr w14:val="tx1"/>
                  </w14:solidFill>
                </w14:textFill>
                <w14:ligatures w14:val="standardContextual"/>
              </w:rPr>
              <w:t>试采站拟建地北侧</w:t>
            </w:r>
          </w:p>
        </w:tc>
      </w:tr>
    </w:tbl>
    <w:p>
      <w:pPr>
        <w:pStyle w:val="76"/>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拟建试采站外环境及四周照片</w:t>
      </w:r>
    </w:p>
    <w:p>
      <w:pPr>
        <w:pStyle w:val="5"/>
        <w:spacing w:before="120"/>
        <w:ind w:firstLine="480"/>
        <w:rPr>
          <w:color w:val="000000" w:themeColor="text1"/>
          <w:highlight w:val="none"/>
          <w:lang w:eastAsia="zh-CN"/>
          <w14:textFill>
            <w14:solidFill>
              <w14:schemeClr w14:val="tx1"/>
            </w14:solidFill>
          </w14:textFill>
        </w:rPr>
      </w:pPr>
      <w:bookmarkStart w:id="101" w:name="_Toc120173086"/>
      <w:r>
        <w:rPr>
          <w:color w:val="000000" w:themeColor="text1"/>
          <w:highlight w:val="none"/>
          <w:lang w:eastAsia="zh-CN"/>
          <w14:textFill>
            <w14:solidFill>
              <w14:schemeClr w14:val="tx1"/>
            </w14:solidFill>
          </w14:textFill>
        </w:rPr>
        <w:t>主要环境保护目标</w:t>
      </w:r>
      <w:bookmarkEnd w:id="101"/>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本项目位于四川省达州市宣汉县</w:t>
      </w:r>
      <w:r>
        <w:rPr>
          <w:rFonts w:hint="eastAsia" w:cs="Times New Roman"/>
          <w:bCs/>
          <w:color w:val="000000" w:themeColor="text1"/>
          <w:szCs w:val="24"/>
          <w:highlight w:val="none"/>
          <w:lang w:eastAsia="zh-CN"/>
          <w14:textFill>
            <w14:solidFill>
              <w14:schemeClr w14:val="tx1"/>
            </w14:solidFill>
          </w14:textFill>
        </w:rPr>
        <w:t>**</w:t>
      </w:r>
      <w:r>
        <w:rPr>
          <w:rFonts w:cs="Times New Roman"/>
          <w:bCs/>
          <w:color w:val="000000" w:themeColor="text1"/>
          <w:szCs w:val="24"/>
          <w:highlight w:val="none"/>
          <w14:textFill>
            <w14:solidFill>
              <w14:schemeClr w14:val="tx1"/>
            </w14:solidFill>
          </w14:textFill>
        </w:rPr>
        <w:t>（原</w:t>
      </w:r>
      <w:r>
        <w:rPr>
          <w:rFonts w:hint="eastAsia" w:cs="Times New Roman"/>
          <w:bCs/>
          <w:color w:val="000000" w:themeColor="text1"/>
          <w:szCs w:val="24"/>
          <w:highlight w:val="none"/>
          <w14:textFill>
            <w14:solidFill>
              <w14:schemeClr w14:val="tx1"/>
            </w14:solidFill>
          </w14:textFill>
        </w:rPr>
        <w:t>雷页1井场西侧</w:t>
      </w:r>
      <w:r>
        <w:rPr>
          <w:rFonts w:cs="Times New Roman"/>
          <w:bCs/>
          <w:color w:val="000000" w:themeColor="text1"/>
          <w:szCs w:val="24"/>
          <w:highlight w:val="none"/>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。项目拟建地不涉及自然保护区等环境敏感区域，</w:t>
      </w:r>
      <w:r>
        <w:rPr>
          <w:rFonts w:cs="Times New Roman"/>
          <w:bCs/>
          <w:color w:val="000000" w:themeColor="text1"/>
          <w:szCs w:val="24"/>
          <w:highlight w:val="none"/>
          <w14:textFill>
            <w14:solidFill>
              <w14:schemeClr w14:val="tx1"/>
            </w14:solidFill>
          </w14:textFill>
        </w:rPr>
        <w:t>根据前文介绍的外环境关系，本项目外环境关系简单，无环境制约因素，项目与外环境相容。</w:t>
      </w:r>
    </w:p>
    <w:p>
      <w:pPr>
        <w:pStyle w:val="6"/>
        <w:numPr>
          <w:ilvl w:val="0"/>
          <w:numId w:val="0"/>
        </w:numPr>
        <w:spacing w:before="120"/>
        <w:ind w:firstLine="20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2.9.2.1</w:t>
      </w:r>
      <w:r>
        <w:rPr>
          <w:color w:val="000000" w:themeColor="text1"/>
          <w:highlight w:val="none"/>
          <w14:textFill>
            <w14:solidFill>
              <w14:schemeClr w14:val="tx1"/>
            </w14:solidFill>
          </w14:textFill>
        </w:rPr>
        <w:t>生态环境保护目标</w:t>
      </w:r>
    </w:p>
    <w:p>
      <w:pPr>
        <w:ind w:firstLine="480"/>
        <w:rPr>
          <w:bCs/>
          <w:color w:val="000000" w:themeColor="text1"/>
          <w:highlight w:val="none"/>
          <w14:textFill>
            <w14:solidFill>
              <w14:schemeClr w14:val="tx1"/>
            </w14:solidFill>
          </w14:textFill>
        </w:rPr>
      </w:pPr>
      <w:r>
        <w:rPr>
          <w:rFonts w:hint="eastAsia"/>
          <w:bCs/>
          <w:color w:val="000000" w:themeColor="text1"/>
          <w:highlight w:val="none"/>
          <w14:textFill>
            <w14:solidFill>
              <w14:schemeClr w14:val="tx1"/>
            </w14:solidFill>
          </w14:textFill>
        </w:rPr>
        <w:t>本项目试采站所在地以耕地、林地为主（本项目周边有天然林分布，但主要分布于场地东侧，南侧），外输管线沿线分布有林地、耕地，并涉及穿越部分天然林和公益林。评价范围内不涉及自然保护区、风景名胜区、湿地公园、集中式饮用水源保护区、生态保护红线等特殊或重要生态敏感区。</w:t>
      </w:r>
    </w:p>
    <w:p>
      <w:pPr>
        <w:ind w:firstLine="480"/>
        <w:rPr>
          <w:bCs/>
          <w:color w:val="000000" w:themeColor="text1"/>
          <w:highlight w:val="none"/>
          <w14:textFill>
            <w14:solidFill>
              <w14:schemeClr w14:val="tx1"/>
            </w14:solidFill>
          </w14:textFill>
        </w:rPr>
      </w:pPr>
      <w:r>
        <w:rPr>
          <w:rFonts w:hint="eastAsia"/>
          <w:bCs/>
          <w:color w:val="000000" w:themeColor="text1"/>
          <w:highlight w:val="none"/>
          <w14:textFill>
            <w14:solidFill>
              <w14:schemeClr w14:val="tx1"/>
            </w14:solidFill>
          </w14:textFill>
        </w:rPr>
        <w:t>故本次评价的</w:t>
      </w:r>
      <w:r>
        <w:rPr>
          <w:rFonts w:cs="Times New Roman"/>
          <w:color w:val="000000" w:themeColor="text1"/>
          <w:szCs w:val="24"/>
          <w:highlight w:val="none"/>
          <w14:textFill>
            <w14:solidFill>
              <w14:schemeClr w14:val="tx1"/>
            </w14:solidFill>
          </w14:textFill>
        </w:rPr>
        <w:t>生态环境</w:t>
      </w:r>
      <w:r>
        <w:rPr>
          <w:rFonts w:hint="eastAsia" w:cs="Times New Roman"/>
          <w:color w:val="000000" w:themeColor="text1"/>
          <w:szCs w:val="24"/>
          <w:highlight w:val="none"/>
          <w14:textFill>
            <w14:solidFill>
              <w14:schemeClr w14:val="tx1"/>
            </w14:solidFill>
          </w14:textFill>
        </w:rPr>
        <w:t>保护</w:t>
      </w:r>
      <w:r>
        <w:rPr>
          <w:rFonts w:cs="Times New Roman"/>
          <w:color w:val="000000" w:themeColor="text1"/>
          <w:szCs w:val="24"/>
          <w:highlight w:val="none"/>
          <w14:textFill>
            <w14:solidFill>
              <w14:schemeClr w14:val="tx1"/>
            </w14:solidFill>
          </w14:textFill>
        </w:rPr>
        <w:t>目标主要为管道沿线临时占用的</w:t>
      </w:r>
      <w:r>
        <w:rPr>
          <w:rFonts w:hint="eastAsia" w:cs="Times New Roman"/>
          <w:color w:val="000000" w:themeColor="text1"/>
          <w:szCs w:val="24"/>
          <w:highlight w:val="none"/>
          <w14:textFill>
            <w14:solidFill>
              <w14:schemeClr w14:val="tx1"/>
            </w14:solidFill>
          </w14:textFill>
        </w:rPr>
        <w:t>天然</w:t>
      </w:r>
      <w:r>
        <w:rPr>
          <w:rFonts w:cs="Times New Roman"/>
          <w:color w:val="000000" w:themeColor="text1"/>
          <w:szCs w:val="24"/>
          <w:highlight w:val="none"/>
          <w14:textFill>
            <w14:solidFill>
              <w14:schemeClr w14:val="tx1"/>
            </w14:solidFill>
          </w14:textFill>
        </w:rPr>
        <w:t>林</w:t>
      </w:r>
      <w:r>
        <w:rPr>
          <w:rFonts w:hint="eastAsia" w:cs="Times New Roman"/>
          <w:color w:val="000000" w:themeColor="text1"/>
          <w:szCs w:val="24"/>
          <w:highlight w:val="none"/>
          <w14:textFill>
            <w14:solidFill>
              <w14:schemeClr w14:val="tx1"/>
            </w14:solidFill>
          </w14:textFill>
        </w:rPr>
        <w:t>、公益林</w:t>
      </w:r>
      <w:r>
        <w:rPr>
          <w:rFonts w:cs="Times New Roman"/>
          <w:color w:val="000000" w:themeColor="text1"/>
          <w:szCs w:val="24"/>
          <w:highlight w:val="none"/>
          <w14:textFill>
            <w14:solidFill>
              <w14:schemeClr w14:val="tx1"/>
            </w14:solidFill>
          </w14:textFill>
        </w:rPr>
        <w:t>和永久基本农田</w:t>
      </w:r>
      <w:r>
        <w:rPr>
          <w:rFonts w:hint="eastAsia" w:cs="Times New Roman"/>
          <w:color w:val="000000" w:themeColor="text1"/>
          <w:szCs w:val="24"/>
          <w:highlight w:val="none"/>
          <w14:textFill>
            <w14:solidFill>
              <w14:schemeClr w14:val="tx1"/>
            </w14:solidFill>
          </w14:textFill>
        </w:rPr>
        <w:t>，以及站场周围的天然林和永久基本农田</w:t>
      </w:r>
      <w:r>
        <w:rPr>
          <w:bCs/>
          <w:color w:val="000000" w:themeColor="text1"/>
          <w:highlight w:val="none"/>
          <w14:textFill>
            <w14:solidFill>
              <w14:schemeClr w14:val="tx1"/>
            </w14:solidFill>
          </w14:textFill>
        </w:rPr>
        <w:t>。</w:t>
      </w:r>
    </w:p>
    <w:p>
      <w:pPr>
        <w:pStyle w:val="6"/>
        <w:numPr>
          <w:ilvl w:val="0"/>
          <w:numId w:val="0"/>
        </w:numPr>
        <w:spacing w:before="120"/>
        <w:ind w:firstLine="200"/>
        <w:rPr>
          <w:color w:val="000000" w:themeColor="text1"/>
          <w:highlight w:val="none"/>
          <w14:textFill>
            <w14:solidFill>
              <w14:schemeClr w14:val="tx1"/>
            </w14:solidFill>
          </w14:textFill>
        </w:rPr>
      </w:pPr>
      <w:bookmarkStart w:id="102" w:name="_Toc140496887"/>
      <w:r>
        <w:rPr>
          <w:rFonts w:hint="eastAsia"/>
          <w:color w:val="000000" w:themeColor="text1"/>
          <w:highlight w:val="none"/>
          <w14:textFill>
            <w14:solidFill>
              <w14:schemeClr w14:val="tx1"/>
            </w14:solidFill>
          </w14:textFill>
        </w:rPr>
        <w:t>2.9.2.2</w:t>
      </w:r>
      <w:r>
        <w:rPr>
          <w:color w:val="000000" w:themeColor="text1"/>
          <w:highlight w:val="none"/>
          <w14:textFill>
            <w14:solidFill>
              <w14:schemeClr w14:val="tx1"/>
            </w14:solidFill>
          </w14:textFill>
        </w:rPr>
        <w:t>地表水环境保护目标</w:t>
      </w:r>
      <w:bookmarkEnd w:id="102"/>
    </w:p>
    <w:p>
      <w:pPr>
        <w:widowControl/>
        <w:ind w:firstLine="480"/>
        <w:rPr>
          <w:rFonts w:cs="Times New Roman"/>
          <w:bCs/>
          <w:color w:val="000000" w:themeColor="text1"/>
          <w:kern w:val="0"/>
          <w:highlight w:val="none"/>
          <w14:textFill>
            <w14:solidFill>
              <w14:schemeClr w14:val="tx1"/>
            </w14:solidFill>
          </w14:textFill>
        </w:rPr>
      </w:pPr>
      <w:r>
        <w:rPr>
          <w:rFonts w:hint="eastAsia"/>
          <w:color w:val="000000" w:themeColor="text1"/>
          <w:highlight w:val="none"/>
          <w14:textFill>
            <w14:solidFill>
              <w14:schemeClr w14:val="tx1"/>
            </w14:solidFill>
          </w14:textFill>
        </w:rPr>
        <w:t>本项目以定向钻穿越州河支流三溪河，其主要功能为</w:t>
      </w:r>
      <w:r>
        <w:rPr>
          <w:color w:val="000000" w:themeColor="text1"/>
          <w:highlight w:val="none"/>
          <w14:textFill>
            <w14:solidFill>
              <w14:schemeClr w14:val="tx1"/>
            </w14:solidFill>
          </w14:textFill>
        </w:rPr>
        <w:t>行洪、灌溉。</w:t>
      </w:r>
      <w:r>
        <w:rPr>
          <w:rFonts w:hint="eastAsia"/>
          <w:color w:val="000000" w:themeColor="text1"/>
          <w:highlight w:val="none"/>
          <w14:textFill>
            <w14:solidFill>
              <w14:schemeClr w14:val="tx1"/>
            </w14:solidFill>
          </w14:textFill>
        </w:rPr>
        <w:t>以大开挖穿越沟渠13次，穿越长度90m，主要功能为农灌、泄洪</w:t>
      </w:r>
      <w:r>
        <w:rPr>
          <w:rFonts w:cs="Times New Roman"/>
          <w:bCs/>
          <w:color w:val="000000" w:themeColor="text1"/>
          <w:kern w:val="0"/>
          <w:highlight w:val="none"/>
          <w14:textFill>
            <w14:solidFill>
              <w14:schemeClr w14:val="tx1"/>
            </w14:solidFill>
          </w14:textFill>
        </w:rPr>
        <w:t>。项目周边地表水体分布及敏感性见表2.9-1。</w:t>
      </w:r>
    </w:p>
    <w:p>
      <w:pPr>
        <w:pStyle w:val="14"/>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本项目地表水环境保护目标及环境敏感特性一览表</w:t>
      </w:r>
    </w:p>
    <w:tbl>
      <w:tblPr>
        <w:tblStyle w:val="41"/>
        <w:tblW w:w="498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941"/>
        <w:gridCol w:w="2742"/>
        <w:gridCol w:w="36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7" w:hRule="atLeast"/>
          <w:jc w:val="center"/>
        </w:trPr>
        <w:tc>
          <w:tcPr>
            <w:tcW w:w="1937"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b/>
                <w:bCs/>
                <w:color w:val="000000" w:themeColor="text1"/>
                <w:kern w:val="0"/>
                <w:sz w:val="21"/>
                <w:szCs w:val="21"/>
                <w:highlight w:val="none"/>
                <w14:textFill>
                  <w14:solidFill>
                    <w14:schemeClr w14:val="tx1"/>
                  </w14:solidFill>
                </w14:textFill>
              </w:rPr>
            </w:pPr>
            <w:r>
              <w:rPr>
                <w:rFonts w:cs="Times New Roman"/>
                <w:b/>
                <w:bCs/>
                <w:color w:val="000000" w:themeColor="text1"/>
                <w:kern w:val="0"/>
                <w:sz w:val="21"/>
                <w:szCs w:val="21"/>
                <w:highlight w:val="none"/>
                <w14:textFill>
                  <w14:solidFill>
                    <w14:schemeClr w14:val="tx1"/>
                  </w14:solidFill>
                </w14:textFill>
              </w:rPr>
              <w:t>名称</w:t>
            </w:r>
          </w:p>
        </w:tc>
        <w:tc>
          <w:tcPr>
            <w:tcW w:w="2735"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b/>
                <w:bCs/>
                <w:color w:val="000000" w:themeColor="text1"/>
                <w:kern w:val="0"/>
                <w:sz w:val="21"/>
                <w:szCs w:val="21"/>
                <w:highlight w:val="none"/>
                <w14:textFill>
                  <w14:solidFill>
                    <w14:schemeClr w14:val="tx1"/>
                  </w14:solidFill>
                </w14:textFill>
              </w:rPr>
            </w:pPr>
            <w:r>
              <w:rPr>
                <w:rFonts w:cs="Times New Roman"/>
                <w:b/>
                <w:bCs/>
                <w:color w:val="000000" w:themeColor="text1"/>
                <w:kern w:val="0"/>
                <w:sz w:val="21"/>
                <w:szCs w:val="21"/>
                <w:highlight w:val="none"/>
                <w14:textFill>
                  <w14:solidFill>
                    <w14:schemeClr w14:val="tx1"/>
                  </w14:solidFill>
                </w14:textFill>
              </w:rPr>
              <w:t>位置（m）</w:t>
            </w:r>
          </w:p>
        </w:tc>
        <w:tc>
          <w:tcPr>
            <w:tcW w:w="3610"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b/>
                <w:bCs/>
                <w:color w:val="000000" w:themeColor="text1"/>
                <w:kern w:val="0"/>
                <w:sz w:val="21"/>
                <w:szCs w:val="21"/>
                <w:highlight w:val="none"/>
                <w14:textFill>
                  <w14:solidFill>
                    <w14:schemeClr w14:val="tx1"/>
                  </w14:solidFill>
                </w14:textFill>
              </w:rPr>
            </w:pPr>
            <w:r>
              <w:rPr>
                <w:rFonts w:cs="Times New Roman"/>
                <w:b/>
                <w:bCs/>
                <w:color w:val="000000" w:themeColor="text1"/>
                <w:kern w:val="0"/>
                <w:sz w:val="21"/>
                <w:szCs w:val="21"/>
                <w:highlight w:val="none"/>
                <w14:textFill>
                  <w14:solidFill>
                    <w14:schemeClr w14:val="tx1"/>
                  </w14:solidFill>
                </w14:textFill>
              </w:rPr>
              <w:t>环境敏感特性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937"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州河</w:t>
            </w:r>
          </w:p>
        </w:tc>
        <w:tc>
          <w:tcPr>
            <w:tcW w:w="2735"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位于场区东南侧6</w:t>
            </w:r>
            <w:r>
              <w:rPr>
                <w:rFonts w:hint="eastAsia" w:cs="Times New Roman"/>
                <w:color w:val="000000" w:themeColor="text1"/>
                <w:kern w:val="0"/>
                <w:sz w:val="21"/>
                <w:szCs w:val="21"/>
                <w:highlight w:val="none"/>
                <w14:textFill>
                  <w14:solidFill>
                    <w14:schemeClr w14:val="tx1"/>
                  </w14:solidFill>
                </w14:textFill>
              </w:rPr>
              <w:t>8</w:t>
            </w:r>
            <w:r>
              <w:rPr>
                <w:rFonts w:cs="Times New Roman"/>
                <w:color w:val="000000" w:themeColor="text1"/>
                <w:kern w:val="0"/>
                <w:sz w:val="21"/>
                <w:szCs w:val="21"/>
                <w:highlight w:val="none"/>
                <w14:textFill>
                  <w14:solidFill>
                    <w14:schemeClr w14:val="tx1"/>
                  </w14:solidFill>
                </w14:textFill>
              </w:rPr>
              <w:t>0m处</w:t>
            </w:r>
          </w:p>
        </w:tc>
        <w:tc>
          <w:tcPr>
            <w:tcW w:w="3610"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项目所在河段为Ⅲ类水域，主要功能为灌溉、行洪和饮用水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937"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bookmarkStart w:id="103" w:name="_Toc140496888"/>
            <w:r>
              <w:rPr>
                <w:rFonts w:hint="eastAsia" w:cs="Times New Roman"/>
                <w:color w:val="000000" w:themeColor="text1"/>
                <w:kern w:val="0"/>
                <w:sz w:val="21"/>
                <w:szCs w:val="21"/>
                <w:highlight w:val="none"/>
                <w14:textFill>
                  <w14:solidFill>
                    <w14:schemeClr w14:val="tx1"/>
                  </w14:solidFill>
                </w14:textFill>
              </w:rPr>
              <w:t>州河支流三溪河</w:t>
            </w:r>
          </w:p>
        </w:tc>
        <w:tc>
          <w:tcPr>
            <w:tcW w:w="2735"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kern w:val="0"/>
                <w:szCs w:val="21"/>
                <w:highlight w:val="none"/>
                <w14:textFill>
                  <w14:solidFill>
                    <w14:schemeClr w14:val="tx1"/>
                  </w14:solidFill>
                </w14:textFill>
              </w:rPr>
            </w:pPr>
            <w:r>
              <w:rPr>
                <w:color w:val="000000" w:themeColor="text1"/>
                <w:highlight w:val="none"/>
                <w14:textFill>
                  <w14:solidFill>
                    <w14:schemeClr w14:val="tx1"/>
                  </w14:solidFill>
                </w14:textFill>
              </w:rPr>
              <w:t>位于场区</w:t>
            </w:r>
            <w:r>
              <w:rPr>
                <w:rFonts w:hint="eastAsia"/>
                <w:color w:val="000000" w:themeColor="text1"/>
                <w:highlight w:val="none"/>
                <w14:textFill>
                  <w14:solidFill>
                    <w14:schemeClr w14:val="tx1"/>
                  </w14:solidFill>
                </w14:textFill>
              </w:rPr>
              <w:t>西</w:t>
            </w:r>
            <w:r>
              <w:rPr>
                <w:color w:val="000000" w:themeColor="text1"/>
                <w:highlight w:val="none"/>
                <w14:textFill>
                  <w14:solidFill>
                    <w14:schemeClr w14:val="tx1"/>
                  </w14:solidFill>
                </w14:textFill>
              </w:rPr>
              <w:t>侧1770m处</w:t>
            </w:r>
            <w:r>
              <w:rPr>
                <w:rFonts w:hint="eastAsia"/>
                <w:color w:val="000000" w:themeColor="text1"/>
                <w:highlight w:val="none"/>
                <w14:textFill>
                  <w14:solidFill>
                    <w14:schemeClr w14:val="tx1"/>
                  </w14:solidFill>
                </w14:textFill>
              </w:rPr>
              <w:t>，管线定向钻穿越</w:t>
            </w:r>
          </w:p>
        </w:tc>
        <w:tc>
          <w:tcPr>
            <w:tcW w:w="3610"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项目所在河段为Ⅲ类水域，主要功能为行洪、灌溉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937"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一般沟渠</w:t>
            </w:r>
          </w:p>
        </w:tc>
        <w:tc>
          <w:tcPr>
            <w:tcW w:w="2735"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外输管线大开挖穿越</w:t>
            </w:r>
          </w:p>
        </w:tc>
        <w:tc>
          <w:tcPr>
            <w:tcW w:w="3610"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项目所在河段为Ⅲ类水域，主要功能为行洪、灌溉</w:t>
            </w:r>
          </w:p>
        </w:tc>
      </w:tr>
    </w:tbl>
    <w:p>
      <w:pPr>
        <w:pStyle w:val="6"/>
        <w:numPr>
          <w:ilvl w:val="0"/>
          <w:numId w:val="0"/>
        </w:numPr>
        <w:spacing w:before="120"/>
        <w:ind w:firstLine="200"/>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2.9.2.3</w:t>
      </w:r>
      <w:r>
        <w:rPr>
          <w:color w:val="000000" w:themeColor="text1"/>
          <w:highlight w:val="none"/>
          <w14:textFill>
            <w14:solidFill>
              <w14:schemeClr w14:val="tx1"/>
            </w14:solidFill>
          </w14:textFill>
        </w:rPr>
        <w:t>地下水环境保护目标</w:t>
      </w:r>
      <w:bookmarkEnd w:id="103"/>
    </w:p>
    <w:p>
      <w:pPr>
        <w:ind w:firstLine="480"/>
        <w:rPr>
          <w:bCs/>
          <w:color w:val="000000" w:themeColor="text1"/>
          <w:highlight w:val="none"/>
          <w14:textFill>
            <w14:solidFill>
              <w14:schemeClr w14:val="tx1"/>
            </w14:solidFill>
          </w14:textFill>
        </w:rPr>
      </w:pPr>
      <w:bookmarkStart w:id="104" w:name="_Hlk74674654"/>
      <w:r>
        <w:rPr>
          <w:color w:val="000000" w:themeColor="text1"/>
          <w:highlight w:val="none"/>
          <w14:textFill>
            <w14:solidFill>
              <w14:schemeClr w14:val="tx1"/>
            </w14:solidFill>
          </w14:textFill>
        </w:rPr>
        <w:t>经调查，</w:t>
      </w:r>
      <w:r>
        <w:rPr>
          <w:rFonts w:hint="eastAsia"/>
          <w:color w:val="000000" w:themeColor="text1"/>
          <w:highlight w:val="none"/>
          <w14:textFill>
            <w14:solidFill>
              <w14:schemeClr w14:val="tx1"/>
            </w14:solidFill>
          </w14:textFill>
        </w:rPr>
        <w:t>本</w:t>
      </w:r>
      <w:r>
        <w:rPr>
          <w:color w:val="000000" w:themeColor="text1"/>
          <w:highlight w:val="none"/>
          <w14:textFill>
            <w14:solidFill>
              <w14:schemeClr w14:val="tx1"/>
            </w14:solidFill>
          </w14:textFill>
        </w:rPr>
        <w:t>项目地下水评价范围内无乡镇地下水集中式饮用水源分布，项目周围居民主要以</w:t>
      </w:r>
      <w:r>
        <w:rPr>
          <w:rFonts w:hint="eastAsia"/>
          <w:color w:val="000000" w:themeColor="text1"/>
          <w:highlight w:val="none"/>
          <w14:textFill>
            <w14:solidFill>
              <w14:schemeClr w14:val="tx1"/>
            </w14:solidFill>
          </w14:textFill>
        </w:rPr>
        <w:t>山泉水或</w:t>
      </w:r>
      <w:r>
        <w:rPr>
          <w:color w:val="000000" w:themeColor="text1"/>
          <w:highlight w:val="none"/>
          <w14:textFill>
            <w14:solidFill>
              <w14:schemeClr w14:val="tx1"/>
            </w14:solidFill>
          </w14:textFill>
        </w:rPr>
        <w:t>分散式井水为生活饮用水</w:t>
      </w:r>
      <w:r>
        <w:rPr>
          <w:rFonts w:hint="eastAsia"/>
          <w:bCs/>
          <w:color w:val="000000" w:themeColor="text1"/>
          <w:szCs w:val="24"/>
          <w:highlight w:val="none"/>
          <w14:textFill>
            <w14:solidFill>
              <w14:schemeClr w14:val="tx1"/>
            </w14:solidFill>
          </w14:textFill>
        </w:rPr>
        <w:t>。</w:t>
      </w:r>
    </w:p>
    <w:bookmarkEnd w:id="104"/>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试采站地下水评价范围内地下水环境保护目标</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41"/>
        <w:gridCol w:w="2202"/>
        <w:gridCol w:w="2361"/>
        <w:gridCol w:w="27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039"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b/>
                <w:bCs/>
                <w:color w:val="000000" w:themeColor="text1"/>
                <w:kern w:val="0"/>
                <w:sz w:val="21"/>
                <w:szCs w:val="21"/>
                <w:highlight w:val="none"/>
                <w14:textFill>
                  <w14:solidFill>
                    <w14:schemeClr w14:val="tx1"/>
                  </w14:solidFill>
                </w14:textFill>
              </w:rPr>
            </w:pPr>
            <w:r>
              <w:rPr>
                <w:rFonts w:cs="Times New Roman"/>
                <w:b/>
                <w:bCs/>
                <w:color w:val="000000" w:themeColor="text1"/>
                <w:kern w:val="0"/>
                <w:sz w:val="21"/>
                <w:szCs w:val="21"/>
                <w:highlight w:val="none"/>
                <w14:textFill>
                  <w14:solidFill>
                    <w14:schemeClr w14:val="tx1"/>
                  </w14:solidFill>
                </w14:textFill>
              </w:rPr>
              <w:t>名称</w:t>
            </w:r>
          </w:p>
        </w:tc>
        <w:tc>
          <w:tcPr>
            <w:tcW w:w="2197"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b/>
                <w:bCs/>
                <w:color w:val="000000" w:themeColor="text1"/>
                <w:kern w:val="0"/>
                <w:sz w:val="21"/>
                <w:szCs w:val="21"/>
                <w:highlight w:val="none"/>
                <w14:textFill>
                  <w14:solidFill>
                    <w14:schemeClr w14:val="tx1"/>
                  </w14:solidFill>
                </w14:textFill>
              </w:rPr>
            </w:pPr>
            <w:r>
              <w:rPr>
                <w:rFonts w:cs="Times New Roman"/>
                <w:b/>
                <w:bCs/>
                <w:color w:val="000000" w:themeColor="text1"/>
                <w:kern w:val="0"/>
                <w:sz w:val="21"/>
                <w:szCs w:val="21"/>
                <w:highlight w:val="none"/>
                <w14:textFill>
                  <w14:solidFill>
                    <w14:schemeClr w14:val="tx1"/>
                  </w14:solidFill>
                </w14:textFill>
              </w:rPr>
              <w:t>位置（m）</w:t>
            </w:r>
          </w:p>
        </w:tc>
        <w:tc>
          <w:tcPr>
            <w:tcW w:w="2355"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b/>
                <w:bCs/>
                <w:color w:val="000000" w:themeColor="text1"/>
                <w:kern w:val="0"/>
                <w:sz w:val="21"/>
                <w:szCs w:val="21"/>
                <w:highlight w:val="none"/>
                <w14:textFill>
                  <w14:solidFill>
                    <w14:schemeClr w14:val="tx1"/>
                  </w14:solidFill>
                </w14:textFill>
              </w:rPr>
            </w:pPr>
            <w:r>
              <w:rPr>
                <w:rFonts w:cs="Times New Roman"/>
                <w:b/>
                <w:bCs/>
                <w:color w:val="000000" w:themeColor="text1"/>
                <w:kern w:val="0"/>
                <w:sz w:val="21"/>
                <w:szCs w:val="21"/>
                <w:highlight w:val="none"/>
                <w14:textFill>
                  <w14:solidFill>
                    <w14:schemeClr w14:val="tx1"/>
                  </w14:solidFill>
                </w14:textFill>
              </w:rPr>
              <w:t>坐标</w:t>
            </w:r>
          </w:p>
        </w:tc>
        <w:tc>
          <w:tcPr>
            <w:tcW w:w="2709"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b/>
                <w:bCs/>
                <w:color w:val="000000" w:themeColor="text1"/>
                <w:kern w:val="0"/>
                <w:sz w:val="21"/>
                <w:szCs w:val="21"/>
                <w:highlight w:val="none"/>
                <w14:textFill>
                  <w14:solidFill>
                    <w14:schemeClr w14:val="tx1"/>
                  </w14:solidFill>
                </w14:textFill>
              </w:rPr>
            </w:pPr>
            <w:r>
              <w:rPr>
                <w:rFonts w:cs="Times New Roman"/>
                <w:b/>
                <w:bCs/>
                <w:color w:val="000000" w:themeColor="text1"/>
                <w:kern w:val="0"/>
                <w:sz w:val="21"/>
                <w:szCs w:val="21"/>
                <w:highlight w:val="none"/>
                <w14:textFill>
                  <w14:solidFill>
                    <w14:schemeClr w14:val="tx1"/>
                  </w14:solidFill>
                </w14:textFill>
              </w:rPr>
              <w:t>环境敏感特性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039"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Q1</w:t>
            </w:r>
          </w:p>
        </w:tc>
        <w:tc>
          <w:tcPr>
            <w:tcW w:w="2197"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1#雷页1井井口西南侧距项目地约800m处</w:t>
            </w:r>
          </w:p>
        </w:tc>
        <w:tc>
          <w:tcPr>
            <w:tcW w:w="2355"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东经107.606503，</w:t>
            </w:r>
          </w:p>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北纬31.325909</w:t>
            </w:r>
          </w:p>
        </w:tc>
        <w:tc>
          <w:tcPr>
            <w:tcW w:w="2709"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泉水，以大气降雨补给为主，约4户居民使用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039"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Q2</w:t>
            </w:r>
          </w:p>
        </w:tc>
        <w:tc>
          <w:tcPr>
            <w:tcW w:w="2197"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2#雷页1井井口西侧距项目地约50m处</w:t>
            </w:r>
          </w:p>
        </w:tc>
        <w:tc>
          <w:tcPr>
            <w:tcW w:w="2355"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东经107.607740，北纬31.329294</w:t>
            </w:r>
          </w:p>
        </w:tc>
        <w:tc>
          <w:tcPr>
            <w:tcW w:w="2709"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泉水，以大气降雨补给为主，约5户居民使用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039"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Q3</w:t>
            </w:r>
          </w:p>
        </w:tc>
        <w:tc>
          <w:tcPr>
            <w:tcW w:w="2197"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3#雷页1井井口东北侧距项目地约100m处</w:t>
            </w:r>
          </w:p>
        </w:tc>
        <w:tc>
          <w:tcPr>
            <w:tcW w:w="2355"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东经107.604594，北纬31.302145</w:t>
            </w:r>
          </w:p>
        </w:tc>
        <w:tc>
          <w:tcPr>
            <w:tcW w:w="2709"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泉水，以大气降雨补给为主，约5户居民使用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039"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Q4</w:t>
            </w:r>
          </w:p>
        </w:tc>
        <w:tc>
          <w:tcPr>
            <w:tcW w:w="2197"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4#雷页1井井口东北侧距项目地约160m处</w:t>
            </w:r>
          </w:p>
        </w:tc>
        <w:tc>
          <w:tcPr>
            <w:tcW w:w="2355"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东经107.608375，北纬31.334384</w:t>
            </w:r>
          </w:p>
        </w:tc>
        <w:tc>
          <w:tcPr>
            <w:tcW w:w="2709"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泉水，以大气降雨补给为主，约7户居民使用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039"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Q5</w:t>
            </w:r>
          </w:p>
        </w:tc>
        <w:tc>
          <w:tcPr>
            <w:tcW w:w="2197"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5#雷页1井井口东侧距项目地约360m处</w:t>
            </w:r>
          </w:p>
        </w:tc>
        <w:tc>
          <w:tcPr>
            <w:tcW w:w="2355"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东经107.611668，北纬31.328721</w:t>
            </w:r>
          </w:p>
        </w:tc>
        <w:tc>
          <w:tcPr>
            <w:tcW w:w="2709"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泉水，以大气降雨补给为主，约3户居民使用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039"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Q6</w:t>
            </w:r>
          </w:p>
        </w:tc>
        <w:tc>
          <w:tcPr>
            <w:tcW w:w="2197"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6#雷页1井井口西侧距项目地约586m处</w:t>
            </w:r>
          </w:p>
        </w:tc>
        <w:tc>
          <w:tcPr>
            <w:tcW w:w="2355"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东经107.601373，北纬31.328809</w:t>
            </w:r>
          </w:p>
        </w:tc>
        <w:tc>
          <w:tcPr>
            <w:tcW w:w="2709"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泉水，以大气降雨补给为主，约6户居民使用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039"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Q7</w:t>
            </w:r>
          </w:p>
        </w:tc>
        <w:tc>
          <w:tcPr>
            <w:tcW w:w="2197"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7#雷页1井井口西侧距项目地约406m处</w:t>
            </w:r>
          </w:p>
        </w:tc>
        <w:tc>
          <w:tcPr>
            <w:tcW w:w="2355"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东经107.602373，北纬31.327019</w:t>
            </w:r>
          </w:p>
        </w:tc>
        <w:tc>
          <w:tcPr>
            <w:tcW w:w="2709"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泉水，以大气降雨补给为主，约12户居民使用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039"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Q8</w:t>
            </w:r>
          </w:p>
        </w:tc>
        <w:tc>
          <w:tcPr>
            <w:tcW w:w="2197"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8#雷页1井井口东南侧距项目地约433m处</w:t>
            </w:r>
          </w:p>
        </w:tc>
        <w:tc>
          <w:tcPr>
            <w:tcW w:w="2355"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东经107.611895，北纬31.326692</w:t>
            </w:r>
          </w:p>
        </w:tc>
        <w:tc>
          <w:tcPr>
            <w:tcW w:w="2709"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泉水，以大气降雨补给为主，约7户居民使用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039"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Q9</w:t>
            </w:r>
          </w:p>
        </w:tc>
        <w:tc>
          <w:tcPr>
            <w:tcW w:w="2197"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9#雷页1井井口东北侧距项目地约137m处</w:t>
            </w:r>
          </w:p>
        </w:tc>
        <w:tc>
          <w:tcPr>
            <w:tcW w:w="2355"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东经107.609480，北纬31.331528</w:t>
            </w:r>
          </w:p>
        </w:tc>
        <w:tc>
          <w:tcPr>
            <w:tcW w:w="2709"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泉水，以大气降雨补给为主，约8户居民使用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039"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Q10</w:t>
            </w:r>
          </w:p>
        </w:tc>
        <w:tc>
          <w:tcPr>
            <w:tcW w:w="2197"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10#雷页1井井口西北侧距项目地约582m处</w:t>
            </w:r>
          </w:p>
        </w:tc>
        <w:tc>
          <w:tcPr>
            <w:tcW w:w="2355"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东经107.604985，北纬31.334161</w:t>
            </w:r>
          </w:p>
        </w:tc>
        <w:tc>
          <w:tcPr>
            <w:tcW w:w="2709"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泉水，以大气降雨补给为主，约15户居民使用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5" w:hRule="atLeast"/>
          <w:jc w:val="center"/>
        </w:trPr>
        <w:tc>
          <w:tcPr>
            <w:tcW w:w="8300" w:type="dxa"/>
            <w:gridSpan w:val="4"/>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left"/>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地下水评价范围内具备饮用功能的浅层含水层</w:t>
            </w:r>
          </w:p>
        </w:tc>
      </w:tr>
    </w:tbl>
    <w:p>
      <w:pPr>
        <w:pStyle w:val="96"/>
        <w:spacing w:before="120"/>
        <w:rPr>
          <w:color w:val="000000" w:themeColor="text1"/>
          <w:highlight w:val="none"/>
          <w14:textFill>
            <w14:solidFill>
              <w14:schemeClr w14:val="tx1"/>
            </w14:solidFill>
          </w14:textFill>
        </w:rPr>
      </w:pPr>
      <w:bookmarkStart w:id="105" w:name="_Toc140496889"/>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外输管线地下水评价范围内地下水环境保护目标</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5"/>
        <w:gridCol w:w="875"/>
        <w:gridCol w:w="1308"/>
        <w:gridCol w:w="1456"/>
        <w:gridCol w:w="1456"/>
        <w:gridCol w:w="27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25" w:type="pct"/>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编号</w:t>
            </w:r>
          </w:p>
        </w:tc>
        <w:tc>
          <w:tcPr>
            <w:tcW w:w="513" w:type="pct"/>
            <w:vAlign w:val="center"/>
          </w:tcPr>
          <w:p>
            <w:pPr>
              <w:pStyle w:val="118"/>
              <w:rPr>
                <w:rFonts w:eastAsia="Calibri"/>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方位</w:t>
            </w:r>
          </w:p>
        </w:tc>
        <w:tc>
          <w:tcPr>
            <w:tcW w:w="767" w:type="pct"/>
            <w:vAlign w:val="center"/>
          </w:tcPr>
          <w:p>
            <w:pPr>
              <w:pStyle w:val="118"/>
              <w:rPr>
                <w:rFonts w:eastAsia="Calibri"/>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与管线距离（</w:t>
            </w:r>
            <w:r>
              <w:rPr>
                <w:rFonts w:eastAsia="Calibri"/>
                <w:b/>
                <w:bCs/>
                <w:color w:val="000000" w:themeColor="text1"/>
                <w:highlight w:val="none"/>
                <w14:textFill>
                  <w14:solidFill>
                    <w14:schemeClr w14:val="tx1"/>
                  </w14:solidFill>
                </w14:textFill>
              </w:rPr>
              <w:t>m</w:t>
            </w:r>
            <w:r>
              <w:rPr>
                <w:rFonts w:hint="eastAsia"/>
                <w:b/>
                <w:bCs/>
                <w:color w:val="000000" w:themeColor="text1"/>
                <w:highlight w:val="none"/>
                <w14:textFill>
                  <w14:solidFill>
                    <w14:schemeClr w14:val="tx1"/>
                  </w14:solidFill>
                </w14:textFill>
              </w:rPr>
              <w:t>）</w:t>
            </w:r>
          </w:p>
        </w:tc>
        <w:tc>
          <w:tcPr>
            <w:tcW w:w="854" w:type="pct"/>
            <w:vAlign w:val="center"/>
          </w:tcPr>
          <w:p>
            <w:pPr>
              <w:pStyle w:val="118"/>
              <w:rPr>
                <w:rFonts w:eastAsia="Calibri"/>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山泉或水井数量（口）</w:t>
            </w:r>
          </w:p>
        </w:tc>
        <w:tc>
          <w:tcPr>
            <w:tcW w:w="854" w:type="pct"/>
            <w:vAlign w:val="center"/>
          </w:tcPr>
          <w:p>
            <w:pPr>
              <w:pStyle w:val="118"/>
              <w:rPr>
                <w:rFonts w:eastAsia="Calibri"/>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供水规模（户）</w:t>
            </w:r>
          </w:p>
        </w:tc>
        <w:tc>
          <w:tcPr>
            <w:tcW w:w="1587" w:type="pct"/>
            <w:vAlign w:val="center"/>
          </w:tcPr>
          <w:p>
            <w:pPr>
              <w:pStyle w:val="118"/>
              <w:rPr>
                <w:rFonts w:eastAsia="Calibri"/>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环境敏感特性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25" w:type="pct"/>
            <w:vAlign w:val="center"/>
          </w:tcPr>
          <w:p>
            <w:pPr>
              <w:pStyle w:val="118"/>
              <w:rPr>
                <w:color w:val="000000" w:themeColor="text1"/>
                <w:highlight w:val="none"/>
                <w14:textFill>
                  <w14:solidFill>
                    <w14:schemeClr w14:val="tx1"/>
                  </w14:solidFill>
                </w14:textFill>
              </w:rPr>
            </w:pPr>
            <w:r>
              <w:rPr>
                <w:color w:val="000000" w:themeColor="text1"/>
                <w:highlight w:val="none"/>
                <w:lang w:eastAsia="en-US"/>
                <w14:textFill>
                  <w14:solidFill>
                    <w14:schemeClr w14:val="tx1"/>
                  </w14:solidFill>
                </w14:textFill>
              </w:rPr>
              <w:t>1#</w:t>
            </w:r>
          </w:p>
        </w:tc>
        <w:tc>
          <w:tcPr>
            <w:tcW w:w="513" w:type="pct"/>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南</w:t>
            </w:r>
            <w:r>
              <w:rPr>
                <w:rFonts w:hint="eastAsia"/>
                <w:color w:val="000000" w:themeColor="text1"/>
                <w:highlight w:val="none"/>
                <w14:textFill>
                  <w14:solidFill>
                    <w14:schemeClr w14:val="tx1"/>
                  </w14:solidFill>
                </w14:textFill>
              </w:rPr>
              <w:t>侧</w:t>
            </w:r>
          </w:p>
        </w:tc>
        <w:tc>
          <w:tcPr>
            <w:tcW w:w="767" w:type="pct"/>
            <w:vAlign w:val="center"/>
          </w:tcPr>
          <w:p>
            <w:pPr>
              <w:pStyle w:val="118"/>
              <w:rPr>
                <w:color w:val="000000" w:themeColor="text1"/>
                <w:szCs w:val="21"/>
                <w:highlight w:val="none"/>
                <w14:textFill>
                  <w14:solidFill>
                    <w14:schemeClr w14:val="tx1"/>
                  </w14:solidFill>
                </w14:textFill>
              </w:rPr>
            </w:pPr>
            <w:r>
              <w:rPr>
                <w:rFonts w:hint="eastAsia"/>
                <w:color w:val="000000" w:themeColor="text1"/>
                <w:highlight w:val="none"/>
                <w14:textFill>
                  <w14:solidFill>
                    <w14:schemeClr w14:val="tx1"/>
                  </w14:solidFill>
                </w14:textFill>
              </w:rPr>
              <w:t>83</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10</w:t>
            </w:r>
          </w:p>
        </w:tc>
        <w:tc>
          <w:tcPr>
            <w:tcW w:w="85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p>
        </w:tc>
        <w:tc>
          <w:tcPr>
            <w:tcW w:w="85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r>
              <w:rPr>
                <w:color w:val="000000" w:themeColor="text1"/>
                <w:highlight w:val="none"/>
                <w:lang w:eastAsia="en-US"/>
                <w14:textFill>
                  <w14:solidFill>
                    <w14:schemeClr w14:val="tx1"/>
                  </w14:solidFill>
                </w14:textFill>
              </w:rPr>
              <w:t>户</w:t>
            </w:r>
          </w:p>
        </w:tc>
        <w:tc>
          <w:tcPr>
            <w:tcW w:w="1587" w:type="pct"/>
            <w:vAlign w:val="center"/>
          </w:tcPr>
          <w:p>
            <w:pPr>
              <w:pStyle w:val="118"/>
              <w:rPr>
                <w:rFonts w:eastAsia="Calibri"/>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泉水或基岩</w:t>
            </w:r>
            <w:r>
              <w:rPr>
                <w:color w:val="000000" w:themeColor="text1"/>
                <w:highlight w:val="none"/>
                <w14:textFill>
                  <w14:solidFill>
                    <w14:schemeClr w14:val="tx1"/>
                  </w14:solidFill>
                </w14:textFill>
              </w:rPr>
              <w:t>孔隙</w:t>
            </w:r>
            <w:r>
              <w:rPr>
                <w:rFonts w:hint="eastAsia"/>
                <w:color w:val="000000" w:themeColor="text1"/>
                <w:highlight w:val="none"/>
                <w14:textFill>
                  <w14:solidFill>
                    <w14:schemeClr w14:val="tx1"/>
                  </w14:solidFill>
                </w14:textFill>
              </w:rPr>
              <w:t>裂隙水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25" w:type="pct"/>
            <w:vAlign w:val="center"/>
          </w:tcPr>
          <w:p>
            <w:pPr>
              <w:pStyle w:val="118"/>
              <w:rPr>
                <w:color w:val="000000" w:themeColor="text1"/>
                <w:highlight w:val="none"/>
                <w14:textFill>
                  <w14:solidFill>
                    <w14:schemeClr w14:val="tx1"/>
                  </w14:solidFill>
                </w14:textFill>
              </w:rPr>
            </w:pPr>
            <w:r>
              <w:rPr>
                <w:color w:val="000000" w:themeColor="text1"/>
                <w:highlight w:val="none"/>
                <w:lang w:eastAsia="en-US"/>
                <w14:textFill>
                  <w14:solidFill>
                    <w14:schemeClr w14:val="tx1"/>
                  </w14:solidFill>
                </w14:textFill>
              </w:rPr>
              <w:t>2#</w:t>
            </w:r>
          </w:p>
        </w:tc>
        <w:tc>
          <w:tcPr>
            <w:tcW w:w="513" w:type="pct"/>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南</w:t>
            </w:r>
            <w:r>
              <w:rPr>
                <w:rFonts w:hint="eastAsia"/>
                <w:color w:val="000000" w:themeColor="text1"/>
                <w:highlight w:val="none"/>
                <w14:textFill>
                  <w14:solidFill>
                    <w14:schemeClr w14:val="tx1"/>
                  </w14:solidFill>
                </w14:textFill>
              </w:rPr>
              <w:t>侧</w:t>
            </w:r>
          </w:p>
        </w:tc>
        <w:tc>
          <w:tcPr>
            <w:tcW w:w="767" w:type="pct"/>
            <w:vAlign w:val="center"/>
          </w:tcPr>
          <w:p>
            <w:pPr>
              <w:pStyle w:val="118"/>
              <w:rPr>
                <w:color w:val="000000" w:themeColor="text1"/>
                <w:szCs w:val="21"/>
                <w:highlight w:val="none"/>
                <w14:textFill>
                  <w14:solidFill>
                    <w14:schemeClr w14:val="tx1"/>
                  </w14:solidFill>
                </w14:textFill>
              </w:rPr>
            </w:pPr>
            <w:r>
              <w:rPr>
                <w:rFonts w:hint="eastAsia"/>
                <w:color w:val="000000" w:themeColor="text1"/>
                <w:highlight w:val="none"/>
                <w14:textFill>
                  <w14:solidFill>
                    <w14:schemeClr w14:val="tx1"/>
                  </w14:solidFill>
                </w14:textFill>
              </w:rPr>
              <w:t>10</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t>8</w:t>
            </w:r>
          </w:p>
        </w:tc>
        <w:tc>
          <w:tcPr>
            <w:tcW w:w="85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w:t>
            </w:r>
          </w:p>
        </w:tc>
        <w:tc>
          <w:tcPr>
            <w:tcW w:w="85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r>
              <w:rPr>
                <w:color w:val="000000" w:themeColor="text1"/>
                <w:highlight w:val="none"/>
                <w:lang w:eastAsia="en-US"/>
                <w14:textFill>
                  <w14:solidFill>
                    <w14:schemeClr w14:val="tx1"/>
                  </w14:solidFill>
                </w14:textFill>
              </w:rPr>
              <w:t>户</w:t>
            </w:r>
          </w:p>
        </w:tc>
        <w:tc>
          <w:tcPr>
            <w:tcW w:w="1587" w:type="pct"/>
          </w:tcPr>
          <w:p>
            <w:pPr>
              <w:pStyle w:val="118"/>
              <w:rPr>
                <w:rFonts w:eastAsia="Calibri"/>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泉水或基岩</w:t>
            </w:r>
            <w:r>
              <w:rPr>
                <w:color w:val="000000" w:themeColor="text1"/>
                <w:highlight w:val="none"/>
                <w14:textFill>
                  <w14:solidFill>
                    <w14:schemeClr w14:val="tx1"/>
                  </w14:solidFill>
                </w14:textFill>
              </w:rPr>
              <w:t>孔隙</w:t>
            </w:r>
            <w:r>
              <w:rPr>
                <w:rFonts w:hint="eastAsia"/>
                <w:color w:val="000000" w:themeColor="text1"/>
                <w:highlight w:val="none"/>
                <w14:textFill>
                  <w14:solidFill>
                    <w14:schemeClr w14:val="tx1"/>
                  </w14:solidFill>
                </w14:textFill>
              </w:rPr>
              <w:t>裂隙水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25" w:type="pct"/>
            <w:vAlign w:val="center"/>
          </w:tcPr>
          <w:p>
            <w:pPr>
              <w:pStyle w:val="118"/>
              <w:rPr>
                <w:color w:val="000000" w:themeColor="text1"/>
                <w:highlight w:val="none"/>
                <w14:textFill>
                  <w14:solidFill>
                    <w14:schemeClr w14:val="tx1"/>
                  </w14:solidFill>
                </w14:textFill>
              </w:rPr>
            </w:pPr>
            <w:r>
              <w:rPr>
                <w:color w:val="000000" w:themeColor="text1"/>
                <w:highlight w:val="none"/>
                <w:lang w:eastAsia="en-US"/>
                <w14:textFill>
                  <w14:solidFill>
                    <w14:schemeClr w14:val="tx1"/>
                  </w14:solidFill>
                </w14:textFill>
              </w:rPr>
              <w:t>3#</w:t>
            </w:r>
          </w:p>
        </w:tc>
        <w:tc>
          <w:tcPr>
            <w:tcW w:w="513" w:type="pct"/>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北</w:t>
            </w:r>
            <w:r>
              <w:rPr>
                <w:rFonts w:hint="eastAsia"/>
                <w:color w:val="000000" w:themeColor="text1"/>
                <w:highlight w:val="none"/>
                <w14:textFill>
                  <w14:solidFill>
                    <w14:schemeClr w14:val="tx1"/>
                  </w14:solidFill>
                </w14:textFill>
              </w:rPr>
              <w:t>侧</w:t>
            </w:r>
          </w:p>
        </w:tc>
        <w:tc>
          <w:tcPr>
            <w:tcW w:w="767" w:type="pct"/>
            <w:vAlign w:val="center"/>
          </w:tcPr>
          <w:p>
            <w:pPr>
              <w:pStyle w:val="118"/>
              <w:rPr>
                <w:color w:val="000000" w:themeColor="text1"/>
                <w:szCs w:val="21"/>
                <w:highlight w:val="none"/>
                <w14:textFill>
                  <w14:solidFill>
                    <w14:schemeClr w14:val="tx1"/>
                  </w14:solidFill>
                </w14:textFill>
              </w:rPr>
            </w:pPr>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30</w:t>
            </w:r>
          </w:p>
        </w:tc>
        <w:tc>
          <w:tcPr>
            <w:tcW w:w="85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p>
        </w:tc>
        <w:tc>
          <w:tcPr>
            <w:tcW w:w="85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r>
              <w:rPr>
                <w:color w:val="000000" w:themeColor="text1"/>
                <w:highlight w:val="none"/>
                <w:lang w:eastAsia="en-US"/>
                <w14:textFill>
                  <w14:solidFill>
                    <w14:schemeClr w14:val="tx1"/>
                  </w14:solidFill>
                </w14:textFill>
              </w:rPr>
              <w:t>户</w:t>
            </w:r>
          </w:p>
        </w:tc>
        <w:tc>
          <w:tcPr>
            <w:tcW w:w="1587" w:type="pct"/>
          </w:tcPr>
          <w:p>
            <w:pPr>
              <w:pStyle w:val="118"/>
              <w:rPr>
                <w:rFonts w:eastAsia="Calibri"/>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泉水或基岩</w:t>
            </w:r>
            <w:r>
              <w:rPr>
                <w:color w:val="000000" w:themeColor="text1"/>
                <w:highlight w:val="none"/>
                <w14:textFill>
                  <w14:solidFill>
                    <w14:schemeClr w14:val="tx1"/>
                  </w14:solidFill>
                </w14:textFill>
              </w:rPr>
              <w:t>孔隙</w:t>
            </w:r>
            <w:r>
              <w:rPr>
                <w:rFonts w:hint="eastAsia"/>
                <w:color w:val="000000" w:themeColor="text1"/>
                <w:highlight w:val="none"/>
                <w14:textFill>
                  <w14:solidFill>
                    <w14:schemeClr w14:val="tx1"/>
                  </w14:solidFill>
                </w14:textFill>
              </w:rPr>
              <w:t>裂隙水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25" w:type="pct"/>
            <w:vAlign w:val="center"/>
          </w:tcPr>
          <w:p>
            <w:pPr>
              <w:pStyle w:val="118"/>
              <w:rPr>
                <w:color w:val="000000" w:themeColor="text1"/>
                <w:highlight w:val="none"/>
                <w14:textFill>
                  <w14:solidFill>
                    <w14:schemeClr w14:val="tx1"/>
                  </w14:solidFill>
                </w14:textFill>
              </w:rPr>
            </w:pPr>
            <w:r>
              <w:rPr>
                <w:color w:val="000000" w:themeColor="text1"/>
                <w:highlight w:val="none"/>
                <w:lang w:eastAsia="en-US"/>
                <w14:textFill>
                  <w14:solidFill>
                    <w14:schemeClr w14:val="tx1"/>
                  </w14:solidFill>
                </w14:textFill>
              </w:rPr>
              <w:t>4#</w:t>
            </w:r>
          </w:p>
        </w:tc>
        <w:tc>
          <w:tcPr>
            <w:tcW w:w="513" w:type="pct"/>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北</w:t>
            </w:r>
            <w:r>
              <w:rPr>
                <w:rFonts w:hint="eastAsia"/>
                <w:color w:val="000000" w:themeColor="text1"/>
                <w:highlight w:val="none"/>
                <w14:textFill>
                  <w14:solidFill>
                    <w14:schemeClr w14:val="tx1"/>
                  </w14:solidFill>
                </w14:textFill>
              </w:rPr>
              <w:t>侧</w:t>
            </w:r>
          </w:p>
        </w:tc>
        <w:tc>
          <w:tcPr>
            <w:tcW w:w="767" w:type="pct"/>
            <w:vAlign w:val="center"/>
          </w:tcPr>
          <w:p>
            <w:pPr>
              <w:pStyle w:val="118"/>
              <w:rPr>
                <w:color w:val="000000" w:themeColor="text1"/>
                <w:szCs w:val="21"/>
                <w:highlight w:val="none"/>
                <w14:textFill>
                  <w14:solidFill>
                    <w14:schemeClr w14:val="tx1"/>
                  </w14:solidFill>
                </w14:textFill>
              </w:rPr>
            </w:pPr>
            <w:r>
              <w:rPr>
                <w:rFonts w:hint="eastAsia" w:eastAsiaTheme="minorEastAsia"/>
                <w:color w:val="000000" w:themeColor="text1"/>
                <w:highlight w:val="none"/>
                <w14:textFill>
                  <w14:solidFill>
                    <w14:schemeClr w14:val="tx1"/>
                  </w14:solidFill>
                </w14:textFill>
              </w:rPr>
              <w:t>136</w:t>
            </w:r>
            <w:r>
              <w:rPr>
                <w:color w:val="000000" w:themeColor="text1"/>
                <w:highlight w:val="none"/>
                <w14:textFill>
                  <w14:solidFill>
                    <w14:schemeClr w14:val="tx1"/>
                  </w14:solidFill>
                </w14:textFill>
              </w:rPr>
              <w:t>~200</w:t>
            </w:r>
          </w:p>
        </w:tc>
        <w:tc>
          <w:tcPr>
            <w:tcW w:w="85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w:t>
            </w:r>
          </w:p>
        </w:tc>
        <w:tc>
          <w:tcPr>
            <w:tcW w:w="85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w:t>
            </w:r>
            <w:r>
              <w:rPr>
                <w:color w:val="000000" w:themeColor="text1"/>
                <w:highlight w:val="none"/>
                <w:lang w:eastAsia="en-US"/>
                <w14:textFill>
                  <w14:solidFill>
                    <w14:schemeClr w14:val="tx1"/>
                  </w14:solidFill>
                </w14:textFill>
              </w:rPr>
              <w:t>户</w:t>
            </w:r>
          </w:p>
        </w:tc>
        <w:tc>
          <w:tcPr>
            <w:tcW w:w="1587" w:type="pct"/>
          </w:tcPr>
          <w:p>
            <w:pPr>
              <w:pStyle w:val="118"/>
              <w:rPr>
                <w:rFonts w:eastAsia="Calibri"/>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泉水或基岩</w:t>
            </w:r>
            <w:r>
              <w:rPr>
                <w:color w:val="000000" w:themeColor="text1"/>
                <w:highlight w:val="none"/>
                <w14:textFill>
                  <w14:solidFill>
                    <w14:schemeClr w14:val="tx1"/>
                  </w14:solidFill>
                </w14:textFill>
              </w:rPr>
              <w:t>孔隙</w:t>
            </w:r>
            <w:r>
              <w:rPr>
                <w:rFonts w:hint="eastAsia"/>
                <w:color w:val="000000" w:themeColor="text1"/>
                <w:highlight w:val="none"/>
                <w14:textFill>
                  <w14:solidFill>
                    <w14:schemeClr w14:val="tx1"/>
                  </w14:solidFill>
                </w14:textFill>
              </w:rPr>
              <w:t>裂隙水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25" w:type="pct"/>
            <w:vAlign w:val="center"/>
          </w:tcPr>
          <w:p>
            <w:pPr>
              <w:pStyle w:val="118"/>
              <w:rPr>
                <w:color w:val="000000" w:themeColor="text1"/>
                <w:highlight w:val="none"/>
                <w14:textFill>
                  <w14:solidFill>
                    <w14:schemeClr w14:val="tx1"/>
                  </w14:solidFill>
                </w14:textFill>
              </w:rPr>
            </w:pPr>
            <w:r>
              <w:rPr>
                <w:color w:val="000000" w:themeColor="text1"/>
                <w:highlight w:val="none"/>
                <w:lang w:eastAsia="en-US"/>
                <w14:textFill>
                  <w14:solidFill>
                    <w14:schemeClr w14:val="tx1"/>
                  </w14:solidFill>
                </w14:textFill>
              </w:rPr>
              <w:t>5#</w:t>
            </w:r>
          </w:p>
        </w:tc>
        <w:tc>
          <w:tcPr>
            <w:tcW w:w="513" w:type="pct"/>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北</w:t>
            </w:r>
            <w:r>
              <w:rPr>
                <w:rFonts w:hint="eastAsia"/>
                <w:color w:val="000000" w:themeColor="text1"/>
                <w:highlight w:val="none"/>
                <w14:textFill>
                  <w14:solidFill>
                    <w14:schemeClr w14:val="tx1"/>
                  </w14:solidFill>
                </w14:textFill>
              </w:rPr>
              <w:t>侧</w:t>
            </w:r>
          </w:p>
        </w:tc>
        <w:tc>
          <w:tcPr>
            <w:tcW w:w="767" w:type="pct"/>
            <w:vAlign w:val="center"/>
          </w:tcPr>
          <w:p>
            <w:pPr>
              <w:pStyle w:val="118"/>
              <w:rPr>
                <w:color w:val="000000" w:themeColor="text1"/>
                <w:szCs w:val="21"/>
                <w:highlight w:val="none"/>
                <w:lang w:bidi="ar"/>
                <w14:textFill>
                  <w14:solidFill>
                    <w14:schemeClr w14:val="tx1"/>
                  </w14:solidFill>
                </w14:textFill>
              </w:rPr>
            </w:pPr>
            <w:r>
              <w:rPr>
                <w:rFonts w:hint="eastAsia"/>
                <w:color w:val="000000" w:themeColor="text1"/>
                <w:highlight w:val="none"/>
                <w14:textFill>
                  <w14:solidFill>
                    <w14:schemeClr w14:val="tx1"/>
                  </w14:solidFill>
                </w14:textFill>
              </w:rPr>
              <w:t>28</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88</w:t>
            </w:r>
          </w:p>
        </w:tc>
        <w:tc>
          <w:tcPr>
            <w:tcW w:w="85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p>
        </w:tc>
        <w:tc>
          <w:tcPr>
            <w:tcW w:w="85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6户</w:t>
            </w:r>
          </w:p>
        </w:tc>
        <w:tc>
          <w:tcPr>
            <w:tcW w:w="1587"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泉水或基岩</w:t>
            </w:r>
            <w:r>
              <w:rPr>
                <w:color w:val="000000" w:themeColor="text1"/>
                <w:highlight w:val="none"/>
                <w14:textFill>
                  <w14:solidFill>
                    <w14:schemeClr w14:val="tx1"/>
                  </w14:solidFill>
                </w14:textFill>
              </w:rPr>
              <w:t>孔隙</w:t>
            </w:r>
            <w:r>
              <w:rPr>
                <w:rFonts w:hint="eastAsia"/>
                <w:color w:val="000000" w:themeColor="text1"/>
                <w:highlight w:val="none"/>
                <w14:textFill>
                  <w14:solidFill>
                    <w14:schemeClr w14:val="tx1"/>
                  </w14:solidFill>
                </w14:textFill>
              </w:rPr>
              <w:t>裂隙水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25" w:type="pct"/>
            <w:vAlign w:val="center"/>
          </w:tcPr>
          <w:p>
            <w:pPr>
              <w:pStyle w:val="118"/>
              <w:rPr>
                <w:color w:val="000000" w:themeColor="text1"/>
                <w:highlight w:val="none"/>
                <w14:textFill>
                  <w14:solidFill>
                    <w14:schemeClr w14:val="tx1"/>
                  </w14:solidFill>
                </w14:textFill>
              </w:rPr>
            </w:pPr>
            <w:r>
              <w:rPr>
                <w:color w:val="000000" w:themeColor="text1"/>
                <w:highlight w:val="none"/>
                <w:lang w:eastAsia="en-US"/>
                <w14:textFill>
                  <w14:solidFill>
                    <w14:schemeClr w14:val="tx1"/>
                  </w14:solidFill>
                </w14:textFill>
              </w:rPr>
              <w:t>6#</w:t>
            </w:r>
          </w:p>
        </w:tc>
        <w:tc>
          <w:tcPr>
            <w:tcW w:w="513" w:type="pct"/>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南</w:t>
            </w:r>
            <w:r>
              <w:rPr>
                <w:rFonts w:hint="eastAsia"/>
                <w:color w:val="000000" w:themeColor="text1"/>
                <w:highlight w:val="none"/>
                <w14:textFill>
                  <w14:solidFill>
                    <w14:schemeClr w14:val="tx1"/>
                  </w14:solidFill>
                </w14:textFill>
              </w:rPr>
              <w:t>侧</w:t>
            </w:r>
          </w:p>
        </w:tc>
        <w:tc>
          <w:tcPr>
            <w:tcW w:w="767" w:type="pct"/>
            <w:vAlign w:val="center"/>
          </w:tcPr>
          <w:p>
            <w:pPr>
              <w:pStyle w:val="118"/>
              <w:rPr>
                <w:color w:val="000000" w:themeColor="text1"/>
                <w:szCs w:val="21"/>
                <w:highlight w:val="none"/>
                <w:lang w:bidi="ar"/>
                <w14:textFill>
                  <w14:solidFill>
                    <w14:schemeClr w14:val="tx1"/>
                  </w14:solidFill>
                </w14:textFill>
              </w:rPr>
            </w:pPr>
            <w:r>
              <w:rPr>
                <w:rFonts w:hint="eastAsia"/>
                <w:color w:val="000000" w:themeColor="text1"/>
                <w:highlight w:val="none"/>
                <w14:textFill>
                  <w14:solidFill>
                    <w14:schemeClr w14:val="tx1"/>
                  </w14:solidFill>
                </w14:textFill>
              </w:rPr>
              <w:t>12</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198</w:t>
            </w:r>
          </w:p>
        </w:tc>
        <w:tc>
          <w:tcPr>
            <w:tcW w:w="85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11</w:t>
            </w:r>
          </w:p>
        </w:tc>
        <w:tc>
          <w:tcPr>
            <w:tcW w:w="85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27</w:t>
            </w:r>
            <w:r>
              <w:rPr>
                <w:color w:val="000000" w:themeColor="text1"/>
                <w:highlight w:val="none"/>
                <w:lang w:eastAsia="en-US"/>
                <w14:textFill>
                  <w14:solidFill>
                    <w14:schemeClr w14:val="tx1"/>
                  </w14:solidFill>
                </w14:textFill>
              </w:rPr>
              <w:t>户</w:t>
            </w:r>
          </w:p>
        </w:tc>
        <w:tc>
          <w:tcPr>
            <w:tcW w:w="1587"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泉水或基岩</w:t>
            </w:r>
            <w:r>
              <w:rPr>
                <w:color w:val="000000" w:themeColor="text1"/>
                <w:highlight w:val="none"/>
                <w14:textFill>
                  <w14:solidFill>
                    <w14:schemeClr w14:val="tx1"/>
                  </w14:solidFill>
                </w14:textFill>
              </w:rPr>
              <w:t>孔隙</w:t>
            </w:r>
            <w:r>
              <w:rPr>
                <w:rFonts w:hint="eastAsia"/>
                <w:color w:val="000000" w:themeColor="text1"/>
                <w:highlight w:val="none"/>
                <w14:textFill>
                  <w14:solidFill>
                    <w14:schemeClr w14:val="tx1"/>
                  </w14:solidFill>
                </w14:textFill>
              </w:rPr>
              <w:t>裂隙水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25" w:type="pct"/>
            <w:vAlign w:val="center"/>
          </w:tcPr>
          <w:p>
            <w:pPr>
              <w:pStyle w:val="118"/>
              <w:rPr>
                <w:color w:val="000000" w:themeColor="text1"/>
                <w:highlight w:val="none"/>
                <w14:textFill>
                  <w14:solidFill>
                    <w14:schemeClr w14:val="tx1"/>
                  </w14:solidFill>
                </w14:textFill>
              </w:rPr>
            </w:pPr>
            <w:r>
              <w:rPr>
                <w:color w:val="000000" w:themeColor="text1"/>
                <w:highlight w:val="none"/>
                <w:lang w:eastAsia="en-US"/>
                <w14:textFill>
                  <w14:solidFill>
                    <w14:schemeClr w14:val="tx1"/>
                  </w14:solidFill>
                </w14:textFill>
              </w:rPr>
              <w:t>7#</w:t>
            </w:r>
          </w:p>
        </w:tc>
        <w:tc>
          <w:tcPr>
            <w:tcW w:w="513" w:type="pct"/>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北</w:t>
            </w:r>
            <w:r>
              <w:rPr>
                <w:rFonts w:hint="eastAsia"/>
                <w:color w:val="000000" w:themeColor="text1"/>
                <w:highlight w:val="none"/>
                <w14:textFill>
                  <w14:solidFill>
                    <w14:schemeClr w14:val="tx1"/>
                  </w14:solidFill>
                </w14:textFill>
              </w:rPr>
              <w:t>侧</w:t>
            </w:r>
          </w:p>
        </w:tc>
        <w:tc>
          <w:tcPr>
            <w:tcW w:w="767" w:type="pct"/>
            <w:vAlign w:val="center"/>
          </w:tcPr>
          <w:p>
            <w:pPr>
              <w:pStyle w:val="118"/>
              <w:rPr>
                <w:color w:val="000000" w:themeColor="text1"/>
                <w:szCs w:val="21"/>
                <w:highlight w:val="none"/>
                <w:lang w:bidi="ar"/>
                <w14:textFill>
                  <w14:solidFill>
                    <w14:schemeClr w14:val="tx1"/>
                  </w14:solidFill>
                </w14:textFill>
              </w:rPr>
            </w:pPr>
            <w:r>
              <w:rPr>
                <w:rFonts w:hint="eastAsia"/>
                <w:color w:val="000000" w:themeColor="text1"/>
                <w:highlight w:val="none"/>
                <w14:textFill>
                  <w14:solidFill>
                    <w14:schemeClr w14:val="tx1"/>
                  </w14:solidFill>
                </w14:textFill>
              </w:rPr>
              <w:t>16</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45</w:t>
            </w:r>
          </w:p>
        </w:tc>
        <w:tc>
          <w:tcPr>
            <w:tcW w:w="85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w:t>
            </w:r>
          </w:p>
        </w:tc>
        <w:tc>
          <w:tcPr>
            <w:tcW w:w="854" w:type="pct"/>
            <w:vAlign w:val="center"/>
          </w:tcPr>
          <w:p>
            <w:pPr>
              <w:pStyle w:val="118"/>
              <w:rPr>
                <w:color w:val="000000" w:themeColor="text1"/>
                <w:highlight w:val="none"/>
                <w14:textFill>
                  <w14:solidFill>
                    <w14:schemeClr w14:val="tx1"/>
                  </w14:solidFill>
                </w14:textFill>
              </w:rPr>
            </w:pPr>
            <w:r>
              <w:rPr>
                <w:color w:val="000000" w:themeColor="text1"/>
                <w:highlight w:val="none"/>
                <w:lang w:eastAsia="en-US"/>
                <w14:textFill>
                  <w14:solidFill>
                    <w14:schemeClr w14:val="tx1"/>
                  </w14:solidFill>
                </w14:textFill>
              </w:rPr>
              <w:t>8户</w:t>
            </w:r>
          </w:p>
        </w:tc>
        <w:tc>
          <w:tcPr>
            <w:tcW w:w="1587"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泉水或基岩</w:t>
            </w:r>
            <w:r>
              <w:rPr>
                <w:color w:val="000000" w:themeColor="text1"/>
                <w:highlight w:val="none"/>
                <w14:textFill>
                  <w14:solidFill>
                    <w14:schemeClr w14:val="tx1"/>
                  </w14:solidFill>
                </w14:textFill>
              </w:rPr>
              <w:t>孔隙</w:t>
            </w:r>
            <w:r>
              <w:rPr>
                <w:rFonts w:hint="eastAsia"/>
                <w:color w:val="000000" w:themeColor="text1"/>
                <w:highlight w:val="none"/>
                <w14:textFill>
                  <w14:solidFill>
                    <w14:schemeClr w14:val="tx1"/>
                  </w14:solidFill>
                </w14:textFill>
              </w:rPr>
              <w:t>裂隙水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25" w:type="pct"/>
            <w:vAlign w:val="center"/>
          </w:tcPr>
          <w:p>
            <w:pPr>
              <w:pStyle w:val="118"/>
              <w:rPr>
                <w:color w:val="000000" w:themeColor="text1"/>
                <w:highlight w:val="none"/>
                <w14:textFill>
                  <w14:solidFill>
                    <w14:schemeClr w14:val="tx1"/>
                  </w14:solidFill>
                </w14:textFill>
              </w:rPr>
            </w:pPr>
            <w:r>
              <w:rPr>
                <w:color w:val="000000" w:themeColor="text1"/>
                <w:highlight w:val="none"/>
                <w:lang w:eastAsia="en-US"/>
                <w14:textFill>
                  <w14:solidFill>
                    <w14:schemeClr w14:val="tx1"/>
                  </w14:solidFill>
                </w14:textFill>
              </w:rPr>
              <w:t>8#</w:t>
            </w:r>
          </w:p>
        </w:tc>
        <w:tc>
          <w:tcPr>
            <w:tcW w:w="513" w:type="pct"/>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北</w:t>
            </w:r>
            <w:r>
              <w:rPr>
                <w:rFonts w:hint="eastAsia"/>
                <w:color w:val="000000" w:themeColor="text1"/>
                <w:highlight w:val="none"/>
                <w14:textFill>
                  <w14:solidFill>
                    <w14:schemeClr w14:val="tx1"/>
                  </w14:solidFill>
                </w14:textFill>
              </w:rPr>
              <w:t>侧</w:t>
            </w:r>
          </w:p>
        </w:tc>
        <w:tc>
          <w:tcPr>
            <w:tcW w:w="767" w:type="pct"/>
            <w:vAlign w:val="center"/>
          </w:tcPr>
          <w:p>
            <w:pPr>
              <w:pStyle w:val="118"/>
              <w:rPr>
                <w:color w:val="000000" w:themeColor="text1"/>
                <w:szCs w:val="21"/>
                <w:highlight w:val="none"/>
                <w:lang w:bidi="ar"/>
                <w14:textFill>
                  <w14:solidFill>
                    <w14:schemeClr w14:val="tx1"/>
                  </w14:solidFill>
                </w14:textFill>
              </w:rPr>
            </w:pPr>
            <w:r>
              <w:rPr>
                <w:rFonts w:hint="eastAsia"/>
                <w:color w:val="000000" w:themeColor="text1"/>
                <w:highlight w:val="none"/>
                <w14:textFill>
                  <w14:solidFill>
                    <w14:schemeClr w14:val="tx1"/>
                  </w14:solidFill>
                </w14:textFill>
              </w:rPr>
              <w:t>21</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180</w:t>
            </w:r>
          </w:p>
        </w:tc>
        <w:tc>
          <w:tcPr>
            <w:tcW w:w="85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w:t>
            </w:r>
          </w:p>
        </w:tc>
        <w:tc>
          <w:tcPr>
            <w:tcW w:w="85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w:t>
            </w:r>
            <w:r>
              <w:rPr>
                <w:color w:val="000000" w:themeColor="text1"/>
                <w:highlight w:val="none"/>
                <w:lang w:eastAsia="en-US"/>
                <w14:textFill>
                  <w14:solidFill>
                    <w14:schemeClr w14:val="tx1"/>
                  </w14:solidFill>
                </w14:textFill>
              </w:rPr>
              <w:t>户</w:t>
            </w:r>
          </w:p>
        </w:tc>
        <w:tc>
          <w:tcPr>
            <w:tcW w:w="1587"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泉水或基岩</w:t>
            </w:r>
            <w:r>
              <w:rPr>
                <w:color w:val="000000" w:themeColor="text1"/>
                <w:highlight w:val="none"/>
                <w14:textFill>
                  <w14:solidFill>
                    <w14:schemeClr w14:val="tx1"/>
                  </w14:solidFill>
                </w14:textFill>
              </w:rPr>
              <w:t>孔隙</w:t>
            </w:r>
            <w:r>
              <w:rPr>
                <w:rFonts w:hint="eastAsia"/>
                <w:color w:val="000000" w:themeColor="text1"/>
                <w:highlight w:val="none"/>
                <w14:textFill>
                  <w14:solidFill>
                    <w14:schemeClr w14:val="tx1"/>
                  </w14:solidFill>
                </w14:textFill>
              </w:rPr>
              <w:t>裂隙水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25" w:type="pct"/>
            <w:vAlign w:val="center"/>
          </w:tcPr>
          <w:p>
            <w:pPr>
              <w:pStyle w:val="118"/>
              <w:rPr>
                <w:color w:val="000000" w:themeColor="text1"/>
                <w:highlight w:val="none"/>
                <w14:textFill>
                  <w14:solidFill>
                    <w14:schemeClr w14:val="tx1"/>
                  </w14:solidFill>
                </w14:textFill>
              </w:rPr>
            </w:pPr>
            <w:r>
              <w:rPr>
                <w:color w:val="000000" w:themeColor="text1"/>
                <w:highlight w:val="none"/>
                <w:lang w:eastAsia="en-US"/>
                <w14:textFill>
                  <w14:solidFill>
                    <w14:schemeClr w14:val="tx1"/>
                  </w14:solidFill>
                </w14:textFill>
              </w:rPr>
              <w:t>9#</w:t>
            </w:r>
          </w:p>
        </w:tc>
        <w:tc>
          <w:tcPr>
            <w:tcW w:w="513"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左侧</w:t>
            </w:r>
          </w:p>
        </w:tc>
        <w:tc>
          <w:tcPr>
            <w:tcW w:w="767" w:type="pct"/>
            <w:vAlign w:val="center"/>
          </w:tcPr>
          <w:p>
            <w:pPr>
              <w:pStyle w:val="118"/>
              <w:rPr>
                <w:color w:val="000000" w:themeColor="text1"/>
                <w:szCs w:val="21"/>
                <w:highlight w:val="none"/>
                <w:lang w:bidi="ar"/>
                <w14:textFill>
                  <w14:solidFill>
                    <w14:schemeClr w14:val="tx1"/>
                  </w14:solidFill>
                </w14:textFill>
              </w:rPr>
            </w:pPr>
            <w:r>
              <w:rPr>
                <w:rFonts w:hint="eastAsia" w:eastAsiaTheme="minor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0~1</w:t>
            </w:r>
            <w:r>
              <w:rPr>
                <w:rFonts w:hint="eastAsia" w:eastAsiaTheme="minorEastAsia"/>
                <w:color w:val="000000" w:themeColor="text1"/>
                <w:highlight w:val="none"/>
                <w14:textFill>
                  <w14:solidFill>
                    <w14:schemeClr w14:val="tx1"/>
                  </w14:solidFill>
                </w14:textFill>
              </w:rPr>
              <w:t>82</w:t>
            </w:r>
          </w:p>
        </w:tc>
        <w:tc>
          <w:tcPr>
            <w:tcW w:w="85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p>
        </w:tc>
        <w:tc>
          <w:tcPr>
            <w:tcW w:w="85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r>
              <w:rPr>
                <w:color w:val="000000" w:themeColor="text1"/>
                <w:highlight w:val="none"/>
                <w:lang w:eastAsia="en-US"/>
                <w14:textFill>
                  <w14:solidFill>
                    <w14:schemeClr w14:val="tx1"/>
                  </w14:solidFill>
                </w14:textFill>
              </w:rPr>
              <w:t>户</w:t>
            </w:r>
          </w:p>
        </w:tc>
        <w:tc>
          <w:tcPr>
            <w:tcW w:w="1587"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泉水或基岩</w:t>
            </w:r>
            <w:r>
              <w:rPr>
                <w:color w:val="000000" w:themeColor="text1"/>
                <w:highlight w:val="none"/>
                <w14:textFill>
                  <w14:solidFill>
                    <w14:schemeClr w14:val="tx1"/>
                  </w14:solidFill>
                </w14:textFill>
              </w:rPr>
              <w:t>孔隙</w:t>
            </w:r>
            <w:r>
              <w:rPr>
                <w:rFonts w:hint="eastAsia"/>
                <w:color w:val="000000" w:themeColor="text1"/>
                <w:highlight w:val="none"/>
                <w14:textFill>
                  <w14:solidFill>
                    <w14:schemeClr w14:val="tx1"/>
                  </w14:solidFill>
                </w14:textFill>
              </w:rPr>
              <w:t>裂隙水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25" w:type="pct"/>
            <w:vAlign w:val="center"/>
          </w:tcPr>
          <w:p>
            <w:pPr>
              <w:pStyle w:val="118"/>
              <w:rPr>
                <w:color w:val="000000" w:themeColor="text1"/>
                <w:highlight w:val="none"/>
                <w14:textFill>
                  <w14:solidFill>
                    <w14:schemeClr w14:val="tx1"/>
                  </w14:solidFill>
                </w14:textFill>
              </w:rPr>
            </w:pPr>
            <w:r>
              <w:rPr>
                <w:color w:val="000000" w:themeColor="text1"/>
                <w:highlight w:val="none"/>
                <w:lang w:eastAsia="en-US"/>
                <w14:textFill>
                  <w14:solidFill>
                    <w14:schemeClr w14:val="tx1"/>
                  </w14:solidFill>
                </w14:textFill>
              </w:rPr>
              <w:t>10#</w:t>
            </w:r>
          </w:p>
        </w:tc>
        <w:tc>
          <w:tcPr>
            <w:tcW w:w="513" w:type="pct"/>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南</w:t>
            </w:r>
            <w:r>
              <w:rPr>
                <w:rFonts w:hint="eastAsia"/>
                <w:color w:val="000000" w:themeColor="text1"/>
                <w:highlight w:val="none"/>
                <w14:textFill>
                  <w14:solidFill>
                    <w14:schemeClr w14:val="tx1"/>
                  </w14:solidFill>
                </w14:textFill>
              </w:rPr>
              <w:t>侧</w:t>
            </w:r>
          </w:p>
        </w:tc>
        <w:tc>
          <w:tcPr>
            <w:tcW w:w="767" w:type="pct"/>
            <w:vAlign w:val="center"/>
          </w:tcPr>
          <w:p>
            <w:pPr>
              <w:pStyle w:val="118"/>
              <w:rPr>
                <w:color w:val="000000" w:themeColor="text1"/>
                <w:szCs w:val="21"/>
                <w:highlight w:val="none"/>
                <w:lang w:bidi="ar"/>
                <w14:textFill>
                  <w14:solidFill>
                    <w14:schemeClr w14:val="tx1"/>
                  </w14:solidFill>
                </w14:textFill>
              </w:rPr>
            </w:pPr>
            <w:r>
              <w:rPr>
                <w:rFonts w:hint="eastAsia"/>
                <w:color w:val="000000" w:themeColor="text1"/>
                <w:highlight w:val="none"/>
                <w14:textFill>
                  <w14:solidFill>
                    <w14:schemeClr w14:val="tx1"/>
                  </w14:solidFill>
                </w14:textFill>
              </w:rPr>
              <w:t>25</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08</w:t>
            </w:r>
          </w:p>
        </w:tc>
        <w:tc>
          <w:tcPr>
            <w:tcW w:w="85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w:t>
            </w:r>
          </w:p>
        </w:tc>
        <w:tc>
          <w:tcPr>
            <w:tcW w:w="85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w:t>
            </w:r>
            <w:r>
              <w:rPr>
                <w:color w:val="000000" w:themeColor="text1"/>
                <w:highlight w:val="none"/>
                <w:lang w:eastAsia="en-US"/>
                <w14:textFill>
                  <w14:solidFill>
                    <w14:schemeClr w14:val="tx1"/>
                  </w14:solidFill>
                </w14:textFill>
              </w:rPr>
              <w:t>户</w:t>
            </w:r>
          </w:p>
        </w:tc>
        <w:tc>
          <w:tcPr>
            <w:tcW w:w="1587"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泉水或基岩</w:t>
            </w:r>
            <w:r>
              <w:rPr>
                <w:color w:val="000000" w:themeColor="text1"/>
                <w:highlight w:val="none"/>
                <w14:textFill>
                  <w14:solidFill>
                    <w14:schemeClr w14:val="tx1"/>
                  </w14:solidFill>
                </w14:textFill>
              </w:rPr>
              <w:t>孔隙</w:t>
            </w:r>
            <w:r>
              <w:rPr>
                <w:rFonts w:hint="eastAsia"/>
                <w:color w:val="000000" w:themeColor="text1"/>
                <w:highlight w:val="none"/>
                <w14:textFill>
                  <w14:solidFill>
                    <w14:schemeClr w14:val="tx1"/>
                  </w14:solidFill>
                </w14:textFill>
              </w:rPr>
              <w:t>裂隙水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2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w:t>
            </w:r>
          </w:p>
        </w:tc>
        <w:tc>
          <w:tcPr>
            <w:tcW w:w="513" w:type="pct"/>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北</w:t>
            </w:r>
            <w:r>
              <w:rPr>
                <w:rFonts w:hint="eastAsia"/>
                <w:color w:val="000000" w:themeColor="text1"/>
                <w:highlight w:val="none"/>
                <w14:textFill>
                  <w14:solidFill>
                    <w14:schemeClr w14:val="tx1"/>
                  </w14:solidFill>
                </w14:textFill>
              </w:rPr>
              <w:t>侧</w:t>
            </w:r>
          </w:p>
        </w:tc>
        <w:tc>
          <w:tcPr>
            <w:tcW w:w="767" w:type="pct"/>
            <w:vAlign w:val="center"/>
          </w:tcPr>
          <w:p>
            <w:pPr>
              <w:pStyle w:val="118"/>
              <w:rPr>
                <w:color w:val="000000" w:themeColor="text1"/>
                <w:szCs w:val="21"/>
                <w:highlight w:val="none"/>
                <w:lang w:bidi="ar"/>
                <w14:textFill>
                  <w14:solidFill>
                    <w14:schemeClr w14:val="tx1"/>
                  </w14:solidFill>
                </w14:textFill>
              </w:rPr>
            </w:pPr>
            <w:r>
              <w:rPr>
                <w:rFonts w:hint="eastAsia"/>
                <w:color w:val="000000" w:themeColor="text1"/>
                <w:highlight w:val="none"/>
                <w14:textFill>
                  <w14:solidFill>
                    <w14:schemeClr w14:val="tx1"/>
                  </w14:solidFill>
                </w14:textFill>
              </w:rPr>
              <w:t>116</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155</w:t>
            </w:r>
          </w:p>
        </w:tc>
        <w:tc>
          <w:tcPr>
            <w:tcW w:w="85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p>
        </w:tc>
        <w:tc>
          <w:tcPr>
            <w:tcW w:w="85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w:t>
            </w:r>
            <w:r>
              <w:rPr>
                <w:color w:val="000000" w:themeColor="text1"/>
                <w:highlight w:val="none"/>
                <w:lang w:eastAsia="en-US"/>
                <w14:textFill>
                  <w14:solidFill>
                    <w14:schemeClr w14:val="tx1"/>
                  </w14:solidFill>
                </w14:textFill>
              </w:rPr>
              <w:t>户</w:t>
            </w:r>
          </w:p>
        </w:tc>
        <w:tc>
          <w:tcPr>
            <w:tcW w:w="1587"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泉水或基岩</w:t>
            </w:r>
            <w:r>
              <w:rPr>
                <w:color w:val="000000" w:themeColor="text1"/>
                <w:highlight w:val="none"/>
                <w14:textFill>
                  <w14:solidFill>
                    <w14:schemeClr w14:val="tx1"/>
                  </w14:solidFill>
                </w14:textFill>
              </w:rPr>
              <w:t>孔隙</w:t>
            </w:r>
            <w:r>
              <w:rPr>
                <w:rFonts w:hint="eastAsia"/>
                <w:color w:val="000000" w:themeColor="text1"/>
                <w:highlight w:val="none"/>
                <w14:textFill>
                  <w14:solidFill>
                    <w14:schemeClr w14:val="tx1"/>
                  </w14:solidFill>
                </w14:textFill>
              </w:rPr>
              <w:t>裂隙水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2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w:t>
            </w:r>
          </w:p>
        </w:tc>
        <w:tc>
          <w:tcPr>
            <w:tcW w:w="513" w:type="pct"/>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北</w:t>
            </w:r>
            <w:r>
              <w:rPr>
                <w:rFonts w:hint="eastAsia"/>
                <w:color w:val="000000" w:themeColor="text1"/>
                <w:highlight w:val="none"/>
                <w14:textFill>
                  <w14:solidFill>
                    <w14:schemeClr w14:val="tx1"/>
                  </w14:solidFill>
                </w14:textFill>
              </w:rPr>
              <w:t>侧</w:t>
            </w:r>
          </w:p>
        </w:tc>
        <w:tc>
          <w:tcPr>
            <w:tcW w:w="767" w:type="pct"/>
            <w:vAlign w:val="center"/>
          </w:tcPr>
          <w:p>
            <w:pPr>
              <w:pStyle w:val="118"/>
              <w:rPr>
                <w:color w:val="000000" w:themeColor="text1"/>
                <w:szCs w:val="21"/>
                <w:highlight w:val="none"/>
                <w:lang w:bidi="ar"/>
                <w14:textFill>
                  <w14:solidFill>
                    <w14:schemeClr w14:val="tx1"/>
                  </w14:solidFill>
                </w14:textFill>
              </w:rPr>
            </w:pPr>
            <w:r>
              <w:rPr>
                <w:rFonts w:hint="eastAsia" w:eastAsiaTheme="minorEastAsia"/>
                <w:color w:val="000000" w:themeColor="text1"/>
                <w:highlight w:val="none"/>
                <w14:textFill>
                  <w14:solidFill>
                    <w14:schemeClr w14:val="tx1"/>
                  </w14:solidFill>
                </w14:textFill>
              </w:rPr>
              <w:t>50</w:t>
            </w:r>
            <w:r>
              <w:rPr>
                <w:color w:val="000000" w:themeColor="text1"/>
                <w:highlight w:val="none"/>
                <w14:textFill>
                  <w14:solidFill>
                    <w14:schemeClr w14:val="tx1"/>
                  </w14:solidFill>
                </w14:textFill>
              </w:rPr>
              <w:t>~1</w:t>
            </w:r>
            <w:r>
              <w:rPr>
                <w:rFonts w:hint="eastAsia" w:eastAsiaTheme="minor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t>6</w:t>
            </w:r>
          </w:p>
        </w:tc>
        <w:tc>
          <w:tcPr>
            <w:tcW w:w="85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p>
        </w:tc>
        <w:tc>
          <w:tcPr>
            <w:tcW w:w="85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w:t>
            </w:r>
            <w:r>
              <w:rPr>
                <w:color w:val="000000" w:themeColor="text1"/>
                <w:highlight w:val="none"/>
                <w:lang w:eastAsia="en-US"/>
                <w14:textFill>
                  <w14:solidFill>
                    <w14:schemeClr w14:val="tx1"/>
                  </w14:solidFill>
                </w14:textFill>
              </w:rPr>
              <w:t>户</w:t>
            </w:r>
          </w:p>
        </w:tc>
        <w:tc>
          <w:tcPr>
            <w:tcW w:w="1587"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泉水或基岩</w:t>
            </w:r>
            <w:r>
              <w:rPr>
                <w:color w:val="000000" w:themeColor="text1"/>
                <w:highlight w:val="none"/>
                <w14:textFill>
                  <w14:solidFill>
                    <w14:schemeClr w14:val="tx1"/>
                  </w14:solidFill>
                </w14:textFill>
              </w:rPr>
              <w:t>孔隙</w:t>
            </w:r>
            <w:r>
              <w:rPr>
                <w:rFonts w:hint="eastAsia"/>
                <w:color w:val="000000" w:themeColor="text1"/>
                <w:highlight w:val="none"/>
                <w14:textFill>
                  <w14:solidFill>
                    <w14:schemeClr w14:val="tx1"/>
                  </w14:solidFill>
                </w14:textFill>
              </w:rPr>
              <w:t>裂隙水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25"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13</w:t>
            </w:r>
            <w:r>
              <w:rPr>
                <w:color w:val="000000" w:themeColor="text1"/>
                <w:highlight w:val="none"/>
                <w14:textFill>
                  <w14:solidFill>
                    <w14:schemeClr w14:val="tx1"/>
                  </w14:solidFill>
                </w14:textFill>
              </w:rPr>
              <w:t>#</w:t>
            </w:r>
          </w:p>
        </w:tc>
        <w:tc>
          <w:tcPr>
            <w:tcW w:w="513" w:type="pct"/>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北</w:t>
            </w:r>
            <w:r>
              <w:rPr>
                <w:rFonts w:hint="eastAsia"/>
                <w:color w:val="000000" w:themeColor="text1"/>
                <w:highlight w:val="none"/>
                <w14:textFill>
                  <w14:solidFill>
                    <w14:schemeClr w14:val="tx1"/>
                  </w14:solidFill>
                </w14:textFill>
              </w:rPr>
              <w:t>侧</w:t>
            </w:r>
          </w:p>
        </w:tc>
        <w:tc>
          <w:tcPr>
            <w:tcW w:w="767" w:type="pct"/>
            <w:vAlign w:val="center"/>
          </w:tcPr>
          <w:p>
            <w:pPr>
              <w:pStyle w:val="118"/>
              <w:rPr>
                <w:color w:val="000000" w:themeColor="text1"/>
                <w:szCs w:val="21"/>
                <w:highlight w:val="none"/>
                <w:lang w:bidi="ar"/>
                <w14:textFill>
                  <w14:solidFill>
                    <w14:schemeClr w14:val="tx1"/>
                  </w14:solidFill>
                </w14:textFill>
              </w:rPr>
            </w:pPr>
            <w:r>
              <w:rPr>
                <w:rFonts w:hint="eastAsia" w:eastAsiaTheme="minorEastAsia"/>
                <w:color w:val="000000" w:themeColor="text1"/>
                <w:highlight w:val="none"/>
                <w14:textFill>
                  <w14:solidFill>
                    <w14:schemeClr w14:val="tx1"/>
                  </w14:solidFill>
                </w14:textFill>
              </w:rPr>
              <w:t>25</w:t>
            </w:r>
            <w:r>
              <w:rPr>
                <w:color w:val="000000" w:themeColor="text1"/>
                <w:highlight w:val="none"/>
                <w14:textFill>
                  <w14:solidFill>
                    <w14:schemeClr w14:val="tx1"/>
                  </w14:solidFill>
                </w14:textFill>
              </w:rPr>
              <w:t>~1</w:t>
            </w:r>
            <w:r>
              <w:rPr>
                <w:rFonts w:hint="eastAsia" w:eastAsiaTheme="minorEastAsia"/>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t>5</w:t>
            </w:r>
          </w:p>
        </w:tc>
        <w:tc>
          <w:tcPr>
            <w:tcW w:w="85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w:t>
            </w:r>
          </w:p>
        </w:tc>
        <w:tc>
          <w:tcPr>
            <w:tcW w:w="854"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w:t>
            </w:r>
            <w:r>
              <w:rPr>
                <w:color w:val="000000" w:themeColor="text1"/>
                <w:highlight w:val="none"/>
                <w:lang w:eastAsia="en-US"/>
                <w14:textFill>
                  <w14:solidFill>
                    <w14:schemeClr w14:val="tx1"/>
                  </w14:solidFill>
                </w14:textFill>
              </w:rPr>
              <w:t>户</w:t>
            </w:r>
          </w:p>
        </w:tc>
        <w:tc>
          <w:tcPr>
            <w:tcW w:w="1587"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泉水或基岩</w:t>
            </w:r>
            <w:r>
              <w:rPr>
                <w:color w:val="000000" w:themeColor="text1"/>
                <w:highlight w:val="none"/>
                <w14:textFill>
                  <w14:solidFill>
                    <w14:schemeClr w14:val="tx1"/>
                  </w14:solidFill>
                </w14:textFill>
              </w:rPr>
              <w:t>孔隙</w:t>
            </w:r>
            <w:r>
              <w:rPr>
                <w:rFonts w:hint="eastAsia"/>
                <w:color w:val="000000" w:themeColor="text1"/>
                <w:highlight w:val="none"/>
                <w14:textFill>
                  <w14:solidFill>
                    <w14:schemeClr w14:val="tx1"/>
                  </w14:solidFill>
                </w14:textFill>
              </w:rPr>
              <w:t>裂隙水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2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r>
              <w:rPr>
                <w:rFonts w:hint="eastAsia" w:eastAsiaTheme="minor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w:t>
            </w:r>
          </w:p>
        </w:tc>
        <w:tc>
          <w:tcPr>
            <w:tcW w:w="513" w:type="pct"/>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南</w:t>
            </w:r>
            <w:r>
              <w:rPr>
                <w:rFonts w:hint="eastAsia"/>
                <w:color w:val="000000" w:themeColor="text1"/>
                <w:highlight w:val="none"/>
                <w14:textFill>
                  <w14:solidFill>
                    <w14:schemeClr w14:val="tx1"/>
                  </w14:solidFill>
                </w14:textFill>
              </w:rPr>
              <w:t>侧</w:t>
            </w:r>
          </w:p>
        </w:tc>
        <w:tc>
          <w:tcPr>
            <w:tcW w:w="767" w:type="pct"/>
            <w:vAlign w:val="center"/>
          </w:tcPr>
          <w:p>
            <w:pPr>
              <w:pStyle w:val="118"/>
              <w:rPr>
                <w:color w:val="000000" w:themeColor="text1"/>
                <w:szCs w:val="21"/>
                <w:highlight w:val="none"/>
                <w:lang w:bidi="ar"/>
                <w14:textFill>
                  <w14:solidFill>
                    <w14:schemeClr w14:val="tx1"/>
                  </w14:solidFill>
                </w14:textFill>
              </w:rPr>
            </w:pPr>
            <w:r>
              <w:rPr>
                <w:rFonts w:hint="eastAsia"/>
                <w:color w:val="000000" w:themeColor="text1"/>
                <w:highlight w:val="none"/>
                <w14:textFill>
                  <w14:solidFill>
                    <w14:schemeClr w14:val="tx1"/>
                  </w14:solidFill>
                </w14:textFill>
              </w:rPr>
              <w:t>24</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200</w:t>
            </w:r>
          </w:p>
        </w:tc>
        <w:tc>
          <w:tcPr>
            <w:tcW w:w="85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w:t>
            </w:r>
          </w:p>
        </w:tc>
        <w:tc>
          <w:tcPr>
            <w:tcW w:w="854"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w:t>
            </w:r>
            <w:r>
              <w:rPr>
                <w:color w:val="000000" w:themeColor="text1"/>
                <w:highlight w:val="none"/>
                <w:lang w:eastAsia="en-US"/>
                <w14:textFill>
                  <w14:solidFill>
                    <w14:schemeClr w14:val="tx1"/>
                  </w14:solidFill>
                </w14:textFill>
              </w:rPr>
              <w:t>户</w:t>
            </w:r>
          </w:p>
        </w:tc>
        <w:tc>
          <w:tcPr>
            <w:tcW w:w="1587"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泉水或基岩</w:t>
            </w:r>
            <w:r>
              <w:rPr>
                <w:color w:val="000000" w:themeColor="text1"/>
                <w:highlight w:val="none"/>
                <w14:textFill>
                  <w14:solidFill>
                    <w14:schemeClr w14:val="tx1"/>
                  </w14:solidFill>
                </w14:textFill>
              </w:rPr>
              <w:t>孔隙</w:t>
            </w:r>
            <w:r>
              <w:rPr>
                <w:rFonts w:hint="eastAsia"/>
                <w:color w:val="000000" w:themeColor="text1"/>
                <w:highlight w:val="none"/>
                <w14:textFill>
                  <w14:solidFill>
                    <w14:schemeClr w14:val="tx1"/>
                  </w14:solidFill>
                </w14:textFill>
              </w:rPr>
              <w:t>裂隙水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25"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15</w:t>
            </w:r>
            <w:r>
              <w:rPr>
                <w:color w:val="000000" w:themeColor="text1"/>
                <w:highlight w:val="none"/>
                <w14:textFill>
                  <w14:solidFill>
                    <w14:schemeClr w14:val="tx1"/>
                  </w14:solidFill>
                </w14:textFill>
              </w:rPr>
              <w:t>#</w:t>
            </w:r>
          </w:p>
        </w:tc>
        <w:tc>
          <w:tcPr>
            <w:tcW w:w="513" w:type="pct"/>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南</w:t>
            </w:r>
            <w:r>
              <w:rPr>
                <w:rFonts w:hint="eastAsia"/>
                <w:color w:val="000000" w:themeColor="text1"/>
                <w:highlight w:val="none"/>
                <w14:textFill>
                  <w14:solidFill>
                    <w14:schemeClr w14:val="tx1"/>
                  </w14:solidFill>
                </w14:textFill>
              </w:rPr>
              <w:t>侧</w:t>
            </w:r>
          </w:p>
        </w:tc>
        <w:tc>
          <w:tcPr>
            <w:tcW w:w="767" w:type="pct"/>
            <w:vAlign w:val="center"/>
          </w:tcPr>
          <w:p>
            <w:pPr>
              <w:pStyle w:val="118"/>
              <w:rPr>
                <w:color w:val="000000" w:themeColor="text1"/>
                <w:szCs w:val="21"/>
                <w:highlight w:val="none"/>
                <w:lang w:bidi="ar"/>
                <w14:textFill>
                  <w14:solidFill>
                    <w14:schemeClr w14:val="tx1"/>
                  </w14:solidFill>
                </w14:textFill>
              </w:rPr>
            </w:pPr>
            <w:r>
              <w:rPr>
                <w:rFonts w:hint="eastAsia"/>
                <w:color w:val="000000" w:themeColor="text1"/>
                <w:highlight w:val="none"/>
                <w14:textFill>
                  <w14:solidFill>
                    <w14:schemeClr w14:val="tx1"/>
                  </w14:solidFill>
                </w14:textFill>
              </w:rPr>
              <w:t>10</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140</w:t>
            </w:r>
          </w:p>
        </w:tc>
        <w:tc>
          <w:tcPr>
            <w:tcW w:w="85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w:t>
            </w:r>
          </w:p>
        </w:tc>
        <w:tc>
          <w:tcPr>
            <w:tcW w:w="854"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15</w:t>
            </w:r>
            <w:r>
              <w:rPr>
                <w:color w:val="000000" w:themeColor="text1"/>
                <w:highlight w:val="none"/>
                <w:lang w:eastAsia="en-US"/>
                <w14:textFill>
                  <w14:solidFill>
                    <w14:schemeClr w14:val="tx1"/>
                  </w14:solidFill>
                </w14:textFill>
              </w:rPr>
              <w:t>户</w:t>
            </w:r>
          </w:p>
        </w:tc>
        <w:tc>
          <w:tcPr>
            <w:tcW w:w="1587"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泉水或基岩</w:t>
            </w:r>
            <w:r>
              <w:rPr>
                <w:color w:val="000000" w:themeColor="text1"/>
                <w:highlight w:val="none"/>
                <w14:textFill>
                  <w14:solidFill>
                    <w14:schemeClr w14:val="tx1"/>
                  </w14:solidFill>
                </w14:textFill>
              </w:rPr>
              <w:t>孔隙</w:t>
            </w:r>
            <w:r>
              <w:rPr>
                <w:rFonts w:hint="eastAsia"/>
                <w:color w:val="000000" w:themeColor="text1"/>
                <w:highlight w:val="none"/>
                <w14:textFill>
                  <w14:solidFill>
                    <w14:schemeClr w14:val="tx1"/>
                  </w14:solidFill>
                </w14:textFill>
              </w:rPr>
              <w:t>裂隙水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25"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16</w:t>
            </w:r>
            <w:r>
              <w:rPr>
                <w:color w:val="000000" w:themeColor="text1"/>
                <w:highlight w:val="none"/>
                <w14:textFill>
                  <w14:solidFill>
                    <w14:schemeClr w14:val="tx1"/>
                  </w14:solidFill>
                </w14:textFill>
              </w:rPr>
              <w:t>#</w:t>
            </w:r>
          </w:p>
        </w:tc>
        <w:tc>
          <w:tcPr>
            <w:tcW w:w="513" w:type="pct"/>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北</w:t>
            </w:r>
            <w:r>
              <w:rPr>
                <w:rFonts w:hint="eastAsia"/>
                <w:color w:val="000000" w:themeColor="text1"/>
                <w:highlight w:val="none"/>
                <w14:textFill>
                  <w14:solidFill>
                    <w14:schemeClr w14:val="tx1"/>
                  </w14:solidFill>
                </w14:textFill>
              </w:rPr>
              <w:t>侧</w:t>
            </w:r>
          </w:p>
        </w:tc>
        <w:tc>
          <w:tcPr>
            <w:tcW w:w="767" w:type="pct"/>
            <w:vAlign w:val="center"/>
          </w:tcPr>
          <w:p>
            <w:pPr>
              <w:pStyle w:val="118"/>
              <w:rPr>
                <w:color w:val="000000" w:themeColor="text1"/>
                <w:szCs w:val="21"/>
                <w:highlight w:val="none"/>
                <w:lang w:bidi="ar"/>
                <w14:textFill>
                  <w14:solidFill>
                    <w14:schemeClr w14:val="tx1"/>
                  </w14:solidFill>
                </w14:textFill>
              </w:rPr>
            </w:pPr>
            <w:r>
              <w:rPr>
                <w:rFonts w:hint="eastAsia"/>
                <w:color w:val="000000" w:themeColor="text1"/>
                <w:highlight w:val="none"/>
                <w14:textFill>
                  <w14:solidFill>
                    <w14:schemeClr w14:val="tx1"/>
                  </w14:solidFill>
                </w14:textFill>
              </w:rPr>
              <w:t>62</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143</w:t>
            </w:r>
          </w:p>
        </w:tc>
        <w:tc>
          <w:tcPr>
            <w:tcW w:w="85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p>
        </w:tc>
        <w:tc>
          <w:tcPr>
            <w:tcW w:w="854"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w:t>
            </w:r>
            <w:r>
              <w:rPr>
                <w:color w:val="000000" w:themeColor="text1"/>
                <w:highlight w:val="none"/>
                <w:lang w:eastAsia="en-US"/>
                <w14:textFill>
                  <w14:solidFill>
                    <w14:schemeClr w14:val="tx1"/>
                  </w14:solidFill>
                </w14:textFill>
              </w:rPr>
              <w:t>户</w:t>
            </w:r>
          </w:p>
        </w:tc>
        <w:tc>
          <w:tcPr>
            <w:tcW w:w="1587"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泉水或基岩</w:t>
            </w:r>
            <w:r>
              <w:rPr>
                <w:color w:val="000000" w:themeColor="text1"/>
                <w:highlight w:val="none"/>
                <w14:textFill>
                  <w14:solidFill>
                    <w14:schemeClr w14:val="tx1"/>
                  </w14:solidFill>
                </w14:textFill>
              </w:rPr>
              <w:t>孔隙</w:t>
            </w:r>
            <w:r>
              <w:rPr>
                <w:rFonts w:hint="eastAsia"/>
                <w:color w:val="000000" w:themeColor="text1"/>
                <w:highlight w:val="none"/>
                <w14:textFill>
                  <w14:solidFill>
                    <w14:schemeClr w14:val="tx1"/>
                  </w14:solidFill>
                </w14:textFill>
              </w:rPr>
              <w:t>裂隙水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25"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17</w:t>
            </w:r>
            <w:r>
              <w:rPr>
                <w:color w:val="000000" w:themeColor="text1"/>
                <w:highlight w:val="none"/>
                <w14:textFill>
                  <w14:solidFill>
                    <w14:schemeClr w14:val="tx1"/>
                  </w14:solidFill>
                </w14:textFill>
              </w:rPr>
              <w:t>#</w:t>
            </w:r>
          </w:p>
        </w:tc>
        <w:tc>
          <w:tcPr>
            <w:tcW w:w="513" w:type="pct"/>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北</w:t>
            </w:r>
            <w:r>
              <w:rPr>
                <w:rFonts w:hint="eastAsia"/>
                <w:color w:val="000000" w:themeColor="text1"/>
                <w:highlight w:val="none"/>
                <w14:textFill>
                  <w14:solidFill>
                    <w14:schemeClr w14:val="tx1"/>
                  </w14:solidFill>
                </w14:textFill>
              </w:rPr>
              <w:t>侧</w:t>
            </w:r>
          </w:p>
        </w:tc>
        <w:tc>
          <w:tcPr>
            <w:tcW w:w="767" w:type="pct"/>
            <w:vAlign w:val="center"/>
          </w:tcPr>
          <w:p>
            <w:pPr>
              <w:pStyle w:val="118"/>
              <w:rPr>
                <w:color w:val="000000" w:themeColor="text1"/>
                <w:szCs w:val="21"/>
                <w:highlight w:val="none"/>
                <w:lang w:bidi="ar"/>
                <w14:textFill>
                  <w14:solidFill>
                    <w14:schemeClr w14:val="tx1"/>
                  </w14:solidFill>
                </w14:textFill>
              </w:rPr>
            </w:pPr>
            <w:r>
              <w:rPr>
                <w:rFonts w:hint="eastAsia"/>
                <w:color w:val="000000" w:themeColor="text1"/>
                <w:highlight w:val="none"/>
                <w14:textFill>
                  <w14:solidFill>
                    <w14:schemeClr w14:val="tx1"/>
                  </w14:solidFill>
                </w14:textFill>
              </w:rPr>
              <w:t>113</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182</w:t>
            </w:r>
          </w:p>
        </w:tc>
        <w:tc>
          <w:tcPr>
            <w:tcW w:w="85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p>
        </w:tc>
        <w:tc>
          <w:tcPr>
            <w:tcW w:w="854"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w:t>
            </w:r>
            <w:r>
              <w:rPr>
                <w:color w:val="000000" w:themeColor="text1"/>
                <w:highlight w:val="none"/>
                <w:lang w:eastAsia="en-US"/>
                <w14:textFill>
                  <w14:solidFill>
                    <w14:schemeClr w14:val="tx1"/>
                  </w14:solidFill>
                </w14:textFill>
              </w:rPr>
              <w:t>户</w:t>
            </w:r>
          </w:p>
        </w:tc>
        <w:tc>
          <w:tcPr>
            <w:tcW w:w="1587"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泉水或基岩</w:t>
            </w:r>
            <w:r>
              <w:rPr>
                <w:color w:val="000000" w:themeColor="text1"/>
                <w:highlight w:val="none"/>
                <w14:textFill>
                  <w14:solidFill>
                    <w14:schemeClr w14:val="tx1"/>
                  </w14:solidFill>
                </w14:textFill>
              </w:rPr>
              <w:t>孔隙</w:t>
            </w:r>
            <w:r>
              <w:rPr>
                <w:rFonts w:hint="eastAsia"/>
                <w:color w:val="000000" w:themeColor="text1"/>
                <w:highlight w:val="none"/>
                <w14:textFill>
                  <w14:solidFill>
                    <w14:schemeClr w14:val="tx1"/>
                  </w14:solidFill>
                </w14:textFill>
              </w:rPr>
              <w:t>裂隙水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25"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18</w:t>
            </w:r>
            <w:r>
              <w:rPr>
                <w:color w:val="000000" w:themeColor="text1"/>
                <w:highlight w:val="none"/>
                <w14:textFill>
                  <w14:solidFill>
                    <w14:schemeClr w14:val="tx1"/>
                  </w14:solidFill>
                </w14:textFill>
              </w:rPr>
              <w:t>#</w:t>
            </w:r>
          </w:p>
        </w:tc>
        <w:tc>
          <w:tcPr>
            <w:tcW w:w="513" w:type="pct"/>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西</w:t>
            </w:r>
            <w:r>
              <w:rPr>
                <w:rFonts w:hint="eastAsia"/>
                <w:color w:val="000000" w:themeColor="text1"/>
                <w:highlight w:val="none"/>
                <w14:textFill>
                  <w14:solidFill>
                    <w14:schemeClr w14:val="tx1"/>
                  </w14:solidFill>
                </w14:textFill>
              </w:rPr>
              <w:t>侧</w:t>
            </w:r>
          </w:p>
        </w:tc>
        <w:tc>
          <w:tcPr>
            <w:tcW w:w="767" w:type="pct"/>
            <w:vAlign w:val="center"/>
          </w:tcPr>
          <w:p>
            <w:pPr>
              <w:pStyle w:val="118"/>
              <w:rPr>
                <w:color w:val="000000" w:themeColor="text1"/>
                <w:szCs w:val="21"/>
                <w:highlight w:val="none"/>
                <w:lang w:bidi="ar"/>
                <w14:textFill>
                  <w14:solidFill>
                    <w14:schemeClr w14:val="tx1"/>
                  </w14:solidFill>
                </w14:textFill>
              </w:rPr>
            </w:pPr>
            <w:r>
              <w:rPr>
                <w:rFonts w:hint="eastAsia"/>
                <w:color w:val="000000" w:themeColor="text1"/>
                <w:highlight w:val="none"/>
                <w14:textFill>
                  <w14:solidFill>
                    <w14:schemeClr w14:val="tx1"/>
                  </w14:solidFill>
                </w14:textFill>
              </w:rPr>
              <w:t>106</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188</w:t>
            </w:r>
          </w:p>
        </w:tc>
        <w:tc>
          <w:tcPr>
            <w:tcW w:w="85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p>
        </w:tc>
        <w:tc>
          <w:tcPr>
            <w:tcW w:w="854"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w:t>
            </w:r>
            <w:r>
              <w:rPr>
                <w:color w:val="000000" w:themeColor="text1"/>
                <w:highlight w:val="none"/>
                <w:lang w:eastAsia="en-US"/>
                <w14:textFill>
                  <w14:solidFill>
                    <w14:schemeClr w14:val="tx1"/>
                  </w14:solidFill>
                </w14:textFill>
              </w:rPr>
              <w:t>户</w:t>
            </w:r>
          </w:p>
        </w:tc>
        <w:tc>
          <w:tcPr>
            <w:tcW w:w="1587"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泉水或基岩</w:t>
            </w:r>
            <w:r>
              <w:rPr>
                <w:color w:val="000000" w:themeColor="text1"/>
                <w:highlight w:val="none"/>
                <w14:textFill>
                  <w14:solidFill>
                    <w14:schemeClr w14:val="tx1"/>
                  </w14:solidFill>
                </w14:textFill>
              </w:rPr>
              <w:t>孔隙</w:t>
            </w:r>
            <w:r>
              <w:rPr>
                <w:rFonts w:hint="eastAsia"/>
                <w:color w:val="000000" w:themeColor="text1"/>
                <w:highlight w:val="none"/>
                <w14:textFill>
                  <w14:solidFill>
                    <w14:schemeClr w14:val="tx1"/>
                  </w14:solidFill>
                </w14:textFill>
              </w:rPr>
              <w:t>裂隙水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25"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19</w:t>
            </w:r>
            <w:r>
              <w:rPr>
                <w:color w:val="000000" w:themeColor="text1"/>
                <w:highlight w:val="none"/>
                <w14:textFill>
                  <w14:solidFill>
                    <w14:schemeClr w14:val="tx1"/>
                  </w14:solidFill>
                </w14:textFill>
              </w:rPr>
              <w:t>#</w:t>
            </w:r>
          </w:p>
        </w:tc>
        <w:tc>
          <w:tcPr>
            <w:tcW w:w="513" w:type="pct"/>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西</w:t>
            </w:r>
            <w:r>
              <w:rPr>
                <w:rFonts w:hint="eastAsia"/>
                <w:color w:val="000000" w:themeColor="text1"/>
                <w:highlight w:val="none"/>
                <w14:textFill>
                  <w14:solidFill>
                    <w14:schemeClr w14:val="tx1"/>
                  </w14:solidFill>
                </w14:textFill>
              </w:rPr>
              <w:t>侧</w:t>
            </w:r>
          </w:p>
        </w:tc>
        <w:tc>
          <w:tcPr>
            <w:tcW w:w="767" w:type="pct"/>
            <w:vAlign w:val="center"/>
          </w:tcPr>
          <w:p>
            <w:pPr>
              <w:pStyle w:val="118"/>
              <w:rPr>
                <w:color w:val="000000" w:themeColor="text1"/>
                <w:szCs w:val="21"/>
                <w:highlight w:val="none"/>
                <w:lang w:bidi="ar"/>
                <w14:textFill>
                  <w14:solidFill>
                    <w14:schemeClr w14:val="tx1"/>
                  </w14:solidFill>
                </w14:textFill>
              </w:rPr>
            </w:pPr>
            <w:r>
              <w:rPr>
                <w:rFonts w:hint="eastAsia"/>
                <w:color w:val="000000" w:themeColor="text1"/>
                <w:highlight w:val="none"/>
                <w14:textFill>
                  <w14:solidFill>
                    <w14:schemeClr w14:val="tx1"/>
                  </w14:solidFill>
                </w14:textFill>
              </w:rPr>
              <w:t>117</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200</w:t>
            </w:r>
          </w:p>
        </w:tc>
        <w:tc>
          <w:tcPr>
            <w:tcW w:w="85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p>
        </w:tc>
        <w:tc>
          <w:tcPr>
            <w:tcW w:w="854"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w:t>
            </w:r>
            <w:r>
              <w:rPr>
                <w:color w:val="000000" w:themeColor="text1"/>
                <w:highlight w:val="none"/>
                <w:lang w:eastAsia="en-US"/>
                <w14:textFill>
                  <w14:solidFill>
                    <w14:schemeClr w14:val="tx1"/>
                  </w14:solidFill>
                </w14:textFill>
              </w:rPr>
              <w:t>户</w:t>
            </w:r>
          </w:p>
        </w:tc>
        <w:tc>
          <w:tcPr>
            <w:tcW w:w="1587"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泉水或基岩</w:t>
            </w:r>
            <w:r>
              <w:rPr>
                <w:color w:val="000000" w:themeColor="text1"/>
                <w:highlight w:val="none"/>
                <w14:textFill>
                  <w14:solidFill>
                    <w14:schemeClr w14:val="tx1"/>
                  </w14:solidFill>
                </w14:textFill>
              </w:rPr>
              <w:t>孔隙</w:t>
            </w:r>
            <w:r>
              <w:rPr>
                <w:rFonts w:hint="eastAsia"/>
                <w:color w:val="000000" w:themeColor="text1"/>
                <w:highlight w:val="none"/>
                <w14:textFill>
                  <w14:solidFill>
                    <w14:schemeClr w14:val="tx1"/>
                  </w14:solidFill>
                </w14:textFill>
              </w:rPr>
              <w:t>裂隙水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25"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w:t>
            </w:r>
            <w:r>
              <w:rPr>
                <w:color w:val="000000" w:themeColor="text1"/>
                <w:highlight w:val="none"/>
                <w14:textFill>
                  <w14:solidFill>
                    <w14:schemeClr w14:val="tx1"/>
                  </w14:solidFill>
                </w14:textFill>
              </w:rPr>
              <w:t>#</w:t>
            </w:r>
          </w:p>
        </w:tc>
        <w:tc>
          <w:tcPr>
            <w:tcW w:w="513" w:type="pct"/>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西</w:t>
            </w:r>
            <w:r>
              <w:rPr>
                <w:rFonts w:hint="eastAsia"/>
                <w:color w:val="000000" w:themeColor="text1"/>
                <w:highlight w:val="none"/>
                <w14:textFill>
                  <w14:solidFill>
                    <w14:schemeClr w14:val="tx1"/>
                  </w14:solidFill>
                </w14:textFill>
              </w:rPr>
              <w:t>侧</w:t>
            </w:r>
          </w:p>
        </w:tc>
        <w:tc>
          <w:tcPr>
            <w:tcW w:w="767" w:type="pct"/>
            <w:vAlign w:val="center"/>
          </w:tcPr>
          <w:p>
            <w:pPr>
              <w:pStyle w:val="118"/>
              <w:rPr>
                <w:color w:val="000000" w:themeColor="text1"/>
                <w:szCs w:val="21"/>
                <w:highlight w:val="none"/>
                <w:lang w:bidi="ar"/>
                <w14:textFill>
                  <w14:solidFill>
                    <w14:schemeClr w14:val="tx1"/>
                  </w14:solidFill>
                </w14:textFill>
              </w:rPr>
            </w:pPr>
            <w:r>
              <w:rPr>
                <w:rFonts w:hint="eastAsia"/>
                <w:color w:val="000000" w:themeColor="text1"/>
                <w:highlight w:val="none"/>
                <w14:textFill>
                  <w14:solidFill>
                    <w14:schemeClr w14:val="tx1"/>
                  </w14:solidFill>
                </w14:textFill>
              </w:rPr>
              <w:t>19</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130</w:t>
            </w:r>
          </w:p>
        </w:tc>
        <w:tc>
          <w:tcPr>
            <w:tcW w:w="85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w:t>
            </w:r>
          </w:p>
        </w:tc>
        <w:tc>
          <w:tcPr>
            <w:tcW w:w="854"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12</w:t>
            </w:r>
            <w:r>
              <w:rPr>
                <w:color w:val="000000" w:themeColor="text1"/>
                <w:highlight w:val="none"/>
                <w:lang w:eastAsia="en-US"/>
                <w14:textFill>
                  <w14:solidFill>
                    <w14:schemeClr w14:val="tx1"/>
                  </w14:solidFill>
                </w14:textFill>
              </w:rPr>
              <w:t>户</w:t>
            </w:r>
          </w:p>
        </w:tc>
        <w:tc>
          <w:tcPr>
            <w:tcW w:w="1587"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泉水或基岩</w:t>
            </w:r>
            <w:r>
              <w:rPr>
                <w:color w:val="000000" w:themeColor="text1"/>
                <w:highlight w:val="none"/>
                <w14:textFill>
                  <w14:solidFill>
                    <w14:schemeClr w14:val="tx1"/>
                  </w14:solidFill>
                </w14:textFill>
              </w:rPr>
              <w:t>孔隙</w:t>
            </w:r>
            <w:r>
              <w:rPr>
                <w:rFonts w:hint="eastAsia"/>
                <w:color w:val="000000" w:themeColor="text1"/>
                <w:highlight w:val="none"/>
                <w14:textFill>
                  <w14:solidFill>
                    <w14:schemeClr w14:val="tx1"/>
                  </w14:solidFill>
                </w14:textFill>
              </w:rPr>
              <w:t>裂隙水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25"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21</w:t>
            </w:r>
            <w:r>
              <w:rPr>
                <w:color w:val="000000" w:themeColor="text1"/>
                <w:highlight w:val="none"/>
                <w14:textFill>
                  <w14:solidFill>
                    <w14:schemeClr w14:val="tx1"/>
                  </w14:solidFill>
                </w14:textFill>
              </w:rPr>
              <w:t>#</w:t>
            </w:r>
          </w:p>
        </w:tc>
        <w:tc>
          <w:tcPr>
            <w:tcW w:w="513" w:type="pct"/>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北</w:t>
            </w:r>
            <w:r>
              <w:rPr>
                <w:rFonts w:hint="eastAsia"/>
                <w:color w:val="000000" w:themeColor="text1"/>
                <w:highlight w:val="none"/>
                <w14:textFill>
                  <w14:solidFill>
                    <w14:schemeClr w14:val="tx1"/>
                  </w14:solidFill>
                </w14:textFill>
              </w:rPr>
              <w:t>侧</w:t>
            </w:r>
          </w:p>
        </w:tc>
        <w:tc>
          <w:tcPr>
            <w:tcW w:w="767" w:type="pct"/>
            <w:vAlign w:val="center"/>
          </w:tcPr>
          <w:p>
            <w:pPr>
              <w:pStyle w:val="118"/>
              <w:rPr>
                <w:color w:val="000000" w:themeColor="text1"/>
                <w:szCs w:val="21"/>
                <w:highlight w:val="none"/>
                <w:lang w:bidi="ar"/>
                <w14:textFill>
                  <w14:solidFill>
                    <w14:schemeClr w14:val="tx1"/>
                  </w14:solidFill>
                </w14:textFill>
              </w:rPr>
            </w:pPr>
            <w:r>
              <w:rPr>
                <w:rFonts w:hint="eastAsia"/>
                <w:color w:val="000000" w:themeColor="text1"/>
                <w:highlight w:val="none"/>
                <w14:textFill>
                  <w14:solidFill>
                    <w14:schemeClr w14:val="tx1"/>
                  </w14:solidFill>
                </w14:textFill>
              </w:rPr>
              <w:t>12</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112</w:t>
            </w:r>
          </w:p>
        </w:tc>
        <w:tc>
          <w:tcPr>
            <w:tcW w:w="85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p>
        </w:tc>
        <w:tc>
          <w:tcPr>
            <w:tcW w:w="854"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w:t>
            </w:r>
            <w:r>
              <w:rPr>
                <w:color w:val="000000" w:themeColor="text1"/>
                <w:highlight w:val="none"/>
                <w:lang w:eastAsia="en-US"/>
                <w14:textFill>
                  <w14:solidFill>
                    <w14:schemeClr w14:val="tx1"/>
                  </w14:solidFill>
                </w14:textFill>
              </w:rPr>
              <w:t>户</w:t>
            </w:r>
          </w:p>
        </w:tc>
        <w:tc>
          <w:tcPr>
            <w:tcW w:w="1587"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泉水或基岩</w:t>
            </w:r>
            <w:r>
              <w:rPr>
                <w:color w:val="000000" w:themeColor="text1"/>
                <w:highlight w:val="none"/>
                <w14:textFill>
                  <w14:solidFill>
                    <w14:schemeClr w14:val="tx1"/>
                  </w14:solidFill>
                </w14:textFill>
              </w:rPr>
              <w:t>孔隙</w:t>
            </w:r>
            <w:r>
              <w:rPr>
                <w:rFonts w:hint="eastAsia"/>
                <w:color w:val="000000" w:themeColor="text1"/>
                <w:highlight w:val="none"/>
                <w14:textFill>
                  <w14:solidFill>
                    <w14:schemeClr w14:val="tx1"/>
                  </w14:solidFill>
                </w14:textFill>
              </w:rPr>
              <w:t>裂隙水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25"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22</w:t>
            </w:r>
            <w:r>
              <w:rPr>
                <w:color w:val="000000" w:themeColor="text1"/>
                <w:highlight w:val="none"/>
                <w14:textFill>
                  <w14:solidFill>
                    <w14:schemeClr w14:val="tx1"/>
                  </w14:solidFill>
                </w14:textFill>
              </w:rPr>
              <w:t>#</w:t>
            </w:r>
          </w:p>
        </w:tc>
        <w:tc>
          <w:tcPr>
            <w:tcW w:w="513" w:type="pct"/>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北</w:t>
            </w:r>
            <w:r>
              <w:rPr>
                <w:rFonts w:hint="eastAsia"/>
                <w:color w:val="000000" w:themeColor="text1"/>
                <w:highlight w:val="none"/>
                <w14:textFill>
                  <w14:solidFill>
                    <w14:schemeClr w14:val="tx1"/>
                  </w14:solidFill>
                </w14:textFill>
              </w:rPr>
              <w:t>侧</w:t>
            </w:r>
          </w:p>
        </w:tc>
        <w:tc>
          <w:tcPr>
            <w:tcW w:w="767" w:type="pct"/>
            <w:vAlign w:val="center"/>
          </w:tcPr>
          <w:p>
            <w:pPr>
              <w:pStyle w:val="118"/>
              <w:rPr>
                <w:color w:val="000000" w:themeColor="text1"/>
                <w:szCs w:val="21"/>
                <w:highlight w:val="none"/>
                <w:lang w:bidi="ar"/>
                <w14:textFill>
                  <w14:solidFill>
                    <w14:schemeClr w14:val="tx1"/>
                  </w14:solidFill>
                </w14:textFill>
              </w:rPr>
            </w:pP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0~</w:t>
            </w:r>
            <w:r>
              <w:rPr>
                <w:rFonts w:hint="eastAsia"/>
                <w:color w:val="000000" w:themeColor="text1"/>
                <w:highlight w:val="none"/>
                <w14:textFill>
                  <w14:solidFill>
                    <w14:schemeClr w14:val="tx1"/>
                  </w14:solidFill>
                </w14:textFill>
              </w:rPr>
              <w:t>200</w:t>
            </w:r>
          </w:p>
        </w:tc>
        <w:tc>
          <w:tcPr>
            <w:tcW w:w="85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11</w:t>
            </w:r>
          </w:p>
        </w:tc>
        <w:tc>
          <w:tcPr>
            <w:tcW w:w="854"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35</w:t>
            </w:r>
            <w:r>
              <w:rPr>
                <w:color w:val="000000" w:themeColor="text1"/>
                <w:highlight w:val="none"/>
                <w:lang w:eastAsia="en-US"/>
                <w14:textFill>
                  <w14:solidFill>
                    <w14:schemeClr w14:val="tx1"/>
                  </w14:solidFill>
                </w14:textFill>
              </w:rPr>
              <w:t>户</w:t>
            </w:r>
          </w:p>
        </w:tc>
        <w:tc>
          <w:tcPr>
            <w:tcW w:w="1587"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泉水或基岩</w:t>
            </w:r>
            <w:r>
              <w:rPr>
                <w:color w:val="000000" w:themeColor="text1"/>
                <w:highlight w:val="none"/>
                <w14:textFill>
                  <w14:solidFill>
                    <w14:schemeClr w14:val="tx1"/>
                  </w14:solidFill>
                </w14:textFill>
              </w:rPr>
              <w:t>孔隙</w:t>
            </w:r>
            <w:r>
              <w:rPr>
                <w:rFonts w:hint="eastAsia"/>
                <w:color w:val="000000" w:themeColor="text1"/>
                <w:highlight w:val="none"/>
                <w14:textFill>
                  <w14:solidFill>
                    <w14:schemeClr w14:val="tx1"/>
                  </w14:solidFill>
                </w14:textFill>
              </w:rPr>
              <w:t>裂隙水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25"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23</w:t>
            </w:r>
            <w:r>
              <w:rPr>
                <w:color w:val="000000" w:themeColor="text1"/>
                <w:highlight w:val="none"/>
                <w14:textFill>
                  <w14:solidFill>
                    <w14:schemeClr w14:val="tx1"/>
                  </w14:solidFill>
                </w14:textFill>
              </w:rPr>
              <w:t>#</w:t>
            </w:r>
          </w:p>
        </w:tc>
        <w:tc>
          <w:tcPr>
            <w:tcW w:w="513" w:type="pct"/>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东</w:t>
            </w:r>
            <w:r>
              <w:rPr>
                <w:rFonts w:hint="eastAsia"/>
                <w:color w:val="000000" w:themeColor="text1"/>
                <w:highlight w:val="none"/>
                <w14:textFill>
                  <w14:solidFill>
                    <w14:schemeClr w14:val="tx1"/>
                  </w14:solidFill>
                </w14:textFill>
              </w:rPr>
              <w:t>侧</w:t>
            </w:r>
          </w:p>
        </w:tc>
        <w:tc>
          <w:tcPr>
            <w:tcW w:w="767" w:type="pct"/>
            <w:vAlign w:val="center"/>
          </w:tcPr>
          <w:p>
            <w:pPr>
              <w:pStyle w:val="118"/>
              <w:rPr>
                <w:color w:val="000000" w:themeColor="text1"/>
                <w:szCs w:val="21"/>
                <w:highlight w:val="none"/>
                <w:lang w:bidi="ar"/>
                <w14:textFill>
                  <w14:solidFill>
                    <w14:schemeClr w14:val="tx1"/>
                  </w14:solidFill>
                </w14:textFill>
              </w:rPr>
            </w:pPr>
            <w:r>
              <w:rPr>
                <w:rFonts w:hint="eastAsia"/>
                <w:color w:val="000000" w:themeColor="text1"/>
                <w:highlight w:val="none"/>
                <w14:textFill>
                  <w14:solidFill>
                    <w14:schemeClr w14:val="tx1"/>
                  </w14:solidFill>
                </w14:textFill>
              </w:rPr>
              <w:t>65</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200</w:t>
            </w:r>
          </w:p>
        </w:tc>
        <w:tc>
          <w:tcPr>
            <w:tcW w:w="85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w:t>
            </w:r>
          </w:p>
        </w:tc>
        <w:tc>
          <w:tcPr>
            <w:tcW w:w="854"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w:t>
            </w:r>
            <w:r>
              <w:rPr>
                <w:color w:val="000000" w:themeColor="text1"/>
                <w:highlight w:val="none"/>
                <w:lang w:eastAsia="en-US"/>
                <w14:textFill>
                  <w14:solidFill>
                    <w14:schemeClr w14:val="tx1"/>
                  </w14:solidFill>
                </w14:textFill>
              </w:rPr>
              <w:t>户</w:t>
            </w:r>
          </w:p>
        </w:tc>
        <w:tc>
          <w:tcPr>
            <w:tcW w:w="1587"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泉水或基岩</w:t>
            </w:r>
            <w:r>
              <w:rPr>
                <w:color w:val="000000" w:themeColor="text1"/>
                <w:highlight w:val="none"/>
                <w14:textFill>
                  <w14:solidFill>
                    <w14:schemeClr w14:val="tx1"/>
                  </w14:solidFill>
                </w14:textFill>
              </w:rPr>
              <w:t>孔隙</w:t>
            </w:r>
            <w:r>
              <w:rPr>
                <w:rFonts w:hint="eastAsia"/>
                <w:color w:val="000000" w:themeColor="text1"/>
                <w:highlight w:val="none"/>
                <w14:textFill>
                  <w14:solidFill>
                    <w14:schemeClr w14:val="tx1"/>
                  </w14:solidFill>
                </w14:textFill>
              </w:rPr>
              <w:t>裂隙水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25"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24</w:t>
            </w:r>
            <w:r>
              <w:rPr>
                <w:color w:val="000000" w:themeColor="text1"/>
                <w:highlight w:val="none"/>
                <w14:textFill>
                  <w14:solidFill>
                    <w14:schemeClr w14:val="tx1"/>
                  </w14:solidFill>
                </w14:textFill>
              </w:rPr>
              <w:t>#</w:t>
            </w:r>
          </w:p>
        </w:tc>
        <w:tc>
          <w:tcPr>
            <w:tcW w:w="513" w:type="pct"/>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西</w:t>
            </w:r>
            <w:r>
              <w:rPr>
                <w:rFonts w:hint="eastAsia"/>
                <w:color w:val="000000" w:themeColor="text1"/>
                <w:highlight w:val="none"/>
                <w14:textFill>
                  <w14:solidFill>
                    <w14:schemeClr w14:val="tx1"/>
                  </w14:solidFill>
                </w14:textFill>
              </w:rPr>
              <w:t>侧</w:t>
            </w:r>
          </w:p>
        </w:tc>
        <w:tc>
          <w:tcPr>
            <w:tcW w:w="767" w:type="pct"/>
            <w:vAlign w:val="center"/>
          </w:tcPr>
          <w:p>
            <w:pPr>
              <w:pStyle w:val="118"/>
              <w:rPr>
                <w:color w:val="000000" w:themeColor="text1"/>
                <w:szCs w:val="21"/>
                <w:highlight w:val="none"/>
                <w:lang w:bidi="ar"/>
                <w14:textFill>
                  <w14:solidFill>
                    <w14:schemeClr w14:val="tx1"/>
                  </w14:solidFill>
                </w14:textFill>
              </w:rPr>
            </w:pPr>
            <w:r>
              <w:rPr>
                <w:rFonts w:hint="eastAsia"/>
                <w:color w:val="000000" w:themeColor="text1"/>
                <w:highlight w:val="none"/>
                <w14:textFill>
                  <w14:solidFill>
                    <w14:schemeClr w14:val="tx1"/>
                  </w14:solidFill>
                </w14:textFill>
              </w:rPr>
              <w:t>86</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198</w:t>
            </w:r>
          </w:p>
        </w:tc>
        <w:tc>
          <w:tcPr>
            <w:tcW w:w="85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w:t>
            </w:r>
          </w:p>
        </w:tc>
        <w:tc>
          <w:tcPr>
            <w:tcW w:w="854"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12</w:t>
            </w:r>
            <w:r>
              <w:rPr>
                <w:color w:val="000000" w:themeColor="text1"/>
                <w:highlight w:val="none"/>
                <w:lang w:eastAsia="en-US"/>
                <w14:textFill>
                  <w14:solidFill>
                    <w14:schemeClr w14:val="tx1"/>
                  </w14:solidFill>
                </w14:textFill>
              </w:rPr>
              <w:t>户</w:t>
            </w:r>
          </w:p>
        </w:tc>
        <w:tc>
          <w:tcPr>
            <w:tcW w:w="1587"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泉水或基岩</w:t>
            </w:r>
            <w:r>
              <w:rPr>
                <w:color w:val="000000" w:themeColor="text1"/>
                <w:highlight w:val="none"/>
                <w14:textFill>
                  <w14:solidFill>
                    <w14:schemeClr w14:val="tx1"/>
                  </w14:solidFill>
                </w14:textFill>
              </w:rPr>
              <w:t>孔隙</w:t>
            </w:r>
            <w:r>
              <w:rPr>
                <w:rFonts w:hint="eastAsia"/>
                <w:color w:val="000000" w:themeColor="text1"/>
                <w:highlight w:val="none"/>
                <w14:textFill>
                  <w14:solidFill>
                    <w14:schemeClr w14:val="tx1"/>
                  </w14:solidFill>
                </w14:textFill>
              </w:rPr>
              <w:t>裂隙水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25"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25</w:t>
            </w:r>
            <w:r>
              <w:rPr>
                <w:color w:val="000000" w:themeColor="text1"/>
                <w:highlight w:val="none"/>
                <w14:textFill>
                  <w14:solidFill>
                    <w14:schemeClr w14:val="tx1"/>
                  </w14:solidFill>
                </w14:textFill>
              </w:rPr>
              <w:t>#</w:t>
            </w:r>
          </w:p>
        </w:tc>
        <w:tc>
          <w:tcPr>
            <w:tcW w:w="513" w:type="pct"/>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东</w:t>
            </w:r>
            <w:r>
              <w:rPr>
                <w:rFonts w:hint="eastAsia"/>
                <w:color w:val="000000" w:themeColor="text1"/>
                <w:highlight w:val="none"/>
                <w14:textFill>
                  <w14:solidFill>
                    <w14:schemeClr w14:val="tx1"/>
                  </w14:solidFill>
                </w14:textFill>
              </w:rPr>
              <w:t>侧</w:t>
            </w:r>
          </w:p>
        </w:tc>
        <w:tc>
          <w:tcPr>
            <w:tcW w:w="767" w:type="pct"/>
            <w:vAlign w:val="center"/>
          </w:tcPr>
          <w:p>
            <w:pPr>
              <w:pStyle w:val="118"/>
              <w:rPr>
                <w:color w:val="000000" w:themeColor="text1"/>
                <w:szCs w:val="21"/>
                <w:highlight w:val="none"/>
                <w:lang w:bidi="ar"/>
                <w14:textFill>
                  <w14:solidFill>
                    <w14:schemeClr w14:val="tx1"/>
                  </w14:solidFill>
                </w14:textFill>
              </w:rPr>
            </w:pPr>
            <w:r>
              <w:rPr>
                <w:rFonts w:hint="eastAsia"/>
                <w:color w:val="000000" w:themeColor="text1"/>
                <w:highlight w:val="none"/>
                <w14:textFill>
                  <w14:solidFill>
                    <w14:schemeClr w14:val="tx1"/>
                  </w14:solidFill>
                </w14:textFill>
              </w:rPr>
              <w:t>130</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200</w:t>
            </w:r>
          </w:p>
        </w:tc>
        <w:tc>
          <w:tcPr>
            <w:tcW w:w="85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w:t>
            </w:r>
          </w:p>
        </w:tc>
        <w:tc>
          <w:tcPr>
            <w:tcW w:w="854"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13</w:t>
            </w:r>
            <w:r>
              <w:rPr>
                <w:color w:val="000000" w:themeColor="text1"/>
                <w:highlight w:val="none"/>
                <w:lang w:eastAsia="en-US"/>
                <w14:textFill>
                  <w14:solidFill>
                    <w14:schemeClr w14:val="tx1"/>
                  </w14:solidFill>
                </w14:textFill>
              </w:rPr>
              <w:t>户</w:t>
            </w:r>
          </w:p>
        </w:tc>
        <w:tc>
          <w:tcPr>
            <w:tcW w:w="1587"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泉水或基岩</w:t>
            </w:r>
            <w:r>
              <w:rPr>
                <w:color w:val="000000" w:themeColor="text1"/>
                <w:highlight w:val="none"/>
                <w14:textFill>
                  <w14:solidFill>
                    <w14:schemeClr w14:val="tx1"/>
                  </w14:solidFill>
                </w14:textFill>
              </w:rPr>
              <w:t>孔隙</w:t>
            </w:r>
            <w:r>
              <w:rPr>
                <w:rFonts w:hint="eastAsia"/>
                <w:color w:val="000000" w:themeColor="text1"/>
                <w:highlight w:val="none"/>
                <w14:textFill>
                  <w14:solidFill>
                    <w14:schemeClr w14:val="tx1"/>
                  </w14:solidFill>
                </w14:textFill>
              </w:rPr>
              <w:t>裂隙水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25"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26</w:t>
            </w:r>
            <w:r>
              <w:rPr>
                <w:color w:val="000000" w:themeColor="text1"/>
                <w:highlight w:val="none"/>
                <w14:textFill>
                  <w14:solidFill>
                    <w14:schemeClr w14:val="tx1"/>
                  </w14:solidFill>
                </w14:textFill>
              </w:rPr>
              <w:t>#</w:t>
            </w:r>
          </w:p>
        </w:tc>
        <w:tc>
          <w:tcPr>
            <w:tcW w:w="513" w:type="pct"/>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东</w:t>
            </w:r>
            <w:r>
              <w:rPr>
                <w:rFonts w:hint="eastAsia"/>
                <w:color w:val="000000" w:themeColor="text1"/>
                <w:highlight w:val="none"/>
                <w14:textFill>
                  <w14:solidFill>
                    <w14:schemeClr w14:val="tx1"/>
                  </w14:solidFill>
                </w14:textFill>
              </w:rPr>
              <w:t>侧</w:t>
            </w:r>
          </w:p>
        </w:tc>
        <w:tc>
          <w:tcPr>
            <w:tcW w:w="767" w:type="pct"/>
            <w:vAlign w:val="center"/>
          </w:tcPr>
          <w:p>
            <w:pPr>
              <w:pStyle w:val="118"/>
              <w:rPr>
                <w:color w:val="000000" w:themeColor="text1"/>
                <w:szCs w:val="21"/>
                <w:highlight w:val="none"/>
                <w:lang w:bidi="ar"/>
                <w14:textFill>
                  <w14:solidFill>
                    <w14:schemeClr w14:val="tx1"/>
                  </w14:solidFill>
                </w14:textFill>
              </w:rPr>
            </w:pPr>
            <w:r>
              <w:rPr>
                <w:rFonts w:hint="eastAsia"/>
                <w:color w:val="000000" w:themeColor="text1"/>
                <w:highlight w:val="none"/>
                <w14:textFill>
                  <w14:solidFill>
                    <w14:schemeClr w14:val="tx1"/>
                  </w14:solidFill>
                </w14:textFill>
              </w:rPr>
              <w:t>35</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90</w:t>
            </w:r>
          </w:p>
        </w:tc>
        <w:tc>
          <w:tcPr>
            <w:tcW w:w="85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p>
        </w:tc>
        <w:tc>
          <w:tcPr>
            <w:tcW w:w="854"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w:t>
            </w:r>
            <w:r>
              <w:rPr>
                <w:color w:val="000000" w:themeColor="text1"/>
                <w:highlight w:val="none"/>
                <w:lang w:eastAsia="en-US"/>
                <w14:textFill>
                  <w14:solidFill>
                    <w14:schemeClr w14:val="tx1"/>
                  </w14:solidFill>
                </w14:textFill>
              </w:rPr>
              <w:t>户</w:t>
            </w:r>
          </w:p>
        </w:tc>
        <w:tc>
          <w:tcPr>
            <w:tcW w:w="1587"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泉水或基岩</w:t>
            </w:r>
            <w:r>
              <w:rPr>
                <w:color w:val="000000" w:themeColor="text1"/>
                <w:highlight w:val="none"/>
                <w14:textFill>
                  <w14:solidFill>
                    <w14:schemeClr w14:val="tx1"/>
                  </w14:solidFill>
                </w14:textFill>
              </w:rPr>
              <w:t>孔隙</w:t>
            </w:r>
            <w:r>
              <w:rPr>
                <w:rFonts w:hint="eastAsia"/>
                <w:color w:val="000000" w:themeColor="text1"/>
                <w:highlight w:val="none"/>
                <w14:textFill>
                  <w14:solidFill>
                    <w14:schemeClr w14:val="tx1"/>
                  </w14:solidFill>
                </w14:textFill>
              </w:rPr>
              <w:t>裂隙水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25"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t>#</w:t>
            </w:r>
          </w:p>
        </w:tc>
        <w:tc>
          <w:tcPr>
            <w:tcW w:w="513" w:type="pct"/>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南</w:t>
            </w:r>
            <w:r>
              <w:rPr>
                <w:rFonts w:hint="eastAsia"/>
                <w:color w:val="000000" w:themeColor="text1"/>
                <w:highlight w:val="none"/>
                <w14:textFill>
                  <w14:solidFill>
                    <w14:schemeClr w14:val="tx1"/>
                  </w14:solidFill>
                </w14:textFill>
              </w:rPr>
              <w:t>侧</w:t>
            </w:r>
          </w:p>
        </w:tc>
        <w:tc>
          <w:tcPr>
            <w:tcW w:w="767" w:type="pct"/>
            <w:vAlign w:val="center"/>
          </w:tcPr>
          <w:p>
            <w:pPr>
              <w:pStyle w:val="118"/>
              <w:rPr>
                <w:color w:val="000000" w:themeColor="text1"/>
                <w:szCs w:val="21"/>
                <w:highlight w:val="none"/>
                <w:lang w:bidi="ar"/>
                <w14:textFill>
                  <w14:solidFill>
                    <w14:schemeClr w14:val="tx1"/>
                  </w14:solidFill>
                </w14:textFill>
              </w:rPr>
            </w:pPr>
            <w:r>
              <w:rPr>
                <w:rFonts w:hint="eastAsia"/>
                <w:color w:val="000000" w:themeColor="text1"/>
                <w:highlight w:val="none"/>
                <w14:textFill>
                  <w14:solidFill>
                    <w14:schemeClr w14:val="tx1"/>
                  </w14:solidFill>
                </w14:textFill>
              </w:rPr>
              <w:t>116</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80</w:t>
            </w:r>
          </w:p>
        </w:tc>
        <w:tc>
          <w:tcPr>
            <w:tcW w:w="85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p>
        </w:tc>
        <w:tc>
          <w:tcPr>
            <w:tcW w:w="854"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w:t>
            </w:r>
            <w:r>
              <w:rPr>
                <w:color w:val="000000" w:themeColor="text1"/>
                <w:highlight w:val="none"/>
                <w:lang w:eastAsia="en-US"/>
                <w14:textFill>
                  <w14:solidFill>
                    <w14:schemeClr w14:val="tx1"/>
                  </w14:solidFill>
                </w14:textFill>
              </w:rPr>
              <w:t>户</w:t>
            </w:r>
          </w:p>
        </w:tc>
        <w:tc>
          <w:tcPr>
            <w:tcW w:w="1587"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泉水或基岩</w:t>
            </w:r>
            <w:r>
              <w:rPr>
                <w:color w:val="000000" w:themeColor="text1"/>
                <w:highlight w:val="none"/>
                <w14:textFill>
                  <w14:solidFill>
                    <w14:schemeClr w14:val="tx1"/>
                  </w14:solidFill>
                </w14:textFill>
              </w:rPr>
              <w:t>孔隙</w:t>
            </w:r>
            <w:r>
              <w:rPr>
                <w:rFonts w:hint="eastAsia"/>
                <w:color w:val="000000" w:themeColor="text1"/>
                <w:highlight w:val="none"/>
                <w14:textFill>
                  <w14:solidFill>
                    <w14:schemeClr w14:val="tx1"/>
                  </w14:solidFill>
                </w14:textFill>
              </w:rPr>
              <w:t>裂隙水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25" w:type="pct"/>
            <w:vAlign w:val="center"/>
          </w:tcPr>
          <w:p>
            <w:pPr>
              <w:pStyle w:val="118"/>
              <w:rPr>
                <w:rFonts w:eastAsiaTheme="minorEastAsia"/>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r>
              <w:rPr>
                <w:rFonts w:hint="eastAsia" w:eastAsiaTheme="minorEastAsia"/>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t>#</w:t>
            </w:r>
          </w:p>
        </w:tc>
        <w:tc>
          <w:tcPr>
            <w:tcW w:w="513" w:type="pct"/>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南</w:t>
            </w:r>
            <w:r>
              <w:rPr>
                <w:rFonts w:hint="eastAsia"/>
                <w:color w:val="000000" w:themeColor="text1"/>
                <w:highlight w:val="none"/>
                <w14:textFill>
                  <w14:solidFill>
                    <w14:schemeClr w14:val="tx1"/>
                  </w14:solidFill>
                </w14:textFill>
              </w:rPr>
              <w:t>侧</w:t>
            </w:r>
          </w:p>
        </w:tc>
        <w:tc>
          <w:tcPr>
            <w:tcW w:w="767" w:type="pct"/>
            <w:vAlign w:val="center"/>
          </w:tcPr>
          <w:p>
            <w:pPr>
              <w:pStyle w:val="118"/>
              <w:rPr>
                <w:color w:val="000000" w:themeColor="text1"/>
                <w:szCs w:val="21"/>
                <w:highlight w:val="none"/>
                <w:lang w:bidi="ar"/>
                <w14:textFill>
                  <w14:solidFill>
                    <w14:schemeClr w14:val="tx1"/>
                  </w14:solidFill>
                </w14:textFill>
              </w:rPr>
            </w:pPr>
            <w:r>
              <w:rPr>
                <w:rFonts w:hint="eastAsia"/>
                <w:color w:val="000000" w:themeColor="text1"/>
                <w:highlight w:val="none"/>
                <w14:textFill>
                  <w14:solidFill>
                    <w14:schemeClr w14:val="tx1"/>
                  </w14:solidFill>
                </w14:textFill>
              </w:rPr>
              <w:t>117</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194</w:t>
            </w:r>
          </w:p>
        </w:tc>
        <w:tc>
          <w:tcPr>
            <w:tcW w:w="85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w:t>
            </w:r>
          </w:p>
        </w:tc>
        <w:tc>
          <w:tcPr>
            <w:tcW w:w="854"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w:t>
            </w:r>
            <w:r>
              <w:rPr>
                <w:color w:val="000000" w:themeColor="text1"/>
                <w:highlight w:val="none"/>
                <w:lang w:eastAsia="en-US"/>
                <w14:textFill>
                  <w14:solidFill>
                    <w14:schemeClr w14:val="tx1"/>
                  </w14:solidFill>
                </w14:textFill>
              </w:rPr>
              <w:t>户</w:t>
            </w:r>
          </w:p>
        </w:tc>
        <w:tc>
          <w:tcPr>
            <w:tcW w:w="1587"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泉水或基岩</w:t>
            </w:r>
            <w:r>
              <w:rPr>
                <w:color w:val="000000" w:themeColor="text1"/>
                <w:highlight w:val="none"/>
                <w14:textFill>
                  <w14:solidFill>
                    <w14:schemeClr w14:val="tx1"/>
                  </w14:solidFill>
                </w14:textFill>
              </w:rPr>
              <w:t>孔隙</w:t>
            </w:r>
            <w:r>
              <w:rPr>
                <w:rFonts w:hint="eastAsia"/>
                <w:color w:val="000000" w:themeColor="text1"/>
                <w:highlight w:val="none"/>
                <w14:textFill>
                  <w14:solidFill>
                    <w14:schemeClr w14:val="tx1"/>
                  </w14:solidFill>
                </w14:textFill>
              </w:rPr>
              <w:t>裂隙水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25"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29</w:t>
            </w:r>
            <w:r>
              <w:rPr>
                <w:color w:val="000000" w:themeColor="text1"/>
                <w:highlight w:val="none"/>
                <w14:textFill>
                  <w14:solidFill>
                    <w14:schemeClr w14:val="tx1"/>
                  </w14:solidFill>
                </w14:textFill>
              </w:rPr>
              <w:t>#</w:t>
            </w:r>
          </w:p>
        </w:tc>
        <w:tc>
          <w:tcPr>
            <w:tcW w:w="513" w:type="pct"/>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北</w:t>
            </w:r>
            <w:r>
              <w:rPr>
                <w:rFonts w:hint="eastAsia"/>
                <w:color w:val="000000" w:themeColor="text1"/>
                <w:highlight w:val="none"/>
                <w14:textFill>
                  <w14:solidFill>
                    <w14:schemeClr w14:val="tx1"/>
                  </w14:solidFill>
                </w14:textFill>
              </w:rPr>
              <w:t>侧</w:t>
            </w:r>
          </w:p>
        </w:tc>
        <w:tc>
          <w:tcPr>
            <w:tcW w:w="767" w:type="pct"/>
            <w:vAlign w:val="center"/>
          </w:tcPr>
          <w:p>
            <w:pPr>
              <w:pStyle w:val="118"/>
              <w:rPr>
                <w:color w:val="000000" w:themeColor="text1"/>
                <w:szCs w:val="21"/>
                <w:highlight w:val="none"/>
                <w:lang w:bidi="ar"/>
                <w14:textFill>
                  <w14:solidFill>
                    <w14:schemeClr w14:val="tx1"/>
                  </w14:solidFill>
                </w14:textFill>
              </w:rPr>
            </w:pPr>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200</w:t>
            </w:r>
          </w:p>
        </w:tc>
        <w:tc>
          <w:tcPr>
            <w:tcW w:w="85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13</w:t>
            </w:r>
          </w:p>
        </w:tc>
        <w:tc>
          <w:tcPr>
            <w:tcW w:w="854"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25</w:t>
            </w:r>
            <w:r>
              <w:rPr>
                <w:color w:val="000000" w:themeColor="text1"/>
                <w:highlight w:val="none"/>
                <w:lang w:eastAsia="en-US"/>
                <w14:textFill>
                  <w14:solidFill>
                    <w14:schemeClr w14:val="tx1"/>
                  </w14:solidFill>
                </w14:textFill>
              </w:rPr>
              <w:t>户</w:t>
            </w:r>
          </w:p>
        </w:tc>
        <w:tc>
          <w:tcPr>
            <w:tcW w:w="1587"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泉水或基岩</w:t>
            </w:r>
            <w:r>
              <w:rPr>
                <w:color w:val="000000" w:themeColor="text1"/>
                <w:highlight w:val="none"/>
                <w14:textFill>
                  <w14:solidFill>
                    <w14:schemeClr w14:val="tx1"/>
                  </w14:solidFill>
                </w14:textFill>
              </w:rPr>
              <w:t>孔隙</w:t>
            </w:r>
            <w:r>
              <w:rPr>
                <w:rFonts w:hint="eastAsia"/>
                <w:color w:val="000000" w:themeColor="text1"/>
                <w:highlight w:val="none"/>
                <w14:textFill>
                  <w14:solidFill>
                    <w14:schemeClr w14:val="tx1"/>
                  </w14:solidFill>
                </w14:textFill>
              </w:rPr>
              <w:t>裂隙水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25"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30</w:t>
            </w:r>
            <w:r>
              <w:rPr>
                <w:color w:val="000000" w:themeColor="text1"/>
                <w:highlight w:val="none"/>
                <w14:textFill>
                  <w14:solidFill>
                    <w14:schemeClr w14:val="tx1"/>
                  </w14:solidFill>
                </w14:textFill>
              </w:rPr>
              <w:t>#</w:t>
            </w:r>
          </w:p>
        </w:tc>
        <w:tc>
          <w:tcPr>
            <w:tcW w:w="513" w:type="pct"/>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南</w:t>
            </w:r>
            <w:r>
              <w:rPr>
                <w:rFonts w:hint="eastAsia"/>
                <w:color w:val="000000" w:themeColor="text1"/>
                <w:highlight w:val="none"/>
                <w14:textFill>
                  <w14:solidFill>
                    <w14:schemeClr w14:val="tx1"/>
                  </w14:solidFill>
                </w14:textFill>
              </w:rPr>
              <w:t>侧</w:t>
            </w:r>
          </w:p>
        </w:tc>
        <w:tc>
          <w:tcPr>
            <w:tcW w:w="767" w:type="pct"/>
            <w:vAlign w:val="center"/>
          </w:tcPr>
          <w:p>
            <w:pPr>
              <w:pStyle w:val="118"/>
              <w:rPr>
                <w:color w:val="000000" w:themeColor="text1"/>
                <w:szCs w:val="21"/>
                <w:highlight w:val="none"/>
                <w:lang w:bidi="ar"/>
                <w14:textFill>
                  <w14:solidFill>
                    <w14:schemeClr w14:val="tx1"/>
                  </w14:solidFill>
                </w14:textFill>
              </w:rPr>
            </w:pPr>
            <w:r>
              <w:rPr>
                <w:rFonts w:hint="eastAsia"/>
                <w:color w:val="000000" w:themeColor="text1"/>
                <w:highlight w:val="none"/>
                <w14:textFill>
                  <w14:solidFill>
                    <w14:schemeClr w14:val="tx1"/>
                  </w14:solidFill>
                </w14:textFill>
              </w:rPr>
              <w:t>20</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19</w:t>
            </w:r>
            <w:r>
              <w:rPr>
                <w:color w:val="000000" w:themeColor="text1"/>
                <w:highlight w:val="none"/>
                <w14:textFill>
                  <w14:solidFill>
                    <w14:schemeClr w14:val="tx1"/>
                  </w14:solidFill>
                </w14:textFill>
              </w:rPr>
              <w:t>0</w:t>
            </w:r>
          </w:p>
        </w:tc>
        <w:tc>
          <w:tcPr>
            <w:tcW w:w="85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14</w:t>
            </w:r>
          </w:p>
        </w:tc>
        <w:tc>
          <w:tcPr>
            <w:tcW w:w="854"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26</w:t>
            </w:r>
            <w:r>
              <w:rPr>
                <w:color w:val="000000" w:themeColor="text1"/>
                <w:highlight w:val="none"/>
                <w:lang w:eastAsia="en-US"/>
                <w14:textFill>
                  <w14:solidFill>
                    <w14:schemeClr w14:val="tx1"/>
                  </w14:solidFill>
                </w14:textFill>
              </w:rPr>
              <w:t>户</w:t>
            </w:r>
          </w:p>
        </w:tc>
        <w:tc>
          <w:tcPr>
            <w:tcW w:w="1587"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泉水或基岩</w:t>
            </w:r>
            <w:r>
              <w:rPr>
                <w:color w:val="000000" w:themeColor="text1"/>
                <w:highlight w:val="none"/>
                <w14:textFill>
                  <w14:solidFill>
                    <w14:schemeClr w14:val="tx1"/>
                  </w14:solidFill>
                </w14:textFill>
              </w:rPr>
              <w:t>孔隙</w:t>
            </w:r>
            <w:r>
              <w:rPr>
                <w:rFonts w:hint="eastAsia"/>
                <w:color w:val="000000" w:themeColor="text1"/>
                <w:highlight w:val="none"/>
                <w14:textFill>
                  <w14:solidFill>
                    <w14:schemeClr w14:val="tx1"/>
                  </w14:solidFill>
                </w14:textFill>
              </w:rPr>
              <w:t>裂隙水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25"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31</w:t>
            </w:r>
            <w:r>
              <w:rPr>
                <w:color w:val="000000" w:themeColor="text1"/>
                <w:highlight w:val="none"/>
                <w14:textFill>
                  <w14:solidFill>
                    <w14:schemeClr w14:val="tx1"/>
                  </w14:solidFill>
                </w14:textFill>
              </w:rPr>
              <w:t>#</w:t>
            </w:r>
          </w:p>
        </w:tc>
        <w:tc>
          <w:tcPr>
            <w:tcW w:w="513" w:type="pct"/>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北</w:t>
            </w:r>
            <w:r>
              <w:rPr>
                <w:rFonts w:hint="eastAsia"/>
                <w:color w:val="000000" w:themeColor="text1"/>
                <w:highlight w:val="none"/>
                <w14:textFill>
                  <w14:solidFill>
                    <w14:schemeClr w14:val="tx1"/>
                  </w14:solidFill>
                </w14:textFill>
              </w:rPr>
              <w:t>侧</w:t>
            </w:r>
          </w:p>
        </w:tc>
        <w:tc>
          <w:tcPr>
            <w:tcW w:w="767" w:type="pct"/>
            <w:vAlign w:val="center"/>
          </w:tcPr>
          <w:p>
            <w:pPr>
              <w:pStyle w:val="118"/>
              <w:rPr>
                <w:color w:val="000000" w:themeColor="text1"/>
                <w:szCs w:val="21"/>
                <w:highlight w:val="none"/>
                <w:lang w:bidi="ar"/>
                <w14:textFill>
                  <w14:solidFill>
                    <w14:schemeClr w14:val="tx1"/>
                  </w14:solidFill>
                </w14:textFill>
              </w:rPr>
            </w:pPr>
            <w:r>
              <w:rPr>
                <w:rFonts w:hint="eastAsia"/>
                <w:color w:val="000000" w:themeColor="text1"/>
                <w:highlight w:val="none"/>
                <w14:textFill>
                  <w14:solidFill>
                    <w14:schemeClr w14:val="tx1"/>
                  </w14:solidFill>
                </w14:textFill>
              </w:rPr>
              <w:t>13</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170</w:t>
            </w:r>
          </w:p>
        </w:tc>
        <w:tc>
          <w:tcPr>
            <w:tcW w:w="85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w:t>
            </w:r>
          </w:p>
        </w:tc>
        <w:tc>
          <w:tcPr>
            <w:tcW w:w="854"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16</w:t>
            </w:r>
            <w:r>
              <w:rPr>
                <w:color w:val="000000" w:themeColor="text1"/>
                <w:highlight w:val="none"/>
                <w:lang w:eastAsia="en-US"/>
                <w14:textFill>
                  <w14:solidFill>
                    <w14:schemeClr w14:val="tx1"/>
                  </w14:solidFill>
                </w14:textFill>
              </w:rPr>
              <w:t>户</w:t>
            </w:r>
          </w:p>
        </w:tc>
        <w:tc>
          <w:tcPr>
            <w:tcW w:w="1587"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泉水或基岩</w:t>
            </w:r>
            <w:r>
              <w:rPr>
                <w:color w:val="000000" w:themeColor="text1"/>
                <w:highlight w:val="none"/>
                <w14:textFill>
                  <w14:solidFill>
                    <w14:schemeClr w14:val="tx1"/>
                  </w14:solidFill>
                </w14:textFill>
              </w:rPr>
              <w:t>孔隙</w:t>
            </w:r>
            <w:r>
              <w:rPr>
                <w:rFonts w:hint="eastAsia"/>
                <w:color w:val="000000" w:themeColor="text1"/>
                <w:highlight w:val="none"/>
                <w14:textFill>
                  <w14:solidFill>
                    <w14:schemeClr w14:val="tx1"/>
                  </w14:solidFill>
                </w14:textFill>
              </w:rPr>
              <w:t>裂隙水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25"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32</w:t>
            </w:r>
            <w:r>
              <w:rPr>
                <w:color w:val="000000" w:themeColor="text1"/>
                <w:highlight w:val="none"/>
                <w14:textFill>
                  <w14:solidFill>
                    <w14:schemeClr w14:val="tx1"/>
                  </w14:solidFill>
                </w14:textFill>
              </w:rPr>
              <w:t>#</w:t>
            </w:r>
          </w:p>
        </w:tc>
        <w:tc>
          <w:tcPr>
            <w:tcW w:w="513" w:type="pct"/>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北</w:t>
            </w:r>
            <w:r>
              <w:rPr>
                <w:rFonts w:hint="eastAsia"/>
                <w:color w:val="000000" w:themeColor="text1"/>
                <w:highlight w:val="none"/>
                <w14:textFill>
                  <w14:solidFill>
                    <w14:schemeClr w14:val="tx1"/>
                  </w14:solidFill>
                </w14:textFill>
              </w:rPr>
              <w:t>侧</w:t>
            </w:r>
          </w:p>
        </w:tc>
        <w:tc>
          <w:tcPr>
            <w:tcW w:w="767" w:type="pct"/>
            <w:vAlign w:val="center"/>
          </w:tcPr>
          <w:p>
            <w:pPr>
              <w:pStyle w:val="118"/>
              <w:rPr>
                <w:color w:val="000000" w:themeColor="text1"/>
                <w:szCs w:val="21"/>
                <w:highlight w:val="none"/>
                <w:lang w:bidi="ar"/>
                <w14:textFill>
                  <w14:solidFill>
                    <w14:schemeClr w14:val="tx1"/>
                  </w14:solidFill>
                </w14:textFill>
              </w:rPr>
            </w:pPr>
            <w:r>
              <w:rPr>
                <w:rFonts w:hint="eastAsia"/>
                <w:color w:val="000000" w:themeColor="text1"/>
                <w:highlight w:val="none"/>
                <w14:textFill>
                  <w14:solidFill>
                    <w14:schemeClr w14:val="tx1"/>
                  </w14:solidFill>
                </w14:textFill>
              </w:rPr>
              <w:t>23</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75</w:t>
            </w:r>
          </w:p>
        </w:tc>
        <w:tc>
          <w:tcPr>
            <w:tcW w:w="85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p>
        </w:tc>
        <w:tc>
          <w:tcPr>
            <w:tcW w:w="854"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w:t>
            </w:r>
            <w:r>
              <w:rPr>
                <w:color w:val="000000" w:themeColor="text1"/>
                <w:highlight w:val="none"/>
                <w:lang w:eastAsia="en-US"/>
                <w14:textFill>
                  <w14:solidFill>
                    <w14:schemeClr w14:val="tx1"/>
                  </w14:solidFill>
                </w14:textFill>
              </w:rPr>
              <w:t>户</w:t>
            </w:r>
          </w:p>
        </w:tc>
        <w:tc>
          <w:tcPr>
            <w:tcW w:w="1587"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泉水或基岩</w:t>
            </w:r>
            <w:r>
              <w:rPr>
                <w:color w:val="000000" w:themeColor="text1"/>
                <w:highlight w:val="none"/>
                <w14:textFill>
                  <w14:solidFill>
                    <w14:schemeClr w14:val="tx1"/>
                  </w14:solidFill>
                </w14:textFill>
              </w:rPr>
              <w:t>孔隙</w:t>
            </w:r>
            <w:r>
              <w:rPr>
                <w:rFonts w:hint="eastAsia"/>
                <w:color w:val="000000" w:themeColor="text1"/>
                <w:highlight w:val="none"/>
                <w14:textFill>
                  <w14:solidFill>
                    <w14:schemeClr w14:val="tx1"/>
                  </w14:solidFill>
                </w14:textFill>
              </w:rPr>
              <w:t>裂隙水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25"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33</w:t>
            </w:r>
            <w:r>
              <w:rPr>
                <w:color w:val="000000" w:themeColor="text1"/>
                <w:highlight w:val="none"/>
                <w14:textFill>
                  <w14:solidFill>
                    <w14:schemeClr w14:val="tx1"/>
                  </w14:solidFill>
                </w14:textFill>
              </w:rPr>
              <w:t>#</w:t>
            </w:r>
          </w:p>
        </w:tc>
        <w:tc>
          <w:tcPr>
            <w:tcW w:w="513" w:type="pct"/>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北</w:t>
            </w:r>
            <w:r>
              <w:rPr>
                <w:rFonts w:hint="eastAsia"/>
                <w:color w:val="000000" w:themeColor="text1"/>
                <w:highlight w:val="none"/>
                <w14:textFill>
                  <w14:solidFill>
                    <w14:schemeClr w14:val="tx1"/>
                  </w14:solidFill>
                </w14:textFill>
              </w:rPr>
              <w:t>侧</w:t>
            </w:r>
          </w:p>
        </w:tc>
        <w:tc>
          <w:tcPr>
            <w:tcW w:w="767" w:type="pct"/>
            <w:vAlign w:val="center"/>
          </w:tcPr>
          <w:p>
            <w:pPr>
              <w:pStyle w:val="118"/>
              <w:rPr>
                <w:color w:val="000000" w:themeColor="text1"/>
                <w:szCs w:val="21"/>
                <w:highlight w:val="none"/>
                <w:lang w:bidi="ar"/>
                <w14:textFill>
                  <w14:solidFill>
                    <w14:schemeClr w14:val="tx1"/>
                  </w14:solidFill>
                </w14:textFill>
              </w:rPr>
            </w:pPr>
            <w:r>
              <w:rPr>
                <w:rFonts w:hint="eastAsia"/>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176</w:t>
            </w:r>
          </w:p>
        </w:tc>
        <w:tc>
          <w:tcPr>
            <w:tcW w:w="85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w:t>
            </w:r>
          </w:p>
        </w:tc>
        <w:tc>
          <w:tcPr>
            <w:tcW w:w="854"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12</w:t>
            </w:r>
            <w:r>
              <w:rPr>
                <w:color w:val="000000" w:themeColor="text1"/>
                <w:highlight w:val="none"/>
                <w:lang w:eastAsia="en-US"/>
                <w14:textFill>
                  <w14:solidFill>
                    <w14:schemeClr w14:val="tx1"/>
                  </w14:solidFill>
                </w14:textFill>
              </w:rPr>
              <w:t>户</w:t>
            </w:r>
          </w:p>
        </w:tc>
        <w:tc>
          <w:tcPr>
            <w:tcW w:w="1587"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泉水或基岩</w:t>
            </w:r>
            <w:r>
              <w:rPr>
                <w:color w:val="000000" w:themeColor="text1"/>
                <w:highlight w:val="none"/>
                <w14:textFill>
                  <w14:solidFill>
                    <w14:schemeClr w14:val="tx1"/>
                  </w14:solidFill>
                </w14:textFill>
              </w:rPr>
              <w:t>孔隙</w:t>
            </w:r>
            <w:r>
              <w:rPr>
                <w:rFonts w:hint="eastAsia"/>
                <w:color w:val="000000" w:themeColor="text1"/>
                <w:highlight w:val="none"/>
                <w14:textFill>
                  <w14:solidFill>
                    <w14:schemeClr w14:val="tx1"/>
                  </w14:solidFill>
                </w14:textFill>
              </w:rPr>
              <w:t>裂隙水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25"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t>#</w:t>
            </w:r>
          </w:p>
        </w:tc>
        <w:tc>
          <w:tcPr>
            <w:tcW w:w="513" w:type="pct"/>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南</w:t>
            </w:r>
            <w:r>
              <w:rPr>
                <w:rFonts w:hint="eastAsia"/>
                <w:color w:val="000000" w:themeColor="text1"/>
                <w:highlight w:val="none"/>
                <w14:textFill>
                  <w14:solidFill>
                    <w14:schemeClr w14:val="tx1"/>
                  </w14:solidFill>
                </w14:textFill>
              </w:rPr>
              <w:t>侧</w:t>
            </w:r>
          </w:p>
        </w:tc>
        <w:tc>
          <w:tcPr>
            <w:tcW w:w="767" w:type="pct"/>
            <w:vAlign w:val="center"/>
          </w:tcPr>
          <w:p>
            <w:pPr>
              <w:pStyle w:val="118"/>
              <w:rPr>
                <w:color w:val="000000" w:themeColor="text1"/>
                <w:szCs w:val="21"/>
                <w:highlight w:val="none"/>
                <w:lang w:bidi="ar"/>
                <w14:textFill>
                  <w14:solidFill>
                    <w14:schemeClr w14:val="tx1"/>
                  </w14:solidFill>
                </w14:textFill>
              </w:rPr>
            </w:pPr>
            <w:r>
              <w:rPr>
                <w:rFonts w:hint="eastAsia"/>
                <w:color w:val="000000" w:themeColor="text1"/>
                <w:highlight w:val="none"/>
                <w14:textFill>
                  <w14:solidFill>
                    <w14:schemeClr w14:val="tx1"/>
                  </w14:solidFill>
                </w14:textFill>
              </w:rPr>
              <w:t>124</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192</w:t>
            </w:r>
          </w:p>
        </w:tc>
        <w:tc>
          <w:tcPr>
            <w:tcW w:w="85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p>
        </w:tc>
        <w:tc>
          <w:tcPr>
            <w:tcW w:w="854"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w:t>
            </w:r>
            <w:r>
              <w:rPr>
                <w:color w:val="000000" w:themeColor="text1"/>
                <w:highlight w:val="none"/>
                <w:lang w:eastAsia="en-US"/>
                <w14:textFill>
                  <w14:solidFill>
                    <w14:schemeClr w14:val="tx1"/>
                  </w14:solidFill>
                </w14:textFill>
              </w:rPr>
              <w:t>户</w:t>
            </w:r>
          </w:p>
        </w:tc>
        <w:tc>
          <w:tcPr>
            <w:tcW w:w="1587"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泉水或基岩</w:t>
            </w:r>
            <w:r>
              <w:rPr>
                <w:color w:val="000000" w:themeColor="text1"/>
                <w:highlight w:val="none"/>
                <w14:textFill>
                  <w14:solidFill>
                    <w14:schemeClr w14:val="tx1"/>
                  </w14:solidFill>
                </w14:textFill>
              </w:rPr>
              <w:t>孔隙</w:t>
            </w:r>
            <w:r>
              <w:rPr>
                <w:rFonts w:hint="eastAsia"/>
                <w:color w:val="000000" w:themeColor="text1"/>
                <w:highlight w:val="none"/>
                <w14:textFill>
                  <w14:solidFill>
                    <w14:schemeClr w14:val="tx1"/>
                  </w14:solidFill>
                </w14:textFill>
              </w:rPr>
              <w:t>裂隙水</w:t>
            </w:r>
          </w:p>
        </w:tc>
      </w:tr>
    </w:tbl>
    <w:p>
      <w:pPr>
        <w:pStyle w:val="6"/>
        <w:numPr>
          <w:ilvl w:val="0"/>
          <w:numId w:val="0"/>
        </w:numPr>
        <w:spacing w:before="120"/>
        <w:ind w:firstLine="20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2.9.2.4</w:t>
      </w:r>
      <w:r>
        <w:rPr>
          <w:color w:val="000000" w:themeColor="text1"/>
          <w:highlight w:val="none"/>
          <w14:textFill>
            <w14:solidFill>
              <w14:schemeClr w14:val="tx1"/>
            </w14:solidFill>
          </w14:textFill>
        </w:rPr>
        <w:t>环境空气保护目标</w:t>
      </w:r>
      <w:bookmarkEnd w:id="105"/>
    </w:p>
    <w:p>
      <w:pPr>
        <w:tabs>
          <w:tab w:val="left" w:pos="0"/>
        </w:tabs>
        <w:ind w:firstLine="480"/>
        <w:rPr>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项目试采站位于达州市宣汉县</w:t>
      </w:r>
      <w:r>
        <w:rPr>
          <w:rFonts w:hint="eastAsia" w:cs="Times New Roman"/>
          <w:bCs/>
          <w:color w:val="000000" w:themeColor="text1"/>
          <w:szCs w:val="24"/>
          <w:highlight w:val="none"/>
          <w:lang w:eastAsia="zh-CN"/>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石虎村8组（原雷页1井场西侧），外输管线涉及</w:t>
      </w:r>
      <w:r>
        <w:rPr>
          <w:rFonts w:cs="Times New Roman"/>
          <w:bCs/>
          <w:color w:val="000000" w:themeColor="text1"/>
          <w:szCs w:val="24"/>
          <w:highlight w:val="none"/>
          <w14:textFill>
            <w14:solidFill>
              <w14:schemeClr w14:val="tx1"/>
            </w14:solidFill>
          </w14:textFill>
        </w:rPr>
        <w:t>宣汉县</w:t>
      </w:r>
      <w:r>
        <w:rPr>
          <w:rFonts w:hint="eastAsia" w:cs="Times New Roman"/>
          <w:bCs/>
          <w:color w:val="000000" w:themeColor="text1"/>
          <w:szCs w:val="24"/>
          <w:highlight w:val="none"/>
          <w:lang w:eastAsia="zh-CN"/>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、红岭镇、通川区魏兴镇</w:t>
      </w:r>
      <w:r>
        <w:rPr>
          <w:rFonts w:cs="Times New Roman"/>
          <w:bCs/>
          <w:color w:val="000000" w:themeColor="text1"/>
          <w:szCs w:val="24"/>
          <w:highlight w:val="none"/>
          <w14:textFill>
            <w14:solidFill>
              <w14:schemeClr w14:val="tx1"/>
            </w14:solidFill>
          </w14:textFill>
        </w:rPr>
        <w:t>。环境空气保护目标见表2.9-</w:t>
      </w:r>
      <w:r>
        <w:rPr>
          <w:rFonts w:hint="eastAsia" w:cs="Times New Roman"/>
          <w:bCs/>
          <w:color w:val="000000" w:themeColor="text1"/>
          <w:szCs w:val="24"/>
          <w:highlight w:val="none"/>
          <w14:textFill>
            <w14:solidFill>
              <w14:schemeClr w14:val="tx1"/>
            </w14:solidFill>
          </w14:textFill>
        </w:rPr>
        <w:t>4和表2.9-5</w:t>
      </w:r>
      <w:r>
        <w:rPr>
          <w:bCs/>
          <w:color w:val="000000" w:themeColor="text1"/>
          <w:szCs w:val="24"/>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试采站周边环境空气保护目标一览表</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71"/>
        <w:gridCol w:w="1120"/>
        <w:gridCol w:w="1117"/>
        <w:gridCol w:w="1050"/>
        <w:gridCol w:w="1599"/>
        <w:gridCol w:w="464"/>
        <w:gridCol w:w="699"/>
        <w:gridCol w:w="13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584" w:type="pct"/>
            <w:vMerge w:val="restart"/>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名称</w:t>
            </w:r>
          </w:p>
        </w:tc>
        <w:tc>
          <w:tcPr>
            <w:tcW w:w="1344" w:type="pct"/>
            <w:gridSpan w:val="2"/>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经纬度</w:t>
            </w:r>
          </w:p>
        </w:tc>
        <w:tc>
          <w:tcPr>
            <w:tcW w:w="631" w:type="pct"/>
            <w:vMerge w:val="restart"/>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保护</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对象</w:t>
            </w:r>
          </w:p>
        </w:tc>
        <w:tc>
          <w:tcPr>
            <w:tcW w:w="961" w:type="pct"/>
            <w:vMerge w:val="restart"/>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保护内容</w:t>
            </w:r>
          </w:p>
        </w:tc>
        <w:tc>
          <w:tcPr>
            <w:tcW w:w="279" w:type="pct"/>
            <w:vMerge w:val="restart"/>
            <w:tcBorders>
              <w:top w:val="single" w:color="auto" w:sz="4" w:space="0"/>
              <w:left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环境功能区</w:t>
            </w:r>
          </w:p>
        </w:tc>
        <w:tc>
          <w:tcPr>
            <w:tcW w:w="420" w:type="pct"/>
            <w:vMerge w:val="restart"/>
            <w:tcBorders>
              <w:top w:val="single" w:color="auto" w:sz="4" w:space="0"/>
              <w:left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方位</w:t>
            </w:r>
          </w:p>
        </w:tc>
        <w:tc>
          <w:tcPr>
            <w:tcW w:w="781" w:type="pct"/>
            <w:vMerge w:val="restart"/>
            <w:tcBorders>
              <w:top w:val="single" w:color="auto" w:sz="4" w:space="0"/>
              <w:left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相对</w:t>
            </w:r>
            <w:r>
              <w:rPr>
                <w:rFonts w:hint="eastAsia"/>
                <w:b/>
                <w:bCs/>
                <w:color w:val="000000" w:themeColor="text1"/>
                <w:highlight w:val="none"/>
                <w14:textFill>
                  <w14:solidFill>
                    <w14:schemeClr w14:val="tx1"/>
                  </w14:solidFill>
                </w14:textFill>
              </w:rPr>
              <w:t>试采</w:t>
            </w:r>
            <w:r>
              <w:rPr>
                <w:b/>
                <w:bCs/>
                <w:color w:val="000000" w:themeColor="text1"/>
                <w:highlight w:val="none"/>
                <w14:textFill>
                  <w14:solidFill>
                    <w14:schemeClr w14:val="tx1"/>
                  </w14:solidFill>
                </w14:textFill>
              </w:rPr>
              <w:t>站场界距离/m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584" w:type="pct"/>
            <w:vMerge w:val="continue"/>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p>
        </w:tc>
        <w:tc>
          <w:tcPr>
            <w:tcW w:w="673" w:type="pct"/>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经度</w:t>
            </w:r>
          </w:p>
        </w:tc>
        <w:tc>
          <w:tcPr>
            <w:tcW w:w="670" w:type="pct"/>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纬度</w:t>
            </w:r>
          </w:p>
        </w:tc>
        <w:tc>
          <w:tcPr>
            <w:tcW w:w="631" w:type="pct"/>
            <w:vMerge w:val="continue"/>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p>
        </w:tc>
        <w:tc>
          <w:tcPr>
            <w:tcW w:w="961" w:type="pct"/>
            <w:vMerge w:val="continue"/>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p>
        </w:tc>
        <w:tc>
          <w:tcPr>
            <w:tcW w:w="279" w:type="pct"/>
            <w:vMerge w:val="continue"/>
            <w:tcBorders>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p>
        </w:tc>
        <w:tc>
          <w:tcPr>
            <w:tcW w:w="420" w:type="pct"/>
            <w:vMerge w:val="continue"/>
            <w:tcBorders>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p>
        </w:tc>
        <w:tc>
          <w:tcPr>
            <w:tcW w:w="781" w:type="pct"/>
            <w:vMerge w:val="continue"/>
            <w:tcBorders>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5000" w:type="pct"/>
            <w:gridSpan w:val="8"/>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00</w:t>
            </w:r>
            <w:r>
              <w:rPr>
                <w:rFonts w:hint="eastAsia"/>
                <w:color w:val="000000" w:themeColor="text1"/>
                <w:highlight w:val="none"/>
                <w14:textFill>
                  <w14:solidFill>
                    <w14:schemeClr w14:val="tx1"/>
                  </w14:solidFill>
                </w14:textFill>
              </w:rPr>
              <w:t>m范围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584"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1#居民点</w:t>
            </w:r>
          </w:p>
        </w:tc>
        <w:tc>
          <w:tcPr>
            <w:tcW w:w="67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107.603168</w:t>
            </w:r>
          </w:p>
        </w:tc>
        <w:tc>
          <w:tcPr>
            <w:tcW w:w="67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31.331534</w:t>
            </w:r>
          </w:p>
        </w:tc>
        <w:tc>
          <w:tcPr>
            <w:tcW w:w="63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6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5</w:t>
            </w:r>
            <w:r>
              <w:rPr>
                <w:color w:val="000000" w:themeColor="text1"/>
                <w:highlight w:val="none"/>
                <w:lang w:eastAsia="en-US"/>
                <w14:textFill>
                  <w14:solidFill>
                    <w14:schemeClr w14:val="tx1"/>
                  </w14:solidFill>
                </w14:textFill>
              </w:rPr>
              <w:t>户，</w:t>
            </w:r>
            <w:r>
              <w:rPr>
                <w:color w:val="000000" w:themeColor="text1"/>
                <w:highlight w:val="none"/>
                <w14:textFill>
                  <w14:solidFill>
                    <w14:schemeClr w14:val="tx1"/>
                  </w14:solidFill>
                </w14:textFill>
              </w:rPr>
              <w:t>20</w:t>
            </w:r>
            <w:r>
              <w:rPr>
                <w:color w:val="000000" w:themeColor="text1"/>
                <w:highlight w:val="none"/>
                <w:lang w:eastAsia="en-US"/>
                <w14:textFill>
                  <w14:solidFill>
                    <w14:schemeClr w14:val="tx1"/>
                  </w14:solidFill>
                </w14:textFill>
              </w:rPr>
              <w:t>人</w:t>
            </w:r>
          </w:p>
        </w:tc>
        <w:tc>
          <w:tcPr>
            <w:tcW w:w="27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42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西</w:t>
            </w:r>
            <w:r>
              <w:rPr>
                <w:rFonts w:hint="eastAsia"/>
                <w:color w:val="000000" w:themeColor="text1"/>
                <w:highlight w:val="none"/>
                <w14:textFill>
                  <w14:solidFill>
                    <w14:schemeClr w14:val="tx1"/>
                  </w14:solidFill>
                </w14:textFill>
              </w:rPr>
              <w:t>南</w:t>
            </w:r>
          </w:p>
        </w:tc>
        <w:tc>
          <w:tcPr>
            <w:tcW w:w="78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33~65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584"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2#居民点</w:t>
            </w:r>
          </w:p>
        </w:tc>
        <w:tc>
          <w:tcPr>
            <w:tcW w:w="67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107.602896</w:t>
            </w:r>
          </w:p>
        </w:tc>
        <w:tc>
          <w:tcPr>
            <w:tcW w:w="670" w:type="pct"/>
            <w:tcBorders>
              <w:top w:val="single" w:color="auto" w:sz="4" w:space="0"/>
              <w:left w:val="single" w:color="auto" w:sz="4" w:space="0"/>
              <w:bottom w:val="single" w:color="auto" w:sz="4" w:space="0"/>
              <w:right w:val="single" w:color="auto" w:sz="4" w:space="0"/>
            </w:tcBorders>
            <w:vAlign w:val="center"/>
          </w:tcPr>
          <w:p>
            <w:pPr>
              <w:pStyle w:val="11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31.332</w:t>
            </w:r>
            <w:r>
              <w:rPr>
                <w:rFonts w:hint="eastAsia"/>
                <w:color w:val="000000" w:themeColor="text1"/>
                <w:highlight w:val="none"/>
                <w:lang w:eastAsia="zh-CN"/>
                <w14:textFill>
                  <w14:solidFill>
                    <w14:schemeClr w14:val="tx1"/>
                  </w14:solidFill>
                </w14:textFill>
              </w:rPr>
              <w:t>**</w:t>
            </w:r>
          </w:p>
        </w:tc>
        <w:tc>
          <w:tcPr>
            <w:tcW w:w="63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6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15</w:t>
            </w:r>
            <w:r>
              <w:rPr>
                <w:color w:val="000000" w:themeColor="text1"/>
                <w:highlight w:val="none"/>
                <w:lang w:eastAsia="en-US"/>
                <w14:textFill>
                  <w14:solidFill>
                    <w14:schemeClr w14:val="tx1"/>
                  </w14:solidFill>
                </w14:textFill>
              </w:rPr>
              <w:t>户，</w:t>
            </w:r>
            <w:r>
              <w:rPr>
                <w:color w:val="000000" w:themeColor="text1"/>
                <w:highlight w:val="none"/>
                <w14:textFill>
                  <w14:solidFill>
                    <w14:schemeClr w14:val="tx1"/>
                  </w14:solidFill>
                </w14:textFill>
              </w:rPr>
              <w:t>60</w:t>
            </w:r>
            <w:r>
              <w:rPr>
                <w:color w:val="000000" w:themeColor="text1"/>
                <w:highlight w:val="none"/>
                <w:lang w:eastAsia="en-US"/>
                <w14:textFill>
                  <w14:solidFill>
                    <w14:schemeClr w14:val="tx1"/>
                  </w14:solidFill>
                </w14:textFill>
              </w:rPr>
              <w:t>人</w:t>
            </w:r>
          </w:p>
        </w:tc>
        <w:tc>
          <w:tcPr>
            <w:tcW w:w="27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42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西</w:t>
            </w:r>
          </w:p>
        </w:tc>
        <w:tc>
          <w:tcPr>
            <w:tcW w:w="78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24~98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584"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3#居民点</w:t>
            </w:r>
          </w:p>
        </w:tc>
        <w:tc>
          <w:tcPr>
            <w:tcW w:w="67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107.603561</w:t>
            </w:r>
          </w:p>
        </w:tc>
        <w:tc>
          <w:tcPr>
            <w:tcW w:w="67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31.332600</w:t>
            </w:r>
          </w:p>
        </w:tc>
        <w:tc>
          <w:tcPr>
            <w:tcW w:w="63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6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2</w:t>
            </w:r>
            <w:r>
              <w:rPr>
                <w:color w:val="000000" w:themeColor="text1"/>
                <w:highlight w:val="none"/>
                <w:lang w:eastAsia="en-US"/>
                <w14:textFill>
                  <w14:solidFill>
                    <w14:schemeClr w14:val="tx1"/>
                  </w14:solidFill>
                </w14:textFill>
              </w:rPr>
              <w:t>户，</w:t>
            </w:r>
            <w:r>
              <w:rPr>
                <w:color w:val="000000" w:themeColor="text1"/>
                <w:highlight w:val="none"/>
                <w14:textFill>
                  <w14:solidFill>
                    <w14:schemeClr w14:val="tx1"/>
                  </w14:solidFill>
                </w14:textFill>
              </w:rPr>
              <w:t>8</w:t>
            </w:r>
            <w:r>
              <w:rPr>
                <w:color w:val="000000" w:themeColor="text1"/>
                <w:highlight w:val="none"/>
                <w:lang w:eastAsia="en-US"/>
                <w14:textFill>
                  <w14:solidFill>
                    <w14:schemeClr w14:val="tx1"/>
                  </w14:solidFill>
                </w14:textFill>
              </w:rPr>
              <w:t>人</w:t>
            </w:r>
          </w:p>
        </w:tc>
        <w:tc>
          <w:tcPr>
            <w:tcW w:w="27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42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rFonts w:hint="eastAsia"/>
                <w:color w:val="000000" w:themeColor="text1"/>
                <w:highlight w:val="none"/>
                <w14:textFill>
                  <w14:solidFill>
                    <w14:schemeClr w14:val="tx1"/>
                  </w14:solidFill>
                </w14:textFill>
              </w:rPr>
              <w:t>北</w:t>
            </w:r>
          </w:p>
        </w:tc>
        <w:tc>
          <w:tcPr>
            <w:tcW w:w="78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584"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4#居民点</w:t>
            </w:r>
          </w:p>
        </w:tc>
        <w:tc>
          <w:tcPr>
            <w:tcW w:w="67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107.605281</w:t>
            </w:r>
          </w:p>
        </w:tc>
        <w:tc>
          <w:tcPr>
            <w:tcW w:w="67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31.333946</w:t>
            </w:r>
          </w:p>
        </w:tc>
        <w:tc>
          <w:tcPr>
            <w:tcW w:w="63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6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6</w:t>
            </w:r>
            <w:r>
              <w:rPr>
                <w:color w:val="000000" w:themeColor="text1"/>
                <w:highlight w:val="none"/>
                <w:lang w:eastAsia="en-US"/>
                <w14:textFill>
                  <w14:solidFill>
                    <w14:schemeClr w14:val="tx1"/>
                  </w14:solidFill>
                </w14:textFill>
              </w:rPr>
              <w:t>户，</w:t>
            </w:r>
            <w:r>
              <w:rPr>
                <w:color w:val="000000" w:themeColor="text1"/>
                <w:highlight w:val="none"/>
                <w14:textFill>
                  <w14:solidFill>
                    <w14:schemeClr w14:val="tx1"/>
                  </w14:solidFill>
                </w14:textFill>
              </w:rPr>
              <w:t>24</w:t>
            </w:r>
            <w:r>
              <w:rPr>
                <w:color w:val="000000" w:themeColor="text1"/>
                <w:highlight w:val="none"/>
                <w:lang w:eastAsia="en-US"/>
                <w14:textFill>
                  <w14:solidFill>
                    <w14:schemeClr w14:val="tx1"/>
                  </w14:solidFill>
                </w14:textFill>
              </w:rPr>
              <w:t>人</w:t>
            </w:r>
          </w:p>
        </w:tc>
        <w:tc>
          <w:tcPr>
            <w:tcW w:w="27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42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东北</w:t>
            </w:r>
          </w:p>
        </w:tc>
        <w:tc>
          <w:tcPr>
            <w:tcW w:w="78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200~273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584"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5#居民点</w:t>
            </w:r>
          </w:p>
        </w:tc>
        <w:tc>
          <w:tcPr>
            <w:tcW w:w="67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107.606793</w:t>
            </w:r>
          </w:p>
        </w:tc>
        <w:tc>
          <w:tcPr>
            <w:tcW w:w="67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31.334383</w:t>
            </w:r>
          </w:p>
        </w:tc>
        <w:tc>
          <w:tcPr>
            <w:tcW w:w="63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6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6户，约24人</w:t>
            </w:r>
          </w:p>
        </w:tc>
        <w:tc>
          <w:tcPr>
            <w:tcW w:w="27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42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rFonts w:hint="eastAsia"/>
                <w:color w:val="000000" w:themeColor="text1"/>
                <w:highlight w:val="none"/>
                <w14:textFill>
                  <w14:solidFill>
                    <w14:schemeClr w14:val="tx1"/>
                  </w14:solidFill>
                </w14:textFill>
              </w:rPr>
              <w:t>东北</w:t>
            </w:r>
          </w:p>
        </w:tc>
        <w:tc>
          <w:tcPr>
            <w:tcW w:w="78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293~407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584"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6#居民点</w:t>
            </w:r>
          </w:p>
        </w:tc>
        <w:tc>
          <w:tcPr>
            <w:tcW w:w="67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107.608102</w:t>
            </w:r>
          </w:p>
        </w:tc>
        <w:tc>
          <w:tcPr>
            <w:tcW w:w="67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31.330892</w:t>
            </w:r>
          </w:p>
        </w:tc>
        <w:tc>
          <w:tcPr>
            <w:tcW w:w="63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6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27</w:t>
            </w:r>
            <w:r>
              <w:rPr>
                <w:color w:val="000000" w:themeColor="text1"/>
                <w:highlight w:val="none"/>
                <w:lang w:eastAsia="en-US"/>
                <w14:textFill>
                  <w14:solidFill>
                    <w14:schemeClr w14:val="tx1"/>
                  </w14:solidFill>
                </w14:textFill>
              </w:rPr>
              <w:t>户，约</w:t>
            </w:r>
            <w:r>
              <w:rPr>
                <w:color w:val="000000" w:themeColor="text1"/>
                <w:highlight w:val="none"/>
                <w14:textFill>
                  <w14:solidFill>
                    <w14:schemeClr w14:val="tx1"/>
                  </w14:solidFill>
                </w14:textFill>
              </w:rPr>
              <w:t>108</w:t>
            </w:r>
            <w:r>
              <w:rPr>
                <w:color w:val="000000" w:themeColor="text1"/>
                <w:highlight w:val="none"/>
                <w:lang w:eastAsia="en-US"/>
                <w14:textFill>
                  <w14:solidFill>
                    <w14:schemeClr w14:val="tx1"/>
                  </w14:solidFill>
                </w14:textFill>
              </w:rPr>
              <w:t>人</w:t>
            </w:r>
          </w:p>
        </w:tc>
        <w:tc>
          <w:tcPr>
            <w:tcW w:w="27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42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东</w:t>
            </w:r>
          </w:p>
        </w:tc>
        <w:tc>
          <w:tcPr>
            <w:tcW w:w="78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319~477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584"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7#居民点</w:t>
            </w:r>
          </w:p>
        </w:tc>
        <w:tc>
          <w:tcPr>
            <w:tcW w:w="67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107.606389</w:t>
            </w:r>
          </w:p>
        </w:tc>
        <w:tc>
          <w:tcPr>
            <w:tcW w:w="67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31.328229</w:t>
            </w:r>
          </w:p>
        </w:tc>
        <w:tc>
          <w:tcPr>
            <w:tcW w:w="63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6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8户，约</w:t>
            </w:r>
            <w:r>
              <w:rPr>
                <w:color w:val="000000" w:themeColor="text1"/>
                <w:highlight w:val="none"/>
                <w14:textFill>
                  <w14:solidFill>
                    <w14:schemeClr w14:val="tx1"/>
                  </w14:solidFill>
                </w14:textFill>
              </w:rPr>
              <w:t>32</w:t>
            </w:r>
            <w:r>
              <w:rPr>
                <w:color w:val="000000" w:themeColor="text1"/>
                <w:highlight w:val="none"/>
                <w:lang w:eastAsia="en-US"/>
                <w14:textFill>
                  <w14:solidFill>
                    <w14:schemeClr w14:val="tx1"/>
                  </w14:solidFill>
                </w14:textFill>
              </w:rPr>
              <w:t>人</w:t>
            </w:r>
          </w:p>
        </w:tc>
        <w:tc>
          <w:tcPr>
            <w:tcW w:w="27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42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rFonts w:hint="eastAsia"/>
                <w:color w:val="000000" w:themeColor="text1"/>
                <w:highlight w:val="none"/>
                <w14:textFill>
                  <w14:solidFill>
                    <w14:schemeClr w14:val="tx1"/>
                  </w14:solidFill>
                </w14:textFill>
              </w:rPr>
              <w:t>东</w:t>
            </w:r>
            <w:r>
              <w:rPr>
                <w:color w:val="000000" w:themeColor="text1"/>
                <w:highlight w:val="none"/>
                <w14:textFill>
                  <w14:solidFill>
                    <w14:schemeClr w14:val="tx1"/>
                  </w14:solidFill>
                </w14:textFill>
              </w:rPr>
              <w:t>南</w:t>
            </w:r>
          </w:p>
        </w:tc>
        <w:tc>
          <w:tcPr>
            <w:tcW w:w="78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425~490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584"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8#居民点</w:t>
            </w:r>
          </w:p>
        </w:tc>
        <w:tc>
          <w:tcPr>
            <w:tcW w:w="67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107.604358</w:t>
            </w:r>
          </w:p>
        </w:tc>
        <w:tc>
          <w:tcPr>
            <w:tcW w:w="67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31.328511</w:t>
            </w:r>
          </w:p>
        </w:tc>
        <w:tc>
          <w:tcPr>
            <w:tcW w:w="63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6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12</w:t>
            </w:r>
            <w:r>
              <w:rPr>
                <w:color w:val="000000" w:themeColor="text1"/>
                <w:highlight w:val="none"/>
                <w:lang w:eastAsia="en-US"/>
                <w14:textFill>
                  <w14:solidFill>
                    <w14:schemeClr w14:val="tx1"/>
                  </w14:solidFill>
                </w14:textFill>
              </w:rPr>
              <w:t>户，</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8</w:t>
            </w:r>
            <w:r>
              <w:rPr>
                <w:color w:val="000000" w:themeColor="text1"/>
                <w:highlight w:val="none"/>
                <w:lang w:eastAsia="en-US"/>
                <w14:textFill>
                  <w14:solidFill>
                    <w14:schemeClr w14:val="tx1"/>
                  </w14:solidFill>
                </w14:textFill>
              </w:rPr>
              <w:t>人</w:t>
            </w:r>
          </w:p>
        </w:tc>
        <w:tc>
          <w:tcPr>
            <w:tcW w:w="27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42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南</w:t>
            </w:r>
          </w:p>
        </w:tc>
        <w:tc>
          <w:tcPr>
            <w:tcW w:w="78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309~389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584"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9#居民点</w:t>
            </w:r>
          </w:p>
        </w:tc>
        <w:tc>
          <w:tcPr>
            <w:tcW w:w="67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107.603000</w:t>
            </w:r>
          </w:p>
        </w:tc>
        <w:tc>
          <w:tcPr>
            <w:tcW w:w="67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31.329167</w:t>
            </w:r>
          </w:p>
        </w:tc>
        <w:tc>
          <w:tcPr>
            <w:tcW w:w="63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6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2</w:t>
            </w:r>
            <w:r>
              <w:rPr>
                <w:color w:val="000000" w:themeColor="text1"/>
                <w:highlight w:val="none"/>
                <w:lang w:eastAsia="en-US"/>
                <w14:textFill>
                  <w14:solidFill>
                    <w14:schemeClr w14:val="tx1"/>
                  </w14:solidFill>
                </w14:textFill>
              </w:rPr>
              <w:t>户，约</w:t>
            </w:r>
            <w:r>
              <w:rPr>
                <w:color w:val="000000" w:themeColor="text1"/>
                <w:highlight w:val="none"/>
                <w14:textFill>
                  <w14:solidFill>
                    <w14:schemeClr w14:val="tx1"/>
                  </w14:solidFill>
                </w14:textFill>
              </w:rPr>
              <w:t>8</w:t>
            </w:r>
            <w:r>
              <w:rPr>
                <w:color w:val="000000" w:themeColor="text1"/>
                <w:highlight w:val="none"/>
                <w:lang w:eastAsia="en-US"/>
                <w14:textFill>
                  <w14:solidFill>
                    <w14:schemeClr w14:val="tx1"/>
                  </w14:solidFill>
                </w14:textFill>
              </w:rPr>
              <w:t>人</w:t>
            </w:r>
          </w:p>
        </w:tc>
        <w:tc>
          <w:tcPr>
            <w:tcW w:w="27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42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南</w:t>
            </w:r>
          </w:p>
        </w:tc>
        <w:tc>
          <w:tcPr>
            <w:tcW w:w="78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263~310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584"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10#居民点</w:t>
            </w:r>
          </w:p>
        </w:tc>
        <w:tc>
          <w:tcPr>
            <w:tcW w:w="67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107.603807</w:t>
            </w:r>
          </w:p>
        </w:tc>
        <w:tc>
          <w:tcPr>
            <w:tcW w:w="67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31.327311</w:t>
            </w:r>
          </w:p>
        </w:tc>
        <w:tc>
          <w:tcPr>
            <w:tcW w:w="63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6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11</w:t>
            </w:r>
            <w:r>
              <w:rPr>
                <w:color w:val="000000" w:themeColor="text1"/>
                <w:highlight w:val="none"/>
                <w:lang w:eastAsia="en-US"/>
                <w14:textFill>
                  <w14:solidFill>
                    <w14:schemeClr w14:val="tx1"/>
                  </w14:solidFill>
                </w14:textFill>
              </w:rPr>
              <w:t>户，约</w:t>
            </w:r>
            <w:r>
              <w:rPr>
                <w:color w:val="000000" w:themeColor="text1"/>
                <w:highlight w:val="none"/>
                <w14:textFill>
                  <w14:solidFill>
                    <w14:schemeClr w14:val="tx1"/>
                  </w14:solidFill>
                </w14:textFill>
              </w:rPr>
              <w:t>44</w:t>
            </w:r>
            <w:r>
              <w:rPr>
                <w:color w:val="000000" w:themeColor="text1"/>
                <w:highlight w:val="none"/>
                <w:lang w:eastAsia="en-US"/>
                <w14:textFill>
                  <w14:solidFill>
                    <w14:schemeClr w14:val="tx1"/>
                  </w14:solidFill>
                </w14:textFill>
              </w:rPr>
              <w:t>人</w:t>
            </w:r>
          </w:p>
        </w:tc>
        <w:tc>
          <w:tcPr>
            <w:tcW w:w="27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42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南</w:t>
            </w:r>
          </w:p>
        </w:tc>
        <w:tc>
          <w:tcPr>
            <w:tcW w:w="78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429~500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584"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11#居民点</w:t>
            </w:r>
          </w:p>
        </w:tc>
        <w:tc>
          <w:tcPr>
            <w:tcW w:w="67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107.601878</w:t>
            </w:r>
          </w:p>
        </w:tc>
        <w:tc>
          <w:tcPr>
            <w:tcW w:w="67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31.327866</w:t>
            </w:r>
          </w:p>
        </w:tc>
        <w:tc>
          <w:tcPr>
            <w:tcW w:w="63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6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6</w:t>
            </w:r>
            <w:r>
              <w:rPr>
                <w:color w:val="000000" w:themeColor="text1"/>
                <w:highlight w:val="none"/>
                <w:lang w:eastAsia="en-US"/>
                <w14:textFill>
                  <w14:solidFill>
                    <w14:schemeClr w14:val="tx1"/>
                  </w14:solidFill>
                </w14:textFill>
              </w:rPr>
              <w:t>户，约</w:t>
            </w:r>
            <w:r>
              <w:rPr>
                <w:color w:val="000000" w:themeColor="text1"/>
                <w:highlight w:val="none"/>
                <w14:textFill>
                  <w14:solidFill>
                    <w14:schemeClr w14:val="tx1"/>
                  </w14:solidFill>
                </w14:textFill>
              </w:rPr>
              <w:t>24</w:t>
            </w:r>
            <w:r>
              <w:rPr>
                <w:color w:val="000000" w:themeColor="text1"/>
                <w:highlight w:val="none"/>
                <w:lang w:eastAsia="en-US"/>
                <w14:textFill>
                  <w14:solidFill>
                    <w14:schemeClr w14:val="tx1"/>
                  </w14:solidFill>
                </w14:textFill>
              </w:rPr>
              <w:t>人</w:t>
            </w:r>
          </w:p>
        </w:tc>
        <w:tc>
          <w:tcPr>
            <w:tcW w:w="27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42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rFonts w:hint="eastAsia"/>
                <w:color w:val="000000" w:themeColor="text1"/>
                <w:highlight w:val="none"/>
                <w14:textFill>
                  <w14:solidFill>
                    <w14:schemeClr w14:val="tx1"/>
                  </w14:solidFill>
                </w14:textFill>
              </w:rPr>
              <w:t>西南</w:t>
            </w:r>
          </w:p>
        </w:tc>
        <w:tc>
          <w:tcPr>
            <w:tcW w:w="78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398~500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584"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12#居民点</w:t>
            </w:r>
          </w:p>
        </w:tc>
        <w:tc>
          <w:tcPr>
            <w:tcW w:w="67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107.603945</w:t>
            </w:r>
          </w:p>
        </w:tc>
        <w:tc>
          <w:tcPr>
            <w:tcW w:w="67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31.335549</w:t>
            </w:r>
          </w:p>
        </w:tc>
        <w:tc>
          <w:tcPr>
            <w:tcW w:w="63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6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rFonts w:hint="eastAsia"/>
                <w:color w:val="000000" w:themeColor="text1"/>
                <w:highlight w:val="none"/>
                <w14:textFill>
                  <w14:solidFill>
                    <w14:schemeClr w14:val="tx1"/>
                  </w14:solidFill>
                </w14:textFill>
              </w:rPr>
              <w:t>5</w:t>
            </w:r>
            <w:r>
              <w:rPr>
                <w:color w:val="000000" w:themeColor="text1"/>
                <w:highlight w:val="none"/>
                <w:lang w:eastAsia="en-US"/>
                <w14:textFill>
                  <w14:solidFill>
                    <w14:schemeClr w14:val="tx1"/>
                  </w14:solidFill>
                </w14:textFill>
              </w:rPr>
              <w:t>户，约</w:t>
            </w:r>
            <w:r>
              <w:rPr>
                <w:color w:val="000000" w:themeColor="text1"/>
                <w:highlight w:val="none"/>
                <w14:textFill>
                  <w14:solidFill>
                    <w14:schemeClr w14:val="tx1"/>
                  </w14:solidFill>
                </w14:textFill>
              </w:rPr>
              <w:t>20</w:t>
            </w:r>
            <w:r>
              <w:rPr>
                <w:color w:val="000000" w:themeColor="text1"/>
                <w:highlight w:val="none"/>
                <w:lang w:eastAsia="en-US"/>
                <w14:textFill>
                  <w14:solidFill>
                    <w14:schemeClr w14:val="tx1"/>
                  </w14:solidFill>
                </w14:textFill>
              </w:rPr>
              <w:t>人</w:t>
            </w:r>
          </w:p>
        </w:tc>
        <w:tc>
          <w:tcPr>
            <w:tcW w:w="27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42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北</w:t>
            </w:r>
          </w:p>
        </w:tc>
        <w:tc>
          <w:tcPr>
            <w:tcW w:w="78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305~408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5000" w:type="pct"/>
            <w:gridSpan w:val="8"/>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大于500m范围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584"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石虎村</w:t>
            </w:r>
          </w:p>
        </w:tc>
        <w:tc>
          <w:tcPr>
            <w:tcW w:w="67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107.621466</w:t>
            </w:r>
          </w:p>
        </w:tc>
        <w:tc>
          <w:tcPr>
            <w:tcW w:w="67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31.341762</w:t>
            </w:r>
          </w:p>
        </w:tc>
        <w:tc>
          <w:tcPr>
            <w:tcW w:w="63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农村居民</w:t>
            </w:r>
          </w:p>
        </w:tc>
        <w:tc>
          <w:tcPr>
            <w:tcW w:w="96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lang w:bidi="ar"/>
                <w14:textFill>
                  <w14:solidFill>
                    <w14:schemeClr w14:val="tx1"/>
                  </w14:solidFill>
                </w14:textFill>
              </w:rPr>
              <w:t>200人</w:t>
            </w:r>
          </w:p>
        </w:tc>
        <w:tc>
          <w:tcPr>
            <w:tcW w:w="27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42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78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本项目位于石虎村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584"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大垭村</w:t>
            </w:r>
          </w:p>
        </w:tc>
        <w:tc>
          <w:tcPr>
            <w:tcW w:w="67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107.612410</w:t>
            </w:r>
          </w:p>
        </w:tc>
        <w:tc>
          <w:tcPr>
            <w:tcW w:w="67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31.326105</w:t>
            </w:r>
          </w:p>
        </w:tc>
        <w:tc>
          <w:tcPr>
            <w:tcW w:w="63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农村居民</w:t>
            </w:r>
          </w:p>
        </w:tc>
        <w:tc>
          <w:tcPr>
            <w:tcW w:w="96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395人</w:t>
            </w:r>
          </w:p>
        </w:tc>
        <w:tc>
          <w:tcPr>
            <w:tcW w:w="27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二类</w:t>
            </w:r>
          </w:p>
        </w:tc>
        <w:tc>
          <w:tcPr>
            <w:tcW w:w="42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东南</w:t>
            </w:r>
          </w:p>
        </w:tc>
        <w:tc>
          <w:tcPr>
            <w:tcW w:w="78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584" w:type="pct"/>
            <w:tcBorders>
              <w:top w:val="single" w:color="auto" w:sz="4" w:space="0"/>
              <w:left w:val="single" w:color="auto" w:sz="4" w:space="0"/>
              <w:bottom w:val="single" w:color="auto" w:sz="4" w:space="0"/>
              <w:right w:val="single" w:color="auto" w:sz="4" w:space="0"/>
            </w:tcBorders>
            <w:vAlign w:val="center"/>
          </w:tcPr>
          <w:p>
            <w:pPr>
              <w:pStyle w:val="11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w:t>
            </w:r>
          </w:p>
        </w:tc>
        <w:tc>
          <w:tcPr>
            <w:tcW w:w="67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107.625098</w:t>
            </w:r>
          </w:p>
        </w:tc>
        <w:tc>
          <w:tcPr>
            <w:tcW w:w="67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31.342132</w:t>
            </w:r>
          </w:p>
        </w:tc>
        <w:tc>
          <w:tcPr>
            <w:tcW w:w="63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场镇</w:t>
            </w:r>
            <w:r>
              <w:rPr>
                <w:rFonts w:hint="eastAsia"/>
                <w:color w:val="000000" w:themeColor="text1"/>
                <w:highlight w:val="none"/>
                <w14:textFill>
                  <w14:solidFill>
                    <w14:schemeClr w14:val="tx1"/>
                  </w14:solidFill>
                </w14:textFill>
              </w:rPr>
              <w:t>居民</w:t>
            </w:r>
          </w:p>
        </w:tc>
        <w:tc>
          <w:tcPr>
            <w:tcW w:w="96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5000</w:t>
            </w:r>
            <w:r>
              <w:rPr>
                <w:rFonts w:hint="eastAsia"/>
                <w:color w:val="000000" w:themeColor="text1"/>
                <w:highlight w:val="none"/>
                <w14:textFill>
                  <w14:solidFill>
                    <w14:schemeClr w14:val="tx1"/>
                  </w14:solidFill>
                </w14:textFill>
              </w:rPr>
              <w:t>人</w:t>
            </w:r>
          </w:p>
        </w:tc>
        <w:tc>
          <w:tcPr>
            <w:tcW w:w="27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二类</w:t>
            </w:r>
          </w:p>
        </w:tc>
        <w:tc>
          <w:tcPr>
            <w:tcW w:w="42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东北</w:t>
            </w:r>
          </w:p>
        </w:tc>
        <w:tc>
          <w:tcPr>
            <w:tcW w:w="78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2327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584"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中心学校</w:t>
            </w:r>
          </w:p>
        </w:tc>
        <w:tc>
          <w:tcPr>
            <w:tcW w:w="67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107.621028</w:t>
            </w:r>
          </w:p>
        </w:tc>
        <w:tc>
          <w:tcPr>
            <w:tcW w:w="67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31.341145</w:t>
            </w:r>
          </w:p>
        </w:tc>
        <w:tc>
          <w:tcPr>
            <w:tcW w:w="63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在校师生</w:t>
            </w:r>
          </w:p>
        </w:tc>
        <w:tc>
          <w:tcPr>
            <w:tcW w:w="96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在校师生约</w:t>
            </w:r>
            <w:r>
              <w:rPr>
                <w:color w:val="000000" w:themeColor="text1"/>
                <w:highlight w:val="none"/>
                <w14:textFill>
                  <w14:solidFill>
                    <w14:schemeClr w14:val="tx1"/>
                  </w14:solidFill>
                </w14:textFill>
              </w:rPr>
              <w:t>62</w:t>
            </w:r>
            <w:r>
              <w:rPr>
                <w:rFonts w:hint="eastAsia"/>
                <w:color w:val="000000" w:themeColor="text1"/>
                <w:highlight w:val="none"/>
                <w14:textFill>
                  <w14:solidFill>
                    <w14:schemeClr w14:val="tx1"/>
                  </w14:solidFill>
                </w14:textFill>
              </w:rPr>
              <w:t>0人</w:t>
            </w:r>
          </w:p>
        </w:tc>
        <w:tc>
          <w:tcPr>
            <w:tcW w:w="27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二类</w:t>
            </w:r>
          </w:p>
        </w:tc>
        <w:tc>
          <w:tcPr>
            <w:tcW w:w="42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东北</w:t>
            </w:r>
          </w:p>
        </w:tc>
        <w:tc>
          <w:tcPr>
            <w:tcW w:w="78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1939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584"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君坝村</w:t>
            </w:r>
          </w:p>
        </w:tc>
        <w:tc>
          <w:tcPr>
            <w:tcW w:w="67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107.627575</w:t>
            </w:r>
          </w:p>
        </w:tc>
        <w:tc>
          <w:tcPr>
            <w:tcW w:w="67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31.348950</w:t>
            </w:r>
          </w:p>
        </w:tc>
        <w:tc>
          <w:tcPr>
            <w:tcW w:w="63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农村居民</w:t>
            </w:r>
          </w:p>
        </w:tc>
        <w:tc>
          <w:tcPr>
            <w:tcW w:w="96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r>
              <w:rPr>
                <w:rFonts w:hint="eastAsia"/>
                <w:color w:val="000000" w:themeColor="text1"/>
                <w:highlight w:val="none"/>
                <w14:textFill>
                  <w14:solidFill>
                    <w14:schemeClr w14:val="tx1"/>
                  </w14:solidFill>
                </w14:textFill>
              </w:rPr>
              <w:t>90人</w:t>
            </w:r>
          </w:p>
        </w:tc>
        <w:tc>
          <w:tcPr>
            <w:tcW w:w="27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二类</w:t>
            </w:r>
          </w:p>
        </w:tc>
        <w:tc>
          <w:tcPr>
            <w:tcW w:w="42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东北</w:t>
            </w:r>
          </w:p>
        </w:tc>
        <w:tc>
          <w:tcPr>
            <w:tcW w:w="78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2954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584"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团山村</w:t>
            </w:r>
          </w:p>
        </w:tc>
        <w:tc>
          <w:tcPr>
            <w:tcW w:w="67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107.570308</w:t>
            </w:r>
          </w:p>
        </w:tc>
        <w:tc>
          <w:tcPr>
            <w:tcW w:w="67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31.348690</w:t>
            </w:r>
          </w:p>
        </w:tc>
        <w:tc>
          <w:tcPr>
            <w:tcW w:w="63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农村居民</w:t>
            </w:r>
          </w:p>
        </w:tc>
        <w:tc>
          <w:tcPr>
            <w:tcW w:w="96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400人</w:t>
            </w:r>
          </w:p>
        </w:tc>
        <w:tc>
          <w:tcPr>
            <w:tcW w:w="27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二类</w:t>
            </w:r>
          </w:p>
        </w:tc>
        <w:tc>
          <w:tcPr>
            <w:tcW w:w="42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东</w:t>
            </w:r>
          </w:p>
        </w:tc>
        <w:tc>
          <w:tcPr>
            <w:tcW w:w="78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2318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584"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滴水村</w:t>
            </w:r>
          </w:p>
        </w:tc>
        <w:tc>
          <w:tcPr>
            <w:tcW w:w="67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107.562270</w:t>
            </w:r>
          </w:p>
        </w:tc>
        <w:tc>
          <w:tcPr>
            <w:tcW w:w="67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31.357784</w:t>
            </w:r>
          </w:p>
        </w:tc>
        <w:tc>
          <w:tcPr>
            <w:tcW w:w="63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农村居民</w:t>
            </w:r>
          </w:p>
        </w:tc>
        <w:tc>
          <w:tcPr>
            <w:tcW w:w="96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2</w:t>
            </w:r>
            <w:r>
              <w:rPr>
                <w:rFonts w:hint="eastAsia"/>
                <w:color w:val="000000" w:themeColor="text1"/>
                <w:highlight w:val="none"/>
                <w14:textFill>
                  <w14:solidFill>
                    <w14:schemeClr w14:val="tx1"/>
                  </w14:solidFill>
                </w14:textFill>
              </w:rPr>
              <w:t>0人</w:t>
            </w:r>
          </w:p>
        </w:tc>
        <w:tc>
          <w:tcPr>
            <w:tcW w:w="27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二类</w:t>
            </w:r>
          </w:p>
        </w:tc>
        <w:tc>
          <w:tcPr>
            <w:tcW w:w="42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西南</w:t>
            </w:r>
          </w:p>
        </w:tc>
        <w:tc>
          <w:tcPr>
            <w:tcW w:w="78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584"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柏林湾</w:t>
            </w:r>
          </w:p>
        </w:tc>
        <w:tc>
          <w:tcPr>
            <w:tcW w:w="67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107.591936</w:t>
            </w:r>
          </w:p>
        </w:tc>
        <w:tc>
          <w:tcPr>
            <w:tcW w:w="67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31.370033</w:t>
            </w:r>
          </w:p>
        </w:tc>
        <w:tc>
          <w:tcPr>
            <w:tcW w:w="63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农村居民</w:t>
            </w:r>
          </w:p>
        </w:tc>
        <w:tc>
          <w:tcPr>
            <w:tcW w:w="96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85人</w:t>
            </w:r>
          </w:p>
        </w:tc>
        <w:tc>
          <w:tcPr>
            <w:tcW w:w="27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二类</w:t>
            </w:r>
          </w:p>
        </w:tc>
        <w:tc>
          <w:tcPr>
            <w:tcW w:w="42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西</w:t>
            </w:r>
          </w:p>
        </w:tc>
        <w:tc>
          <w:tcPr>
            <w:tcW w:w="78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1237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584"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廖家院子</w:t>
            </w:r>
          </w:p>
        </w:tc>
        <w:tc>
          <w:tcPr>
            <w:tcW w:w="67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107.586909</w:t>
            </w:r>
          </w:p>
        </w:tc>
        <w:tc>
          <w:tcPr>
            <w:tcW w:w="67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31.298152</w:t>
            </w:r>
          </w:p>
        </w:tc>
        <w:tc>
          <w:tcPr>
            <w:tcW w:w="63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农村居民</w:t>
            </w:r>
          </w:p>
        </w:tc>
        <w:tc>
          <w:tcPr>
            <w:tcW w:w="96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80人</w:t>
            </w:r>
          </w:p>
        </w:tc>
        <w:tc>
          <w:tcPr>
            <w:tcW w:w="27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二类</w:t>
            </w:r>
          </w:p>
        </w:tc>
        <w:tc>
          <w:tcPr>
            <w:tcW w:w="42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北</w:t>
            </w:r>
          </w:p>
        </w:tc>
        <w:tc>
          <w:tcPr>
            <w:tcW w:w="78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584"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孙家塝</w:t>
            </w:r>
          </w:p>
        </w:tc>
        <w:tc>
          <w:tcPr>
            <w:tcW w:w="67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107.568661</w:t>
            </w:r>
          </w:p>
        </w:tc>
        <w:tc>
          <w:tcPr>
            <w:tcW w:w="67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31.292009</w:t>
            </w:r>
          </w:p>
        </w:tc>
        <w:tc>
          <w:tcPr>
            <w:tcW w:w="63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农村居民</w:t>
            </w:r>
          </w:p>
        </w:tc>
        <w:tc>
          <w:tcPr>
            <w:tcW w:w="96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60人</w:t>
            </w:r>
          </w:p>
        </w:tc>
        <w:tc>
          <w:tcPr>
            <w:tcW w:w="27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二类</w:t>
            </w:r>
          </w:p>
        </w:tc>
        <w:tc>
          <w:tcPr>
            <w:tcW w:w="42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东南</w:t>
            </w:r>
          </w:p>
        </w:tc>
        <w:tc>
          <w:tcPr>
            <w:tcW w:w="78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584"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梁那边</w:t>
            </w:r>
          </w:p>
        </w:tc>
        <w:tc>
          <w:tcPr>
            <w:tcW w:w="67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107.634398</w:t>
            </w:r>
          </w:p>
        </w:tc>
        <w:tc>
          <w:tcPr>
            <w:tcW w:w="67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31.303111</w:t>
            </w:r>
          </w:p>
        </w:tc>
        <w:tc>
          <w:tcPr>
            <w:tcW w:w="63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农村居民</w:t>
            </w:r>
          </w:p>
        </w:tc>
        <w:tc>
          <w:tcPr>
            <w:tcW w:w="96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0</w:t>
            </w:r>
            <w:r>
              <w:rPr>
                <w:rFonts w:hint="eastAsia"/>
                <w:color w:val="000000" w:themeColor="text1"/>
                <w:highlight w:val="none"/>
                <w14:textFill>
                  <w14:solidFill>
                    <w14:schemeClr w14:val="tx1"/>
                  </w14:solidFill>
                </w14:textFill>
              </w:rPr>
              <w:t>5人</w:t>
            </w:r>
          </w:p>
        </w:tc>
        <w:tc>
          <w:tcPr>
            <w:tcW w:w="27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二类</w:t>
            </w:r>
          </w:p>
        </w:tc>
        <w:tc>
          <w:tcPr>
            <w:tcW w:w="42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东南</w:t>
            </w:r>
          </w:p>
        </w:tc>
        <w:tc>
          <w:tcPr>
            <w:tcW w:w="78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1866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584"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赵家湾</w:t>
            </w:r>
          </w:p>
        </w:tc>
        <w:tc>
          <w:tcPr>
            <w:tcW w:w="67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107.568766</w:t>
            </w:r>
          </w:p>
        </w:tc>
        <w:tc>
          <w:tcPr>
            <w:tcW w:w="67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31.292253</w:t>
            </w:r>
          </w:p>
        </w:tc>
        <w:tc>
          <w:tcPr>
            <w:tcW w:w="63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农村居民</w:t>
            </w:r>
          </w:p>
        </w:tc>
        <w:tc>
          <w:tcPr>
            <w:tcW w:w="96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86</w:t>
            </w:r>
            <w:r>
              <w:rPr>
                <w:rFonts w:hint="eastAsia"/>
                <w:color w:val="000000" w:themeColor="text1"/>
                <w:highlight w:val="none"/>
                <w14:textFill>
                  <w14:solidFill>
                    <w14:schemeClr w14:val="tx1"/>
                  </w14:solidFill>
                </w14:textFill>
              </w:rPr>
              <w:t>人</w:t>
            </w:r>
          </w:p>
        </w:tc>
        <w:tc>
          <w:tcPr>
            <w:tcW w:w="27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二类</w:t>
            </w:r>
          </w:p>
        </w:tc>
        <w:tc>
          <w:tcPr>
            <w:tcW w:w="42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东南</w:t>
            </w:r>
          </w:p>
        </w:tc>
        <w:tc>
          <w:tcPr>
            <w:tcW w:w="78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2778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584"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点拨湾</w:t>
            </w:r>
          </w:p>
        </w:tc>
        <w:tc>
          <w:tcPr>
            <w:tcW w:w="67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107.634114</w:t>
            </w:r>
          </w:p>
        </w:tc>
        <w:tc>
          <w:tcPr>
            <w:tcW w:w="67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31.302881</w:t>
            </w:r>
          </w:p>
        </w:tc>
        <w:tc>
          <w:tcPr>
            <w:tcW w:w="63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农村居民</w:t>
            </w:r>
          </w:p>
        </w:tc>
        <w:tc>
          <w:tcPr>
            <w:tcW w:w="96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70</w:t>
            </w:r>
            <w:r>
              <w:rPr>
                <w:rFonts w:hint="eastAsia"/>
                <w:color w:val="000000" w:themeColor="text1"/>
                <w:highlight w:val="none"/>
                <w14:textFill>
                  <w14:solidFill>
                    <w14:schemeClr w14:val="tx1"/>
                  </w14:solidFill>
                </w14:textFill>
              </w:rPr>
              <w:t>人</w:t>
            </w:r>
          </w:p>
        </w:tc>
        <w:tc>
          <w:tcPr>
            <w:tcW w:w="27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二类</w:t>
            </w:r>
          </w:p>
        </w:tc>
        <w:tc>
          <w:tcPr>
            <w:tcW w:w="42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南</w:t>
            </w:r>
          </w:p>
        </w:tc>
        <w:tc>
          <w:tcPr>
            <w:tcW w:w="78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2153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584"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赵王坝</w:t>
            </w:r>
          </w:p>
        </w:tc>
        <w:tc>
          <w:tcPr>
            <w:tcW w:w="67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107.564409</w:t>
            </w:r>
          </w:p>
        </w:tc>
        <w:tc>
          <w:tcPr>
            <w:tcW w:w="67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31.359056</w:t>
            </w:r>
          </w:p>
        </w:tc>
        <w:tc>
          <w:tcPr>
            <w:tcW w:w="63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农村居民</w:t>
            </w:r>
          </w:p>
        </w:tc>
        <w:tc>
          <w:tcPr>
            <w:tcW w:w="96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w:t>
            </w:r>
            <w:r>
              <w:rPr>
                <w:rFonts w:hint="eastAsia"/>
                <w:color w:val="000000" w:themeColor="text1"/>
                <w:highlight w:val="none"/>
                <w14:textFill>
                  <w14:solidFill>
                    <w14:schemeClr w14:val="tx1"/>
                  </w14:solidFill>
                </w14:textFill>
              </w:rPr>
              <w:t>0人</w:t>
            </w:r>
          </w:p>
        </w:tc>
        <w:tc>
          <w:tcPr>
            <w:tcW w:w="27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二类</w:t>
            </w:r>
          </w:p>
        </w:tc>
        <w:tc>
          <w:tcPr>
            <w:tcW w:w="42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西南</w:t>
            </w:r>
          </w:p>
        </w:tc>
        <w:tc>
          <w:tcPr>
            <w:tcW w:w="78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1804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584"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新生窝</w:t>
            </w:r>
          </w:p>
        </w:tc>
        <w:tc>
          <w:tcPr>
            <w:tcW w:w="67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107.559810</w:t>
            </w:r>
          </w:p>
        </w:tc>
        <w:tc>
          <w:tcPr>
            <w:tcW w:w="67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31.369009</w:t>
            </w:r>
          </w:p>
        </w:tc>
        <w:tc>
          <w:tcPr>
            <w:tcW w:w="63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农村居民</w:t>
            </w:r>
          </w:p>
        </w:tc>
        <w:tc>
          <w:tcPr>
            <w:tcW w:w="96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110</w:t>
            </w:r>
            <w:r>
              <w:rPr>
                <w:rFonts w:hint="eastAsia"/>
                <w:color w:val="000000" w:themeColor="text1"/>
                <w:highlight w:val="none"/>
                <w14:textFill>
                  <w14:solidFill>
                    <w14:schemeClr w14:val="tx1"/>
                  </w14:solidFill>
                </w14:textFill>
              </w:rPr>
              <w:t>人</w:t>
            </w:r>
          </w:p>
        </w:tc>
        <w:tc>
          <w:tcPr>
            <w:tcW w:w="27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二类</w:t>
            </w:r>
          </w:p>
        </w:tc>
        <w:tc>
          <w:tcPr>
            <w:tcW w:w="42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西南</w:t>
            </w:r>
          </w:p>
        </w:tc>
        <w:tc>
          <w:tcPr>
            <w:tcW w:w="78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2113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584"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老房子</w:t>
            </w:r>
          </w:p>
        </w:tc>
        <w:tc>
          <w:tcPr>
            <w:tcW w:w="67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107.632720</w:t>
            </w:r>
          </w:p>
        </w:tc>
        <w:tc>
          <w:tcPr>
            <w:tcW w:w="67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31.376363</w:t>
            </w:r>
          </w:p>
        </w:tc>
        <w:tc>
          <w:tcPr>
            <w:tcW w:w="63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农村居民</w:t>
            </w:r>
          </w:p>
        </w:tc>
        <w:tc>
          <w:tcPr>
            <w:tcW w:w="96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w:t>
            </w:r>
            <w:r>
              <w:rPr>
                <w:rFonts w:hint="eastAsia"/>
                <w:color w:val="000000" w:themeColor="text1"/>
                <w:highlight w:val="none"/>
                <w14:textFill>
                  <w14:solidFill>
                    <w14:schemeClr w14:val="tx1"/>
                  </w14:solidFill>
                </w14:textFill>
              </w:rPr>
              <w:t>0人</w:t>
            </w:r>
          </w:p>
        </w:tc>
        <w:tc>
          <w:tcPr>
            <w:tcW w:w="27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二类</w:t>
            </w:r>
          </w:p>
        </w:tc>
        <w:tc>
          <w:tcPr>
            <w:tcW w:w="42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西南</w:t>
            </w:r>
          </w:p>
        </w:tc>
        <w:tc>
          <w:tcPr>
            <w:tcW w:w="78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2643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584"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南紫村</w:t>
            </w:r>
          </w:p>
        </w:tc>
        <w:tc>
          <w:tcPr>
            <w:tcW w:w="67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107.655335</w:t>
            </w:r>
          </w:p>
        </w:tc>
        <w:tc>
          <w:tcPr>
            <w:tcW w:w="67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31.337251</w:t>
            </w:r>
          </w:p>
        </w:tc>
        <w:tc>
          <w:tcPr>
            <w:tcW w:w="63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农村居民</w:t>
            </w:r>
          </w:p>
        </w:tc>
        <w:tc>
          <w:tcPr>
            <w:tcW w:w="96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36</w:t>
            </w:r>
            <w:r>
              <w:rPr>
                <w:rFonts w:hint="eastAsia"/>
                <w:color w:val="000000" w:themeColor="text1"/>
                <w:highlight w:val="none"/>
                <w14:textFill>
                  <w14:solidFill>
                    <w14:schemeClr w14:val="tx1"/>
                  </w14:solidFill>
                </w14:textFill>
              </w:rPr>
              <w:t>0人</w:t>
            </w:r>
          </w:p>
        </w:tc>
        <w:tc>
          <w:tcPr>
            <w:tcW w:w="27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二类</w:t>
            </w:r>
          </w:p>
        </w:tc>
        <w:tc>
          <w:tcPr>
            <w:tcW w:w="42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北</w:t>
            </w:r>
          </w:p>
        </w:tc>
        <w:tc>
          <w:tcPr>
            <w:tcW w:w="78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584"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下坝</w:t>
            </w:r>
          </w:p>
        </w:tc>
        <w:tc>
          <w:tcPr>
            <w:tcW w:w="67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107.6310686</w:t>
            </w:r>
          </w:p>
        </w:tc>
        <w:tc>
          <w:tcPr>
            <w:tcW w:w="67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31.33439906</w:t>
            </w:r>
          </w:p>
        </w:tc>
        <w:tc>
          <w:tcPr>
            <w:tcW w:w="63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农村居民</w:t>
            </w:r>
          </w:p>
        </w:tc>
        <w:tc>
          <w:tcPr>
            <w:tcW w:w="96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w:t>
            </w:r>
            <w:r>
              <w:rPr>
                <w:rFonts w:hint="eastAsia"/>
                <w:color w:val="000000" w:themeColor="text1"/>
                <w:highlight w:val="none"/>
                <w14:textFill>
                  <w14:solidFill>
                    <w14:schemeClr w14:val="tx1"/>
                  </w14:solidFill>
                </w14:textFill>
              </w:rPr>
              <w:t>0人</w:t>
            </w:r>
          </w:p>
        </w:tc>
        <w:tc>
          <w:tcPr>
            <w:tcW w:w="27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二类</w:t>
            </w:r>
          </w:p>
        </w:tc>
        <w:tc>
          <w:tcPr>
            <w:tcW w:w="42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东北</w:t>
            </w:r>
          </w:p>
        </w:tc>
        <w:tc>
          <w:tcPr>
            <w:tcW w:w="78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2360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584"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白果树坝</w:t>
            </w:r>
          </w:p>
        </w:tc>
        <w:tc>
          <w:tcPr>
            <w:tcW w:w="67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107.6535772</w:t>
            </w:r>
          </w:p>
        </w:tc>
        <w:tc>
          <w:tcPr>
            <w:tcW w:w="67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31.30625454</w:t>
            </w:r>
          </w:p>
        </w:tc>
        <w:tc>
          <w:tcPr>
            <w:tcW w:w="63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农村居民</w:t>
            </w:r>
          </w:p>
        </w:tc>
        <w:tc>
          <w:tcPr>
            <w:tcW w:w="96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w:t>
            </w:r>
            <w:r>
              <w:rPr>
                <w:rFonts w:hint="eastAsia"/>
                <w:color w:val="000000" w:themeColor="text1"/>
                <w:highlight w:val="none"/>
                <w14:textFill>
                  <w14:solidFill>
                    <w14:schemeClr w14:val="tx1"/>
                  </w14:solidFill>
                </w14:textFill>
              </w:rPr>
              <w:t>0人</w:t>
            </w:r>
          </w:p>
        </w:tc>
        <w:tc>
          <w:tcPr>
            <w:tcW w:w="27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二类</w:t>
            </w:r>
          </w:p>
        </w:tc>
        <w:tc>
          <w:tcPr>
            <w:tcW w:w="42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西北</w:t>
            </w:r>
          </w:p>
        </w:tc>
        <w:tc>
          <w:tcPr>
            <w:tcW w:w="78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1918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584"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龙洞河</w:t>
            </w:r>
          </w:p>
        </w:tc>
        <w:tc>
          <w:tcPr>
            <w:tcW w:w="67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107.5678402</w:t>
            </w:r>
          </w:p>
        </w:tc>
        <w:tc>
          <w:tcPr>
            <w:tcW w:w="67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31.31606317</w:t>
            </w:r>
          </w:p>
        </w:tc>
        <w:tc>
          <w:tcPr>
            <w:tcW w:w="63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农村居民</w:t>
            </w:r>
          </w:p>
        </w:tc>
        <w:tc>
          <w:tcPr>
            <w:tcW w:w="96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96</w:t>
            </w:r>
            <w:r>
              <w:rPr>
                <w:rFonts w:hint="eastAsia"/>
                <w:color w:val="000000" w:themeColor="text1"/>
                <w:highlight w:val="none"/>
                <w14:textFill>
                  <w14:solidFill>
                    <w14:schemeClr w14:val="tx1"/>
                  </w14:solidFill>
                </w14:textFill>
              </w:rPr>
              <w:t>人</w:t>
            </w:r>
          </w:p>
        </w:tc>
        <w:tc>
          <w:tcPr>
            <w:tcW w:w="27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二类</w:t>
            </w:r>
          </w:p>
        </w:tc>
        <w:tc>
          <w:tcPr>
            <w:tcW w:w="42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西南</w:t>
            </w:r>
          </w:p>
        </w:tc>
        <w:tc>
          <w:tcPr>
            <w:tcW w:w="78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2103</w:t>
            </w:r>
          </w:p>
        </w:tc>
      </w:tr>
    </w:tbl>
    <w:p>
      <w:pPr>
        <w:pStyle w:val="96"/>
        <w:spacing w:before="120"/>
        <w:rPr>
          <w:color w:val="000000" w:themeColor="text1"/>
          <w:highlight w:val="none"/>
          <w14:textFill>
            <w14:solidFill>
              <w14:schemeClr w14:val="tx1"/>
            </w14:solidFill>
          </w14:textFill>
        </w:rPr>
      </w:pPr>
      <w:bookmarkStart w:id="106" w:name="_Toc140496890"/>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外输管线周边环境空气保护目标一览表</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68"/>
        <w:gridCol w:w="1100"/>
        <w:gridCol w:w="995"/>
        <w:gridCol w:w="1137"/>
        <w:gridCol w:w="1563"/>
        <w:gridCol w:w="568"/>
        <w:gridCol w:w="569"/>
        <w:gridCol w:w="12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tblHeader/>
          <w:jc w:val="center"/>
        </w:trPr>
        <w:tc>
          <w:tcPr>
            <w:tcW w:w="702" w:type="pct"/>
            <w:vMerge w:val="restart"/>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名称</w:t>
            </w:r>
          </w:p>
        </w:tc>
        <w:tc>
          <w:tcPr>
            <w:tcW w:w="1259" w:type="pct"/>
            <w:gridSpan w:val="2"/>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经纬度</w:t>
            </w:r>
          </w:p>
        </w:tc>
        <w:tc>
          <w:tcPr>
            <w:tcW w:w="683" w:type="pct"/>
            <w:vMerge w:val="restart"/>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保护</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对象</w:t>
            </w:r>
          </w:p>
        </w:tc>
        <w:tc>
          <w:tcPr>
            <w:tcW w:w="939" w:type="pct"/>
            <w:vMerge w:val="restart"/>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保护内容</w:t>
            </w:r>
          </w:p>
        </w:tc>
        <w:tc>
          <w:tcPr>
            <w:tcW w:w="341" w:type="pct"/>
            <w:vMerge w:val="restart"/>
            <w:tcBorders>
              <w:top w:val="single" w:color="auto" w:sz="4" w:space="0"/>
              <w:left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环境功能区</w:t>
            </w:r>
          </w:p>
        </w:tc>
        <w:tc>
          <w:tcPr>
            <w:tcW w:w="342" w:type="pct"/>
            <w:vMerge w:val="restart"/>
            <w:tcBorders>
              <w:top w:val="single" w:color="auto" w:sz="4" w:space="0"/>
              <w:left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方位</w:t>
            </w:r>
          </w:p>
        </w:tc>
        <w:tc>
          <w:tcPr>
            <w:tcW w:w="733" w:type="pct"/>
            <w:vMerge w:val="restart"/>
            <w:tcBorders>
              <w:top w:val="single" w:color="auto" w:sz="4" w:space="0"/>
              <w:left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相对</w:t>
            </w:r>
            <w:r>
              <w:rPr>
                <w:rFonts w:hint="eastAsia"/>
                <w:b/>
                <w:bCs/>
                <w:color w:val="000000" w:themeColor="text1"/>
                <w:highlight w:val="none"/>
                <w14:textFill>
                  <w14:solidFill>
                    <w14:schemeClr w14:val="tx1"/>
                  </w14:solidFill>
                </w14:textFill>
              </w:rPr>
              <w:t>管线中心线</w:t>
            </w:r>
            <w:r>
              <w:rPr>
                <w:b/>
                <w:bCs/>
                <w:color w:val="000000" w:themeColor="text1"/>
                <w:highlight w:val="none"/>
                <w14:textFill>
                  <w14:solidFill>
                    <w14:schemeClr w14:val="tx1"/>
                  </w14:solidFill>
                </w14:textFill>
              </w:rPr>
              <w:t>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tblHeader/>
          <w:jc w:val="center"/>
        </w:trPr>
        <w:tc>
          <w:tcPr>
            <w:tcW w:w="702" w:type="pct"/>
            <w:vMerge w:val="continue"/>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p>
        </w:tc>
        <w:tc>
          <w:tcPr>
            <w:tcW w:w="661" w:type="pct"/>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经度</w:t>
            </w:r>
          </w:p>
        </w:tc>
        <w:tc>
          <w:tcPr>
            <w:tcW w:w="598" w:type="pct"/>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纬度</w:t>
            </w:r>
          </w:p>
        </w:tc>
        <w:tc>
          <w:tcPr>
            <w:tcW w:w="683" w:type="pct"/>
            <w:vMerge w:val="continue"/>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p>
        </w:tc>
        <w:tc>
          <w:tcPr>
            <w:tcW w:w="939" w:type="pct"/>
            <w:vMerge w:val="continue"/>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p>
        </w:tc>
        <w:tc>
          <w:tcPr>
            <w:tcW w:w="341" w:type="pct"/>
            <w:vMerge w:val="continue"/>
            <w:tcBorders>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p>
        </w:tc>
        <w:tc>
          <w:tcPr>
            <w:tcW w:w="342" w:type="pct"/>
            <w:vMerge w:val="continue"/>
            <w:tcBorders>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p>
        </w:tc>
        <w:tc>
          <w:tcPr>
            <w:tcW w:w="733" w:type="pct"/>
            <w:vMerge w:val="continue"/>
            <w:tcBorders>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70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1#居民点</w:t>
            </w:r>
          </w:p>
        </w:tc>
        <w:tc>
          <w:tcPr>
            <w:tcW w:w="661"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107.603168</w:t>
            </w:r>
          </w:p>
        </w:tc>
        <w:tc>
          <w:tcPr>
            <w:tcW w:w="598"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31.331534</w:t>
            </w:r>
          </w:p>
        </w:tc>
        <w:tc>
          <w:tcPr>
            <w:tcW w:w="68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3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5</w:t>
            </w:r>
            <w:r>
              <w:rPr>
                <w:color w:val="000000" w:themeColor="text1"/>
                <w:highlight w:val="none"/>
                <w:lang w:eastAsia="en-US"/>
                <w14:textFill>
                  <w14:solidFill>
                    <w14:schemeClr w14:val="tx1"/>
                  </w14:solidFill>
                </w14:textFill>
              </w:rPr>
              <w:t>户，</w:t>
            </w:r>
            <w:r>
              <w:rPr>
                <w:color w:val="000000" w:themeColor="text1"/>
                <w:highlight w:val="none"/>
                <w14:textFill>
                  <w14:solidFill>
                    <w14:schemeClr w14:val="tx1"/>
                  </w14:solidFill>
                </w14:textFill>
              </w:rPr>
              <w:t>20</w:t>
            </w:r>
            <w:r>
              <w:rPr>
                <w:color w:val="000000" w:themeColor="text1"/>
                <w:highlight w:val="none"/>
                <w:lang w:eastAsia="en-US"/>
                <w14:textFill>
                  <w14:solidFill>
                    <w14:schemeClr w14:val="tx1"/>
                  </w14:solidFill>
                </w14:textFill>
              </w:rPr>
              <w:t>人</w:t>
            </w:r>
          </w:p>
        </w:tc>
        <w:tc>
          <w:tcPr>
            <w:tcW w:w="34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34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南</w:t>
            </w:r>
            <w:r>
              <w:rPr>
                <w:rFonts w:hint="eastAsia"/>
                <w:color w:val="000000" w:themeColor="text1"/>
                <w:highlight w:val="none"/>
                <w14:textFill>
                  <w14:solidFill>
                    <w14:schemeClr w14:val="tx1"/>
                  </w14:solidFill>
                </w14:textFill>
              </w:rPr>
              <w:t>侧</w:t>
            </w:r>
          </w:p>
        </w:tc>
        <w:tc>
          <w:tcPr>
            <w:tcW w:w="73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83</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70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2#居民点</w:t>
            </w:r>
          </w:p>
        </w:tc>
        <w:tc>
          <w:tcPr>
            <w:tcW w:w="661"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107.602891</w:t>
            </w:r>
          </w:p>
        </w:tc>
        <w:tc>
          <w:tcPr>
            <w:tcW w:w="598"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31.332151</w:t>
            </w:r>
          </w:p>
        </w:tc>
        <w:tc>
          <w:tcPr>
            <w:tcW w:w="68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3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15</w:t>
            </w:r>
            <w:r>
              <w:rPr>
                <w:color w:val="000000" w:themeColor="text1"/>
                <w:highlight w:val="none"/>
                <w:lang w:eastAsia="en-US"/>
                <w14:textFill>
                  <w14:solidFill>
                    <w14:schemeClr w14:val="tx1"/>
                  </w14:solidFill>
                </w14:textFill>
              </w:rPr>
              <w:t>户，</w:t>
            </w:r>
            <w:r>
              <w:rPr>
                <w:color w:val="000000" w:themeColor="text1"/>
                <w:highlight w:val="none"/>
                <w14:textFill>
                  <w14:solidFill>
                    <w14:schemeClr w14:val="tx1"/>
                  </w14:solidFill>
                </w14:textFill>
              </w:rPr>
              <w:t>60</w:t>
            </w:r>
            <w:r>
              <w:rPr>
                <w:color w:val="000000" w:themeColor="text1"/>
                <w:highlight w:val="none"/>
                <w:lang w:eastAsia="en-US"/>
                <w14:textFill>
                  <w14:solidFill>
                    <w14:schemeClr w14:val="tx1"/>
                  </w14:solidFill>
                </w14:textFill>
              </w:rPr>
              <w:t>人</w:t>
            </w:r>
          </w:p>
        </w:tc>
        <w:tc>
          <w:tcPr>
            <w:tcW w:w="34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34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南</w:t>
            </w:r>
            <w:r>
              <w:rPr>
                <w:rFonts w:hint="eastAsia"/>
                <w:color w:val="000000" w:themeColor="text1"/>
                <w:highlight w:val="none"/>
                <w14:textFill>
                  <w14:solidFill>
                    <w14:schemeClr w14:val="tx1"/>
                  </w14:solidFill>
                </w14:textFill>
              </w:rPr>
              <w:t>侧</w:t>
            </w:r>
          </w:p>
        </w:tc>
        <w:tc>
          <w:tcPr>
            <w:tcW w:w="73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70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3#居民点</w:t>
            </w:r>
          </w:p>
        </w:tc>
        <w:tc>
          <w:tcPr>
            <w:tcW w:w="661"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107.603561</w:t>
            </w:r>
          </w:p>
        </w:tc>
        <w:tc>
          <w:tcPr>
            <w:tcW w:w="598"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31.332600</w:t>
            </w:r>
          </w:p>
        </w:tc>
        <w:tc>
          <w:tcPr>
            <w:tcW w:w="68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3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2</w:t>
            </w:r>
            <w:r>
              <w:rPr>
                <w:color w:val="000000" w:themeColor="text1"/>
                <w:highlight w:val="none"/>
                <w:lang w:eastAsia="en-US"/>
                <w14:textFill>
                  <w14:solidFill>
                    <w14:schemeClr w14:val="tx1"/>
                  </w14:solidFill>
                </w14:textFill>
              </w:rPr>
              <w:t>户，</w:t>
            </w:r>
            <w:r>
              <w:rPr>
                <w:color w:val="000000" w:themeColor="text1"/>
                <w:highlight w:val="none"/>
                <w14:textFill>
                  <w14:solidFill>
                    <w14:schemeClr w14:val="tx1"/>
                  </w14:solidFill>
                </w14:textFill>
              </w:rPr>
              <w:t>8</w:t>
            </w:r>
            <w:r>
              <w:rPr>
                <w:color w:val="000000" w:themeColor="text1"/>
                <w:highlight w:val="none"/>
                <w:lang w:eastAsia="en-US"/>
                <w14:textFill>
                  <w14:solidFill>
                    <w14:schemeClr w14:val="tx1"/>
                  </w14:solidFill>
                </w14:textFill>
              </w:rPr>
              <w:t>人</w:t>
            </w:r>
          </w:p>
        </w:tc>
        <w:tc>
          <w:tcPr>
            <w:tcW w:w="34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34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北</w:t>
            </w:r>
            <w:r>
              <w:rPr>
                <w:rFonts w:hint="eastAsia"/>
                <w:color w:val="000000" w:themeColor="text1"/>
                <w:highlight w:val="none"/>
                <w14:textFill>
                  <w14:solidFill>
                    <w14:schemeClr w14:val="tx1"/>
                  </w14:solidFill>
                </w14:textFill>
              </w:rPr>
              <w:t>侧</w:t>
            </w:r>
          </w:p>
        </w:tc>
        <w:tc>
          <w:tcPr>
            <w:tcW w:w="73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70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4#居民点</w:t>
            </w:r>
          </w:p>
        </w:tc>
        <w:tc>
          <w:tcPr>
            <w:tcW w:w="661"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107.600380</w:t>
            </w:r>
          </w:p>
        </w:tc>
        <w:tc>
          <w:tcPr>
            <w:tcW w:w="598"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31.336355</w:t>
            </w:r>
          </w:p>
        </w:tc>
        <w:tc>
          <w:tcPr>
            <w:tcW w:w="68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3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6</w:t>
            </w:r>
            <w:r>
              <w:rPr>
                <w:color w:val="000000" w:themeColor="text1"/>
                <w:highlight w:val="none"/>
                <w:lang w:eastAsia="en-US"/>
                <w14:textFill>
                  <w14:solidFill>
                    <w14:schemeClr w14:val="tx1"/>
                  </w14:solidFill>
                </w14:textFill>
              </w:rPr>
              <w:t>户，</w:t>
            </w:r>
            <w:r>
              <w:rPr>
                <w:color w:val="000000" w:themeColor="text1"/>
                <w:highlight w:val="none"/>
                <w14:textFill>
                  <w14:solidFill>
                    <w14:schemeClr w14:val="tx1"/>
                  </w14:solidFill>
                </w14:textFill>
              </w:rPr>
              <w:t>24</w:t>
            </w:r>
            <w:r>
              <w:rPr>
                <w:color w:val="000000" w:themeColor="text1"/>
                <w:highlight w:val="none"/>
                <w:lang w:eastAsia="en-US"/>
                <w14:textFill>
                  <w14:solidFill>
                    <w14:schemeClr w14:val="tx1"/>
                  </w14:solidFill>
                </w14:textFill>
              </w:rPr>
              <w:t>人</w:t>
            </w:r>
          </w:p>
        </w:tc>
        <w:tc>
          <w:tcPr>
            <w:tcW w:w="34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34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北</w:t>
            </w:r>
            <w:r>
              <w:rPr>
                <w:rFonts w:hint="eastAsia"/>
                <w:color w:val="000000" w:themeColor="text1"/>
                <w:highlight w:val="none"/>
                <w14:textFill>
                  <w14:solidFill>
                    <w14:schemeClr w14:val="tx1"/>
                  </w14:solidFill>
                </w14:textFill>
              </w:rPr>
              <w:t>侧</w:t>
            </w:r>
          </w:p>
        </w:tc>
        <w:tc>
          <w:tcPr>
            <w:tcW w:w="73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eastAsiaTheme="minorEastAsia"/>
                <w:color w:val="000000" w:themeColor="text1"/>
                <w:highlight w:val="none"/>
                <w14:textFill>
                  <w14:solidFill>
                    <w14:schemeClr w14:val="tx1"/>
                  </w14:solidFill>
                </w14:textFill>
              </w:rPr>
              <w:t>136</w:t>
            </w:r>
            <w:r>
              <w:rPr>
                <w:color w:val="000000" w:themeColor="text1"/>
                <w:highlight w:val="none"/>
                <w14:textFill>
                  <w14:solidFill>
                    <w14:schemeClr w14:val="tx1"/>
                  </w14:solidFill>
                </w14:textFill>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70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5#居民点</w:t>
            </w:r>
          </w:p>
        </w:tc>
        <w:tc>
          <w:tcPr>
            <w:tcW w:w="661"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107.594703</w:t>
            </w:r>
          </w:p>
        </w:tc>
        <w:tc>
          <w:tcPr>
            <w:tcW w:w="598"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31.336236</w:t>
            </w:r>
          </w:p>
        </w:tc>
        <w:tc>
          <w:tcPr>
            <w:tcW w:w="68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3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6户，约24人</w:t>
            </w:r>
          </w:p>
        </w:tc>
        <w:tc>
          <w:tcPr>
            <w:tcW w:w="34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34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北</w:t>
            </w:r>
            <w:r>
              <w:rPr>
                <w:rFonts w:hint="eastAsia"/>
                <w:color w:val="000000" w:themeColor="text1"/>
                <w:highlight w:val="none"/>
                <w14:textFill>
                  <w14:solidFill>
                    <w14:schemeClr w14:val="tx1"/>
                  </w14:solidFill>
                </w14:textFill>
              </w:rPr>
              <w:t>侧</w:t>
            </w:r>
          </w:p>
        </w:tc>
        <w:tc>
          <w:tcPr>
            <w:tcW w:w="73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28</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70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6#居民点</w:t>
            </w:r>
          </w:p>
        </w:tc>
        <w:tc>
          <w:tcPr>
            <w:tcW w:w="661"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107.587873</w:t>
            </w:r>
          </w:p>
        </w:tc>
        <w:tc>
          <w:tcPr>
            <w:tcW w:w="598"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31.335694</w:t>
            </w:r>
          </w:p>
        </w:tc>
        <w:tc>
          <w:tcPr>
            <w:tcW w:w="68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3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27</w:t>
            </w:r>
            <w:r>
              <w:rPr>
                <w:color w:val="000000" w:themeColor="text1"/>
                <w:highlight w:val="none"/>
                <w:lang w:eastAsia="en-US"/>
                <w14:textFill>
                  <w14:solidFill>
                    <w14:schemeClr w14:val="tx1"/>
                  </w14:solidFill>
                </w14:textFill>
              </w:rPr>
              <w:t>户，约</w:t>
            </w:r>
            <w:r>
              <w:rPr>
                <w:color w:val="000000" w:themeColor="text1"/>
                <w:highlight w:val="none"/>
                <w14:textFill>
                  <w14:solidFill>
                    <w14:schemeClr w14:val="tx1"/>
                  </w14:solidFill>
                </w14:textFill>
              </w:rPr>
              <w:t>108</w:t>
            </w:r>
            <w:r>
              <w:rPr>
                <w:color w:val="000000" w:themeColor="text1"/>
                <w:highlight w:val="none"/>
                <w:lang w:eastAsia="en-US"/>
                <w14:textFill>
                  <w14:solidFill>
                    <w14:schemeClr w14:val="tx1"/>
                  </w14:solidFill>
                </w14:textFill>
              </w:rPr>
              <w:t>人</w:t>
            </w:r>
          </w:p>
        </w:tc>
        <w:tc>
          <w:tcPr>
            <w:tcW w:w="34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34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南</w:t>
            </w:r>
            <w:r>
              <w:rPr>
                <w:rFonts w:hint="eastAsia"/>
                <w:color w:val="000000" w:themeColor="text1"/>
                <w:highlight w:val="none"/>
                <w14:textFill>
                  <w14:solidFill>
                    <w14:schemeClr w14:val="tx1"/>
                  </w14:solidFill>
                </w14:textFill>
              </w:rPr>
              <w:t>侧</w:t>
            </w:r>
          </w:p>
        </w:tc>
        <w:tc>
          <w:tcPr>
            <w:tcW w:w="73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12</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198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70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7#居民点</w:t>
            </w:r>
          </w:p>
        </w:tc>
        <w:tc>
          <w:tcPr>
            <w:tcW w:w="661"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107.586404</w:t>
            </w:r>
          </w:p>
        </w:tc>
        <w:tc>
          <w:tcPr>
            <w:tcW w:w="598"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31.336905</w:t>
            </w:r>
          </w:p>
        </w:tc>
        <w:tc>
          <w:tcPr>
            <w:tcW w:w="68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3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8户，约</w:t>
            </w:r>
            <w:r>
              <w:rPr>
                <w:color w:val="000000" w:themeColor="text1"/>
                <w:highlight w:val="none"/>
                <w14:textFill>
                  <w14:solidFill>
                    <w14:schemeClr w14:val="tx1"/>
                  </w14:solidFill>
                </w14:textFill>
              </w:rPr>
              <w:t>32</w:t>
            </w:r>
            <w:r>
              <w:rPr>
                <w:color w:val="000000" w:themeColor="text1"/>
                <w:highlight w:val="none"/>
                <w:lang w:eastAsia="en-US"/>
                <w14:textFill>
                  <w14:solidFill>
                    <w14:schemeClr w14:val="tx1"/>
                  </w14:solidFill>
                </w14:textFill>
              </w:rPr>
              <w:t>人</w:t>
            </w:r>
          </w:p>
        </w:tc>
        <w:tc>
          <w:tcPr>
            <w:tcW w:w="34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34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北</w:t>
            </w:r>
            <w:r>
              <w:rPr>
                <w:rFonts w:hint="eastAsia"/>
                <w:color w:val="000000" w:themeColor="text1"/>
                <w:highlight w:val="none"/>
                <w14:textFill>
                  <w14:solidFill>
                    <w14:schemeClr w14:val="tx1"/>
                  </w14:solidFill>
                </w14:textFill>
              </w:rPr>
              <w:t>侧</w:t>
            </w:r>
          </w:p>
        </w:tc>
        <w:tc>
          <w:tcPr>
            <w:tcW w:w="73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16</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70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8#居民点</w:t>
            </w:r>
          </w:p>
        </w:tc>
        <w:tc>
          <w:tcPr>
            <w:tcW w:w="661"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107.583943</w:t>
            </w:r>
          </w:p>
        </w:tc>
        <w:tc>
          <w:tcPr>
            <w:tcW w:w="598"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31.339453</w:t>
            </w:r>
          </w:p>
        </w:tc>
        <w:tc>
          <w:tcPr>
            <w:tcW w:w="68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3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12</w:t>
            </w:r>
            <w:r>
              <w:rPr>
                <w:color w:val="000000" w:themeColor="text1"/>
                <w:highlight w:val="none"/>
                <w:lang w:eastAsia="en-US"/>
                <w14:textFill>
                  <w14:solidFill>
                    <w14:schemeClr w14:val="tx1"/>
                  </w14:solidFill>
                </w14:textFill>
              </w:rPr>
              <w:t>户，</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8</w:t>
            </w:r>
            <w:r>
              <w:rPr>
                <w:color w:val="000000" w:themeColor="text1"/>
                <w:highlight w:val="none"/>
                <w:lang w:eastAsia="en-US"/>
                <w14:textFill>
                  <w14:solidFill>
                    <w14:schemeClr w14:val="tx1"/>
                  </w14:solidFill>
                </w14:textFill>
              </w:rPr>
              <w:t>人</w:t>
            </w:r>
          </w:p>
        </w:tc>
        <w:tc>
          <w:tcPr>
            <w:tcW w:w="34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34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北</w:t>
            </w:r>
            <w:r>
              <w:rPr>
                <w:rFonts w:hint="eastAsia"/>
                <w:color w:val="000000" w:themeColor="text1"/>
                <w:highlight w:val="none"/>
                <w14:textFill>
                  <w14:solidFill>
                    <w14:schemeClr w14:val="tx1"/>
                  </w14:solidFill>
                </w14:textFill>
              </w:rPr>
              <w:t>侧</w:t>
            </w:r>
          </w:p>
        </w:tc>
        <w:tc>
          <w:tcPr>
            <w:tcW w:w="73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21</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180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70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9#居民点</w:t>
            </w:r>
          </w:p>
        </w:tc>
        <w:tc>
          <w:tcPr>
            <w:tcW w:w="661"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107.568868</w:t>
            </w:r>
          </w:p>
        </w:tc>
        <w:tc>
          <w:tcPr>
            <w:tcW w:w="598"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31.344195</w:t>
            </w:r>
          </w:p>
        </w:tc>
        <w:tc>
          <w:tcPr>
            <w:tcW w:w="68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3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2</w:t>
            </w:r>
            <w:r>
              <w:rPr>
                <w:color w:val="000000" w:themeColor="text1"/>
                <w:highlight w:val="none"/>
                <w:lang w:eastAsia="en-US"/>
                <w14:textFill>
                  <w14:solidFill>
                    <w14:schemeClr w14:val="tx1"/>
                  </w14:solidFill>
                </w14:textFill>
              </w:rPr>
              <w:t>户，约</w:t>
            </w:r>
            <w:r>
              <w:rPr>
                <w:color w:val="000000" w:themeColor="text1"/>
                <w:highlight w:val="none"/>
                <w14:textFill>
                  <w14:solidFill>
                    <w14:schemeClr w14:val="tx1"/>
                  </w14:solidFill>
                </w14:textFill>
              </w:rPr>
              <w:t>8</w:t>
            </w:r>
            <w:r>
              <w:rPr>
                <w:color w:val="000000" w:themeColor="text1"/>
                <w:highlight w:val="none"/>
                <w:lang w:eastAsia="en-US"/>
                <w14:textFill>
                  <w14:solidFill>
                    <w14:schemeClr w14:val="tx1"/>
                  </w14:solidFill>
                </w14:textFill>
              </w:rPr>
              <w:t>人</w:t>
            </w:r>
          </w:p>
        </w:tc>
        <w:tc>
          <w:tcPr>
            <w:tcW w:w="34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34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rFonts w:hint="eastAsia"/>
                <w:color w:val="000000" w:themeColor="text1"/>
                <w:highlight w:val="none"/>
                <w14:textFill>
                  <w14:solidFill>
                    <w14:schemeClr w14:val="tx1"/>
                  </w14:solidFill>
                </w14:textFill>
              </w:rPr>
              <w:t>左侧</w:t>
            </w:r>
          </w:p>
        </w:tc>
        <w:tc>
          <w:tcPr>
            <w:tcW w:w="73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eastAsiaTheme="minor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0~1</w:t>
            </w:r>
            <w:r>
              <w:rPr>
                <w:rFonts w:hint="eastAsia" w:eastAsiaTheme="minorEastAsia"/>
                <w:color w:val="000000" w:themeColor="text1"/>
                <w:highlight w:val="none"/>
                <w14:textFill>
                  <w14:solidFill>
                    <w14:schemeClr w14:val="tx1"/>
                  </w14:solidFill>
                </w14:textFill>
              </w:rPr>
              <w:t>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70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10#居民点</w:t>
            </w:r>
          </w:p>
        </w:tc>
        <w:tc>
          <w:tcPr>
            <w:tcW w:w="661"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107.568003</w:t>
            </w:r>
          </w:p>
        </w:tc>
        <w:tc>
          <w:tcPr>
            <w:tcW w:w="598"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31.342449</w:t>
            </w:r>
          </w:p>
        </w:tc>
        <w:tc>
          <w:tcPr>
            <w:tcW w:w="68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3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11</w:t>
            </w:r>
            <w:r>
              <w:rPr>
                <w:color w:val="000000" w:themeColor="text1"/>
                <w:highlight w:val="none"/>
                <w:lang w:eastAsia="en-US"/>
                <w14:textFill>
                  <w14:solidFill>
                    <w14:schemeClr w14:val="tx1"/>
                  </w14:solidFill>
                </w14:textFill>
              </w:rPr>
              <w:t>户，约</w:t>
            </w:r>
            <w:r>
              <w:rPr>
                <w:color w:val="000000" w:themeColor="text1"/>
                <w:highlight w:val="none"/>
                <w14:textFill>
                  <w14:solidFill>
                    <w14:schemeClr w14:val="tx1"/>
                  </w14:solidFill>
                </w14:textFill>
              </w:rPr>
              <w:t>44</w:t>
            </w:r>
            <w:r>
              <w:rPr>
                <w:color w:val="000000" w:themeColor="text1"/>
                <w:highlight w:val="none"/>
                <w:lang w:eastAsia="en-US"/>
                <w14:textFill>
                  <w14:solidFill>
                    <w14:schemeClr w14:val="tx1"/>
                  </w14:solidFill>
                </w14:textFill>
              </w:rPr>
              <w:t>人</w:t>
            </w:r>
          </w:p>
        </w:tc>
        <w:tc>
          <w:tcPr>
            <w:tcW w:w="34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34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南</w:t>
            </w:r>
            <w:r>
              <w:rPr>
                <w:rFonts w:hint="eastAsia"/>
                <w:color w:val="000000" w:themeColor="text1"/>
                <w:highlight w:val="none"/>
                <w14:textFill>
                  <w14:solidFill>
                    <w14:schemeClr w14:val="tx1"/>
                  </w14:solidFill>
                </w14:textFill>
              </w:rPr>
              <w:t>侧</w:t>
            </w:r>
          </w:p>
        </w:tc>
        <w:tc>
          <w:tcPr>
            <w:tcW w:w="73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25</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70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11#居民点</w:t>
            </w:r>
          </w:p>
        </w:tc>
        <w:tc>
          <w:tcPr>
            <w:tcW w:w="661"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107.565430</w:t>
            </w:r>
          </w:p>
        </w:tc>
        <w:tc>
          <w:tcPr>
            <w:tcW w:w="598"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31.343950</w:t>
            </w:r>
          </w:p>
        </w:tc>
        <w:tc>
          <w:tcPr>
            <w:tcW w:w="68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3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6</w:t>
            </w:r>
            <w:r>
              <w:rPr>
                <w:color w:val="000000" w:themeColor="text1"/>
                <w:highlight w:val="none"/>
                <w:lang w:eastAsia="en-US"/>
                <w14:textFill>
                  <w14:solidFill>
                    <w14:schemeClr w14:val="tx1"/>
                  </w14:solidFill>
                </w14:textFill>
              </w:rPr>
              <w:t>户，约</w:t>
            </w:r>
            <w:r>
              <w:rPr>
                <w:color w:val="000000" w:themeColor="text1"/>
                <w:highlight w:val="none"/>
                <w14:textFill>
                  <w14:solidFill>
                    <w14:schemeClr w14:val="tx1"/>
                  </w14:solidFill>
                </w14:textFill>
              </w:rPr>
              <w:t>24</w:t>
            </w:r>
            <w:r>
              <w:rPr>
                <w:color w:val="000000" w:themeColor="text1"/>
                <w:highlight w:val="none"/>
                <w:lang w:eastAsia="en-US"/>
                <w14:textFill>
                  <w14:solidFill>
                    <w14:schemeClr w14:val="tx1"/>
                  </w14:solidFill>
                </w14:textFill>
              </w:rPr>
              <w:t>人</w:t>
            </w:r>
          </w:p>
        </w:tc>
        <w:tc>
          <w:tcPr>
            <w:tcW w:w="34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34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北</w:t>
            </w:r>
            <w:r>
              <w:rPr>
                <w:rFonts w:hint="eastAsia"/>
                <w:color w:val="000000" w:themeColor="text1"/>
                <w:highlight w:val="none"/>
                <w14:textFill>
                  <w14:solidFill>
                    <w14:schemeClr w14:val="tx1"/>
                  </w14:solidFill>
                </w14:textFill>
              </w:rPr>
              <w:t>侧</w:t>
            </w:r>
          </w:p>
        </w:tc>
        <w:tc>
          <w:tcPr>
            <w:tcW w:w="73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116</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155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70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12#居民点</w:t>
            </w:r>
          </w:p>
        </w:tc>
        <w:tc>
          <w:tcPr>
            <w:tcW w:w="661"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107.563539</w:t>
            </w:r>
          </w:p>
        </w:tc>
        <w:tc>
          <w:tcPr>
            <w:tcW w:w="598"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31.344328</w:t>
            </w:r>
          </w:p>
        </w:tc>
        <w:tc>
          <w:tcPr>
            <w:tcW w:w="68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3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rFonts w:hint="eastAsia"/>
                <w:color w:val="000000" w:themeColor="text1"/>
                <w:highlight w:val="none"/>
                <w14:textFill>
                  <w14:solidFill>
                    <w14:schemeClr w14:val="tx1"/>
                  </w14:solidFill>
                </w14:textFill>
              </w:rPr>
              <w:t>5</w:t>
            </w:r>
            <w:r>
              <w:rPr>
                <w:color w:val="000000" w:themeColor="text1"/>
                <w:highlight w:val="none"/>
                <w:lang w:eastAsia="en-US"/>
                <w14:textFill>
                  <w14:solidFill>
                    <w14:schemeClr w14:val="tx1"/>
                  </w14:solidFill>
                </w14:textFill>
              </w:rPr>
              <w:t>户，约</w:t>
            </w:r>
            <w:r>
              <w:rPr>
                <w:color w:val="000000" w:themeColor="text1"/>
                <w:highlight w:val="none"/>
                <w14:textFill>
                  <w14:solidFill>
                    <w14:schemeClr w14:val="tx1"/>
                  </w14:solidFill>
                </w14:textFill>
              </w:rPr>
              <w:t>20</w:t>
            </w:r>
            <w:r>
              <w:rPr>
                <w:color w:val="000000" w:themeColor="text1"/>
                <w:highlight w:val="none"/>
                <w:lang w:eastAsia="en-US"/>
                <w14:textFill>
                  <w14:solidFill>
                    <w14:schemeClr w14:val="tx1"/>
                  </w14:solidFill>
                </w14:textFill>
              </w:rPr>
              <w:t>人</w:t>
            </w:r>
          </w:p>
        </w:tc>
        <w:tc>
          <w:tcPr>
            <w:tcW w:w="34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34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北</w:t>
            </w:r>
            <w:r>
              <w:rPr>
                <w:rFonts w:hint="eastAsia"/>
                <w:color w:val="000000" w:themeColor="text1"/>
                <w:highlight w:val="none"/>
                <w14:textFill>
                  <w14:solidFill>
                    <w14:schemeClr w14:val="tx1"/>
                  </w14:solidFill>
                </w14:textFill>
              </w:rPr>
              <w:t>侧</w:t>
            </w:r>
          </w:p>
        </w:tc>
        <w:tc>
          <w:tcPr>
            <w:tcW w:w="73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eastAsiaTheme="minorEastAsia"/>
                <w:color w:val="000000" w:themeColor="text1"/>
                <w:highlight w:val="none"/>
                <w14:textFill>
                  <w14:solidFill>
                    <w14:schemeClr w14:val="tx1"/>
                  </w14:solidFill>
                </w14:textFill>
              </w:rPr>
              <w:t>50</w:t>
            </w:r>
            <w:r>
              <w:rPr>
                <w:color w:val="000000" w:themeColor="text1"/>
                <w:highlight w:val="none"/>
                <w14:textFill>
                  <w14:solidFill>
                    <w14:schemeClr w14:val="tx1"/>
                  </w14:solidFill>
                </w14:textFill>
              </w:rPr>
              <w:t>~1</w:t>
            </w:r>
            <w:r>
              <w:rPr>
                <w:rFonts w:hint="eastAsia" w:eastAsiaTheme="minor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70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eastAsiaTheme="minorEastAsia"/>
                <w:color w:val="000000" w:themeColor="text1"/>
                <w:highlight w:val="none"/>
                <w14:textFill>
                  <w14:solidFill>
                    <w14:schemeClr w14:val="tx1"/>
                  </w14:solidFill>
                </w14:textFill>
              </w:rPr>
              <w:t>13</w:t>
            </w:r>
            <w:r>
              <w:rPr>
                <w:color w:val="000000" w:themeColor="text1"/>
                <w:highlight w:val="none"/>
                <w14:textFill>
                  <w14:solidFill>
                    <w14:schemeClr w14:val="tx1"/>
                  </w14:solidFill>
                </w14:textFill>
              </w:rPr>
              <w:t>#</w:t>
            </w:r>
            <w:r>
              <w:rPr>
                <w:rFonts w:hint="eastAsia" w:ascii="宋体" w:hAnsi="宋体" w:cs="宋体"/>
                <w:color w:val="000000" w:themeColor="text1"/>
                <w:highlight w:val="none"/>
                <w14:textFill>
                  <w14:solidFill>
                    <w14:schemeClr w14:val="tx1"/>
                  </w14:solidFill>
                </w14:textFill>
              </w:rPr>
              <w:t>居民点</w:t>
            </w:r>
          </w:p>
        </w:tc>
        <w:tc>
          <w:tcPr>
            <w:tcW w:w="661"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107.559574</w:t>
            </w:r>
          </w:p>
        </w:tc>
        <w:tc>
          <w:tcPr>
            <w:tcW w:w="598"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31.345587</w:t>
            </w:r>
          </w:p>
        </w:tc>
        <w:tc>
          <w:tcPr>
            <w:tcW w:w="683"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39"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w:t>
            </w:r>
            <w:r>
              <w:rPr>
                <w:color w:val="000000" w:themeColor="text1"/>
                <w:highlight w:val="none"/>
                <w:lang w:eastAsia="en-US"/>
                <w14:textFill>
                  <w14:solidFill>
                    <w14:schemeClr w14:val="tx1"/>
                  </w14:solidFill>
                </w14:textFill>
              </w:rPr>
              <w:t>户，约</w:t>
            </w:r>
            <w:r>
              <w:rPr>
                <w:rFonts w:hint="eastAsia"/>
                <w:color w:val="000000" w:themeColor="text1"/>
                <w:highlight w:val="none"/>
                <w14:textFill>
                  <w14:solidFill>
                    <w14:schemeClr w14:val="tx1"/>
                  </w14:solidFill>
                </w14:textFill>
              </w:rPr>
              <w:t>24</w:t>
            </w:r>
            <w:r>
              <w:rPr>
                <w:color w:val="000000" w:themeColor="text1"/>
                <w:highlight w:val="none"/>
                <w:lang w:eastAsia="en-US"/>
                <w14:textFill>
                  <w14:solidFill>
                    <w14:schemeClr w14:val="tx1"/>
                  </w14:solidFill>
                </w14:textFill>
              </w:rPr>
              <w:t>人</w:t>
            </w:r>
          </w:p>
        </w:tc>
        <w:tc>
          <w:tcPr>
            <w:tcW w:w="34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34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北</w:t>
            </w:r>
            <w:r>
              <w:rPr>
                <w:rFonts w:hint="eastAsia"/>
                <w:color w:val="000000" w:themeColor="text1"/>
                <w:highlight w:val="none"/>
                <w14:textFill>
                  <w14:solidFill>
                    <w14:schemeClr w14:val="tx1"/>
                  </w14:solidFill>
                </w14:textFill>
              </w:rPr>
              <w:t>侧</w:t>
            </w:r>
          </w:p>
        </w:tc>
        <w:tc>
          <w:tcPr>
            <w:tcW w:w="73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eastAsiaTheme="minorEastAsia"/>
                <w:color w:val="000000" w:themeColor="text1"/>
                <w:highlight w:val="none"/>
                <w14:textFill>
                  <w14:solidFill>
                    <w14:schemeClr w14:val="tx1"/>
                  </w14:solidFill>
                </w14:textFill>
              </w:rPr>
              <w:t>25</w:t>
            </w:r>
            <w:r>
              <w:rPr>
                <w:color w:val="000000" w:themeColor="text1"/>
                <w:highlight w:val="none"/>
                <w14:textFill>
                  <w14:solidFill>
                    <w14:schemeClr w14:val="tx1"/>
                  </w14:solidFill>
                </w14:textFill>
              </w:rPr>
              <w:t>~1</w:t>
            </w:r>
            <w:r>
              <w:rPr>
                <w:rFonts w:hint="eastAsia" w:eastAsiaTheme="minorEastAsia"/>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70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r>
              <w:rPr>
                <w:rFonts w:hint="eastAsia" w:eastAsiaTheme="minor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w:t>
            </w:r>
            <w:r>
              <w:rPr>
                <w:rFonts w:hint="eastAsia" w:ascii="宋体" w:hAnsi="宋体" w:cs="宋体"/>
                <w:color w:val="000000" w:themeColor="text1"/>
                <w:highlight w:val="none"/>
                <w14:textFill>
                  <w14:solidFill>
                    <w14:schemeClr w14:val="tx1"/>
                  </w14:solidFill>
                </w14:textFill>
              </w:rPr>
              <w:t>居民点</w:t>
            </w:r>
          </w:p>
        </w:tc>
        <w:tc>
          <w:tcPr>
            <w:tcW w:w="661"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107.553686</w:t>
            </w:r>
          </w:p>
        </w:tc>
        <w:tc>
          <w:tcPr>
            <w:tcW w:w="598"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31.342286</w:t>
            </w:r>
          </w:p>
        </w:tc>
        <w:tc>
          <w:tcPr>
            <w:tcW w:w="683"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39"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w:t>
            </w:r>
            <w:r>
              <w:rPr>
                <w:color w:val="000000" w:themeColor="text1"/>
                <w:highlight w:val="none"/>
                <w:lang w:eastAsia="en-US"/>
                <w14:textFill>
                  <w14:solidFill>
                    <w14:schemeClr w14:val="tx1"/>
                  </w14:solidFill>
                </w14:textFill>
              </w:rPr>
              <w:t>户，约</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0</w:t>
            </w:r>
            <w:r>
              <w:rPr>
                <w:color w:val="000000" w:themeColor="text1"/>
                <w:highlight w:val="none"/>
                <w:lang w:eastAsia="en-US"/>
                <w14:textFill>
                  <w14:solidFill>
                    <w14:schemeClr w14:val="tx1"/>
                  </w14:solidFill>
                </w14:textFill>
              </w:rPr>
              <w:t>人</w:t>
            </w:r>
          </w:p>
        </w:tc>
        <w:tc>
          <w:tcPr>
            <w:tcW w:w="34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34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南</w:t>
            </w:r>
            <w:r>
              <w:rPr>
                <w:rFonts w:hint="eastAsia"/>
                <w:color w:val="000000" w:themeColor="text1"/>
                <w:highlight w:val="none"/>
                <w14:textFill>
                  <w14:solidFill>
                    <w14:schemeClr w14:val="tx1"/>
                  </w14:solidFill>
                </w14:textFill>
              </w:rPr>
              <w:t>侧</w:t>
            </w:r>
          </w:p>
        </w:tc>
        <w:tc>
          <w:tcPr>
            <w:tcW w:w="73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24</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70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eastAsiaTheme="minorEastAsia"/>
                <w:color w:val="000000" w:themeColor="text1"/>
                <w:highlight w:val="none"/>
                <w14:textFill>
                  <w14:solidFill>
                    <w14:schemeClr w14:val="tx1"/>
                  </w14:solidFill>
                </w14:textFill>
              </w:rPr>
              <w:t>15</w:t>
            </w:r>
            <w:r>
              <w:rPr>
                <w:color w:val="000000" w:themeColor="text1"/>
                <w:highlight w:val="none"/>
                <w14:textFill>
                  <w14:solidFill>
                    <w14:schemeClr w14:val="tx1"/>
                  </w14:solidFill>
                </w14:textFill>
              </w:rPr>
              <w:t>#</w:t>
            </w:r>
            <w:r>
              <w:rPr>
                <w:rFonts w:hint="eastAsia" w:ascii="宋体" w:hAnsi="宋体" w:cs="宋体"/>
                <w:color w:val="000000" w:themeColor="text1"/>
                <w:highlight w:val="none"/>
                <w14:textFill>
                  <w14:solidFill>
                    <w14:schemeClr w14:val="tx1"/>
                  </w14:solidFill>
                </w14:textFill>
              </w:rPr>
              <w:t>居民点</w:t>
            </w:r>
          </w:p>
        </w:tc>
        <w:tc>
          <w:tcPr>
            <w:tcW w:w="661"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107.546962</w:t>
            </w:r>
          </w:p>
        </w:tc>
        <w:tc>
          <w:tcPr>
            <w:tcW w:w="598"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31.343555</w:t>
            </w:r>
          </w:p>
        </w:tc>
        <w:tc>
          <w:tcPr>
            <w:tcW w:w="683"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39"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15</w:t>
            </w:r>
            <w:r>
              <w:rPr>
                <w:color w:val="000000" w:themeColor="text1"/>
                <w:highlight w:val="none"/>
                <w:lang w:eastAsia="en-US"/>
                <w14:textFill>
                  <w14:solidFill>
                    <w14:schemeClr w14:val="tx1"/>
                  </w14:solidFill>
                </w14:textFill>
              </w:rPr>
              <w:t>户，约</w:t>
            </w:r>
            <w:r>
              <w:rPr>
                <w:rFonts w:hint="eastAsia"/>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t>0</w:t>
            </w:r>
            <w:r>
              <w:rPr>
                <w:color w:val="000000" w:themeColor="text1"/>
                <w:highlight w:val="none"/>
                <w:lang w:eastAsia="en-US"/>
                <w14:textFill>
                  <w14:solidFill>
                    <w14:schemeClr w14:val="tx1"/>
                  </w14:solidFill>
                </w14:textFill>
              </w:rPr>
              <w:t>人</w:t>
            </w:r>
          </w:p>
        </w:tc>
        <w:tc>
          <w:tcPr>
            <w:tcW w:w="34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34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南</w:t>
            </w:r>
            <w:r>
              <w:rPr>
                <w:rFonts w:hint="eastAsia"/>
                <w:color w:val="000000" w:themeColor="text1"/>
                <w:highlight w:val="none"/>
                <w14:textFill>
                  <w14:solidFill>
                    <w14:schemeClr w14:val="tx1"/>
                  </w14:solidFill>
                </w14:textFill>
              </w:rPr>
              <w:t>侧</w:t>
            </w:r>
          </w:p>
        </w:tc>
        <w:tc>
          <w:tcPr>
            <w:tcW w:w="73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70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eastAsiaTheme="minorEastAsia"/>
                <w:color w:val="000000" w:themeColor="text1"/>
                <w:highlight w:val="none"/>
                <w14:textFill>
                  <w14:solidFill>
                    <w14:schemeClr w14:val="tx1"/>
                  </w14:solidFill>
                </w14:textFill>
              </w:rPr>
              <w:t>16</w:t>
            </w:r>
            <w:r>
              <w:rPr>
                <w:color w:val="000000" w:themeColor="text1"/>
                <w:highlight w:val="none"/>
                <w14:textFill>
                  <w14:solidFill>
                    <w14:schemeClr w14:val="tx1"/>
                  </w14:solidFill>
                </w14:textFill>
              </w:rPr>
              <w:t>#</w:t>
            </w:r>
            <w:r>
              <w:rPr>
                <w:rFonts w:hint="eastAsia" w:ascii="宋体" w:hAnsi="宋体" w:cs="宋体"/>
                <w:color w:val="000000" w:themeColor="text1"/>
                <w:highlight w:val="none"/>
                <w14:textFill>
                  <w14:solidFill>
                    <w14:schemeClr w14:val="tx1"/>
                  </w14:solidFill>
                </w14:textFill>
              </w:rPr>
              <w:t>居民点</w:t>
            </w:r>
          </w:p>
        </w:tc>
        <w:tc>
          <w:tcPr>
            <w:tcW w:w="661"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107.544923</w:t>
            </w:r>
          </w:p>
        </w:tc>
        <w:tc>
          <w:tcPr>
            <w:tcW w:w="598"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31.345204</w:t>
            </w:r>
          </w:p>
        </w:tc>
        <w:tc>
          <w:tcPr>
            <w:tcW w:w="683"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39"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w:t>
            </w:r>
            <w:r>
              <w:rPr>
                <w:color w:val="000000" w:themeColor="text1"/>
                <w:highlight w:val="none"/>
                <w:lang w:eastAsia="en-US"/>
                <w14:textFill>
                  <w14:solidFill>
                    <w14:schemeClr w14:val="tx1"/>
                  </w14:solidFill>
                </w14:textFill>
              </w:rPr>
              <w:t>户，约</w:t>
            </w:r>
            <w:r>
              <w:rPr>
                <w:rFonts w:hint="eastAsia"/>
                <w:color w:val="000000" w:themeColor="text1"/>
                <w:highlight w:val="none"/>
                <w14:textFill>
                  <w14:solidFill>
                    <w14:schemeClr w14:val="tx1"/>
                  </w14:solidFill>
                </w14:textFill>
              </w:rPr>
              <w:t>32</w:t>
            </w:r>
            <w:r>
              <w:rPr>
                <w:color w:val="000000" w:themeColor="text1"/>
                <w:highlight w:val="none"/>
                <w:lang w:eastAsia="en-US"/>
                <w14:textFill>
                  <w14:solidFill>
                    <w14:schemeClr w14:val="tx1"/>
                  </w14:solidFill>
                </w14:textFill>
              </w:rPr>
              <w:t>人</w:t>
            </w:r>
          </w:p>
        </w:tc>
        <w:tc>
          <w:tcPr>
            <w:tcW w:w="34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34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北</w:t>
            </w:r>
            <w:r>
              <w:rPr>
                <w:rFonts w:hint="eastAsia"/>
                <w:color w:val="000000" w:themeColor="text1"/>
                <w:highlight w:val="none"/>
                <w14:textFill>
                  <w14:solidFill>
                    <w14:schemeClr w14:val="tx1"/>
                  </w14:solidFill>
                </w14:textFill>
              </w:rPr>
              <w:t>侧</w:t>
            </w:r>
          </w:p>
        </w:tc>
        <w:tc>
          <w:tcPr>
            <w:tcW w:w="73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62</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143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70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eastAsiaTheme="minorEastAsia"/>
                <w:color w:val="000000" w:themeColor="text1"/>
                <w:highlight w:val="none"/>
                <w14:textFill>
                  <w14:solidFill>
                    <w14:schemeClr w14:val="tx1"/>
                  </w14:solidFill>
                </w14:textFill>
              </w:rPr>
              <w:t>17</w:t>
            </w:r>
            <w:r>
              <w:rPr>
                <w:color w:val="000000" w:themeColor="text1"/>
                <w:highlight w:val="none"/>
                <w14:textFill>
                  <w14:solidFill>
                    <w14:schemeClr w14:val="tx1"/>
                  </w14:solidFill>
                </w14:textFill>
              </w:rPr>
              <w:t>#</w:t>
            </w:r>
            <w:r>
              <w:rPr>
                <w:rFonts w:hint="eastAsia" w:ascii="宋体" w:hAnsi="宋体" w:cs="宋体"/>
                <w:color w:val="000000" w:themeColor="text1"/>
                <w:highlight w:val="none"/>
                <w14:textFill>
                  <w14:solidFill>
                    <w14:schemeClr w14:val="tx1"/>
                  </w14:solidFill>
                </w14:textFill>
              </w:rPr>
              <w:t>居民点</w:t>
            </w:r>
          </w:p>
        </w:tc>
        <w:tc>
          <w:tcPr>
            <w:tcW w:w="661"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107.542835</w:t>
            </w:r>
          </w:p>
        </w:tc>
        <w:tc>
          <w:tcPr>
            <w:tcW w:w="598"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31.347860</w:t>
            </w:r>
          </w:p>
        </w:tc>
        <w:tc>
          <w:tcPr>
            <w:tcW w:w="683"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39"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w:t>
            </w:r>
            <w:r>
              <w:rPr>
                <w:color w:val="000000" w:themeColor="text1"/>
                <w:highlight w:val="none"/>
                <w:lang w:eastAsia="en-US"/>
                <w14:textFill>
                  <w14:solidFill>
                    <w14:schemeClr w14:val="tx1"/>
                  </w14:solidFill>
                </w14:textFill>
              </w:rPr>
              <w:t>户，约</w:t>
            </w:r>
            <w:r>
              <w:rPr>
                <w:color w:val="000000" w:themeColor="text1"/>
                <w:highlight w:val="none"/>
                <w14:textFill>
                  <w14:solidFill>
                    <w14:schemeClr w14:val="tx1"/>
                  </w14:solidFill>
                </w14:textFill>
              </w:rPr>
              <w:t>2</w:t>
            </w:r>
            <w:r>
              <w:rPr>
                <w:rFonts w:hint="eastAsia"/>
                <w:color w:val="000000" w:themeColor="text1"/>
                <w:highlight w:val="none"/>
                <w14:textFill>
                  <w14:solidFill>
                    <w14:schemeClr w14:val="tx1"/>
                  </w14:solidFill>
                </w14:textFill>
              </w:rPr>
              <w:t>4</w:t>
            </w:r>
            <w:r>
              <w:rPr>
                <w:color w:val="000000" w:themeColor="text1"/>
                <w:highlight w:val="none"/>
                <w:lang w:eastAsia="en-US"/>
                <w14:textFill>
                  <w14:solidFill>
                    <w14:schemeClr w14:val="tx1"/>
                  </w14:solidFill>
                </w14:textFill>
              </w:rPr>
              <w:t>人</w:t>
            </w:r>
          </w:p>
        </w:tc>
        <w:tc>
          <w:tcPr>
            <w:tcW w:w="34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34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北</w:t>
            </w:r>
            <w:r>
              <w:rPr>
                <w:rFonts w:hint="eastAsia"/>
                <w:color w:val="000000" w:themeColor="text1"/>
                <w:highlight w:val="none"/>
                <w14:textFill>
                  <w14:solidFill>
                    <w14:schemeClr w14:val="tx1"/>
                  </w14:solidFill>
                </w14:textFill>
              </w:rPr>
              <w:t>侧</w:t>
            </w:r>
          </w:p>
        </w:tc>
        <w:tc>
          <w:tcPr>
            <w:tcW w:w="73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113</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182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70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eastAsiaTheme="minorEastAsia"/>
                <w:color w:val="000000" w:themeColor="text1"/>
                <w:highlight w:val="none"/>
                <w14:textFill>
                  <w14:solidFill>
                    <w14:schemeClr w14:val="tx1"/>
                  </w14:solidFill>
                </w14:textFill>
              </w:rPr>
              <w:t>18</w:t>
            </w:r>
            <w:r>
              <w:rPr>
                <w:color w:val="000000" w:themeColor="text1"/>
                <w:highlight w:val="none"/>
                <w14:textFill>
                  <w14:solidFill>
                    <w14:schemeClr w14:val="tx1"/>
                  </w14:solidFill>
                </w14:textFill>
              </w:rPr>
              <w:t>#</w:t>
            </w:r>
            <w:r>
              <w:rPr>
                <w:rFonts w:hint="eastAsia" w:ascii="宋体" w:hAnsi="宋体" w:cs="宋体"/>
                <w:color w:val="000000" w:themeColor="text1"/>
                <w:highlight w:val="none"/>
                <w14:textFill>
                  <w14:solidFill>
                    <w14:schemeClr w14:val="tx1"/>
                  </w14:solidFill>
                </w14:textFill>
              </w:rPr>
              <w:t>居民点</w:t>
            </w:r>
          </w:p>
        </w:tc>
        <w:tc>
          <w:tcPr>
            <w:tcW w:w="661"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107.539866</w:t>
            </w:r>
          </w:p>
        </w:tc>
        <w:tc>
          <w:tcPr>
            <w:tcW w:w="598"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31.346798</w:t>
            </w:r>
          </w:p>
        </w:tc>
        <w:tc>
          <w:tcPr>
            <w:tcW w:w="683"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39"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w:t>
            </w:r>
            <w:r>
              <w:rPr>
                <w:color w:val="000000" w:themeColor="text1"/>
                <w:highlight w:val="none"/>
                <w:lang w:eastAsia="en-US"/>
                <w14:textFill>
                  <w14:solidFill>
                    <w14:schemeClr w14:val="tx1"/>
                  </w14:solidFill>
                </w14:textFill>
              </w:rPr>
              <w:t>户，约</w:t>
            </w:r>
            <w:r>
              <w:rPr>
                <w:rFonts w:hint="eastAsia"/>
                <w:color w:val="000000" w:themeColor="text1"/>
                <w:highlight w:val="none"/>
                <w14:textFill>
                  <w14:solidFill>
                    <w14:schemeClr w14:val="tx1"/>
                  </w14:solidFill>
                </w14:textFill>
              </w:rPr>
              <w:t>16</w:t>
            </w:r>
            <w:r>
              <w:rPr>
                <w:color w:val="000000" w:themeColor="text1"/>
                <w:highlight w:val="none"/>
                <w:lang w:eastAsia="en-US"/>
                <w14:textFill>
                  <w14:solidFill>
                    <w14:schemeClr w14:val="tx1"/>
                  </w14:solidFill>
                </w14:textFill>
              </w:rPr>
              <w:t>人</w:t>
            </w:r>
          </w:p>
        </w:tc>
        <w:tc>
          <w:tcPr>
            <w:tcW w:w="34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34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西</w:t>
            </w:r>
            <w:r>
              <w:rPr>
                <w:rFonts w:hint="eastAsia"/>
                <w:color w:val="000000" w:themeColor="text1"/>
                <w:highlight w:val="none"/>
                <w14:textFill>
                  <w14:solidFill>
                    <w14:schemeClr w14:val="tx1"/>
                  </w14:solidFill>
                </w14:textFill>
              </w:rPr>
              <w:t>侧</w:t>
            </w:r>
          </w:p>
        </w:tc>
        <w:tc>
          <w:tcPr>
            <w:tcW w:w="73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106</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188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70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eastAsiaTheme="minorEastAsia"/>
                <w:color w:val="000000" w:themeColor="text1"/>
                <w:highlight w:val="none"/>
                <w14:textFill>
                  <w14:solidFill>
                    <w14:schemeClr w14:val="tx1"/>
                  </w14:solidFill>
                </w14:textFill>
              </w:rPr>
              <w:t>19</w:t>
            </w:r>
            <w:r>
              <w:rPr>
                <w:color w:val="000000" w:themeColor="text1"/>
                <w:highlight w:val="none"/>
                <w14:textFill>
                  <w14:solidFill>
                    <w14:schemeClr w14:val="tx1"/>
                  </w14:solidFill>
                </w14:textFill>
              </w:rPr>
              <w:t>#</w:t>
            </w:r>
            <w:r>
              <w:rPr>
                <w:rFonts w:hint="eastAsia" w:ascii="宋体" w:hAnsi="宋体" w:cs="宋体"/>
                <w:color w:val="000000" w:themeColor="text1"/>
                <w:highlight w:val="none"/>
                <w14:textFill>
                  <w14:solidFill>
                    <w14:schemeClr w14:val="tx1"/>
                  </w14:solidFill>
                </w14:textFill>
              </w:rPr>
              <w:t>居民点</w:t>
            </w:r>
          </w:p>
        </w:tc>
        <w:tc>
          <w:tcPr>
            <w:tcW w:w="661"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107.535588</w:t>
            </w:r>
          </w:p>
        </w:tc>
        <w:tc>
          <w:tcPr>
            <w:tcW w:w="598"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31.350553</w:t>
            </w:r>
          </w:p>
        </w:tc>
        <w:tc>
          <w:tcPr>
            <w:tcW w:w="683"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39"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w:t>
            </w:r>
            <w:r>
              <w:rPr>
                <w:color w:val="000000" w:themeColor="text1"/>
                <w:highlight w:val="none"/>
                <w:lang w:eastAsia="en-US"/>
                <w14:textFill>
                  <w14:solidFill>
                    <w14:schemeClr w14:val="tx1"/>
                  </w14:solidFill>
                </w14:textFill>
              </w:rPr>
              <w:t>户，约</w:t>
            </w:r>
            <w:r>
              <w:rPr>
                <w:rFonts w:hint="eastAsia"/>
                <w:color w:val="000000" w:themeColor="text1"/>
                <w:highlight w:val="none"/>
                <w14:textFill>
                  <w14:solidFill>
                    <w14:schemeClr w14:val="tx1"/>
                  </w14:solidFill>
                </w14:textFill>
              </w:rPr>
              <w:t>12</w:t>
            </w:r>
            <w:r>
              <w:rPr>
                <w:color w:val="000000" w:themeColor="text1"/>
                <w:highlight w:val="none"/>
                <w:lang w:eastAsia="en-US"/>
                <w14:textFill>
                  <w14:solidFill>
                    <w14:schemeClr w14:val="tx1"/>
                  </w14:solidFill>
                </w14:textFill>
              </w:rPr>
              <w:t>人</w:t>
            </w:r>
          </w:p>
        </w:tc>
        <w:tc>
          <w:tcPr>
            <w:tcW w:w="34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34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西</w:t>
            </w:r>
            <w:r>
              <w:rPr>
                <w:rFonts w:hint="eastAsia"/>
                <w:color w:val="000000" w:themeColor="text1"/>
                <w:highlight w:val="none"/>
                <w14:textFill>
                  <w14:solidFill>
                    <w14:schemeClr w14:val="tx1"/>
                  </w14:solidFill>
                </w14:textFill>
              </w:rPr>
              <w:t>侧</w:t>
            </w:r>
          </w:p>
        </w:tc>
        <w:tc>
          <w:tcPr>
            <w:tcW w:w="73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117</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70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eastAsiaTheme="minorEastAsia"/>
                <w:color w:val="000000" w:themeColor="text1"/>
                <w:highlight w:val="none"/>
                <w14:textFill>
                  <w14:solidFill>
                    <w14:schemeClr w14:val="tx1"/>
                  </w14:solidFill>
                </w14:textFill>
              </w:rPr>
              <w:t>20</w:t>
            </w:r>
            <w:r>
              <w:rPr>
                <w:color w:val="000000" w:themeColor="text1"/>
                <w:highlight w:val="none"/>
                <w14:textFill>
                  <w14:solidFill>
                    <w14:schemeClr w14:val="tx1"/>
                  </w14:solidFill>
                </w14:textFill>
              </w:rPr>
              <w:t>#</w:t>
            </w:r>
            <w:r>
              <w:rPr>
                <w:rFonts w:hint="eastAsia" w:ascii="宋体" w:hAnsi="宋体" w:cs="宋体"/>
                <w:color w:val="000000" w:themeColor="text1"/>
                <w:highlight w:val="none"/>
                <w14:textFill>
                  <w14:solidFill>
                    <w14:schemeClr w14:val="tx1"/>
                  </w14:solidFill>
                </w14:textFill>
              </w:rPr>
              <w:t>居民点</w:t>
            </w:r>
          </w:p>
        </w:tc>
        <w:tc>
          <w:tcPr>
            <w:tcW w:w="661"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107.534246</w:t>
            </w:r>
          </w:p>
        </w:tc>
        <w:tc>
          <w:tcPr>
            <w:tcW w:w="598"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31.352485</w:t>
            </w:r>
          </w:p>
        </w:tc>
        <w:tc>
          <w:tcPr>
            <w:tcW w:w="683"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39"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12</w:t>
            </w:r>
            <w:r>
              <w:rPr>
                <w:color w:val="000000" w:themeColor="text1"/>
                <w:highlight w:val="none"/>
                <w:lang w:eastAsia="en-US"/>
                <w14:textFill>
                  <w14:solidFill>
                    <w14:schemeClr w14:val="tx1"/>
                  </w14:solidFill>
                </w14:textFill>
              </w:rPr>
              <w:t>户，约</w:t>
            </w:r>
            <w:r>
              <w:rPr>
                <w:rFonts w:hint="eastAsia"/>
                <w:color w:val="000000" w:themeColor="text1"/>
                <w:highlight w:val="none"/>
                <w14:textFill>
                  <w14:solidFill>
                    <w14:schemeClr w14:val="tx1"/>
                  </w14:solidFill>
                </w14:textFill>
              </w:rPr>
              <w:t>48</w:t>
            </w:r>
            <w:r>
              <w:rPr>
                <w:color w:val="000000" w:themeColor="text1"/>
                <w:highlight w:val="none"/>
                <w:lang w:eastAsia="en-US"/>
                <w14:textFill>
                  <w14:solidFill>
                    <w14:schemeClr w14:val="tx1"/>
                  </w14:solidFill>
                </w14:textFill>
              </w:rPr>
              <w:t>人</w:t>
            </w:r>
          </w:p>
        </w:tc>
        <w:tc>
          <w:tcPr>
            <w:tcW w:w="34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34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西</w:t>
            </w:r>
            <w:r>
              <w:rPr>
                <w:rFonts w:hint="eastAsia"/>
                <w:color w:val="000000" w:themeColor="text1"/>
                <w:highlight w:val="none"/>
                <w14:textFill>
                  <w14:solidFill>
                    <w14:schemeClr w14:val="tx1"/>
                  </w14:solidFill>
                </w14:textFill>
              </w:rPr>
              <w:t>侧</w:t>
            </w:r>
          </w:p>
        </w:tc>
        <w:tc>
          <w:tcPr>
            <w:tcW w:w="73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19</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130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70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eastAsiaTheme="minorEastAsia"/>
                <w:color w:val="000000" w:themeColor="text1"/>
                <w:highlight w:val="none"/>
                <w14:textFill>
                  <w14:solidFill>
                    <w14:schemeClr w14:val="tx1"/>
                  </w14:solidFill>
                </w14:textFill>
              </w:rPr>
              <w:t>21</w:t>
            </w:r>
            <w:r>
              <w:rPr>
                <w:color w:val="000000" w:themeColor="text1"/>
                <w:highlight w:val="none"/>
                <w14:textFill>
                  <w14:solidFill>
                    <w14:schemeClr w14:val="tx1"/>
                  </w14:solidFill>
                </w14:textFill>
              </w:rPr>
              <w:t>#</w:t>
            </w:r>
            <w:r>
              <w:rPr>
                <w:rFonts w:hint="eastAsia" w:ascii="宋体" w:hAnsi="宋体" w:cs="宋体"/>
                <w:color w:val="000000" w:themeColor="text1"/>
                <w:highlight w:val="none"/>
                <w14:textFill>
                  <w14:solidFill>
                    <w14:schemeClr w14:val="tx1"/>
                  </w14:solidFill>
                </w14:textFill>
              </w:rPr>
              <w:t>居民点</w:t>
            </w:r>
          </w:p>
        </w:tc>
        <w:tc>
          <w:tcPr>
            <w:tcW w:w="661"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107.534908</w:t>
            </w:r>
          </w:p>
        </w:tc>
        <w:tc>
          <w:tcPr>
            <w:tcW w:w="598"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31.353899</w:t>
            </w:r>
          </w:p>
        </w:tc>
        <w:tc>
          <w:tcPr>
            <w:tcW w:w="683"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39"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w:t>
            </w:r>
            <w:r>
              <w:rPr>
                <w:color w:val="000000" w:themeColor="text1"/>
                <w:highlight w:val="none"/>
                <w:lang w:eastAsia="en-US"/>
                <w14:textFill>
                  <w14:solidFill>
                    <w14:schemeClr w14:val="tx1"/>
                  </w14:solidFill>
                </w14:textFill>
              </w:rPr>
              <w:t>户，约</w:t>
            </w:r>
            <w:r>
              <w:rPr>
                <w:color w:val="000000" w:themeColor="text1"/>
                <w:highlight w:val="none"/>
                <w14:textFill>
                  <w14:solidFill>
                    <w14:schemeClr w14:val="tx1"/>
                  </w14:solidFill>
                </w14:textFill>
              </w:rPr>
              <w:t>2</w:t>
            </w:r>
            <w:r>
              <w:rPr>
                <w:rFonts w:hint="eastAsia"/>
                <w:color w:val="000000" w:themeColor="text1"/>
                <w:highlight w:val="none"/>
                <w14:textFill>
                  <w14:solidFill>
                    <w14:schemeClr w14:val="tx1"/>
                  </w14:solidFill>
                </w14:textFill>
              </w:rPr>
              <w:t>4</w:t>
            </w:r>
            <w:r>
              <w:rPr>
                <w:color w:val="000000" w:themeColor="text1"/>
                <w:highlight w:val="none"/>
                <w:lang w:eastAsia="en-US"/>
                <w14:textFill>
                  <w14:solidFill>
                    <w14:schemeClr w14:val="tx1"/>
                  </w14:solidFill>
                </w14:textFill>
              </w:rPr>
              <w:t>人</w:t>
            </w:r>
          </w:p>
        </w:tc>
        <w:tc>
          <w:tcPr>
            <w:tcW w:w="34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34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北</w:t>
            </w:r>
            <w:r>
              <w:rPr>
                <w:rFonts w:hint="eastAsia"/>
                <w:color w:val="000000" w:themeColor="text1"/>
                <w:highlight w:val="none"/>
                <w14:textFill>
                  <w14:solidFill>
                    <w14:schemeClr w14:val="tx1"/>
                  </w14:solidFill>
                </w14:textFill>
              </w:rPr>
              <w:t>侧</w:t>
            </w:r>
          </w:p>
        </w:tc>
        <w:tc>
          <w:tcPr>
            <w:tcW w:w="73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12</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70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eastAsiaTheme="minorEastAsia"/>
                <w:color w:val="000000" w:themeColor="text1"/>
                <w:highlight w:val="none"/>
                <w14:textFill>
                  <w14:solidFill>
                    <w14:schemeClr w14:val="tx1"/>
                  </w14:solidFill>
                </w14:textFill>
              </w:rPr>
              <w:t>22</w:t>
            </w:r>
            <w:r>
              <w:rPr>
                <w:color w:val="000000" w:themeColor="text1"/>
                <w:highlight w:val="none"/>
                <w14:textFill>
                  <w14:solidFill>
                    <w14:schemeClr w14:val="tx1"/>
                  </w14:solidFill>
                </w14:textFill>
              </w:rPr>
              <w:t>#</w:t>
            </w:r>
            <w:r>
              <w:rPr>
                <w:rFonts w:hint="eastAsia" w:ascii="宋体" w:hAnsi="宋体" w:cs="宋体"/>
                <w:color w:val="000000" w:themeColor="text1"/>
                <w:highlight w:val="none"/>
                <w14:textFill>
                  <w14:solidFill>
                    <w14:schemeClr w14:val="tx1"/>
                  </w14:solidFill>
                </w14:textFill>
              </w:rPr>
              <w:t>居民点</w:t>
            </w:r>
          </w:p>
        </w:tc>
        <w:tc>
          <w:tcPr>
            <w:tcW w:w="661"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107.534210</w:t>
            </w:r>
          </w:p>
        </w:tc>
        <w:tc>
          <w:tcPr>
            <w:tcW w:w="598"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31.354565</w:t>
            </w:r>
          </w:p>
        </w:tc>
        <w:tc>
          <w:tcPr>
            <w:tcW w:w="683"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39"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35</w:t>
            </w:r>
            <w:r>
              <w:rPr>
                <w:color w:val="000000" w:themeColor="text1"/>
                <w:highlight w:val="none"/>
                <w:lang w:eastAsia="en-US"/>
                <w14:textFill>
                  <w14:solidFill>
                    <w14:schemeClr w14:val="tx1"/>
                  </w14:solidFill>
                </w14:textFill>
              </w:rPr>
              <w:t>户，约</w:t>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20</w:t>
            </w:r>
            <w:r>
              <w:rPr>
                <w:color w:val="000000" w:themeColor="text1"/>
                <w:highlight w:val="none"/>
                <w:lang w:eastAsia="en-US"/>
                <w14:textFill>
                  <w14:solidFill>
                    <w14:schemeClr w14:val="tx1"/>
                  </w14:solidFill>
                </w14:textFill>
              </w:rPr>
              <w:t>人</w:t>
            </w:r>
          </w:p>
        </w:tc>
        <w:tc>
          <w:tcPr>
            <w:tcW w:w="34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34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北</w:t>
            </w:r>
            <w:r>
              <w:rPr>
                <w:rFonts w:hint="eastAsia"/>
                <w:color w:val="000000" w:themeColor="text1"/>
                <w:highlight w:val="none"/>
                <w14:textFill>
                  <w14:solidFill>
                    <w14:schemeClr w14:val="tx1"/>
                  </w14:solidFill>
                </w14:textFill>
              </w:rPr>
              <w:t>侧</w:t>
            </w:r>
          </w:p>
        </w:tc>
        <w:tc>
          <w:tcPr>
            <w:tcW w:w="73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0~</w:t>
            </w:r>
            <w:r>
              <w:rPr>
                <w:rFonts w:hint="eastAsia"/>
                <w:color w:val="000000" w:themeColor="text1"/>
                <w:highlight w:val="none"/>
                <w14:textFill>
                  <w14:solidFill>
                    <w14:schemeClr w14:val="tx1"/>
                  </w14:solidFill>
                </w14:textFill>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70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eastAsiaTheme="minorEastAsia"/>
                <w:color w:val="000000" w:themeColor="text1"/>
                <w:highlight w:val="none"/>
                <w14:textFill>
                  <w14:solidFill>
                    <w14:schemeClr w14:val="tx1"/>
                  </w14:solidFill>
                </w14:textFill>
              </w:rPr>
              <w:t>23</w:t>
            </w:r>
            <w:r>
              <w:rPr>
                <w:color w:val="000000" w:themeColor="text1"/>
                <w:highlight w:val="none"/>
                <w14:textFill>
                  <w14:solidFill>
                    <w14:schemeClr w14:val="tx1"/>
                  </w14:solidFill>
                </w14:textFill>
              </w:rPr>
              <w:t>#</w:t>
            </w:r>
            <w:r>
              <w:rPr>
                <w:rFonts w:hint="eastAsia" w:ascii="宋体" w:hAnsi="宋体" w:cs="宋体"/>
                <w:color w:val="000000" w:themeColor="text1"/>
                <w:highlight w:val="none"/>
                <w14:textFill>
                  <w14:solidFill>
                    <w14:schemeClr w14:val="tx1"/>
                  </w14:solidFill>
                </w14:textFill>
              </w:rPr>
              <w:t>居民点</w:t>
            </w:r>
          </w:p>
        </w:tc>
        <w:tc>
          <w:tcPr>
            <w:tcW w:w="661"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107.533247</w:t>
            </w:r>
          </w:p>
        </w:tc>
        <w:tc>
          <w:tcPr>
            <w:tcW w:w="598"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31.358267</w:t>
            </w:r>
          </w:p>
        </w:tc>
        <w:tc>
          <w:tcPr>
            <w:tcW w:w="683"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39"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w:t>
            </w:r>
            <w:r>
              <w:rPr>
                <w:color w:val="000000" w:themeColor="text1"/>
                <w:highlight w:val="none"/>
                <w:lang w:eastAsia="en-US"/>
                <w14:textFill>
                  <w14:solidFill>
                    <w14:schemeClr w14:val="tx1"/>
                  </w14:solidFill>
                </w14:textFill>
              </w:rPr>
              <w:t>户，约</w:t>
            </w:r>
            <w:r>
              <w:rPr>
                <w:rFonts w:hint="eastAsia"/>
                <w:color w:val="000000" w:themeColor="text1"/>
                <w:highlight w:val="none"/>
                <w14:textFill>
                  <w14:solidFill>
                    <w14:schemeClr w14:val="tx1"/>
                  </w14:solidFill>
                </w14:textFill>
              </w:rPr>
              <w:t>32</w:t>
            </w:r>
            <w:r>
              <w:rPr>
                <w:color w:val="000000" w:themeColor="text1"/>
                <w:highlight w:val="none"/>
                <w:lang w:eastAsia="en-US"/>
                <w14:textFill>
                  <w14:solidFill>
                    <w14:schemeClr w14:val="tx1"/>
                  </w14:solidFill>
                </w14:textFill>
              </w:rPr>
              <w:t>人</w:t>
            </w:r>
          </w:p>
        </w:tc>
        <w:tc>
          <w:tcPr>
            <w:tcW w:w="34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34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东</w:t>
            </w:r>
            <w:r>
              <w:rPr>
                <w:rFonts w:hint="eastAsia"/>
                <w:color w:val="000000" w:themeColor="text1"/>
                <w:highlight w:val="none"/>
                <w14:textFill>
                  <w14:solidFill>
                    <w14:schemeClr w14:val="tx1"/>
                  </w14:solidFill>
                </w14:textFill>
              </w:rPr>
              <w:t>侧</w:t>
            </w:r>
          </w:p>
        </w:tc>
        <w:tc>
          <w:tcPr>
            <w:tcW w:w="73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65</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70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eastAsiaTheme="minorEastAsia"/>
                <w:color w:val="000000" w:themeColor="text1"/>
                <w:highlight w:val="none"/>
                <w14:textFill>
                  <w14:solidFill>
                    <w14:schemeClr w14:val="tx1"/>
                  </w14:solidFill>
                </w14:textFill>
              </w:rPr>
              <w:t>24</w:t>
            </w:r>
            <w:r>
              <w:rPr>
                <w:color w:val="000000" w:themeColor="text1"/>
                <w:highlight w:val="none"/>
                <w14:textFill>
                  <w14:solidFill>
                    <w14:schemeClr w14:val="tx1"/>
                  </w14:solidFill>
                </w14:textFill>
              </w:rPr>
              <w:t>#</w:t>
            </w:r>
            <w:r>
              <w:rPr>
                <w:rFonts w:hint="eastAsia" w:ascii="宋体" w:hAnsi="宋体" w:cs="宋体"/>
                <w:color w:val="000000" w:themeColor="text1"/>
                <w:highlight w:val="none"/>
                <w14:textFill>
                  <w14:solidFill>
                    <w14:schemeClr w14:val="tx1"/>
                  </w14:solidFill>
                </w14:textFill>
              </w:rPr>
              <w:t>居民点</w:t>
            </w:r>
          </w:p>
        </w:tc>
        <w:tc>
          <w:tcPr>
            <w:tcW w:w="661"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107.530438</w:t>
            </w:r>
          </w:p>
        </w:tc>
        <w:tc>
          <w:tcPr>
            <w:tcW w:w="598"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31.357510</w:t>
            </w:r>
          </w:p>
        </w:tc>
        <w:tc>
          <w:tcPr>
            <w:tcW w:w="683"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39"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12</w:t>
            </w:r>
            <w:r>
              <w:rPr>
                <w:color w:val="000000" w:themeColor="text1"/>
                <w:highlight w:val="none"/>
                <w:lang w:eastAsia="en-US"/>
                <w14:textFill>
                  <w14:solidFill>
                    <w14:schemeClr w14:val="tx1"/>
                  </w14:solidFill>
                </w14:textFill>
              </w:rPr>
              <w:t>户，约</w:t>
            </w:r>
            <w:r>
              <w:rPr>
                <w:rFonts w:hint="eastAsia"/>
                <w:color w:val="000000" w:themeColor="text1"/>
                <w:highlight w:val="none"/>
                <w14:textFill>
                  <w14:solidFill>
                    <w14:schemeClr w14:val="tx1"/>
                  </w14:solidFill>
                </w14:textFill>
              </w:rPr>
              <w:t>48</w:t>
            </w:r>
            <w:r>
              <w:rPr>
                <w:color w:val="000000" w:themeColor="text1"/>
                <w:highlight w:val="none"/>
                <w:lang w:eastAsia="en-US"/>
                <w14:textFill>
                  <w14:solidFill>
                    <w14:schemeClr w14:val="tx1"/>
                  </w14:solidFill>
                </w14:textFill>
              </w:rPr>
              <w:t>人</w:t>
            </w:r>
          </w:p>
        </w:tc>
        <w:tc>
          <w:tcPr>
            <w:tcW w:w="34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34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西</w:t>
            </w:r>
            <w:r>
              <w:rPr>
                <w:rFonts w:hint="eastAsia"/>
                <w:color w:val="000000" w:themeColor="text1"/>
                <w:highlight w:val="none"/>
                <w14:textFill>
                  <w14:solidFill>
                    <w14:schemeClr w14:val="tx1"/>
                  </w14:solidFill>
                </w14:textFill>
              </w:rPr>
              <w:t>侧</w:t>
            </w:r>
          </w:p>
        </w:tc>
        <w:tc>
          <w:tcPr>
            <w:tcW w:w="73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86</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198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70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eastAsiaTheme="minorEastAsia"/>
                <w:color w:val="000000" w:themeColor="text1"/>
                <w:highlight w:val="none"/>
                <w14:textFill>
                  <w14:solidFill>
                    <w14:schemeClr w14:val="tx1"/>
                  </w14:solidFill>
                </w14:textFill>
              </w:rPr>
              <w:t>25</w:t>
            </w:r>
            <w:r>
              <w:rPr>
                <w:color w:val="000000" w:themeColor="text1"/>
                <w:highlight w:val="none"/>
                <w14:textFill>
                  <w14:solidFill>
                    <w14:schemeClr w14:val="tx1"/>
                  </w14:solidFill>
                </w14:textFill>
              </w:rPr>
              <w:t>#</w:t>
            </w:r>
            <w:r>
              <w:rPr>
                <w:rFonts w:hint="eastAsia" w:ascii="宋体" w:hAnsi="宋体" w:cs="宋体"/>
                <w:color w:val="000000" w:themeColor="text1"/>
                <w:highlight w:val="none"/>
                <w14:textFill>
                  <w14:solidFill>
                    <w14:schemeClr w14:val="tx1"/>
                  </w14:solidFill>
                </w14:textFill>
              </w:rPr>
              <w:t>居民点</w:t>
            </w:r>
          </w:p>
        </w:tc>
        <w:tc>
          <w:tcPr>
            <w:tcW w:w="661"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107.531364</w:t>
            </w:r>
          </w:p>
        </w:tc>
        <w:tc>
          <w:tcPr>
            <w:tcW w:w="598"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31.359926</w:t>
            </w:r>
          </w:p>
        </w:tc>
        <w:tc>
          <w:tcPr>
            <w:tcW w:w="683"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39"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13</w:t>
            </w:r>
            <w:r>
              <w:rPr>
                <w:color w:val="000000" w:themeColor="text1"/>
                <w:highlight w:val="none"/>
                <w:lang w:eastAsia="en-US"/>
                <w14:textFill>
                  <w14:solidFill>
                    <w14:schemeClr w14:val="tx1"/>
                  </w14:solidFill>
                </w14:textFill>
              </w:rPr>
              <w:t>户，约</w:t>
            </w:r>
            <w:r>
              <w:rPr>
                <w:rFonts w:hint="eastAsia"/>
                <w:color w:val="000000" w:themeColor="text1"/>
                <w:highlight w:val="none"/>
                <w14:textFill>
                  <w14:solidFill>
                    <w14:schemeClr w14:val="tx1"/>
                  </w14:solidFill>
                </w14:textFill>
              </w:rPr>
              <w:t>52</w:t>
            </w:r>
            <w:r>
              <w:rPr>
                <w:color w:val="000000" w:themeColor="text1"/>
                <w:highlight w:val="none"/>
                <w:lang w:eastAsia="en-US"/>
                <w14:textFill>
                  <w14:solidFill>
                    <w14:schemeClr w14:val="tx1"/>
                  </w14:solidFill>
                </w14:textFill>
              </w:rPr>
              <w:t>人</w:t>
            </w:r>
          </w:p>
        </w:tc>
        <w:tc>
          <w:tcPr>
            <w:tcW w:w="34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34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东</w:t>
            </w:r>
            <w:r>
              <w:rPr>
                <w:rFonts w:hint="eastAsia"/>
                <w:color w:val="000000" w:themeColor="text1"/>
                <w:highlight w:val="none"/>
                <w14:textFill>
                  <w14:solidFill>
                    <w14:schemeClr w14:val="tx1"/>
                  </w14:solidFill>
                </w14:textFill>
              </w:rPr>
              <w:t>侧</w:t>
            </w:r>
          </w:p>
        </w:tc>
        <w:tc>
          <w:tcPr>
            <w:tcW w:w="73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130</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70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eastAsiaTheme="minorEastAsia"/>
                <w:color w:val="000000" w:themeColor="text1"/>
                <w:highlight w:val="none"/>
                <w14:textFill>
                  <w14:solidFill>
                    <w14:schemeClr w14:val="tx1"/>
                  </w14:solidFill>
                </w14:textFill>
              </w:rPr>
              <w:t>26</w:t>
            </w:r>
            <w:r>
              <w:rPr>
                <w:color w:val="000000" w:themeColor="text1"/>
                <w:highlight w:val="none"/>
                <w14:textFill>
                  <w14:solidFill>
                    <w14:schemeClr w14:val="tx1"/>
                  </w14:solidFill>
                </w14:textFill>
              </w:rPr>
              <w:t>#</w:t>
            </w:r>
            <w:r>
              <w:rPr>
                <w:rFonts w:hint="eastAsia" w:ascii="宋体" w:hAnsi="宋体" w:cs="宋体"/>
                <w:color w:val="000000" w:themeColor="text1"/>
                <w:highlight w:val="none"/>
                <w14:textFill>
                  <w14:solidFill>
                    <w14:schemeClr w14:val="tx1"/>
                  </w14:solidFill>
                </w14:textFill>
              </w:rPr>
              <w:t>居民点</w:t>
            </w:r>
          </w:p>
        </w:tc>
        <w:tc>
          <w:tcPr>
            <w:tcW w:w="661"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107.529596</w:t>
            </w:r>
          </w:p>
        </w:tc>
        <w:tc>
          <w:tcPr>
            <w:tcW w:w="598"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31.360554</w:t>
            </w:r>
          </w:p>
        </w:tc>
        <w:tc>
          <w:tcPr>
            <w:tcW w:w="683"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39"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w:t>
            </w:r>
            <w:r>
              <w:rPr>
                <w:color w:val="000000" w:themeColor="text1"/>
                <w:highlight w:val="none"/>
                <w:lang w:eastAsia="en-US"/>
                <w14:textFill>
                  <w14:solidFill>
                    <w14:schemeClr w14:val="tx1"/>
                  </w14:solidFill>
                </w14:textFill>
              </w:rPr>
              <w:t>户，约</w:t>
            </w:r>
            <w:r>
              <w:rPr>
                <w:color w:val="000000" w:themeColor="text1"/>
                <w:highlight w:val="none"/>
                <w14:textFill>
                  <w14:solidFill>
                    <w14:schemeClr w14:val="tx1"/>
                  </w14:solidFill>
                </w14:textFill>
              </w:rPr>
              <w:t>20</w:t>
            </w:r>
            <w:r>
              <w:rPr>
                <w:color w:val="000000" w:themeColor="text1"/>
                <w:highlight w:val="none"/>
                <w:lang w:eastAsia="en-US"/>
                <w14:textFill>
                  <w14:solidFill>
                    <w14:schemeClr w14:val="tx1"/>
                  </w14:solidFill>
                </w14:textFill>
              </w:rPr>
              <w:t>人</w:t>
            </w:r>
          </w:p>
        </w:tc>
        <w:tc>
          <w:tcPr>
            <w:tcW w:w="34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34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东</w:t>
            </w:r>
            <w:r>
              <w:rPr>
                <w:rFonts w:hint="eastAsia"/>
                <w:color w:val="000000" w:themeColor="text1"/>
                <w:highlight w:val="none"/>
                <w14:textFill>
                  <w14:solidFill>
                    <w14:schemeClr w14:val="tx1"/>
                  </w14:solidFill>
                </w14:textFill>
              </w:rPr>
              <w:t>侧</w:t>
            </w:r>
          </w:p>
        </w:tc>
        <w:tc>
          <w:tcPr>
            <w:tcW w:w="73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35</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70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eastAsiaTheme="minorEastAsia"/>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t>#</w:t>
            </w:r>
            <w:r>
              <w:rPr>
                <w:rFonts w:hint="eastAsia" w:ascii="宋体" w:hAnsi="宋体" w:cs="宋体"/>
                <w:color w:val="000000" w:themeColor="text1"/>
                <w:highlight w:val="none"/>
                <w14:textFill>
                  <w14:solidFill>
                    <w14:schemeClr w14:val="tx1"/>
                  </w14:solidFill>
                </w14:textFill>
              </w:rPr>
              <w:t>居民点</w:t>
            </w:r>
          </w:p>
        </w:tc>
        <w:tc>
          <w:tcPr>
            <w:tcW w:w="661"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107.526704</w:t>
            </w:r>
          </w:p>
        </w:tc>
        <w:tc>
          <w:tcPr>
            <w:tcW w:w="598"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31.359056</w:t>
            </w:r>
          </w:p>
        </w:tc>
        <w:tc>
          <w:tcPr>
            <w:tcW w:w="683"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39"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w:t>
            </w:r>
            <w:r>
              <w:rPr>
                <w:color w:val="000000" w:themeColor="text1"/>
                <w:highlight w:val="none"/>
                <w:lang w:eastAsia="en-US"/>
                <w14:textFill>
                  <w14:solidFill>
                    <w14:schemeClr w14:val="tx1"/>
                  </w14:solidFill>
                </w14:textFill>
              </w:rPr>
              <w:t>户，约</w:t>
            </w:r>
            <w:r>
              <w:rPr>
                <w:color w:val="000000" w:themeColor="text1"/>
                <w:highlight w:val="none"/>
                <w14:textFill>
                  <w14:solidFill>
                    <w14:schemeClr w14:val="tx1"/>
                  </w14:solidFill>
                </w14:textFill>
              </w:rPr>
              <w:t>20</w:t>
            </w:r>
            <w:r>
              <w:rPr>
                <w:color w:val="000000" w:themeColor="text1"/>
                <w:highlight w:val="none"/>
                <w:lang w:eastAsia="en-US"/>
                <w14:textFill>
                  <w14:solidFill>
                    <w14:schemeClr w14:val="tx1"/>
                  </w14:solidFill>
                </w14:textFill>
              </w:rPr>
              <w:t>人</w:t>
            </w:r>
          </w:p>
        </w:tc>
        <w:tc>
          <w:tcPr>
            <w:tcW w:w="34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34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南</w:t>
            </w:r>
            <w:r>
              <w:rPr>
                <w:rFonts w:hint="eastAsia"/>
                <w:color w:val="000000" w:themeColor="text1"/>
                <w:highlight w:val="none"/>
                <w14:textFill>
                  <w14:solidFill>
                    <w14:schemeClr w14:val="tx1"/>
                  </w14:solidFill>
                </w14:textFill>
              </w:rPr>
              <w:t>侧</w:t>
            </w:r>
          </w:p>
        </w:tc>
        <w:tc>
          <w:tcPr>
            <w:tcW w:w="73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116</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70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r>
              <w:rPr>
                <w:rFonts w:hint="eastAsia" w:eastAsiaTheme="minorEastAsia"/>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t>#</w:t>
            </w:r>
            <w:r>
              <w:rPr>
                <w:rFonts w:hint="eastAsia" w:ascii="宋体" w:hAnsi="宋体" w:cs="宋体"/>
                <w:color w:val="000000" w:themeColor="text1"/>
                <w:highlight w:val="none"/>
                <w14:textFill>
                  <w14:solidFill>
                    <w14:schemeClr w14:val="tx1"/>
                  </w14:solidFill>
                </w14:textFill>
              </w:rPr>
              <w:t>居民点</w:t>
            </w:r>
          </w:p>
        </w:tc>
        <w:tc>
          <w:tcPr>
            <w:tcW w:w="661"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107.524630</w:t>
            </w:r>
          </w:p>
        </w:tc>
        <w:tc>
          <w:tcPr>
            <w:tcW w:w="598"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31.358877</w:t>
            </w:r>
          </w:p>
        </w:tc>
        <w:tc>
          <w:tcPr>
            <w:tcW w:w="683"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39"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w:t>
            </w:r>
            <w:r>
              <w:rPr>
                <w:color w:val="000000" w:themeColor="text1"/>
                <w:highlight w:val="none"/>
                <w:lang w:eastAsia="en-US"/>
                <w14:textFill>
                  <w14:solidFill>
                    <w14:schemeClr w14:val="tx1"/>
                  </w14:solidFill>
                </w14:textFill>
              </w:rPr>
              <w:t>户，约</w:t>
            </w:r>
            <w:r>
              <w:rPr>
                <w:rFonts w:hint="eastAsia"/>
                <w:color w:val="000000" w:themeColor="text1"/>
                <w:highlight w:val="none"/>
                <w14:textFill>
                  <w14:solidFill>
                    <w14:schemeClr w14:val="tx1"/>
                  </w14:solidFill>
                </w14:textFill>
              </w:rPr>
              <w:t>36</w:t>
            </w:r>
            <w:r>
              <w:rPr>
                <w:color w:val="000000" w:themeColor="text1"/>
                <w:highlight w:val="none"/>
                <w:lang w:eastAsia="en-US"/>
                <w14:textFill>
                  <w14:solidFill>
                    <w14:schemeClr w14:val="tx1"/>
                  </w14:solidFill>
                </w14:textFill>
              </w:rPr>
              <w:t>人</w:t>
            </w:r>
          </w:p>
        </w:tc>
        <w:tc>
          <w:tcPr>
            <w:tcW w:w="34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34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南</w:t>
            </w:r>
            <w:r>
              <w:rPr>
                <w:rFonts w:hint="eastAsia"/>
                <w:color w:val="000000" w:themeColor="text1"/>
                <w:highlight w:val="none"/>
                <w14:textFill>
                  <w14:solidFill>
                    <w14:schemeClr w14:val="tx1"/>
                  </w14:solidFill>
                </w14:textFill>
              </w:rPr>
              <w:t>侧</w:t>
            </w:r>
          </w:p>
        </w:tc>
        <w:tc>
          <w:tcPr>
            <w:tcW w:w="73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117</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194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70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eastAsiaTheme="minorEastAsia"/>
                <w:color w:val="000000" w:themeColor="text1"/>
                <w:highlight w:val="none"/>
                <w14:textFill>
                  <w14:solidFill>
                    <w14:schemeClr w14:val="tx1"/>
                  </w14:solidFill>
                </w14:textFill>
              </w:rPr>
              <w:t>29</w:t>
            </w:r>
            <w:r>
              <w:rPr>
                <w:color w:val="000000" w:themeColor="text1"/>
                <w:highlight w:val="none"/>
                <w14:textFill>
                  <w14:solidFill>
                    <w14:schemeClr w14:val="tx1"/>
                  </w14:solidFill>
                </w14:textFill>
              </w:rPr>
              <w:t>#</w:t>
            </w:r>
            <w:r>
              <w:rPr>
                <w:rFonts w:hint="eastAsia" w:ascii="宋体" w:hAnsi="宋体" w:cs="宋体"/>
                <w:color w:val="000000" w:themeColor="text1"/>
                <w:highlight w:val="none"/>
                <w14:textFill>
                  <w14:solidFill>
                    <w14:schemeClr w14:val="tx1"/>
                  </w14:solidFill>
                </w14:textFill>
              </w:rPr>
              <w:t>居民点</w:t>
            </w:r>
          </w:p>
        </w:tc>
        <w:tc>
          <w:tcPr>
            <w:tcW w:w="661"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107.526445</w:t>
            </w:r>
          </w:p>
        </w:tc>
        <w:tc>
          <w:tcPr>
            <w:tcW w:w="598"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31.361389</w:t>
            </w:r>
          </w:p>
        </w:tc>
        <w:tc>
          <w:tcPr>
            <w:tcW w:w="683"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39"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25</w:t>
            </w:r>
            <w:r>
              <w:rPr>
                <w:color w:val="000000" w:themeColor="text1"/>
                <w:highlight w:val="none"/>
                <w:lang w:eastAsia="en-US"/>
                <w14:textFill>
                  <w14:solidFill>
                    <w14:schemeClr w14:val="tx1"/>
                  </w14:solidFill>
                </w14:textFill>
              </w:rPr>
              <w:t>户，约</w:t>
            </w:r>
            <w:r>
              <w:rPr>
                <w:rFonts w:hint="eastAsia"/>
                <w:color w:val="000000" w:themeColor="text1"/>
                <w:highlight w:val="none"/>
                <w14:textFill>
                  <w14:solidFill>
                    <w14:schemeClr w14:val="tx1"/>
                  </w14:solidFill>
                </w14:textFill>
              </w:rPr>
              <w:t>10</w:t>
            </w:r>
            <w:r>
              <w:rPr>
                <w:color w:val="000000" w:themeColor="text1"/>
                <w:highlight w:val="none"/>
                <w14:textFill>
                  <w14:solidFill>
                    <w14:schemeClr w14:val="tx1"/>
                  </w14:solidFill>
                </w14:textFill>
              </w:rPr>
              <w:t>0</w:t>
            </w:r>
            <w:r>
              <w:rPr>
                <w:color w:val="000000" w:themeColor="text1"/>
                <w:highlight w:val="none"/>
                <w:lang w:eastAsia="en-US"/>
                <w14:textFill>
                  <w14:solidFill>
                    <w14:schemeClr w14:val="tx1"/>
                  </w14:solidFill>
                </w14:textFill>
              </w:rPr>
              <w:t>人</w:t>
            </w:r>
          </w:p>
        </w:tc>
        <w:tc>
          <w:tcPr>
            <w:tcW w:w="34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34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北</w:t>
            </w:r>
            <w:r>
              <w:rPr>
                <w:rFonts w:hint="eastAsia"/>
                <w:color w:val="000000" w:themeColor="text1"/>
                <w:highlight w:val="none"/>
                <w14:textFill>
                  <w14:solidFill>
                    <w14:schemeClr w14:val="tx1"/>
                  </w14:solidFill>
                </w14:textFill>
              </w:rPr>
              <w:t>侧</w:t>
            </w:r>
          </w:p>
        </w:tc>
        <w:tc>
          <w:tcPr>
            <w:tcW w:w="73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70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eastAsiaTheme="minorEastAsia"/>
                <w:color w:val="000000" w:themeColor="text1"/>
                <w:highlight w:val="none"/>
                <w14:textFill>
                  <w14:solidFill>
                    <w14:schemeClr w14:val="tx1"/>
                  </w14:solidFill>
                </w14:textFill>
              </w:rPr>
              <w:t>30</w:t>
            </w:r>
            <w:r>
              <w:rPr>
                <w:color w:val="000000" w:themeColor="text1"/>
                <w:highlight w:val="none"/>
                <w14:textFill>
                  <w14:solidFill>
                    <w14:schemeClr w14:val="tx1"/>
                  </w14:solidFill>
                </w14:textFill>
              </w:rPr>
              <w:t>#</w:t>
            </w:r>
            <w:r>
              <w:rPr>
                <w:rFonts w:hint="eastAsia" w:ascii="宋体" w:hAnsi="宋体" w:cs="宋体"/>
                <w:color w:val="000000" w:themeColor="text1"/>
                <w:highlight w:val="none"/>
                <w14:textFill>
                  <w14:solidFill>
                    <w14:schemeClr w14:val="tx1"/>
                  </w14:solidFill>
                </w14:textFill>
              </w:rPr>
              <w:t>居民点</w:t>
            </w:r>
          </w:p>
        </w:tc>
        <w:tc>
          <w:tcPr>
            <w:tcW w:w="661"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107.521943</w:t>
            </w:r>
          </w:p>
        </w:tc>
        <w:tc>
          <w:tcPr>
            <w:tcW w:w="598"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31.359785</w:t>
            </w:r>
          </w:p>
        </w:tc>
        <w:tc>
          <w:tcPr>
            <w:tcW w:w="683"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39"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26</w:t>
            </w:r>
            <w:r>
              <w:rPr>
                <w:color w:val="000000" w:themeColor="text1"/>
                <w:highlight w:val="none"/>
                <w:lang w:eastAsia="en-US"/>
                <w14:textFill>
                  <w14:solidFill>
                    <w14:schemeClr w14:val="tx1"/>
                  </w14:solidFill>
                </w14:textFill>
              </w:rPr>
              <w:t>户，约</w:t>
            </w:r>
            <w:r>
              <w:rPr>
                <w:rFonts w:hint="eastAsia"/>
                <w:color w:val="000000" w:themeColor="text1"/>
                <w:highlight w:val="none"/>
                <w14:textFill>
                  <w14:solidFill>
                    <w14:schemeClr w14:val="tx1"/>
                  </w14:solidFill>
                </w14:textFill>
              </w:rPr>
              <w:t>104</w:t>
            </w:r>
            <w:r>
              <w:rPr>
                <w:color w:val="000000" w:themeColor="text1"/>
                <w:highlight w:val="none"/>
                <w:lang w:eastAsia="en-US"/>
                <w14:textFill>
                  <w14:solidFill>
                    <w14:schemeClr w14:val="tx1"/>
                  </w14:solidFill>
                </w14:textFill>
              </w:rPr>
              <w:t>人</w:t>
            </w:r>
          </w:p>
        </w:tc>
        <w:tc>
          <w:tcPr>
            <w:tcW w:w="34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34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南</w:t>
            </w:r>
            <w:r>
              <w:rPr>
                <w:rFonts w:hint="eastAsia"/>
                <w:color w:val="000000" w:themeColor="text1"/>
                <w:highlight w:val="none"/>
                <w14:textFill>
                  <w14:solidFill>
                    <w14:schemeClr w14:val="tx1"/>
                  </w14:solidFill>
                </w14:textFill>
              </w:rPr>
              <w:t>侧</w:t>
            </w:r>
          </w:p>
        </w:tc>
        <w:tc>
          <w:tcPr>
            <w:tcW w:w="73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19</w:t>
            </w:r>
            <w:r>
              <w:rPr>
                <w:color w:val="000000" w:themeColor="text1"/>
                <w:highlight w:val="non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70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eastAsiaTheme="minorEastAsia"/>
                <w:color w:val="000000" w:themeColor="text1"/>
                <w:highlight w:val="none"/>
                <w14:textFill>
                  <w14:solidFill>
                    <w14:schemeClr w14:val="tx1"/>
                  </w14:solidFill>
                </w14:textFill>
              </w:rPr>
              <w:t>31</w:t>
            </w:r>
            <w:r>
              <w:rPr>
                <w:color w:val="000000" w:themeColor="text1"/>
                <w:highlight w:val="none"/>
                <w14:textFill>
                  <w14:solidFill>
                    <w14:schemeClr w14:val="tx1"/>
                  </w14:solidFill>
                </w14:textFill>
              </w:rPr>
              <w:t>#</w:t>
            </w:r>
            <w:r>
              <w:rPr>
                <w:rFonts w:hint="eastAsia" w:ascii="宋体" w:hAnsi="宋体" w:cs="宋体"/>
                <w:color w:val="000000" w:themeColor="text1"/>
                <w:highlight w:val="none"/>
                <w14:textFill>
                  <w14:solidFill>
                    <w14:schemeClr w14:val="tx1"/>
                  </w14:solidFill>
                </w14:textFill>
              </w:rPr>
              <w:t>居民点</w:t>
            </w:r>
          </w:p>
        </w:tc>
        <w:tc>
          <w:tcPr>
            <w:tcW w:w="661"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107.522664</w:t>
            </w:r>
          </w:p>
        </w:tc>
        <w:tc>
          <w:tcPr>
            <w:tcW w:w="598"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31.361704</w:t>
            </w:r>
          </w:p>
        </w:tc>
        <w:tc>
          <w:tcPr>
            <w:tcW w:w="683"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39"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16</w:t>
            </w:r>
            <w:r>
              <w:rPr>
                <w:color w:val="000000" w:themeColor="text1"/>
                <w:highlight w:val="none"/>
                <w:lang w:eastAsia="en-US"/>
                <w14:textFill>
                  <w14:solidFill>
                    <w14:schemeClr w14:val="tx1"/>
                  </w14:solidFill>
                </w14:textFill>
              </w:rPr>
              <w:t>户，约</w:t>
            </w:r>
            <w:r>
              <w:rPr>
                <w:rFonts w:hint="eastAsia"/>
                <w:color w:val="000000" w:themeColor="text1"/>
                <w:highlight w:val="none"/>
                <w14:textFill>
                  <w14:solidFill>
                    <w14:schemeClr w14:val="tx1"/>
                  </w14:solidFill>
                </w14:textFill>
              </w:rPr>
              <w:t>84</w:t>
            </w:r>
            <w:r>
              <w:rPr>
                <w:color w:val="000000" w:themeColor="text1"/>
                <w:highlight w:val="none"/>
                <w:lang w:eastAsia="en-US"/>
                <w14:textFill>
                  <w14:solidFill>
                    <w14:schemeClr w14:val="tx1"/>
                  </w14:solidFill>
                </w14:textFill>
              </w:rPr>
              <w:t>人</w:t>
            </w:r>
          </w:p>
        </w:tc>
        <w:tc>
          <w:tcPr>
            <w:tcW w:w="34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34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北</w:t>
            </w:r>
            <w:r>
              <w:rPr>
                <w:rFonts w:hint="eastAsia"/>
                <w:color w:val="000000" w:themeColor="text1"/>
                <w:highlight w:val="none"/>
                <w14:textFill>
                  <w14:solidFill>
                    <w14:schemeClr w14:val="tx1"/>
                  </w14:solidFill>
                </w14:textFill>
              </w:rPr>
              <w:t>侧</w:t>
            </w:r>
          </w:p>
        </w:tc>
        <w:tc>
          <w:tcPr>
            <w:tcW w:w="73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13</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170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70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eastAsiaTheme="minorEastAsia"/>
                <w:color w:val="000000" w:themeColor="text1"/>
                <w:highlight w:val="none"/>
                <w14:textFill>
                  <w14:solidFill>
                    <w14:schemeClr w14:val="tx1"/>
                  </w14:solidFill>
                </w14:textFill>
              </w:rPr>
              <w:t>32</w:t>
            </w:r>
            <w:r>
              <w:rPr>
                <w:color w:val="000000" w:themeColor="text1"/>
                <w:highlight w:val="none"/>
                <w14:textFill>
                  <w14:solidFill>
                    <w14:schemeClr w14:val="tx1"/>
                  </w14:solidFill>
                </w14:textFill>
              </w:rPr>
              <w:t>#</w:t>
            </w:r>
            <w:r>
              <w:rPr>
                <w:rFonts w:hint="eastAsia" w:ascii="宋体" w:hAnsi="宋体" w:cs="宋体"/>
                <w:color w:val="000000" w:themeColor="text1"/>
                <w:highlight w:val="none"/>
                <w14:textFill>
                  <w14:solidFill>
                    <w14:schemeClr w14:val="tx1"/>
                  </w14:solidFill>
                </w14:textFill>
              </w:rPr>
              <w:t>居民点</w:t>
            </w:r>
          </w:p>
        </w:tc>
        <w:tc>
          <w:tcPr>
            <w:tcW w:w="661"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107.520896</w:t>
            </w:r>
          </w:p>
        </w:tc>
        <w:tc>
          <w:tcPr>
            <w:tcW w:w="598"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31.361060</w:t>
            </w:r>
          </w:p>
        </w:tc>
        <w:tc>
          <w:tcPr>
            <w:tcW w:w="683"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39"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w:t>
            </w:r>
            <w:r>
              <w:rPr>
                <w:color w:val="000000" w:themeColor="text1"/>
                <w:highlight w:val="none"/>
                <w:lang w:eastAsia="en-US"/>
                <w14:textFill>
                  <w14:solidFill>
                    <w14:schemeClr w14:val="tx1"/>
                  </w14:solidFill>
                </w14:textFill>
              </w:rPr>
              <w:t>户，约</w:t>
            </w:r>
            <w:r>
              <w:rPr>
                <w:color w:val="000000" w:themeColor="text1"/>
                <w:highlight w:val="none"/>
                <w14:textFill>
                  <w14:solidFill>
                    <w14:schemeClr w14:val="tx1"/>
                  </w14:solidFill>
                </w14:textFill>
              </w:rPr>
              <w:t>20</w:t>
            </w:r>
            <w:r>
              <w:rPr>
                <w:color w:val="000000" w:themeColor="text1"/>
                <w:highlight w:val="none"/>
                <w:lang w:eastAsia="en-US"/>
                <w14:textFill>
                  <w14:solidFill>
                    <w14:schemeClr w14:val="tx1"/>
                  </w14:solidFill>
                </w14:textFill>
              </w:rPr>
              <w:t>人</w:t>
            </w:r>
          </w:p>
        </w:tc>
        <w:tc>
          <w:tcPr>
            <w:tcW w:w="34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34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北</w:t>
            </w:r>
            <w:r>
              <w:rPr>
                <w:rFonts w:hint="eastAsia"/>
                <w:color w:val="000000" w:themeColor="text1"/>
                <w:highlight w:val="none"/>
                <w14:textFill>
                  <w14:solidFill>
                    <w14:schemeClr w14:val="tx1"/>
                  </w14:solidFill>
                </w14:textFill>
              </w:rPr>
              <w:t>侧</w:t>
            </w:r>
          </w:p>
        </w:tc>
        <w:tc>
          <w:tcPr>
            <w:tcW w:w="73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23</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702" w:type="pct"/>
            <w:tcBorders>
              <w:top w:val="single" w:color="auto" w:sz="4" w:space="0"/>
              <w:left w:val="single" w:color="auto" w:sz="4" w:space="0"/>
              <w:bottom w:val="single" w:color="auto" w:sz="4" w:space="0"/>
              <w:right w:val="single" w:color="auto" w:sz="4" w:space="0"/>
            </w:tcBorders>
            <w:vAlign w:val="center"/>
          </w:tcPr>
          <w:p>
            <w:pPr>
              <w:pStyle w:val="118"/>
              <w:rPr>
                <w:rFonts w:eastAsiaTheme="minorEastAsia"/>
                <w:color w:val="000000" w:themeColor="text1"/>
                <w:highlight w:val="none"/>
                <w14:textFill>
                  <w14:solidFill>
                    <w14:schemeClr w14:val="tx1"/>
                  </w14:solidFill>
                </w14:textFill>
              </w:rPr>
            </w:pPr>
            <w:r>
              <w:rPr>
                <w:rFonts w:hint="eastAsia" w:eastAsiaTheme="minorEastAsia"/>
                <w:color w:val="000000" w:themeColor="text1"/>
                <w:highlight w:val="none"/>
                <w14:textFill>
                  <w14:solidFill>
                    <w14:schemeClr w14:val="tx1"/>
                  </w14:solidFill>
                </w14:textFill>
              </w:rPr>
              <w:t>33</w:t>
            </w:r>
            <w:r>
              <w:rPr>
                <w:color w:val="000000" w:themeColor="text1"/>
                <w:highlight w:val="none"/>
                <w14:textFill>
                  <w14:solidFill>
                    <w14:schemeClr w14:val="tx1"/>
                  </w14:solidFill>
                </w14:textFill>
              </w:rPr>
              <w:t>#</w:t>
            </w:r>
            <w:r>
              <w:rPr>
                <w:rFonts w:hint="eastAsia" w:ascii="宋体" w:hAnsi="宋体" w:cs="宋体"/>
                <w:color w:val="000000" w:themeColor="text1"/>
                <w:highlight w:val="none"/>
                <w14:textFill>
                  <w14:solidFill>
                    <w14:schemeClr w14:val="tx1"/>
                  </w14:solidFill>
                </w14:textFill>
              </w:rPr>
              <w:t>居民点</w:t>
            </w:r>
          </w:p>
        </w:tc>
        <w:tc>
          <w:tcPr>
            <w:tcW w:w="661"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107.518508</w:t>
            </w:r>
          </w:p>
        </w:tc>
        <w:tc>
          <w:tcPr>
            <w:tcW w:w="598"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31.360776</w:t>
            </w:r>
          </w:p>
        </w:tc>
        <w:tc>
          <w:tcPr>
            <w:tcW w:w="683"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39"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12</w:t>
            </w:r>
            <w:r>
              <w:rPr>
                <w:color w:val="000000" w:themeColor="text1"/>
                <w:highlight w:val="none"/>
                <w:lang w:eastAsia="en-US"/>
                <w14:textFill>
                  <w14:solidFill>
                    <w14:schemeClr w14:val="tx1"/>
                  </w14:solidFill>
                </w14:textFill>
              </w:rPr>
              <w:t>户，约</w:t>
            </w:r>
            <w:r>
              <w:rPr>
                <w:rFonts w:hint="eastAsia"/>
                <w:color w:val="000000" w:themeColor="text1"/>
                <w:highlight w:val="none"/>
                <w14:textFill>
                  <w14:solidFill>
                    <w14:schemeClr w14:val="tx1"/>
                  </w14:solidFill>
                </w14:textFill>
              </w:rPr>
              <w:t>48</w:t>
            </w:r>
            <w:r>
              <w:rPr>
                <w:color w:val="000000" w:themeColor="text1"/>
                <w:highlight w:val="none"/>
                <w:lang w:eastAsia="en-US"/>
                <w14:textFill>
                  <w14:solidFill>
                    <w14:schemeClr w14:val="tx1"/>
                  </w14:solidFill>
                </w14:textFill>
              </w:rPr>
              <w:t>人</w:t>
            </w:r>
          </w:p>
        </w:tc>
        <w:tc>
          <w:tcPr>
            <w:tcW w:w="34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34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北</w:t>
            </w:r>
            <w:r>
              <w:rPr>
                <w:rFonts w:hint="eastAsia"/>
                <w:color w:val="000000" w:themeColor="text1"/>
                <w:highlight w:val="none"/>
                <w14:textFill>
                  <w14:solidFill>
                    <w14:schemeClr w14:val="tx1"/>
                  </w14:solidFill>
                </w14:textFill>
              </w:rPr>
              <w:t>侧</w:t>
            </w:r>
          </w:p>
        </w:tc>
        <w:tc>
          <w:tcPr>
            <w:tcW w:w="73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176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jc w:val="center"/>
        </w:trPr>
        <w:tc>
          <w:tcPr>
            <w:tcW w:w="702" w:type="pct"/>
            <w:tcBorders>
              <w:top w:val="single" w:color="auto" w:sz="4" w:space="0"/>
              <w:left w:val="single" w:color="auto" w:sz="4" w:space="0"/>
              <w:bottom w:val="single" w:color="auto" w:sz="4" w:space="0"/>
              <w:right w:val="single" w:color="auto" w:sz="4" w:space="0"/>
            </w:tcBorders>
            <w:vAlign w:val="center"/>
          </w:tcPr>
          <w:p>
            <w:pPr>
              <w:pStyle w:val="118"/>
              <w:rPr>
                <w:rFonts w:eastAsiaTheme="minorEastAsia"/>
                <w:color w:val="000000" w:themeColor="text1"/>
                <w:highlight w:val="none"/>
                <w14:textFill>
                  <w14:solidFill>
                    <w14:schemeClr w14:val="tx1"/>
                  </w14:solidFill>
                </w14:textFill>
              </w:rPr>
            </w:pPr>
            <w:r>
              <w:rPr>
                <w:rFonts w:hint="eastAsia" w:eastAsiaTheme="minorEastAsia"/>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t>#</w:t>
            </w:r>
            <w:r>
              <w:rPr>
                <w:rFonts w:hint="eastAsia" w:ascii="宋体" w:hAnsi="宋体" w:cs="宋体"/>
                <w:color w:val="000000" w:themeColor="text1"/>
                <w:highlight w:val="none"/>
                <w14:textFill>
                  <w14:solidFill>
                    <w14:schemeClr w14:val="tx1"/>
                  </w14:solidFill>
                </w14:textFill>
              </w:rPr>
              <w:t>居民点</w:t>
            </w:r>
          </w:p>
        </w:tc>
        <w:tc>
          <w:tcPr>
            <w:tcW w:w="661"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107.518068</w:t>
            </w:r>
          </w:p>
        </w:tc>
        <w:tc>
          <w:tcPr>
            <w:tcW w:w="598" w:type="pct"/>
            <w:tcBorders>
              <w:top w:val="single" w:color="auto" w:sz="4" w:space="0"/>
              <w:left w:val="single" w:color="auto" w:sz="4" w:space="0"/>
              <w:bottom w:val="single" w:color="auto" w:sz="4" w:space="0"/>
              <w:right w:val="single" w:color="auto" w:sz="4" w:space="0"/>
            </w:tcBorders>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31.358351</w:t>
            </w:r>
          </w:p>
        </w:tc>
        <w:tc>
          <w:tcPr>
            <w:tcW w:w="683"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农村居民</w:t>
            </w:r>
          </w:p>
        </w:tc>
        <w:tc>
          <w:tcPr>
            <w:tcW w:w="939"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w:t>
            </w:r>
            <w:r>
              <w:rPr>
                <w:color w:val="000000" w:themeColor="text1"/>
                <w:highlight w:val="none"/>
                <w:lang w:eastAsia="en-US"/>
                <w14:textFill>
                  <w14:solidFill>
                    <w14:schemeClr w14:val="tx1"/>
                  </w14:solidFill>
                </w14:textFill>
              </w:rPr>
              <w:t>户，约</w:t>
            </w:r>
            <w:r>
              <w:rPr>
                <w:color w:val="000000" w:themeColor="text1"/>
                <w:highlight w:val="none"/>
                <w14:textFill>
                  <w14:solidFill>
                    <w14:schemeClr w14:val="tx1"/>
                  </w14:solidFill>
                </w14:textFill>
              </w:rPr>
              <w:t>20</w:t>
            </w:r>
            <w:r>
              <w:rPr>
                <w:color w:val="000000" w:themeColor="text1"/>
                <w:highlight w:val="none"/>
                <w:lang w:eastAsia="en-US"/>
                <w14:textFill>
                  <w14:solidFill>
                    <w14:schemeClr w14:val="tx1"/>
                  </w14:solidFill>
                </w14:textFill>
              </w:rPr>
              <w:t>人</w:t>
            </w:r>
          </w:p>
        </w:tc>
        <w:tc>
          <w:tcPr>
            <w:tcW w:w="34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34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南</w:t>
            </w:r>
            <w:r>
              <w:rPr>
                <w:rFonts w:hint="eastAsia"/>
                <w:color w:val="000000" w:themeColor="text1"/>
                <w:highlight w:val="none"/>
                <w14:textFill>
                  <w14:solidFill>
                    <w14:schemeClr w14:val="tx1"/>
                  </w14:solidFill>
                </w14:textFill>
              </w:rPr>
              <w:t>侧</w:t>
            </w:r>
          </w:p>
        </w:tc>
        <w:tc>
          <w:tcPr>
            <w:tcW w:w="73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124</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192</w:t>
            </w:r>
          </w:p>
        </w:tc>
      </w:tr>
    </w:tbl>
    <w:p>
      <w:pPr>
        <w:pStyle w:val="6"/>
        <w:numPr>
          <w:ilvl w:val="0"/>
          <w:numId w:val="0"/>
        </w:numPr>
        <w:spacing w:before="120"/>
        <w:ind w:firstLine="20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2.9.2.5</w:t>
      </w:r>
      <w:r>
        <w:rPr>
          <w:color w:val="000000" w:themeColor="text1"/>
          <w:highlight w:val="none"/>
          <w14:textFill>
            <w14:solidFill>
              <w14:schemeClr w14:val="tx1"/>
            </w14:solidFill>
          </w14:textFill>
        </w:rPr>
        <w:t>声环境保护目标</w:t>
      </w:r>
      <w:bookmarkEnd w:id="106"/>
    </w:p>
    <w:p>
      <w:pPr>
        <w:widowControl/>
        <w:ind w:firstLine="480"/>
        <w:jc w:val="left"/>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根据现场调查，本项目</w:t>
      </w:r>
      <w:r>
        <w:rPr>
          <w:rFonts w:hint="eastAsia" w:cs="Times New Roman"/>
          <w:color w:val="000000" w:themeColor="text1"/>
          <w:kern w:val="0"/>
          <w:szCs w:val="24"/>
          <w:highlight w:val="none"/>
          <w14:textFill>
            <w14:solidFill>
              <w14:schemeClr w14:val="tx1"/>
            </w14:solidFill>
          </w14:textFill>
        </w:rPr>
        <w:t>试采站和外输管线周边200m范围</w:t>
      </w:r>
      <w:r>
        <w:rPr>
          <w:rFonts w:cs="Times New Roman"/>
          <w:color w:val="000000" w:themeColor="text1"/>
          <w:kern w:val="0"/>
          <w:szCs w:val="24"/>
          <w:highlight w:val="none"/>
          <w14:textFill>
            <w14:solidFill>
              <w14:schemeClr w14:val="tx1"/>
            </w14:solidFill>
          </w14:textFill>
        </w:rPr>
        <w:t>主要声环境保护目标见下表所示。</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试采站声环境保护目标一览表</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23"/>
        <w:gridCol w:w="708"/>
        <w:gridCol w:w="852"/>
        <w:gridCol w:w="995"/>
        <w:gridCol w:w="995"/>
        <w:gridCol w:w="852"/>
        <w:gridCol w:w="569"/>
        <w:gridCol w:w="995"/>
        <w:gridCol w:w="1427"/>
        <w:gridCol w:w="5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blHeader/>
          <w:jc w:val="center"/>
        </w:trPr>
        <w:tc>
          <w:tcPr>
            <w:tcW w:w="254" w:type="pct"/>
            <w:vMerge w:val="restart"/>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序号</w:t>
            </w:r>
          </w:p>
        </w:tc>
        <w:tc>
          <w:tcPr>
            <w:tcW w:w="425" w:type="pct"/>
            <w:vMerge w:val="restar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名称</w:t>
            </w:r>
          </w:p>
        </w:tc>
        <w:tc>
          <w:tcPr>
            <w:tcW w:w="1708" w:type="pct"/>
            <w:gridSpan w:val="3"/>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空间相对位置/m</w:t>
            </w:r>
          </w:p>
        </w:tc>
        <w:tc>
          <w:tcPr>
            <w:tcW w:w="512" w:type="pct"/>
            <w:vMerge w:val="restar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相对</w:t>
            </w:r>
            <w:r>
              <w:rPr>
                <w:rFonts w:hint="eastAsia"/>
                <w:b/>
                <w:bCs/>
                <w:color w:val="000000" w:themeColor="text1"/>
                <w:highlight w:val="none"/>
                <w14:textFill>
                  <w14:solidFill>
                    <w14:schemeClr w14:val="tx1"/>
                  </w14:solidFill>
                </w14:textFill>
              </w:rPr>
              <w:t>试采站</w:t>
            </w:r>
            <w:r>
              <w:rPr>
                <w:b/>
                <w:bCs/>
                <w:color w:val="000000" w:themeColor="text1"/>
                <w:highlight w:val="none"/>
                <w14:textFill>
                  <w14:solidFill>
                    <w14:schemeClr w14:val="tx1"/>
                  </w14:solidFill>
                </w14:textFill>
              </w:rPr>
              <w:t>场界距离/m</w:t>
            </w:r>
          </w:p>
        </w:tc>
        <w:tc>
          <w:tcPr>
            <w:tcW w:w="342" w:type="pct"/>
            <w:vMerge w:val="restar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方位</w:t>
            </w:r>
          </w:p>
        </w:tc>
        <w:tc>
          <w:tcPr>
            <w:tcW w:w="598" w:type="pct"/>
            <w:vMerge w:val="restar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执行标准/环境功能区类别</w:t>
            </w:r>
          </w:p>
        </w:tc>
        <w:tc>
          <w:tcPr>
            <w:tcW w:w="858" w:type="pct"/>
            <w:vMerge w:val="restar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声环境保护目标情况说明</w:t>
            </w:r>
          </w:p>
        </w:tc>
        <w:tc>
          <w:tcPr>
            <w:tcW w:w="302" w:type="pct"/>
            <w:vMerge w:val="restar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影响时段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blHeader/>
          <w:jc w:val="center"/>
        </w:trPr>
        <w:tc>
          <w:tcPr>
            <w:tcW w:w="254" w:type="pct"/>
            <w:vMerge w:val="continue"/>
            <w:vAlign w:val="center"/>
          </w:tcPr>
          <w:p>
            <w:pPr>
              <w:pStyle w:val="118"/>
              <w:rPr>
                <w:color w:val="000000" w:themeColor="text1"/>
                <w:highlight w:val="none"/>
                <w:lang w:eastAsia="en-US"/>
                <w14:textFill>
                  <w14:solidFill>
                    <w14:schemeClr w14:val="tx1"/>
                  </w14:solidFill>
                </w14:textFill>
              </w:rPr>
            </w:pPr>
          </w:p>
        </w:tc>
        <w:tc>
          <w:tcPr>
            <w:tcW w:w="425" w:type="pct"/>
            <w:vMerge w:val="continue"/>
            <w:vAlign w:val="center"/>
          </w:tcPr>
          <w:p>
            <w:pPr>
              <w:pStyle w:val="118"/>
              <w:rPr>
                <w:color w:val="000000" w:themeColor="text1"/>
                <w:highlight w:val="none"/>
                <w:lang w:eastAsia="en-US"/>
                <w14:textFill>
                  <w14:solidFill>
                    <w14:schemeClr w14:val="tx1"/>
                  </w14:solidFill>
                </w14:textFill>
              </w:rPr>
            </w:pPr>
          </w:p>
        </w:tc>
        <w:tc>
          <w:tcPr>
            <w:tcW w:w="512"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X</w:t>
            </w:r>
          </w:p>
        </w:tc>
        <w:tc>
          <w:tcPr>
            <w:tcW w:w="598"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Y</w:t>
            </w:r>
          </w:p>
        </w:tc>
        <w:tc>
          <w:tcPr>
            <w:tcW w:w="598"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Z</w:t>
            </w:r>
          </w:p>
        </w:tc>
        <w:tc>
          <w:tcPr>
            <w:tcW w:w="512" w:type="pct"/>
            <w:vMerge w:val="continue"/>
            <w:vAlign w:val="center"/>
          </w:tcPr>
          <w:p>
            <w:pPr>
              <w:pStyle w:val="118"/>
              <w:rPr>
                <w:color w:val="000000" w:themeColor="text1"/>
                <w:highlight w:val="none"/>
                <w14:textFill>
                  <w14:solidFill>
                    <w14:schemeClr w14:val="tx1"/>
                  </w14:solidFill>
                </w14:textFill>
              </w:rPr>
            </w:pPr>
          </w:p>
        </w:tc>
        <w:tc>
          <w:tcPr>
            <w:tcW w:w="342" w:type="pct"/>
            <w:vMerge w:val="continue"/>
            <w:vAlign w:val="center"/>
          </w:tcPr>
          <w:p>
            <w:pPr>
              <w:pStyle w:val="118"/>
              <w:rPr>
                <w:color w:val="000000" w:themeColor="text1"/>
                <w:highlight w:val="none"/>
                <w14:textFill>
                  <w14:solidFill>
                    <w14:schemeClr w14:val="tx1"/>
                  </w14:solidFill>
                </w14:textFill>
              </w:rPr>
            </w:pPr>
          </w:p>
        </w:tc>
        <w:tc>
          <w:tcPr>
            <w:tcW w:w="598" w:type="pct"/>
            <w:vMerge w:val="continue"/>
            <w:vAlign w:val="center"/>
          </w:tcPr>
          <w:p>
            <w:pPr>
              <w:pStyle w:val="118"/>
              <w:rPr>
                <w:color w:val="000000" w:themeColor="text1"/>
                <w:highlight w:val="none"/>
                <w:lang w:eastAsia="en-US"/>
                <w14:textFill>
                  <w14:solidFill>
                    <w14:schemeClr w14:val="tx1"/>
                  </w14:solidFill>
                </w14:textFill>
              </w:rPr>
            </w:pPr>
          </w:p>
        </w:tc>
        <w:tc>
          <w:tcPr>
            <w:tcW w:w="858" w:type="pct"/>
            <w:vMerge w:val="continue"/>
            <w:vAlign w:val="center"/>
          </w:tcPr>
          <w:p>
            <w:pPr>
              <w:pStyle w:val="118"/>
              <w:rPr>
                <w:color w:val="000000" w:themeColor="text1"/>
                <w:highlight w:val="none"/>
                <w14:textFill>
                  <w14:solidFill>
                    <w14:schemeClr w14:val="tx1"/>
                  </w14:solidFill>
                </w14:textFill>
              </w:rPr>
            </w:pPr>
          </w:p>
        </w:tc>
        <w:tc>
          <w:tcPr>
            <w:tcW w:w="302" w:type="pct"/>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p>
        </w:tc>
        <w:tc>
          <w:tcPr>
            <w:tcW w:w="425" w:type="pct"/>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1#居民点</w:t>
            </w:r>
          </w:p>
        </w:tc>
        <w:tc>
          <w:tcPr>
            <w:tcW w:w="512" w:type="pct"/>
            <w:vAlign w:val="center"/>
          </w:tcPr>
          <w:p>
            <w:pPr>
              <w:pStyle w:val="118"/>
              <w:rPr>
                <w:color w:val="000000" w:themeColor="text1"/>
                <w:highlight w:val="none"/>
                <w14:textFill>
                  <w14:solidFill>
                    <w14:schemeClr w14:val="tx1"/>
                  </w14:solidFill>
                </w14:textFill>
              </w:rPr>
            </w:pPr>
            <w:r>
              <w:rPr>
                <w:color w:val="000000" w:themeColor="text1"/>
                <w:highlight w:val="none"/>
                <w:lang w:eastAsia="en-US"/>
                <w14:textFill>
                  <w14:solidFill>
                    <w14:schemeClr w14:val="tx1"/>
                  </w14:solidFill>
                </w14:textFill>
              </w:rPr>
              <w:t>-</w:t>
            </w:r>
            <w:r>
              <w:rPr>
                <w:rFonts w:hint="eastAsia"/>
                <w:color w:val="000000" w:themeColor="text1"/>
                <w:highlight w:val="none"/>
                <w14:textFill>
                  <w14:solidFill>
                    <w14:schemeClr w14:val="tx1"/>
                  </w14:solidFill>
                </w14:textFill>
              </w:rPr>
              <w:t>90~-31</w:t>
            </w:r>
          </w:p>
        </w:tc>
        <w:tc>
          <w:tcPr>
            <w:tcW w:w="598"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-68~-10</w:t>
            </w:r>
          </w:p>
        </w:tc>
        <w:tc>
          <w:tcPr>
            <w:tcW w:w="598" w:type="pct"/>
            <w:vAlign w:val="center"/>
          </w:tcPr>
          <w:p>
            <w:pPr>
              <w:pStyle w:val="118"/>
              <w:rPr>
                <w:color w:val="000000" w:themeColor="text1"/>
                <w:highlight w:val="none"/>
                <w:lang w:eastAsia="en-US"/>
                <w14:textFill>
                  <w14:solidFill>
                    <w14:schemeClr w14:val="tx1"/>
                  </w14:solidFill>
                </w14:textFill>
              </w:rPr>
            </w:pPr>
            <w:r>
              <w:rPr>
                <w:rFonts w:hint="eastAsia"/>
                <w:color w:val="000000" w:themeColor="text1"/>
                <w:highlight w:val="none"/>
                <w14:textFill>
                  <w14:solidFill>
                    <w14:schemeClr w14:val="tx1"/>
                  </w14:solidFill>
                </w14:textFill>
              </w:rPr>
              <w:t>+1~+8</w:t>
            </w:r>
          </w:p>
        </w:tc>
        <w:tc>
          <w:tcPr>
            <w:tcW w:w="512" w:type="pct"/>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33~65</w:t>
            </w:r>
          </w:p>
        </w:tc>
        <w:tc>
          <w:tcPr>
            <w:tcW w:w="342" w:type="pct"/>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西</w:t>
            </w:r>
            <w:r>
              <w:rPr>
                <w:rFonts w:hint="eastAsia"/>
                <w:color w:val="000000" w:themeColor="text1"/>
                <w:highlight w:val="none"/>
                <w14:textFill>
                  <w14:solidFill>
                    <w14:schemeClr w14:val="tx1"/>
                  </w14:solidFill>
                </w14:textFill>
              </w:rPr>
              <w:t>南</w:t>
            </w:r>
          </w:p>
        </w:tc>
        <w:tc>
          <w:tcPr>
            <w:tcW w:w="598" w:type="pct"/>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858"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农村环境，5户，20人，1</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3F层，砖混结构</w:t>
            </w:r>
          </w:p>
        </w:tc>
        <w:tc>
          <w:tcPr>
            <w:tcW w:w="302" w:type="pct"/>
            <w:vMerge w:val="restart"/>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施工期、运营期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p>
        </w:tc>
        <w:tc>
          <w:tcPr>
            <w:tcW w:w="425" w:type="pct"/>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2#居民点</w:t>
            </w:r>
          </w:p>
        </w:tc>
        <w:tc>
          <w:tcPr>
            <w:tcW w:w="512" w:type="pct"/>
            <w:vAlign w:val="center"/>
          </w:tcPr>
          <w:p>
            <w:pPr>
              <w:pStyle w:val="118"/>
              <w:rPr>
                <w:color w:val="000000" w:themeColor="text1"/>
                <w:highlight w:val="none"/>
                <w14:textFill>
                  <w14:solidFill>
                    <w14:schemeClr w14:val="tx1"/>
                  </w14:solidFill>
                </w14:textFill>
              </w:rPr>
            </w:pPr>
            <w:r>
              <w:rPr>
                <w:color w:val="000000" w:themeColor="text1"/>
                <w:highlight w:val="none"/>
                <w:lang w:eastAsia="en-US"/>
                <w14:textFill>
                  <w14:solidFill>
                    <w14:schemeClr w14:val="tx1"/>
                  </w14:solidFill>
                </w14:textFill>
              </w:rPr>
              <w:t>-</w:t>
            </w:r>
            <w:r>
              <w:rPr>
                <w:rFonts w:hint="eastAsia"/>
                <w:color w:val="000000" w:themeColor="text1"/>
                <w:highlight w:val="none"/>
                <w14:textFill>
                  <w14:solidFill>
                    <w14:schemeClr w14:val="tx1"/>
                  </w14:solidFill>
                </w14:textFill>
              </w:rPr>
              <w:t>128~-57</w:t>
            </w:r>
          </w:p>
        </w:tc>
        <w:tc>
          <w:tcPr>
            <w:tcW w:w="598"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-14~+80</w:t>
            </w:r>
          </w:p>
        </w:tc>
        <w:tc>
          <w:tcPr>
            <w:tcW w:w="598" w:type="pct"/>
            <w:vAlign w:val="center"/>
          </w:tcPr>
          <w:p>
            <w:pPr>
              <w:pStyle w:val="118"/>
              <w:rPr>
                <w:color w:val="000000" w:themeColor="text1"/>
                <w:highlight w:val="none"/>
                <w:lang w:eastAsia="en-US"/>
                <w14:textFill>
                  <w14:solidFill>
                    <w14:schemeClr w14:val="tx1"/>
                  </w14:solidFill>
                </w14:textFill>
              </w:rPr>
            </w:pPr>
            <w:r>
              <w:rPr>
                <w:rFonts w:hint="eastAsia"/>
                <w:color w:val="000000" w:themeColor="text1"/>
                <w:highlight w:val="none"/>
                <w14:textFill>
                  <w14:solidFill>
                    <w14:schemeClr w14:val="tx1"/>
                  </w14:solidFill>
                </w14:textFill>
              </w:rPr>
              <w:t>+2~+12</w:t>
            </w:r>
          </w:p>
        </w:tc>
        <w:tc>
          <w:tcPr>
            <w:tcW w:w="512" w:type="pct"/>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24~98</w:t>
            </w:r>
          </w:p>
        </w:tc>
        <w:tc>
          <w:tcPr>
            <w:tcW w:w="342" w:type="pct"/>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西</w:t>
            </w:r>
          </w:p>
        </w:tc>
        <w:tc>
          <w:tcPr>
            <w:tcW w:w="598" w:type="pct"/>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858"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农村环境，15户，60人，1</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3F层，砖混结构</w:t>
            </w:r>
          </w:p>
        </w:tc>
        <w:tc>
          <w:tcPr>
            <w:tcW w:w="302" w:type="pct"/>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w:t>
            </w:r>
          </w:p>
        </w:tc>
        <w:tc>
          <w:tcPr>
            <w:tcW w:w="425" w:type="pct"/>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3#居民点</w:t>
            </w:r>
          </w:p>
        </w:tc>
        <w:tc>
          <w:tcPr>
            <w:tcW w:w="512" w:type="pct"/>
            <w:vAlign w:val="center"/>
          </w:tcPr>
          <w:p>
            <w:pPr>
              <w:pStyle w:val="118"/>
              <w:rPr>
                <w:color w:val="000000" w:themeColor="text1"/>
                <w:highlight w:val="none"/>
                <w14:textFill>
                  <w14:solidFill>
                    <w14:schemeClr w14:val="tx1"/>
                  </w14:solidFill>
                </w14:textFill>
              </w:rPr>
            </w:pPr>
            <w:r>
              <w:rPr>
                <w:color w:val="000000" w:themeColor="text1"/>
                <w:highlight w:val="none"/>
                <w:lang w:eastAsia="en-US"/>
                <w14:textFill>
                  <w14:solidFill>
                    <w14:schemeClr w14:val="tx1"/>
                  </w14:solidFill>
                </w14:textFill>
              </w:rPr>
              <w:t>-3</w:t>
            </w:r>
            <w:r>
              <w:rPr>
                <w:rFonts w:hint="eastAsia"/>
                <w:color w:val="000000" w:themeColor="text1"/>
                <w:highlight w:val="none"/>
                <w14:textFill>
                  <w14:solidFill>
                    <w14:schemeClr w14:val="tx1"/>
                  </w14:solidFill>
                </w14:textFill>
              </w:rPr>
              <w:t>2~-8</w:t>
            </w:r>
          </w:p>
        </w:tc>
        <w:tc>
          <w:tcPr>
            <w:tcW w:w="598"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+65~+88</w:t>
            </w:r>
          </w:p>
        </w:tc>
        <w:tc>
          <w:tcPr>
            <w:tcW w:w="598" w:type="pct"/>
            <w:vAlign w:val="center"/>
          </w:tcPr>
          <w:p>
            <w:pPr>
              <w:pStyle w:val="118"/>
              <w:rPr>
                <w:color w:val="000000" w:themeColor="text1"/>
                <w:highlight w:val="none"/>
                <w:lang w:eastAsia="en-US"/>
                <w14:textFill>
                  <w14:solidFill>
                    <w14:schemeClr w14:val="tx1"/>
                  </w14:solidFill>
                </w14:textFill>
              </w:rPr>
            </w:pPr>
            <w:r>
              <w:rPr>
                <w:rFonts w:hint="eastAsia"/>
                <w:color w:val="000000" w:themeColor="text1"/>
                <w:highlight w:val="none"/>
                <w14:textFill>
                  <w14:solidFill>
                    <w14:schemeClr w14:val="tx1"/>
                  </w14:solidFill>
                </w14:textFill>
              </w:rPr>
              <w:t>0~+1</w:t>
            </w:r>
          </w:p>
        </w:tc>
        <w:tc>
          <w:tcPr>
            <w:tcW w:w="512" w:type="pct"/>
            <w:vAlign w:val="center"/>
          </w:tcPr>
          <w:p>
            <w:pPr>
              <w:pStyle w:val="118"/>
              <w:rPr>
                <w:color w:val="000000" w:themeColor="text1"/>
                <w:highlight w:val="none"/>
                <w:lang w:eastAsia="en-US"/>
                <w14:textFill>
                  <w14:solidFill>
                    <w14:schemeClr w14:val="tx1"/>
                  </w14:solidFill>
                </w14:textFill>
              </w:rPr>
            </w:pPr>
            <w:r>
              <w:rPr>
                <w:color w:val="000000" w:themeColor="text1"/>
                <w:highlight w:val="none"/>
                <w14:textFill>
                  <w14:solidFill>
                    <w14:schemeClr w14:val="tx1"/>
                  </w14:solidFill>
                </w14:textFill>
              </w:rPr>
              <w:t>31~45</w:t>
            </w:r>
          </w:p>
        </w:tc>
        <w:tc>
          <w:tcPr>
            <w:tcW w:w="342" w:type="pct"/>
            <w:vAlign w:val="center"/>
          </w:tcPr>
          <w:p>
            <w:pPr>
              <w:pStyle w:val="118"/>
              <w:rPr>
                <w:color w:val="000000" w:themeColor="text1"/>
                <w:highlight w:val="none"/>
                <w:lang w:eastAsia="en-US"/>
                <w14:textFill>
                  <w14:solidFill>
                    <w14:schemeClr w14:val="tx1"/>
                  </w14:solidFill>
                </w14:textFill>
              </w:rPr>
            </w:pPr>
            <w:r>
              <w:rPr>
                <w:rFonts w:hint="eastAsia"/>
                <w:color w:val="000000" w:themeColor="text1"/>
                <w:highlight w:val="none"/>
                <w14:textFill>
                  <w14:solidFill>
                    <w14:schemeClr w14:val="tx1"/>
                  </w14:solidFill>
                </w14:textFill>
              </w:rPr>
              <w:t>北</w:t>
            </w:r>
          </w:p>
        </w:tc>
        <w:tc>
          <w:tcPr>
            <w:tcW w:w="598" w:type="pct"/>
            <w:vAlign w:val="center"/>
          </w:tcPr>
          <w:p>
            <w:pPr>
              <w:pStyle w:val="11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二类</w:t>
            </w:r>
          </w:p>
        </w:tc>
        <w:tc>
          <w:tcPr>
            <w:tcW w:w="858"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农村环境，2户，8人，1</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3F层，砖混结构</w:t>
            </w:r>
          </w:p>
        </w:tc>
        <w:tc>
          <w:tcPr>
            <w:tcW w:w="302" w:type="pct"/>
            <w:vMerge w:val="continue"/>
            <w:vAlign w:val="center"/>
          </w:tcPr>
          <w:p>
            <w:pPr>
              <w:pStyle w:val="118"/>
              <w:rPr>
                <w:color w:val="000000" w:themeColor="text1"/>
                <w:highlight w:val="none"/>
                <w14:textFill>
                  <w14:solidFill>
                    <w14:schemeClr w14:val="tx1"/>
                  </w14:solidFill>
                </w14:textFill>
              </w:rPr>
            </w:pPr>
          </w:p>
        </w:tc>
      </w:tr>
    </w:tbl>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外输管线声环境保护目标一览表</w:t>
      </w:r>
    </w:p>
    <w:tbl>
      <w:tblPr>
        <w:tblStyle w:val="29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6"/>
        <w:gridCol w:w="727"/>
        <w:gridCol w:w="1312"/>
        <w:gridCol w:w="2766"/>
        <w:gridCol w:w="728"/>
        <w:gridCol w:w="583"/>
        <w:gridCol w:w="11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766" w:type="pct"/>
            <w:vMerge w:val="restart"/>
            <w:vAlign w:val="center"/>
          </w:tcPr>
          <w:p>
            <w:pPr>
              <w:pStyle w:val="118"/>
              <w:rPr>
                <w:rFonts w:eastAsia="Times New Roman"/>
                <w:b/>
                <w:bCs/>
                <w:snapToGrid w:val="0"/>
                <w:color w:val="000000" w:themeColor="text1"/>
                <w:highlight w:val="none"/>
                <w14:textFill>
                  <w14:solidFill>
                    <w14:schemeClr w14:val="tx1"/>
                  </w14:solidFill>
                </w14:textFill>
              </w:rPr>
            </w:pPr>
            <w:r>
              <w:rPr>
                <w:rFonts w:hint="eastAsia" w:eastAsia="Times New Roman"/>
                <w:b/>
                <w:bCs/>
                <w:snapToGrid w:val="0"/>
                <w:color w:val="000000" w:themeColor="text1"/>
                <w:highlight w:val="none"/>
                <w14:textFill>
                  <w14:solidFill>
                    <w14:schemeClr w14:val="tx1"/>
                  </w14:solidFill>
                </w14:textFill>
              </w:rPr>
              <w:t>声环境保护目标编号</w:t>
            </w:r>
          </w:p>
        </w:tc>
        <w:tc>
          <w:tcPr>
            <w:tcW w:w="427" w:type="pct"/>
            <w:vMerge w:val="restart"/>
            <w:vAlign w:val="center"/>
          </w:tcPr>
          <w:p>
            <w:pPr>
              <w:pStyle w:val="118"/>
              <w:rPr>
                <w:rFonts w:eastAsia="Times New Roman"/>
                <w:b/>
                <w:bCs/>
                <w:snapToGrid w:val="0"/>
                <w:color w:val="000000" w:themeColor="text1"/>
                <w:highlight w:val="none"/>
                <w14:textFill>
                  <w14:solidFill>
                    <w14:schemeClr w14:val="tx1"/>
                  </w14:solidFill>
                </w14:textFill>
              </w:rPr>
            </w:pPr>
            <w:r>
              <w:rPr>
                <w:rFonts w:hint="eastAsia" w:ascii="宋体" w:hAnsi="宋体" w:eastAsia="宋体" w:cs="宋体"/>
                <w:b/>
                <w:bCs/>
                <w:snapToGrid w:val="0"/>
                <w:color w:val="000000" w:themeColor="text1"/>
                <w:highlight w:val="none"/>
                <w14:textFill>
                  <w14:solidFill>
                    <w14:schemeClr w14:val="tx1"/>
                  </w14:solidFill>
                </w14:textFill>
              </w:rPr>
              <w:t>与</w:t>
            </w:r>
            <w:r>
              <w:rPr>
                <w:rFonts w:hint="eastAsia" w:eastAsia="Times New Roman"/>
                <w:b/>
                <w:bCs/>
                <w:snapToGrid w:val="0"/>
                <w:color w:val="000000" w:themeColor="text1"/>
                <w:highlight w:val="none"/>
                <w14:textFill>
                  <w14:solidFill>
                    <w14:schemeClr w14:val="tx1"/>
                  </w14:solidFill>
                </w14:textFill>
              </w:rPr>
              <w:t>管线关系</w:t>
            </w:r>
          </w:p>
        </w:tc>
        <w:tc>
          <w:tcPr>
            <w:tcW w:w="769" w:type="pct"/>
            <w:vMerge w:val="restart"/>
            <w:vAlign w:val="center"/>
          </w:tcPr>
          <w:p>
            <w:pPr>
              <w:pStyle w:val="118"/>
              <w:rPr>
                <w:rFonts w:eastAsia="Times New Roman"/>
                <w:b/>
                <w:bCs/>
                <w:snapToGrid w:val="0"/>
                <w:color w:val="000000" w:themeColor="text1"/>
                <w:highlight w:val="none"/>
                <w14:textFill>
                  <w14:solidFill>
                    <w14:schemeClr w14:val="tx1"/>
                  </w14:solidFill>
                </w14:textFill>
              </w:rPr>
            </w:pPr>
            <w:r>
              <w:rPr>
                <w:rFonts w:hint="eastAsia" w:ascii="宋体" w:hAnsi="宋体" w:eastAsia="宋体" w:cs="宋体"/>
                <w:b/>
                <w:bCs/>
                <w:snapToGrid w:val="0"/>
                <w:color w:val="000000" w:themeColor="text1"/>
                <w:highlight w:val="none"/>
                <w14:textFill>
                  <w14:solidFill>
                    <w14:schemeClr w14:val="tx1"/>
                  </w14:solidFill>
                </w14:textFill>
              </w:rPr>
              <w:t>距</w:t>
            </w:r>
            <w:r>
              <w:rPr>
                <w:rFonts w:hint="eastAsia" w:eastAsia="Times New Roman"/>
                <w:b/>
                <w:bCs/>
                <w:snapToGrid w:val="0"/>
                <w:color w:val="000000" w:themeColor="text1"/>
                <w:highlight w:val="none"/>
                <w14:textFill>
                  <w14:solidFill>
                    <w14:schemeClr w14:val="tx1"/>
                  </w14:solidFill>
                </w14:textFill>
              </w:rPr>
              <w:t>最近管线中心线距离</w:t>
            </w:r>
            <w:r>
              <w:rPr>
                <w:rFonts w:eastAsia="Times New Roman"/>
                <w:b/>
                <w:bCs/>
                <w:snapToGrid w:val="0"/>
                <w:color w:val="000000" w:themeColor="text1"/>
                <w:highlight w:val="none"/>
                <w14:textFill>
                  <w14:solidFill>
                    <w14:schemeClr w14:val="tx1"/>
                  </w14:solidFill>
                </w14:textFill>
              </w:rPr>
              <w:t>/m</w:t>
            </w:r>
          </w:p>
        </w:tc>
        <w:tc>
          <w:tcPr>
            <w:tcW w:w="1622" w:type="pct"/>
            <w:vMerge w:val="restart"/>
            <w:vAlign w:val="center"/>
          </w:tcPr>
          <w:p>
            <w:pPr>
              <w:pStyle w:val="118"/>
              <w:rPr>
                <w:rFonts w:eastAsia="Times New Roman"/>
                <w:b/>
                <w:bCs/>
                <w:snapToGrid w:val="0"/>
                <w:color w:val="000000" w:themeColor="text1"/>
                <w:highlight w:val="none"/>
                <w14:textFill>
                  <w14:solidFill>
                    <w14:schemeClr w14:val="tx1"/>
                  </w14:solidFill>
                </w14:textFill>
              </w:rPr>
            </w:pPr>
            <w:r>
              <w:rPr>
                <w:rFonts w:hint="eastAsia" w:ascii="宋体" w:hAnsi="宋体" w:eastAsia="宋体" w:cs="宋体"/>
                <w:b/>
                <w:bCs/>
                <w:snapToGrid w:val="0"/>
                <w:color w:val="000000" w:themeColor="text1"/>
                <w:highlight w:val="none"/>
                <w14:textFill>
                  <w14:solidFill>
                    <w14:schemeClr w14:val="tx1"/>
                  </w14:solidFill>
                </w14:textFill>
              </w:rPr>
              <w:t>声</w:t>
            </w:r>
            <w:r>
              <w:rPr>
                <w:rFonts w:hint="eastAsia" w:eastAsia="Times New Roman"/>
                <w:b/>
                <w:bCs/>
                <w:snapToGrid w:val="0"/>
                <w:color w:val="000000" w:themeColor="text1"/>
                <w:highlight w:val="none"/>
                <w14:textFill>
                  <w14:solidFill>
                    <w14:schemeClr w14:val="tx1"/>
                  </w14:solidFill>
                </w14:textFill>
              </w:rPr>
              <w:t>环境保护目标情况说明</w:t>
            </w:r>
          </w:p>
        </w:tc>
        <w:tc>
          <w:tcPr>
            <w:tcW w:w="769" w:type="pct"/>
            <w:gridSpan w:val="2"/>
            <w:vAlign w:val="center"/>
          </w:tcPr>
          <w:p>
            <w:pPr>
              <w:pStyle w:val="118"/>
              <w:rPr>
                <w:rFonts w:eastAsia="Times New Roman"/>
                <w:b/>
                <w:bCs/>
                <w:snapToGrid w:val="0"/>
                <w:color w:val="000000" w:themeColor="text1"/>
                <w:highlight w:val="none"/>
                <w14:textFill>
                  <w14:solidFill>
                    <w14:schemeClr w14:val="tx1"/>
                  </w14:solidFill>
                </w14:textFill>
              </w:rPr>
            </w:pPr>
            <w:r>
              <w:rPr>
                <w:rFonts w:hint="eastAsia" w:ascii="宋体" w:hAnsi="宋体" w:eastAsia="宋体" w:cs="宋体"/>
                <w:b/>
                <w:bCs/>
                <w:snapToGrid w:val="0"/>
                <w:color w:val="000000" w:themeColor="text1"/>
                <w:highlight w:val="none"/>
                <w14:textFill>
                  <w14:solidFill>
                    <w14:schemeClr w14:val="tx1"/>
                  </w14:solidFill>
                </w14:textFill>
              </w:rPr>
              <w:t>不</w:t>
            </w:r>
            <w:r>
              <w:rPr>
                <w:rFonts w:hint="eastAsia" w:eastAsia="Times New Roman"/>
                <w:b/>
                <w:bCs/>
                <w:snapToGrid w:val="0"/>
                <w:color w:val="000000" w:themeColor="text1"/>
                <w:highlight w:val="none"/>
                <w14:textFill>
                  <w14:solidFill>
                    <w14:schemeClr w14:val="tx1"/>
                  </w14:solidFill>
                </w14:textFill>
              </w:rPr>
              <w:t>同功能区户数</w:t>
            </w:r>
          </w:p>
        </w:tc>
        <w:tc>
          <w:tcPr>
            <w:tcW w:w="647" w:type="pct"/>
            <w:vMerge w:val="restart"/>
            <w:vAlign w:val="center"/>
          </w:tcPr>
          <w:p>
            <w:pPr>
              <w:pStyle w:val="118"/>
              <w:rPr>
                <w:rFonts w:eastAsia="Times New Roman"/>
                <w:b/>
                <w:bCs/>
                <w:snapToGrid w:val="0"/>
                <w:color w:val="000000" w:themeColor="text1"/>
                <w:highlight w:val="none"/>
                <w14:textFill>
                  <w14:solidFill>
                    <w14:schemeClr w14:val="tx1"/>
                  </w14:solidFill>
                </w14:textFill>
              </w:rPr>
            </w:pPr>
            <w:r>
              <w:rPr>
                <w:rFonts w:hint="eastAsia" w:ascii="宋体" w:hAnsi="宋体" w:eastAsia="宋体" w:cs="宋体"/>
                <w:b/>
                <w:bCs/>
                <w:snapToGrid w:val="0"/>
                <w:color w:val="000000" w:themeColor="text1"/>
                <w:highlight w:val="none"/>
                <w14:textFill>
                  <w14:solidFill>
                    <w14:schemeClr w14:val="tx1"/>
                  </w14:solidFill>
                </w14:textFill>
              </w:rPr>
              <w:t>影</w:t>
            </w:r>
            <w:r>
              <w:rPr>
                <w:rFonts w:hint="eastAsia" w:eastAsia="Times New Roman"/>
                <w:b/>
                <w:bCs/>
                <w:snapToGrid w:val="0"/>
                <w:color w:val="000000" w:themeColor="text1"/>
                <w:highlight w:val="none"/>
                <w14:textFill>
                  <w14:solidFill>
                    <w14:schemeClr w14:val="tx1"/>
                  </w14:solidFill>
                </w14:textFill>
              </w:rPr>
              <w:t>响时段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766"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c>
          <w:tcPr>
            <w:tcW w:w="42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c>
          <w:tcPr>
            <w:tcW w:w="769"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c>
          <w:tcPr>
            <w:tcW w:w="1622"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c>
          <w:tcPr>
            <w:tcW w:w="427" w:type="pct"/>
            <w:vAlign w:val="center"/>
          </w:tcPr>
          <w:p>
            <w:pPr>
              <w:pStyle w:val="118"/>
              <w:rPr>
                <w:rFonts w:eastAsia="Times New Roman"/>
                <w:b/>
                <w:bCs/>
                <w:snapToGrid w:val="0"/>
                <w:color w:val="000000" w:themeColor="text1"/>
                <w:highlight w:val="none"/>
                <w14:textFill>
                  <w14:solidFill>
                    <w14:schemeClr w14:val="tx1"/>
                  </w14:solidFill>
                </w14:textFill>
              </w:rPr>
            </w:pPr>
            <w:r>
              <w:rPr>
                <w:rFonts w:eastAsia="Times New Roman"/>
                <w:b/>
                <w:bCs/>
                <w:snapToGrid w:val="0"/>
                <w:color w:val="000000" w:themeColor="text1"/>
                <w:highlight w:val="none"/>
                <w14:textFill>
                  <w14:solidFill>
                    <w14:schemeClr w14:val="tx1"/>
                  </w14:solidFill>
                </w14:textFill>
              </w:rPr>
              <w:t>2</w:t>
            </w:r>
          </w:p>
        </w:tc>
        <w:tc>
          <w:tcPr>
            <w:tcW w:w="342" w:type="pct"/>
            <w:vAlign w:val="center"/>
          </w:tcPr>
          <w:p>
            <w:pPr>
              <w:pStyle w:val="118"/>
              <w:rPr>
                <w:rFonts w:eastAsia="Times New Roman"/>
                <w:b/>
                <w:bCs/>
                <w:snapToGrid w:val="0"/>
                <w:color w:val="000000" w:themeColor="text1"/>
                <w:highlight w:val="none"/>
                <w14:textFill>
                  <w14:solidFill>
                    <w14:schemeClr w14:val="tx1"/>
                  </w14:solidFill>
                </w14:textFill>
              </w:rPr>
            </w:pPr>
            <w:r>
              <w:rPr>
                <w:rFonts w:eastAsia="Times New Roman"/>
                <w:b/>
                <w:bCs/>
                <w:snapToGrid w:val="0"/>
                <w:color w:val="000000" w:themeColor="text1"/>
                <w:highlight w:val="none"/>
                <w14:textFill>
                  <w14:solidFill>
                    <w14:schemeClr w14:val="tx1"/>
                  </w14:solidFill>
                </w14:textFill>
              </w:rPr>
              <w:t>4a</w:t>
            </w:r>
          </w:p>
        </w:tc>
        <w:tc>
          <w:tcPr>
            <w:tcW w:w="64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6"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1#</w:t>
            </w:r>
            <w:r>
              <w:rPr>
                <w:rFonts w:hint="eastAsia" w:ascii="宋体" w:hAnsi="宋体" w:eastAsia="Times New Roman" w:cs="宋体"/>
                <w:snapToGrid w:val="0"/>
                <w:color w:val="000000" w:themeColor="text1"/>
                <w:highlight w:val="none"/>
                <w14:textFill>
                  <w14:solidFill>
                    <w14:schemeClr w14:val="tx1"/>
                  </w14:solidFill>
                </w14:textFill>
              </w:rPr>
              <w:t>居民点</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南</w:t>
            </w:r>
            <w:r>
              <w:rPr>
                <w:rFonts w:hint="eastAsia" w:eastAsia="Times New Roman"/>
                <w:snapToGrid w:val="0"/>
                <w:color w:val="000000" w:themeColor="text1"/>
                <w:highlight w:val="none"/>
                <w14:textFill>
                  <w14:solidFill>
                    <w14:schemeClr w14:val="tx1"/>
                  </w14:solidFill>
                </w14:textFill>
              </w:rPr>
              <w:t>侧</w:t>
            </w:r>
          </w:p>
        </w:tc>
        <w:tc>
          <w:tcPr>
            <w:tcW w:w="769"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83</w:t>
            </w:r>
            <w:r>
              <w:rPr>
                <w:rFonts w:eastAsia="Times New Roman"/>
                <w:snapToGrid w:val="0"/>
                <w:color w:val="000000" w:themeColor="text1"/>
                <w:highlight w:val="none"/>
                <w14:textFill>
                  <w14:solidFill>
                    <w14:schemeClr w14:val="tx1"/>
                  </w14:solidFill>
                </w14:textFill>
              </w:rPr>
              <w:t>~1</w:t>
            </w:r>
            <w:r>
              <w:rPr>
                <w:rFonts w:hint="eastAsia" w:eastAsiaTheme="minorEastAsia"/>
                <w:snapToGrid w:val="0"/>
                <w:color w:val="000000" w:themeColor="text1"/>
                <w:highlight w:val="none"/>
                <w14:textFill>
                  <w14:solidFill>
                    <w14:schemeClr w14:val="tx1"/>
                  </w14:solidFill>
                </w14:textFill>
              </w:rPr>
              <w:t>10</w:t>
            </w:r>
          </w:p>
        </w:tc>
        <w:tc>
          <w:tcPr>
            <w:tcW w:w="1622"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宋体" w:cs="宋体"/>
                <w:snapToGrid w:val="0"/>
                <w:color w:val="000000" w:themeColor="text1"/>
                <w:highlight w:val="none"/>
                <w14:textFill>
                  <w14:solidFill>
                    <w14:schemeClr w14:val="tx1"/>
                  </w14:solidFill>
                </w14:textFill>
              </w:rPr>
              <w:t>农</w:t>
            </w:r>
            <w:r>
              <w:rPr>
                <w:rFonts w:hint="eastAsia" w:eastAsia="Times New Roman"/>
                <w:snapToGrid w:val="0"/>
                <w:color w:val="000000" w:themeColor="text1"/>
                <w:highlight w:val="none"/>
                <w14:textFill>
                  <w14:solidFill>
                    <w14:schemeClr w14:val="tx1"/>
                  </w14:solidFill>
                </w14:textFill>
              </w:rPr>
              <w:t>村环境，</w:t>
            </w:r>
            <w:r>
              <w:rPr>
                <w:rFonts w:eastAsia="Times New Roman"/>
                <w:snapToGrid w:val="0"/>
                <w:color w:val="000000" w:themeColor="text1"/>
                <w:highlight w:val="none"/>
                <w14:textFill>
                  <w14:solidFill>
                    <w14:schemeClr w14:val="tx1"/>
                  </w14:solidFill>
                </w14:textFill>
              </w:rPr>
              <w:t>5</w:t>
            </w:r>
            <w:r>
              <w:rPr>
                <w:rFonts w:hint="eastAsia" w:eastAsia="Times New Roman"/>
                <w:snapToGrid w:val="0"/>
                <w:color w:val="000000" w:themeColor="text1"/>
                <w:highlight w:val="none"/>
                <w14:textFill>
                  <w14:solidFill>
                    <w14:schemeClr w14:val="tx1"/>
                  </w14:solidFill>
                </w14:textFill>
              </w:rPr>
              <w:t>户，</w:t>
            </w:r>
            <w:r>
              <w:rPr>
                <w:rFonts w:eastAsia="Times New Roman"/>
                <w:snapToGrid w:val="0"/>
                <w:color w:val="000000" w:themeColor="text1"/>
                <w:highlight w:val="none"/>
                <w14:textFill>
                  <w14:solidFill>
                    <w14:schemeClr w14:val="tx1"/>
                  </w14:solidFill>
                </w14:textFill>
              </w:rPr>
              <w:t>20</w:t>
            </w:r>
            <w:r>
              <w:rPr>
                <w:rFonts w:hint="eastAsia" w:eastAsia="Times New Roman"/>
                <w:snapToGrid w:val="0"/>
                <w:color w:val="000000" w:themeColor="text1"/>
                <w:highlight w:val="none"/>
                <w14:textFill>
                  <w14:solidFill>
                    <w14:schemeClr w14:val="tx1"/>
                  </w14:solidFill>
                </w14:textFill>
              </w:rPr>
              <w:t>人，</w:t>
            </w:r>
            <w:r>
              <w:rPr>
                <w:rFonts w:eastAsia="Times New Roman"/>
                <w:snapToGrid w:val="0"/>
                <w:color w:val="000000" w:themeColor="text1"/>
                <w:highlight w:val="none"/>
                <w14:textFill>
                  <w14:solidFill>
                    <w14:schemeClr w14:val="tx1"/>
                  </w14:solidFill>
                </w14:textFill>
              </w:rPr>
              <w:t>1</w:t>
            </w:r>
            <w:r>
              <w:rPr>
                <w:rFonts w:hint="eastAsia" w:eastAsia="Times New Roman"/>
                <w:snapToGrid w:val="0"/>
                <w:color w:val="000000" w:themeColor="text1"/>
                <w:highlight w:val="none"/>
                <w14:textFill>
                  <w14:solidFill>
                    <w14:schemeClr w14:val="tx1"/>
                  </w14:solidFill>
                </w14:textFill>
              </w:rPr>
              <w:t>～</w:t>
            </w:r>
            <w:r>
              <w:rPr>
                <w:rFonts w:eastAsia="Times New Roman"/>
                <w:snapToGrid w:val="0"/>
                <w:color w:val="000000" w:themeColor="text1"/>
                <w:highlight w:val="none"/>
                <w14:textFill>
                  <w14:solidFill>
                    <w14:schemeClr w14:val="tx1"/>
                  </w14:solidFill>
                </w14:textFill>
              </w:rPr>
              <w:t>3F</w:t>
            </w:r>
            <w:r>
              <w:rPr>
                <w:rFonts w:hint="eastAsia" w:eastAsia="Times New Roman"/>
                <w:snapToGrid w:val="0"/>
                <w:color w:val="000000" w:themeColor="text1"/>
                <w:highlight w:val="none"/>
                <w14:textFill>
                  <w14:solidFill>
                    <w14:schemeClr w14:val="tx1"/>
                  </w14:solidFill>
                </w14:textFill>
              </w:rPr>
              <w:t>层，砖混结构</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5</w:t>
            </w:r>
          </w:p>
        </w:tc>
        <w:tc>
          <w:tcPr>
            <w:tcW w:w="342"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w:t>
            </w:r>
          </w:p>
        </w:tc>
        <w:tc>
          <w:tcPr>
            <w:tcW w:w="647" w:type="pct"/>
            <w:vMerge w:val="restar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宋体" w:cs="宋体"/>
                <w:snapToGrid w:val="0"/>
                <w:color w:val="000000" w:themeColor="text1"/>
                <w:highlight w:val="none"/>
                <w14:textFill>
                  <w14:solidFill>
                    <w14:schemeClr w14:val="tx1"/>
                  </w14:solidFill>
                </w14:textFill>
              </w:rPr>
              <w:t>施</w:t>
            </w:r>
            <w:r>
              <w:rPr>
                <w:rFonts w:hint="eastAsia" w:eastAsia="Times New Roman"/>
                <w:snapToGrid w:val="0"/>
                <w:color w:val="000000" w:themeColor="text1"/>
                <w:highlight w:val="none"/>
                <w14:textFill>
                  <w14:solidFill>
                    <w14:schemeClr w14:val="tx1"/>
                  </w14:solidFill>
                </w14:textFill>
              </w:rPr>
              <w:t>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6"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2#</w:t>
            </w:r>
            <w:r>
              <w:rPr>
                <w:rFonts w:hint="eastAsia" w:ascii="宋体" w:hAnsi="宋体" w:eastAsia="Times New Roman" w:cs="宋体"/>
                <w:snapToGrid w:val="0"/>
                <w:color w:val="000000" w:themeColor="text1"/>
                <w:highlight w:val="none"/>
                <w14:textFill>
                  <w14:solidFill>
                    <w14:schemeClr w14:val="tx1"/>
                  </w14:solidFill>
                </w14:textFill>
              </w:rPr>
              <w:t>居民点</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南</w:t>
            </w:r>
            <w:r>
              <w:rPr>
                <w:rFonts w:hint="eastAsia" w:eastAsia="Times New Roman"/>
                <w:snapToGrid w:val="0"/>
                <w:color w:val="000000" w:themeColor="text1"/>
                <w:highlight w:val="none"/>
                <w14:textFill>
                  <w14:solidFill>
                    <w14:schemeClr w14:val="tx1"/>
                  </w14:solidFill>
                </w14:textFill>
              </w:rPr>
              <w:t>侧</w:t>
            </w:r>
          </w:p>
        </w:tc>
        <w:tc>
          <w:tcPr>
            <w:tcW w:w="769"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10</w:t>
            </w:r>
            <w:r>
              <w:rPr>
                <w:rFonts w:eastAsia="Times New Roman"/>
                <w:snapToGrid w:val="0"/>
                <w:color w:val="000000" w:themeColor="text1"/>
                <w:highlight w:val="none"/>
                <w14:textFill>
                  <w14:solidFill>
                    <w14:schemeClr w14:val="tx1"/>
                  </w14:solidFill>
                </w14:textFill>
              </w:rPr>
              <w:t>~</w:t>
            </w:r>
            <w:r>
              <w:rPr>
                <w:rFonts w:hint="eastAsia" w:eastAsiaTheme="minorEastAsia"/>
                <w:snapToGrid w:val="0"/>
                <w:color w:val="000000" w:themeColor="text1"/>
                <w:highlight w:val="none"/>
                <w14:textFill>
                  <w14:solidFill>
                    <w14:schemeClr w14:val="tx1"/>
                  </w14:solidFill>
                </w14:textFill>
              </w:rPr>
              <w:t>7</w:t>
            </w:r>
            <w:r>
              <w:rPr>
                <w:rFonts w:eastAsia="Times New Roman"/>
                <w:snapToGrid w:val="0"/>
                <w:color w:val="000000" w:themeColor="text1"/>
                <w:highlight w:val="none"/>
                <w14:textFill>
                  <w14:solidFill>
                    <w14:schemeClr w14:val="tx1"/>
                  </w14:solidFill>
                </w14:textFill>
              </w:rPr>
              <w:t>8</w:t>
            </w:r>
          </w:p>
        </w:tc>
        <w:tc>
          <w:tcPr>
            <w:tcW w:w="1622"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宋体" w:cs="宋体"/>
                <w:snapToGrid w:val="0"/>
                <w:color w:val="000000" w:themeColor="text1"/>
                <w:highlight w:val="none"/>
                <w14:textFill>
                  <w14:solidFill>
                    <w14:schemeClr w14:val="tx1"/>
                  </w14:solidFill>
                </w14:textFill>
              </w:rPr>
              <w:t>农</w:t>
            </w:r>
            <w:r>
              <w:rPr>
                <w:rFonts w:hint="eastAsia" w:eastAsia="Times New Roman"/>
                <w:snapToGrid w:val="0"/>
                <w:color w:val="000000" w:themeColor="text1"/>
                <w:highlight w:val="none"/>
                <w14:textFill>
                  <w14:solidFill>
                    <w14:schemeClr w14:val="tx1"/>
                  </w14:solidFill>
                </w14:textFill>
              </w:rPr>
              <w:t>村环境，</w:t>
            </w:r>
            <w:r>
              <w:rPr>
                <w:rFonts w:eastAsia="Times New Roman"/>
                <w:snapToGrid w:val="0"/>
                <w:color w:val="000000" w:themeColor="text1"/>
                <w:highlight w:val="none"/>
                <w14:textFill>
                  <w14:solidFill>
                    <w14:schemeClr w14:val="tx1"/>
                  </w14:solidFill>
                </w14:textFill>
              </w:rPr>
              <w:t>15</w:t>
            </w:r>
            <w:r>
              <w:rPr>
                <w:rFonts w:hint="eastAsia" w:eastAsia="Times New Roman"/>
                <w:snapToGrid w:val="0"/>
                <w:color w:val="000000" w:themeColor="text1"/>
                <w:highlight w:val="none"/>
                <w14:textFill>
                  <w14:solidFill>
                    <w14:schemeClr w14:val="tx1"/>
                  </w14:solidFill>
                </w14:textFill>
              </w:rPr>
              <w:t>户，</w:t>
            </w:r>
            <w:r>
              <w:rPr>
                <w:rFonts w:eastAsia="Times New Roman"/>
                <w:snapToGrid w:val="0"/>
                <w:color w:val="000000" w:themeColor="text1"/>
                <w:highlight w:val="none"/>
                <w14:textFill>
                  <w14:solidFill>
                    <w14:schemeClr w14:val="tx1"/>
                  </w14:solidFill>
                </w14:textFill>
              </w:rPr>
              <w:t>60</w:t>
            </w:r>
            <w:r>
              <w:rPr>
                <w:rFonts w:hint="eastAsia" w:eastAsia="Times New Roman"/>
                <w:snapToGrid w:val="0"/>
                <w:color w:val="000000" w:themeColor="text1"/>
                <w:highlight w:val="none"/>
                <w14:textFill>
                  <w14:solidFill>
                    <w14:schemeClr w14:val="tx1"/>
                  </w14:solidFill>
                </w14:textFill>
              </w:rPr>
              <w:t>人，</w:t>
            </w:r>
            <w:r>
              <w:rPr>
                <w:rFonts w:eastAsia="Times New Roman"/>
                <w:snapToGrid w:val="0"/>
                <w:color w:val="000000" w:themeColor="text1"/>
                <w:highlight w:val="none"/>
                <w14:textFill>
                  <w14:solidFill>
                    <w14:schemeClr w14:val="tx1"/>
                  </w14:solidFill>
                </w14:textFill>
              </w:rPr>
              <w:t>1</w:t>
            </w:r>
            <w:r>
              <w:rPr>
                <w:rFonts w:hint="eastAsia" w:eastAsia="Times New Roman"/>
                <w:snapToGrid w:val="0"/>
                <w:color w:val="000000" w:themeColor="text1"/>
                <w:highlight w:val="none"/>
                <w14:textFill>
                  <w14:solidFill>
                    <w14:schemeClr w14:val="tx1"/>
                  </w14:solidFill>
                </w14:textFill>
              </w:rPr>
              <w:t>～</w:t>
            </w:r>
            <w:r>
              <w:rPr>
                <w:rFonts w:eastAsia="Times New Roman"/>
                <w:snapToGrid w:val="0"/>
                <w:color w:val="000000" w:themeColor="text1"/>
                <w:highlight w:val="none"/>
                <w14:textFill>
                  <w14:solidFill>
                    <w14:schemeClr w14:val="tx1"/>
                  </w14:solidFill>
                </w14:textFill>
              </w:rPr>
              <w:t>3F</w:t>
            </w:r>
            <w:r>
              <w:rPr>
                <w:rFonts w:hint="eastAsia" w:eastAsia="Times New Roman"/>
                <w:snapToGrid w:val="0"/>
                <w:color w:val="000000" w:themeColor="text1"/>
                <w:highlight w:val="none"/>
                <w14:textFill>
                  <w14:solidFill>
                    <w14:schemeClr w14:val="tx1"/>
                  </w14:solidFill>
                </w14:textFill>
              </w:rPr>
              <w:t>层，砖混结构</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15</w:t>
            </w:r>
          </w:p>
        </w:tc>
        <w:tc>
          <w:tcPr>
            <w:tcW w:w="342"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w:t>
            </w:r>
          </w:p>
        </w:tc>
        <w:tc>
          <w:tcPr>
            <w:tcW w:w="64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6"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3#</w:t>
            </w:r>
            <w:r>
              <w:rPr>
                <w:rFonts w:hint="eastAsia" w:ascii="宋体" w:hAnsi="宋体" w:eastAsia="Times New Roman" w:cs="宋体"/>
                <w:snapToGrid w:val="0"/>
                <w:color w:val="000000" w:themeColor="text1"/>
                <w:highlight w:val="none"/>
                <w14:textFill>
                  <w14:solidFill>
                    <w14:schemeClr w14:val="tx1"/>
                  </w14:solidFill>
                </w14:textFill>
              </w:rPr>
              <w:t>居民点</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北</w:t>
            </w:r>
            <w:r>
              <w:rPr>
                <w:rFonts w:hint="eastAsia" w:eastAsia="Times New Roman"/>
                <w:snapToGrid w:val="0"/>
                <w:color w:val="000000" w:themeColor="text1"/>
                <w:highlight w:val="none"/>
                <w14:textFill>
                  <w14:solidFill>
                    <w14:schemeClr w14:val="tx1"/>
                  </w14:solidFill>
                </w14:textFill>
              </w:rPr>
              <w:t>侧</w:t>
            </w:r>
          </w:p>
        </w:tc>
        <w:tc>
          <w:tcPr>
            <w:tcW w:w="769"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9</w:t>
            </w:r>
            <w:r>
              <w:rPr>
                <w:rFonts w:eastAsia="Times New Roman"/>
                <w:snapToGrid w:val="0"/>
                <w:color w:val="000000" w:themeColor="text1"/>
                <w:highlight w:val="none"/>
                <w14:textFill>
                  <w14:solidFill>
                    <w14:schemeClr w14:val="tx1"/>
                  </w14:solidFill>
                </w14:textFill>
              </w:rPr>
              <w:t>~</w:t>
            </w:r>
            <w:r>
              <w:rPr>
                <w:rFonts w:hint="eastAsia" w:eastAsiaTheme="minorEastAsia"/>
                <w:snapToGrid w:val="0"/>
                <w:color w:val="000000" w:themeColor="text1"/>
                <w:highlight w:val="none"/>
                <w14:textFill>
                  <w14:solidFill>
                    <w14:schemeClr w14:val="tx1"/>
                  </w14:solidFill>
                </w14:textFill>
              </w:rPr>
              <w:t>30</w:t>
            </w:r>
          </w:p>
        </w:tc>
        <w:tc>
          <w:tcPr>
            <w:tcW w:w="1622"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宋体" w:cs="宋体"/>
                <w:snapToGrid w:val="0"/>
                <w:color w:val="000000" w:themeColor="text1"/>
                <w:highlight w:val="none"/>
                <w14:textFill>
                  <w14:solidFill>
                    <w14:schemeClr w14:val="tx1"/>
                  </w14:solidFill>
                </w14:textFill>
              </w:rPr>
              <w:t>农</w:t>
            </w:r>
            <w:r>
              <w:rPr>
                <w:rFonts w:hint="eastAsia" w:eastAsia="Times New Roman"/>
                <w:snapToGrid w:val="0"/>
                <w:color w:val="000000" w:themeColor="text1"/>
                <w:highlight w:val="none"/>
                <w14:textFill>
                  <w14:solidFill>
                    <w14:schemeClr w14:val="tx1"/>
                  </w14:solidFill>
                </w14:textFill>
              </w:rPr>
              <w:t>村环境，</w:t>
            </w:r>
            <w:r>
              <w:rPr>
                <w:rFonts w:eastAsia="Times New Roman"/>
                <w:snapToGrid w:val="0"/>
                <w:color w:val="000000" w:themeColor="text1"/>
                <w:highlight w:val="none"/>
                <w14:textFill>
                  <w14:solidFill>
                    <w14:schemeClr w14:val="tx1"/>
                  </w14:solidFill>
                </w14:textFill>
              </w:rPr>
              <w:t>2</w:t>
            </w:r>
            <w:r>
              <w:rPr>
                <w:rFonts w:hint="eastAsia" w:eastAsia="Times New Roman"/>
                <w:snapToGrid w:val="0"/>
                <w:color w:val="000000" w:themeColor="text1"/>
                <w:highlight w:val="none"/>
                <w14:textFill>
                  <w14:solidFill>
                    <w14:schemeClr w14:val="tx1"/>
                  </w14:solidFill>
                </w14:textFill>
              </w:rPr>
              <w:t>户，</w:t>
            </w:r>
            <w:r>
              <w:rPr>
                <w:rFonts w:eastAsia="Times New Roman"/>
                <w:snapToGrid w:val="0"/>
                <w:color w:val="000000" w:themeColor="text1"/>
                <w:highlight w:val="none"/>
                <w14:textFill>
                  <w14:solidFill>
                    <w14:schemeClr w14:val="tx1"/>
                  </w14:solidFill>
                </w14:textFill>
              </w:rPr>
              <w:t>8</w:t>
            </w:r>
            <w:r>
              <w:rPr>
                <w:rFonts w:hint="eastAsia" w:eastAsia="Times New Roman"/>
                <w:snapToGrid w:val="0"/>
                <w:color w:val="000000" w:themeColor="text1"/>
                <w:highlight w:val="none"/>
                <w14:textFill>
                  <w14:solidFill>
                    <w14:schemeClr w14:val="tx1"/>
                  </w14:solidFill>
                </w14:textFill>
              </w:rPr>
              <w:t>人，</w:t>
            </w:r>
            <w:r>
              <w:rPr>
                <w:rFonts w:eastAsia="Times New Roman"/>
                <w:snapToGrid w:val="0"/>
                <w:color w:val="000000" w:themeColor="text1"/>
                <w:highlight w:val="none"/>
                <w14:textFill>
                  <w14:solidFill>
                    <w14:schemeClr w14:val="tx1"/>
                  </w14:solidFill>
                </w14:textFill>
              </w:rPr>
              <w:t>1</w:t>
            </w:r>
            <w:r>
              <w:rPr>
                <w:rFonts w:hint="eastAsia" w:eastAsia="Times New Roman"/>
                <w:snapToGrid w:val="0"/>
                <w:color w:val="000000" w:themeColor="text1"/>
                <w:highlight w:val="none"/>
                <w14:textFill>
                  <w14:solidFill>
                    <w14:schemeClr w14:val="tx1"/>
                  </w14:solidFill>
                </w14:textFill>
              </w:rPr>
              <w:t>～</w:t>
            </w:r>
            <w:r>
              <w:rPr>
                <w:rFonts w:eastAsia="Times New Roman"/>
                <w:snapToGrid w:val="0"/>
                <w:color w:val="000000" w:themeColor="text1"/>
                <w:highlight w:val="none"/>
                <w14:textFill>
                  <w14:solidFill>
                    <w14:schemeClr w14:val="tx1"/>
                  </w14:solidFill>
                </w14:textFill>
              </w:rPr>
              <w:t>3F</w:t>
            </w:r>
            <w:r>
              <w:rPr>
                <w:rFonts w:hint="eastAsia" w:eastAsia="Times New Roman"/>
                <w:snapToGrid w:val="0"/>
                <w:color w:val="000000" w:themeColor="text1"/>
                <w:highlight w:val="none"/>
                <w14:textFill>
                  <w14:solidFill>
                    <w14:schemeClr w14:val="tx1"/>
                  </w14:solidFill>
                </w14:textFill>
              </w:rPr>
              <w:t>层，砖混结构</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2</w:t>
            </w:r>
          </w:p>
        </w:tc>
        <w:tc>
          <w:tcPr>
            <w:tcW w:w="342"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w:t>
            </w:r>
          </w:p>
        </w:tc>
        <w:tc>
          <w:tcPr>
            <w:tcW w:w="64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6"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4#</w:t>
            </w:r>
            <w:r>
              <w:rPr>
                <w:rFonts w:hint="eastAsia" w:ascii="宋体" w:hAnsi="宋体" w:eastAsia="Times New Roman" w:cs="宋体"/>
                <w:snapToGrid w:val="0"/>
                <w:color w:val="000000" w:themeColor="text1"/>
                <w:highlight w:val="none"/>
                <w14:textFill>
                  <w14:solidFill>
                    <w14:schemeClr w14:val="tx1"/>
                  </w14:solidFill>
                </w14:textFill>
              </w:rPr>
              <w:t>居民点</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北</w:t>
            </w:r>
            <w:r>
              <w:rPr>
                <w:rFonts w:hint="eastAsia" w:eastAsia="Times New Roman"/>
                <w:snapToGrid w:val="0"/>
                <w:color w:val="000000" w:themeColor="text1"/>
                <w:highlight w:val="none"/>
                <w14:textFill>
                  <w14:solidFill>
                    <w14:schemeClr w14:val="tx1"/>
                  </w14:solidFill>
                </w14:textFill>
              </w:rPr>
              <w:t>侧</w:t>
            </w:r>
          </w:p>
        </w:tc>
        <w:tc>
          <w:tcPr>
            <w:tcW w:w="769"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136</w:t>
            </w:r>
            <w:r>
              <w:rPr>
                <w:rFonts w:eastAsia="Times New Roman"/>
                <w:snapToGrid w:val="0"/>
                <w:color w:val="000000" w:themeColor="text1"/>
                <w:highlight w:val="none"/>
                <w14:textFill>
                  <w14:solidFill>
                    <w14:schemeClr w14:val="tx1"/>
                  </w14:solidFill>
                </w14:textFill>
              </w:rPr>
              <w:t>~200</w:t>
            </w:r>
          </w:p>
        </w:tc>
        <w:tc>
          <w:tcPr>
            <w:tcW w:w="1622"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农村环境，</w:t>
            </w:r>
            <w:r>
              <w:rPr>
                <w:rFonts w:hint="eastAsia" w:eastAsiaTheme="minorEastAsia"/>
                <w:snapToGrid w:val="0"/>
                <w:color w:val="000000" w:themeColor="text1"/>
                <w:highlight w:val="none"/>
                <w14:textFill>
                  <w14:solidFill>
                    <w14:schemeClr w14:val="tx1"/>
                  </w14:solidFill>
                </w14:textFill>
              </w:rPr>
              <w:t>2</w:t>
            </w:r>
            <w:r>
              <w:rPr>
                <w:rFonts w:hint="eastAsia" w:eastAsia="Times New Roman"/>
                <w:snapToGrid w:val="0"/>
                <w:color w:val="000000" w:themeColor="text1"/>
                <w:highlight w:val="none"/>
                <w14:textFill>
                  <w14:solidFill>
                    <w14:schemeClr w14:val="tx1"/>
                  </w14:solidFill>
                </w14:textFill>
              </w:rPr>
              <w:t>户</w:t>
            </w:r>
            <w:r>
              <w:rPr>
                <w:rFonts w:hint="eastAsia" w:eastAsiaTheme="minorEastAsia"/>
                <w:snapToGrid w:val="0"/>
                <w:color w:val="000000" w:themeColor="text1"/>
                <w:highlight w:val="none"/>
                <w14:textFill>
                  <w14:solidFill>
                    <w14:schemeClr w14:val="tx1"/>
                  </w14:solidFill>
                </w14:textFill>
              </w:rPr>
              <w:t>8</w:t>
            </w:r>
            <w:r>
              <w:rPr>
                <w:rFonts w:hint="eastAsia" w:eastAsia="Times New Roman"/>
                <w:snapToGrid w:val="0"/>
                <w:color w:val="000000" w:themeColor="text1"/>
                <w:highlight w:val="none"/>
                <w14:textFill>
                  <w14:solidFill>
                    <w14:schemeClr w14:val="tx1"/>
                  </w14:solidFill>
                </w14:textFill>
              </w:rPr>
              <w:t>人，</w:t>
            </w:r>
            <w:r>
              <w:rPr>
                <w:rFonts w:eastAsia="Times New Roman"/>
                <w:snapToGrid w:val="0"/>
                <w:color w:val="000000" w:themeColor="text1"/>
                <w:highlight w:val="none"/>
                <w14:textFill>
                  <w14:solidFill>
                    <w14:schemeClr w14:val="tx1"/>
                  </w14:solidFill>
                </w14:textFill>
              </w:rPr>
              <w:t>1</w:t>
            </w:r>
            <w:r>
              <w:rPr>
                <w:rFonts w:hint="eastAsia" w:eastAsia="Times New Roman"/>
                <w:snapToGrid w:val="0"/>
                <w:color w:val="000000" w:themeColor="text1"/>
                <w:highlight w:val="none"/>
                <w14:textFill>
                  <w14:solidFill>
                    <w14:schemeClr w14:val="tx1"/>
                  </w14:solidFill>
                </w14:textFill>
              </w:rPr>
              <w:t>～</w:t>
            </w:r>
            <w:r>
              <w:rPr>
                <w:rFonts w:eastAsia="Times New Roman"/>
                <w:snapToGrid w:val="0"/>
                <w:color w:val="000000" w:themeColor="text1"/>
                <w:highlight w:val="none"/>
                <w14:textFill>
                  <w14:solidFill>
                    <w14:schemeClr w14:val="tx1"/>
                  </w14:solidFill>
                </w14:textFill>
              </w:rPr>
              <w:t>2F</w:t>
            </w:r>
            <w:r>
              <w:rPr>
                <w:rFonts w:hint="eastAsia" w:eastAsia="Times New Roman"/>
                <w:snapToGrid w:val="0"/>
                <w:color w:val="000000" w:themeColor="text1"/>
                <w:highlight w:val="none"/>
                <w14:textFill>
                  <w14:solidFill>
                    <w14:schemeClr w14:val="tx1"/>
                  </w14:solidFill>
                </w14:textFill>
              </w:rPr>
              <w:t>砖瓦房</w:t>
            </w:r>
          </w:p>
        </w:tc>
        <w:tc>
          <w:tcPr>
            <w:tcW w:w="427"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2</w:t>
            </w:r>
          </w:p>
        </w:tc>
        <w:tc>
          <w:tcPr>
            <w:tcW w:w="342"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w:t>
            </w:r>
          </w:p>
        </w:tc>
        <w:tc>
          <w:tcPr>
            <w:tcW w:w="64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6"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5#</w:t>
            </w:r>
            <w:r>
              <w:rPr>
                <w:rFonts w:hint="eastAsia" w:ascii="宋体" w:hAnsi="宋体" w:eastAsia="Times New Roman" w:cs="宋体"/>
                <w:snapToGrid w:val="0"/>
                <w:color w:val="000000" w:themeColor="text1"/>
                <w:highlight w:val="none"/>
                <w14:textFill>
                  <w14:solidFill>
                    <w14:schemeClr w14:val="tx1"/>
                  </w14:solidFill>
                </w14:textFill>
              </w:rPr>
              <w:t>居民点</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北</w:t>
            </w:r>
            <w:r>
              <w:rPr>
                <w:rFonts w:hint="eastAsia" w:eastAsia="Times New Roman"/>
                <w:snapToGrid w:val="0"/>
                <w:color w:val="000000" w:themeColor="text1"/>
                <w:highlight w:val="none"/>
                <w14:textFill>
                  <w14:solidFill>
                    <w14:schemeClr w14:val="tx1"/>
                  </w14:solidFill>
                </w14:textFill>
              </w:rPr>
              <w:t>侧</w:t>
            </w:r>
          </w:p>
        </w:tc>
        <w:tc>
          <w:tcPr>
            <w:tcW w:w="769"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28</w:t>
            </w:r>
            <w:r>
              <w:rPr>
                <w:rFonts w:eastAsia="Times New Roman"/>
                <w:snapToGrid w:val="0"/>
                <w:color w:val="000000" w:themeColor="text1"/>
                <w:highlight w:val="none"/>
                <w14:textFill>
                  <w14:solidFill>
                    <w14:schemeClr w14:val="tx1"/>
                  </w14:solidFill>
                </w14:textFill>
              </w:rPr>
              <w:t>~</w:t>
            </w:r>
            <w:r>
              <w:rPr>
                <w:rFonts w:hint="eastAsia" w:eastAsiaTheme="minorEastAsia"/>
                <w:snapToGrid w:val="0"/>
                <w:color w:val="000000" w:themeColor="text1"/>
                <w:highlight w:val="none"/>
                <w14:textFill>
                  <w14:solidFill>
                    <w14:schemeClr w14:val="tx1"/>
                  </w14:solidFill>
                </w14:textFill>
              </w:rPr>
              <w:t>88</w:t>
            </w:r>
          </w:p>
        </w:tc>
        <w:tc>
          <w:tcPr>
            <w:tcW w:w="1622"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农村环境，</w:t>
            </w:r>
            <w:r>
              <w:rPr>
                <w:rFonts w:hint="eastAsia" w:eastAsiaTheme="minorEastAsia"/>
                <w:snapToGrid w:val="0"/>
                <w:color w:val="000000" w:themeColor="text1"/>
                <w:highlight w:val="none"/>
                <w14:textFill>
                  <w14:solidFill>
                    <w14:schemeClr w14:val="tx1"/>
                  </w14:solidFill>
                </w14:textFill>
              </w:rPr>
              <w:t>3</w:t>
            </w:r>
            <w:r>
              <w:rPr>
                <w:rFonts w:hint="eastAsia" w:eastAsia="Times New Roman"/>
                <w:snapToGrid w:val="0"/>
                <w:color w:val="000000" w:themeColor="text1"/>
                <w:highlight w:val="none"/>
                <w14:textFill>
                  <w14:solidFill>
                    <w14:schemeClr w14:val="tx1"/>
                  </w14:solidFill>
                </w14:textFill>
              </w:rPr>
              <w:t>户</w:t>
            </w:r>
            <w:r>
              <w:rPr>
                <w:rFonts w:hint="eastAsia" w:eastAsiaTheme="minorEastAsia"/>
                <w:snapToGrid w:val="0"/>
                <w:color w:val="000000" w:themeColor="text1"/>
                <w:highlight w:val="none"/>
                <w14:textFill>
                  <w14:solidFill>
                    <w14:schemeClr w14:val="tx1"/>
                  </w14:solidFill>
                </w14:textFill>
              </w:rPr>
              <w:t>12</w:t>
            </w:r>
            <w:r>
              <w:rPr>
                <w:rFonts w:hint="eastAsia" w:eastAsia="Times New Roman"/>
                <w:snapToGrid w:val="0"/>
                <w:color w:val="000000" w:themeColor="text1"/>
                <w:highlight w:val="none"/>
                <w14:textFill>
                  <w14:solidFill>
                    <w14:schemeClr w14:val="tx1"/>
                  </w14:solidFill>
                </w14:textFill>
              </w:rPr>
              <w:t>人，</w:t>
            </w:r>
            <w:r>
              <w:rPr>
                <w:rFonts w:eastAsia="Times New Roman"/>
                <w:snapToGrid w:val="0"/>
                <w:color w:val="000000" w:themeColor="text1"/>
                <w:highlight w:val="none"/>
                <w14:textFill>
                  <w14:solidFill>
                    <w14:schemeClr w14:val="tx1"/>
                  </w14:solidFill>
                </w14:textFill>
              </w:rPr>
              <w:t>1</w:t>
            </w:r>
            <w:r>
              <w:rPr>
                <w:rFonts w:hint="eastAsia" w:eastAsia="Times New Roman"/>
                <w:snapToGrid w:val="0"/>
                <w:color w:val="000000" w:themeColor="text1"/>
                <w:highlight w:val="none"/>
                <w14:textFill>
                  <w14:solidFill>
                    <w14:schemeClr w14:val="tx1"/>
                  </w14:solidFill>
                </w14:textFill>
              </w:rPr>
              <w:t>～</w:t>
            </w:r>
            <w:r>
              <w:rPr>
                <w:rFonts w:eastAsia="Times New Roman"/>
                <w:snapToGrid w:val="0"/>
                <w:color w:val="000000" w:themeColor="text1"/>
                <w:highlight w:val="none"/>
                <w14:textFill>
                  <w14:solidFill>
                    <w14:schemeClr w14:val="tx1"/>
                  </w14:solidFill>
                </w14:textFill>
              </w:rPr>
              <w:t>2F</w:t>
            </w:r>
            <w:r>
              <w:rPr>
                <w:rFonts w:hint="eastAsia" w:eastAsia="Times New Roman"/>
                <w:snapToGrid w:val="0"/>
                <w:color w:val="000000" w:themeColor="text1"/>
                <w:highlight w:val="none"/>
                <w14:textFill>
                  <w14:solidFill>
                    <w14:schemeClr w14:val="tx1"/>
                  </w14:solidFill>
                </w14:textFill>
              </w:rPr>
              <w:t>砖瓦房</w:t>
            </w:r>
          </w:p>
        </w:tc>
        <w:tc>
          <w:tcPr>
            <w:tcW w:w="427"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3</w:t>
            </w:r>
          </w:p>
        </w:tc>
        <w:tc>
          <w:tcPr>
            <w:tcW w:w="342"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5</w:t>
            </w:r>
          </w:p>
        </w:tc>
        <w:tc>
          <w:tcPr>
            <w:tcW w:w="64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6"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6#</w:t>
            </w:r>
            <w:r>
              <w:rPr>
                <w:rFonts w:hint="eastAsia" w:ascii="宋体" w:hAnsi="宋体" w:eastAsia="Times New Roman" w:cs="宋体"/>
                <w:snapToGrid w:val="0"/>
                <w:color w:val="000000" w:themeColor="text1"/>
                <w:highlight w:val="none"/>
                <w14:textFill>
                  <w14:solidFill>
                    <w14:schemeClr w14:val="tx1"/>
                  </w14:solidFill>
                </w14:textFill>
              </w:rPr>
              <w:t>居民点</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南</w:t>
            </w:r>
            <w:r>
              <w:rPr>
                <w:rFonts w:hint="eastAsia" w:eastAsia="Times New Roman"/>
                <w:snapToGrid w:val="0"/>
                <w:color w:val="000000" w:themeColor="text1"/>
                <w:highlight w:val="none"/>
                <w14:textFill>
                  <w14:solidFill>
                    <w14:schemeClr w14:val="tx1"/>
                  </w14:solidFill>
                </w14:textFill>
              </w:rPr>
              <w:t>侧</w:t>
            </w:r>
          </w:p>
        </w:tc>
        <w:tc>
          <w:tcPr>
            <w:tcW w:w="769"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12</w:t>
            </w:r>
            <w:r>
              <w:rPr>
                <w:rFonts w:eastAsia="Times New Roman"/>
                <w:snapToGrid w:val="0"/>
                <w:color w:val="000000" w:themeColor="text1"/>
                <w:highlight w:val="none"/>
                <w14:textFill>
                  <w14:solidFill>
                    <w14:schemeClr w14:val="tx1"/>
                  </w14:solidFill>
                </w14:textFill>
              </w:rPr>
              <w:t>~</w:t>
            </w:r>
            <w:r>
              <w:rPr>
                <w:rFonts w:hint="eastAsia" w:eastAsiaTheme="minorEastAsia"/>
                <w:snapToGrid w:val="0"/>
                <w:color w:val="000000" w:themeColor="text1"/>
                <w:highlight w:val="none"/>
                <w14:textFill>
                  <w14:solidFill>
                    <w14:schemeClr w14:val="tx1"/>
                  </w14:solidFill>
                </w14:textFill>
              </w:rPr>
              <w:t>198</w:t>
            </w:r>
          </w:p>
        </w:tc>
        <w:tc>
          <w:tcPr>
            <w:tcW w:w="1622"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农村环境，</w:t>
            </w:r>
            <w:r>
              <w:rPr>
                <w:rFonts w:hint="eastAsia" w:eastAsiaTheme="minorEastAsia"/>
                <w:snapToGrid w:val="0"/>
                <w:color w:val="000000" w:themeColor="text1"/>
                <w:highlight w:val="none"/>
                <w14:textFill>
                  <w14:solidFill>
                    <w14:schemeClr w14:val="tx1"/>
                  </w14:solidFill>
                </w14:textFill>
              </w:rPr>
              <w:t>21</w:t>
            </w:r>
            <w:r>
              <w:rPr>
                <w:rFonts w:hint="eastAsia" w:eastAsia="Times New Roman"/>
                <w:snapToGrid w:val="0"/>
                <w:color w:val="000000" w:themeColor="text1"/>
                <w:highlight w:val="none"/>
                <w14:textFill>
                  <w14:solidFill>
                    <w14:schemeClr w14:val="tx1"/>
                  </w14:solidFill>
                </w14:textFill>
              </w:rPr>
              <w:t>户</w:t>
            </w:r>
            <w:r>
              <w:rPr>
                <w:rFonts w:hint="eastAsia" w:eastAsiaTheme="minorEastAsia"/>
                <w:snapToGrid w:val="0"/>
                <w:color w:val="000000" w:themeColor="text1"/>
                <w:highlight w:val="none"/>
                <w14:textFill>
                  <w14:solidFill>
                    <w14:schemeClr w14:val="tx1"/>
                  </w14:solidFill>
                </w14:textFill>
              </w:rPr>
              <w:t>84</w:t>
            </w:r>
            <w:r>
              <w:rPr>
                <w:rFonts w:hint="eastAsia" w:eastAsia="Times New Roman"/>
                <w:snapToGrid w:val="0"/>
                <w:color w:val="000000" w:themeColor="text1"/>
                <w:highlight w:val="none"/>
                <w14:textFill>
                  <w14:solidFill>
                    <w14:schemeClr w14:val="tx1"/>
                  </w14:solidFill>
                </w14:textFill>
              </w:rPr>
              <w:t>人，</w:t>
            </w:r>
            <w:r>
              <w:rPr>
                <w:rFonts w:eastAsia="Times New Roman"/>
                <w:snapToGrid w:val="0"/>
                <w:color w:val="000000" w:themeColor="text1"/>
                <w:highlight w:val="none"/>
                <w14:textFill>
                  <w14:solidFill>
                    <w14:schemeClr w14:val="tx1"/>
                  </w14:solidFill>
                </w14:textFill>
              </w:rPr>
              <w:t>1</w:t>
            </w:r>
            <w:r>
              <w:rPr>
                <w:rFonts w:hint="eastAsia" w:eastAsia="Times New Roman"/>
                <w:snapToGrid w:val="0"/>
                <w:color w:val="000000" w:themeColor="text1"/>
                <w:highlight w:val="none"/>
                <w14:textFill>
                  <w14:solidFill>
                    <w14:schemeClr w14:val="tx1"/>
                  </w14:solidFill>
                </w14:textFill>
              </w:rPr>
              <w:t>～</w:t>
            </w:r>
            <w:r>
              <w:rPr>
                <w:rFonts w:eastAsia="Times New Roman"/>
                <w:snapToGrid w:val="0"/>
                <w:color w:val="000000" w:themeColor="text1"/>
                <w:highlight w:val="none"/>
                <w14:textFill>
                  <w14:solidFill>
                    <w14:schemeClr w14:val="tx1"/>
                  </w14:solidFill>
                </w14:textFill>
              </w:rPr>
              <w:t>2F</w:t>
            </w:r>
            <w:r>
              <w:rPr>
                <w:rFonts w:hint="eastAsia" w:eastAsia="Times New Roman"/>
                <w:snapToGrid w:val="0"/>
                <w:color w:val="000000" w:themeColor="text1"/>
                <w:highlight w:val="none"/>
                <w14:textFill>
                  <w14:solidFill>
                    <w14:schemeClr w14:val="tx1"/>
                  </w14:solidFill>
                </w14:textFill>
              </w:rPr>
              <w:t>砖瓦房</w:t>
            </w:r>
          </w:p>
        </w:tc>
        <w:tc>
          <w:tcPr>
            <w:tcW w:w="427"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2</w:t>
            </w:r>
            <w:r>
              <w:rPr>
                <w:rFonts w:hint="eastAsia" w:eastAsiaTheme="minorEastAsia"/>
                <w:snapToGrid w:val="0"/>
                <w:color w:val="000000" w:themeColor="text1"/>
                <w:highlight w:val="none"/>
                <w14:textFill>
                  <w14:solidFill>
                    <w14:schemeClr w14:val="tx1"/>
                  </w14:solidFill>
                </w14:textFill>
              </w:rPr>
              <w:t>1</w:t>
            </w:r>
          </w:p>
        </w:tc>
        <w:tc>
          <w:tcPr>
            <w:tcW w:w="342"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w:t>
            </w:r>
          </w:p>
        </w:tc>
        <w:tc>
          <w:tcPr>
            <w:tcW w:w="64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6"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7#</w:t>
            </w:r>
            <w:r>
              <w:rPr>
                <w:rFonts w:hint="eastAsia" w:ascii="宋体" w:hAnsi="宋体" w:eastAsia="Times New Roman" w:cs="宋体"/>
                <w:snapToGrid w:val="0"/>
                <w:color w:val="000000" w:themeColor="text1"/>
                <w:highlight w:val="none"/>
                <w14:textFill>
                  <w14:solidFill>
                    <w14:schemeClr w14:val="tx1"/>
                  </w14:solidFill>
                </w14:textFill>
              </w:rPr>
              <w:t>居民点</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北</w:t>
            </w:r>
            <w:r>
              <w:rPr>
                <w:rFonts w:hint="eastAsia" w:eastAsia="Times New Roman"/>
                <w:snapToGrid w:val="0"/>
                <w:color w:val="000000" w:themeColor="text1"/>
                <w:highlight w:val="none"/>
                <w14:textFill>
                  <w14:solidFill>
                    <w14:schemeClr w14:val="tx1"/>
                  </w14:solidFill>
                </w14:textFill>
              </w:rPr>
              <w:t>侧</w:t>
            </w:r>
          </w:p>
        </w:tc>
        <w:tc>
          <w:tcPr>
            <w:tcW w:w="769"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16</w:t>
            </w:r>
            <w:r>
              <w:rPr>
                <w:rFonts w:eastAsia="Times New Roman"/>
                <w:snapToGrid w:val="0"/>
                <w:color w:val="000000" w:themeColor="text1"/>
                <w:highlight w:val="none"/>
                <w14:textFill>
                  <w14:solidFill>
                    <w14:schemeClr w14:val="tx1"/>
                  </w14:solidFill>
                </w14:textFill>
              </w:rPr>
              <w:t>~</w:t>
            </w:r>
            <w:r>
              <w:rPr>
                <w:rFonts w:hint="eastAsia" w:eastAsiaTheme="minorEastAsia"/>
                <w:snapToGrid w:val="0"/>
                <w:color w:val="000000" w:themeColor="text1"/>
                <w:highlight w:val="none"/>
                <w14:textFill>
                  <w14:solidFill>
                    <w14:schemeClr w14:val="tx1"/>
                  </w14:solidFill>
                </w14:textFill>
              </w:rPr>
              <w:t>45</w:t>
            </w:r>
          </w:p>
        </w:tc>
        <w:tc>
          <w:tcPr>
            <w:tcW w:w="1622"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农村环境，</w:t>
            </w:r>
            <w:r>
              <w:rPr>
                <w:rFonts w:hint="eastAsia" w:eastAsiaTheme="minorEastAsia"/>
                <w:snapToGrid w:val="0"/>
                <w:color w:val="000000" w:themeColor="text1"/>
                <w:highlight w:val="none"/>
                <w14:textFill>
                  <w14:solidFill>
                    <w14:schemeClr w14:val="tx1"/>
                  </w14:solidFill>
                </w14:textFill>
              </w:rPr>
              <w:t>2</w:t>
            </w:r>
            <w:r>
              <w:rPr>
                <w:rFonts w:hint="eastAsia" w:eastAsia="Times New Roman"/>
                <w:snapToGrid w:val="0"/>
                <w:color w:val="000000" w:themeColor="text1"/>
                <w:highlight w:val="none"/>
                <w14:textFill>
                  <w14:solidFill>
                    <w14:schemeClr w14:val="tx1"/>
                  </w14:solidFill>
                </w14:textFill>
              </w:rPr>
              <w:t>户</w:t>
            </w:r>
            <w:r>
              <w:rPr>
                <w:rFonts w:eastAsia="Times New Roman"/>
                <w:snapToGrid w:val="0"/>
                <w:color w:val="000000" w:themeColor="text1"/>
                <w:highlight w:val="none"/>
                <w14:textFill>
                  <w14:solidFill>
                    <w14:schemeClr w14:val="tx1"/>
                  </w14:solidFill>
                </w14:textFill>
              </w:rPr>
              <w:t>8</w:t>
            </w:r>
            <w:r>
              <w:rPr>
                <w:rFonts w:hint="eastAsia" w:eastAsia="Times New Roman"/>
                <w:snapToGrid w:val="0"/>
                <w:color w:val="000000" w:themeColor="text1"/>
                <w:highlight w:val="none"/>
                <w14:textFill>
                  <w14:solidFill>
                    <w14:schemeClr w14:val="tx1"/>
                  </w14:solidFill>
                </w14:textFill>
              </w:rPr>
              <w:t>人，</w:t>
            </w:r>
            <w:r>
              <w:rPr>
                <w:rFonts w:eastAsia="Times New Roman"/>
                <w:snapToGrid w:val="0"/>
                <w:color w:val="000000" w:themeColor="text1"/>
                <w:highlight w:val="none"/>
                <w14:textFill>
                  <w14:solidFill>
                    <w14:schemeClr w14:val="tx1"/>
                  </w14:solidFill>
                </w14:textFill>
              </w:rPr>
              <w:t>1</w:t>
            </w:r>
            <w:r>
              <w:rPr>
                <w:rFonts w:hint="eastAsia" w:eastAsia="Times New Roman"/>
                <w:snapToGrid w:val="0"/>
                <w:color w:val="000000" w:themeColor="text1"/>
                <w:highlight w:val="none"/>
                <w14:textFill>
                  <w14:solidFill>
                    <w14:schemeClr w14:val="tx1"/>
                  </w14:solidFill>
                </w14:textFill>
              </w:rPr>
              <w:t>～</w:t>
            </w:r>
            <w:r>
              <w:rPr>
                <w:rFonts w:eastAsia="Times New Roman"/>
                <w:snapToGrid w:val="0"/>
                <w:color w:val="000000" w:themeColor="text1"/>
                <w:highlight w:val="none"/>
                <w14:textFill>
                  <w14:solidFill>
                    <w14:schemeClr w14:val="tx1"/>
                  </w14:solidFill>
                </w14:textFill>
              </w:rPr>
              <w:t>2F</w:t>
            </w:r>
            <w:r>
              <w:rPr>
                <w:rFonts w:hint="eastAsia" w:eastAsia="Times New Roman"/>
                <w:snapToGrid w:val="0"/>
                <w:color w:val="000000" w:themeColor="text1"/>
                <w:highlight w:val="none"/>
                <w14:textFill>
                  <w14:solidFill>
                    <w14:schemeClr w14:val="tx1"/>
                  </w14:solidFill>
                </w14:textFill>
              </w:rPr>
              <w:t>砖瓦房</w:t>
            </w:r>
          </w:p>
        </w:tc>
        <w:tc>
          <w:tcPr>
            <w:tcW w:w="427"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2</w:t>
            </w:r>
          </w:p>
        </w:tc>
        <w:tc>
          <w:tcPr>
            <w:tcW w:w="342"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w:t>
            </w:r>
          </w:p>
        </w:tc>
        <w:tc>
          <w:tcPr>
            <w:tcW w:w="64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6"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8#</w:t>
            </w:r>
            <w:r>
              <w:rPr>
                <w:rFonts w:hint="eastAsia" w:ascii="宋体" w:hAnsi="宋体" w:eastAsia="Times New Roman" w:cs="宋体"/>
                <w:snapToGrid w:val="0"/>
                <w:color w:val="000000" w:themeColor="text1"/>
                <w:highlight w:val="none"/>
                <w14:textFill>
                  <w14:solidFill>
                    <w14:schemeClr w14:val="tx1"/>
                  </w14:solidFill>
                </w14:textFill>
              </w:rPr>
              <w:t>居民点</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北</w:t>
            </w:r>
            <w:r>
              <w:rPr>
                <w:rFonts w:hint="eastAsia" w:eastAsia="Times New Roman"/>
                <w:snapToGrid w:val="0"/>
                <w:color w:val="000000" w:themeColor="text1"/>
                <w:highlight w:val="none"/>
                <w14:textFill>
                  <w14:solidFill>
                    <w14:schemeClr w14:val="tx1"/>
                  </w14:solidFill>
                </w14:textFill>
              </w:rPr>
              <w:t>侧</w:t>
            </w:r>
          </w:p>
        </w:tc>
        <w:tc>
          <w:tcPr>
            <w:tcW w:w="769"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21</w:t>
            </w:r>
            <w:r>
              <w:rPr>
                <w:rFonts w:eastAsia="Times New Roman"/>
                <w:snapToGrid w:val="0"/>
                <w:color w:val="000000" w:themeColor="text1"/>
                <w:highlight w:val="none"/>
                <w14:textFill>
                  <w14:solidFill>
                    <w14:schemeClr w14:val="tx1"/>
                  </w14:solidFill>
                </w14:textFill>
              </w:rPr>
              <w:t>~</w:t>
            </w:r>
            <w:r>
              <w:rPr>
                <w:rFonts w:hint="eastAsia" w:eastAsiaTheme="minorEastAsia"/>
                <w:snapToGrid w:val="0"/>
                <w:color w:val="000000" w:themeColor="text1"/>
                <w:highlight w:val="none"/>
                <w14:textFill>
                  <w14:solidFill>
                    <w14:schemeClr w14:val="tx1"/>
                  </w14:solidFill>
                </w14:textFill>
              </w:rPr>
              <w:t>180</w:t>
            </w:r>
          </w:p>
        </w:tc>
        <w:tc>
          <w:tcPr>
            <w:tcW w:w="1622"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农村环境，</w:t>
            </w:r>
            <w:r>
              <w:rPr>
                <w:rFonts w:hint="eastAsia" w:eastAsiaTheme="minorEastAsia"/>
                <w:snapToGrid w:val="0"/>
                <w:color w:val="000000" w:themeColor="text1"/>
                <w:highlight w:val="none"/>
                <w14:textFill>
                  <w14:solidFill>
                    <w14:schemeClr w14:val="tx1"/>
                  </w14:solidFill>
                </w14:textFill>
              </w:rPr>
              <w:t>1</w:t>
            </w:r>
            <w:r>
              <w:rPr>
                <w:rFonts w:eastAsia="Times New Roman"/>
                <w:snapToGrid w:val="0"/>
                <w:color w:val="000000" w:themeColor="text1"/>
                <w:highlight w:val="none"/>
                <w14:textFill>
                  <w14:solidFill>
                    <w14:schemeClr w14:val="tx1"/>
                  </w14:solidFill>
                </w14:textFill>
              </w:rPr>
              <w:t>4</w:t>
            </w:r>
            <w:r>
              <w:rPr>
                <w:rFonts w:hint="eastAsia" w:eastAsia="Times New Roman"/>
                <w:snapToGrid w:val="0"/>
                <w:color w:val="000000" w:themeColor="text1"/>
                <w:highlight w:val="none"/>
                <w14:textFill>
                  <w14:solidFill>
                    <w14:schemeClr w14:val="tx1"/>
                  </w14:solidFill>
                </w14:textFill>
              </w:rPr>
              <w:t>户</w:t>
            </w:r>
            <w:r>
              <w:rPr>
                <w:rFonts w:hint="eastAsia" w:eastAsiaTheme="minorEastAsia"/>
                <w:snapToGrid w:val="0"/>
                <w:color w:val="000000" w:themeColor="text1"/>
                <w:highlight w:val="none"/>
                <w14:textFill>
                  <w14:solidFill>
                    <w14:schemeClr w14:val="tx1"/>
                  </w14:solidFill>
                </w14:textFill>
              </w:rPr>
              <w:t>56</w:t>
            </w:r>
            <w:r>
              <w:rPr>
                <w:rFonts w:hint="eastAsia" w:eastAsia="Times New Roman"/>
                <w:snapToGrid w:val="0"/>
                <w:color w:val="000000" w:themeColor="text1"/>
                <w:highlight w:val="none"/>
                <w14:textFill>
                  <w14:solidFill>
                    <w14:schemeClr w14:val="tx1"/>
                  </w14:solidFill>
                </w14:textFill>
              </w:rPr>
              <w:t>人，</w:t>
            </w:r>
            <w:r>
              <w:rPr>
                <w:rFonts w:eastAsia="Times New Roman"/>
                <w:snapToGrid w:val="0"/>
                <w:color w:val="000000" w:themeColor="text1"/>
                <w:highlight w:val="none"/>
                <w14:textFill>
                  <w14:solidFill>
                    <w14:schemeClr w14:val="tx1"/>
                  </w14:solidFill>
                </w14:textFill>
              </w:rPr>
              <w:t>1</w:t>
            </w:r>
            <w:r>
              <w:rPr>
                <w:rFonts w:hint="eastAsia" w:eastAsia="Times New Roman"/>
                <w:snapToGrid w:val="0"/>
                <w:color w:val="000000" w:themeColor="text1"/>
                <w:highlight w:val="none"/>
                <w14:textFill>
                  <w14:solidFill>
                    <w14:schemeClr w14:val="tx1"/>
                  </w14:solidFill>
                </w14:textFill>
              </w:rPr>
              <w:t>～</w:t>
            </w:r>
            <w:r>
              <w:rPr>
                <w:rFonts w:eastAsia="Times New Roman"/>
                <w:snapToGrid w:val="0"/>
                <w:color w:val="000000" w:themeColor="text1"/>
                <w:highlight w:val="none"/>
                <w14:textFill>
                  <w14:solidFill>
                    <w14:schemeClr w14:val="tx1"/>
                  </w14:solidFill>
                </w14:textFill>
              </w:rPr>
              <w:t>2F</w:t>
            </w:r>
            <w:r>
              <w:rPr>
                <w:rFonts w:hint="eastAsia" w:eastAsia="Times New Roman"/>
                <w:snapToGrid w:val="0"/>
                <w:color w:val="000000" w:themeColor="text1"/>
                <w:highlight w:val="none"/>
                <w14:textFill>
                  <w14:solidFill>
                    <w14:schemeClr w14:val="tx1"/>
                  </w14:solidFill>
                </w14:textFill>
              </w:rPr>
              <w:t>砖瓦房</w:t>
            </w:r>
          </w:p>
        </w:tc>
        <w:tc>
          <w:tcPr>
            <w:tcW w:w="427"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1</w:t>
            </w:r>
            <w:r>
              <w:rPr>
                <w:rFonts w:eastAsia="Times New Roman"/>
                <w:snapToGrid w:val="0"/>
                <w:color w:val="000000" w:themeColor="text1"/>
                <w:highlight w:val="none"/>
                <w14:textFill>
                  <w14:solidFill>
                    <w14:schemeClr w14:val="tx1"/>
                  </w14:solidFill>
                </w14:textFill>
              </w:rPr>
              <w:t>4</w:t>
            </w:r>
          </w:p>
        </w:tc>
        <w:tc>
          <w:tcPr>
            <w:tcW w:w="342"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w:t>
            </w:r>
          </w:p>
        </w:tc>
        <w:tc>
          <w:tcPr>
            <w:tcW w:w="64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6"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9#</w:t>
            </w:r>
            <w:r>
              <w:rPr>
                <w:rFonts w:hint="eastAsia" w:ascii="宋体" w:hAnsi="宋体" w:eastAsia="Times New Roman" w:cs="宋体"/>
                <w:snapToGrid w:val="0"/>
                <w:color w:val="000000" w:themeColor="text1"/>
                <w:highlight w:val="none"/>
                <w14:textFill>
                  <w14:solidFill>
                    <w14:schemeClr w14:val="tx1"/>
                  </w14:solidFill>
                </w14:textFill>
              </w:rPr>
              <w:t>居民点</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宋体" w:cs="宋体"/>
                <w:snapToGrid w:val="0"/>
                <w:color w:val="000000" w:themeColor="text1"/>
                <w:highlight w:val="none"/>
                <w14:textFill>
                  <w14:solidFill>
                    <w14:schemeClr w14:val="tx1"/>
                  </w14:solidFill>
                </w14:textFill>
              </w:rPr>
              <w:t>左</w:t>
            </w:r>
            <w:r>
              <w:rPr>
                <w:rFonts w:hint="eastAsia" w:eastAsia="Times New Roman"/>
                <w:snapToGrid w:val="0"/>
                <w:color w:val="000000" w:themeColor="text1"/>
                <w:highlight w:val="none"/>
                <w14:textFill>
                  <w14:solidFill>
                    <w14:schemeClr w14:val="tx1"/>
                  </w14:solidFill>
                </w14:textFill>
              </w:rPr>
              <w:t>侧</w:t>
            </w:r>
          </w:p>
        </w:tc>
        <w:tc>
          <w:tcPr>
            <w:tcW w:w="769"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4</w:t>
            </w:r>
            <w:r>
              <w:rPr>
                <w:rFonts w:eastAsia="Times New Roman"/>
                <w:snapToGrid w:val="0"/>
                <w:color w:val="000000" w:themeColor="text1"/>
                <w:highlight w:val="none"/>
                <w14:textFill>
                  <w14:solidFill>
                    <w14:schemeClr w14:val="tx1"/>
                  </w14:solidFill>
                </w14:textFill>
              </w:rPr>
              <w:t>0~1</w:t>
            </w:r>
            <w:r>
              <w:rPr>
                <w:rFonts w:hint="eastAsia" w:eastAsiaTheme="minorEastAsia"/>
                <w:snapToGrid w:val="0"/>
                <w:color w:val="000000" w:themeColor="text1"/>
                <w:highlight w:val="none"/>
                <w14:textFill>
                  <w14:solidFill>
                    <w14:schemeClr w14:val="tx1"/>
                  </w14:solidFill>
                </w14:textFill>
              </w:rPr>
              <w:t>82</w:t>
            </w:r>
          </w:p>
        </w:tc>
        <w:tc>
          <w:tcPr>
            <w:tcW w:w="1622"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农村环境，</w:t>
            </w:r>
            <w:r>
              <w:rPr>
                <w:rFonts w:hint="eastAsia" w:eastAsiaTheme="minorEastAsia"/>
                <w:snapToGrid w:val="0"/>
                <w:color w:val="000000" w:themeColor="text1"/>
                <w:highlight w:val="none"/>
                <w14:textFill>
                  <w14:solidFill>
                    <w14:schemeClr w14:val="tx1"/>
                  </w14:solidFill>
                </w14:textFill>
              </w:rPr>
              <w:t>6</w:t>
            </w:r>
            <w:r>
              <w:rPr>
                <w:rFonts w:hint="eastAsia" w:eastAsia="Times New Roman"/>
                <w:snapToGrid w:val="0"/>
                <w:color w:val="000000" w:themeColor="text1"/>
                <w:highlight w:val="none"/>
                <w14:textFill>
                  <w14:solidFill>
                    <w14:schemeClr w14:val="tx1"/>
                  </w14:solidFill>
                </w14:textFill>
              </w:rPr>
              <w:t>户</w:t>
            </w:r>
            <w:r>
              <w:rPr>
                <w:rFonts w:hint="eastAsia" w:eastAsiaTheme="minorEastAsia"/>
                <w:snapToGrid w:val="0"/>
                <w:color w:val="000000" w:themeColor="text1"/>
                <w:highlight w:val="none"/>
                <w14:textFill>
                  <w14:solidFill>
                    <w14:schemeClr w14:val="tx1"/>
                  </w14:solidFill>
                </w14:textFill>
              </w:rPr>
              <w:t>24</w:t>
            </w:r>
            <w:r>
              <w:rPr>
                <w:rFonts w:hint="eastAsia" w:eastAsia="Times New Roman"/>
                <w:snapToGrid w:val="0"/>
                <w:color w:val="000000" w:themeColor="text1"/>
                <w:highlight w:val="none"/>
                <w14:textFill>
                  <w14:solidFill>
                    <w14:schemeClr w14:val="tx1"/>
                  </w14:solidFill>
                </w14:textFill>
              </w:rPr>
              <w:t>人，</w:t>
            </w:r>
            <w:r>
              <w:rPr>
                <w:rFonts w:eastAsia="Times New Roman"/>
                <w:snapToGrid w:val="0"/>
                <w:color w:val="000000" w:themeColor="text1"/>
                <w:highlight w:val="none"/>
                <w14:textFill>
                  <w14:solidFill>
                    <w14:schemeClr w14:val="tx1"/>
                  </w14:solidFill>
                </w14:textFill>
              </w:rPr>
              <w:t>1</w:t>
            </w:r>
            <w:r>
              <w:rPr>
                <w:rFonts w:hint="eastAsia" w:eastAsia="Times New Roman"/>
                <w:snapToGrid w:val="0"/>
                <w:color w:val="000000" w:themeColor="text1"/>
                <w:highlight w:val="none"/>
                <w14:textFill>
                  <w14:solidFill>
                    <w14:schemeClr w14:val="tx1"/>
                  </w14:solidFill>
                </w14:textFill>
              </w:rPr>
              <w:t>～</w:t>
            </w:r>
            <w:r>
              <w:rPr>
                <w:rFonts w:eastAsia="Times New Roman"/>
                <w:snapToGrid w:val="0"/>
                <w:color w:val="000000" w:themeColor="text1"/>
                <w:highlight w:val="none"/>
                <w14:textFill>
                  <w14:solidFill>
                    <w14:schemeClr w14:val="tx1"/>
                  </w14:solidFill>
                </w14:textFill>
              </w:rPr>
              <w:t>2F</w:t>
            </w:r>
            <w:r>
              <w:rPr>
                <w:rFonts w:hint="eastAsia" w:eastAsia="Times New Roman"/>
                <w:snapToGrid w:val="0"/>
                <w:color w:val="000000" w:themeColor="text1"/>
                <w:highlight w:val="none"/>
                <w14:textFill>
                  <w14:solidFill>
                    <w14:schemeClr w14:val="tx1"/>
                  </w14:solidFill>
                </w14:textFill>
              </w:rPr>
              <w:t>砖瓦房</w:t>
            </w:r>
          </w:p>
        </w:tc>
        <w:tc>
          <w:tcPr>
            <w:tcW w:w="427"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6</w:t>
            </w:r>
          </w:p>
        </w:tc>
        <w:tc>
          <w:tcPr>
            <w:tcW w:w="342"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w:t>
            </w:r>
          </w:p>
        </w:tc>
        <w:tc>
          <w:tcPr>
            <w:tcW w:w="64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6"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10#</w:t>
            </w:r>
            <w:r>
              <w:rPr>
                <w:rFonts w:hint="eastAsia" w:ascii="宋体" w:hAnsi="宋体" w:eastAsia="Times New Roman" w:cs="宋体"/>
                <w:snapToGrid w:val="0"/>
                <w:color w:val="000000" w:themeColor="text1"/>
                <w:highlight w:val="none"/>
                <w14:textFill>
                  <w14:solidFill>
                    <w14:schemeClr w14:val="tx1"/>
                  </w14:solidFill>
                </w14:textFill>
              </w:rPr>
              <w:t>居民点</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南</w:t>
            </w:r>
            <w:r>
              <w:rPr>
                <w:rFonts w:hint="eastAsia" w:eastAsia="Times New Roman"/>
                <w:snapToGrid w:val="0"/>
                <w:color w:val="000000" w:themeColor="text1"/>
                <w:highlight w:val="none"/>
                <w14:textFill>
                  <w14:solidFill>
                    <w14:schemeClr w14:val="tx1"/>
                  </w14:solidFill>
                </w14:textFill>
              </w:rPr>
              <w:t>侧</w:t>
            </w:r>
          </w:p>
        </w:tc>
        <w:tc>
          <w:tcPr>
            <w:tcW w:w="769"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25</w:t>
            </w:r>
            <w:r>
              <w:rPr>
                <w:rFonts w:eastAsia="Times New Roman"/>
                <w:snapToGrid w:val="0"/>
                <w:color w:val="000000" w:themeColor="text1"/>
                <w:highlight w:val="none"/>
                <w14:textFill>
                  <w14:solidFill>
                    <w14:schemeClr w14:val="tx1"/>
                  </w14:solidFill>
                </w14:textFill>
              </w:rPr>
              <w:t>~1</w:t>
            </w:r>
            <w:r>
              <w:rPr>
                <w:rFonts w:hint="eastAsia" w:eastAsiaTheme="minorEastAsia"/>
                <w:snapToGrid w:val="0"/>
                <w:color w:val="000000" w:themeColor="text1"/>
                <w:highlight w:val="none"/>
                <w14:textFill>
                  <w14:solidFill>
                    <w14:schemeClr w14:val="tx1"/>
                  </w14:solidFill>
                </w14:textFill>
              </w:rPr>
              <w:t>08</w:t>
            </w:r>
          </w:p>
        </w:tc>
        <w:tc>
          <w:tcPr>
            <w:tcW w:w="1622"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农村环境，</w:t>
            </w:r>
            <w:r>
              <w:rPr>
                <w:rFonts w:hint="eastAsia" w:eastAsiaTheme="minorEastAsia"/>
                <w:snapToGrid w:val="0"/>
                <w:color w:val="000000" w:themeColor="text1"/>
                <w:highlight w:val="none"/>
                <w14:textFill>
                  <w14:solidFill>
                    <w14:schemeClr w14:val="tx1"/>
                  </w14:solidFill>
                </w14:textFill>
              </w:rPr>
              <w:t>5</w:t>
            </w:r>
            <w:r>
              <w:rPr>
                <w:rFonts w:hint="eastAsia" w:eastAsia="Times New Roman"/>
                <w:snapToGrid w:val="0"/>
                <w:color w:val="000000" w:themeColor="text1"/>
                <w:highlight w:val="none"/>
                <w14:textFill>
                  <w14:solidFill>
                    <w14:schemeClr w14:val="tx1"/>
                  </w14:solidFill>
                </w14:textFill>
              </w:rPr>
              <w:t>户</w:t>
            </w:r>
            <w:r>
              <w:rPr>
                <w:rFonts w:hint="eastAsia" w:eastAsiaTheme="minorEastAsia"/>
                <w:snapToGrid w:val="0"/>
                <w:color w:val="000000" w:themeColor="text1"/>
                <w:highlight w:val="none"/>
                <w14:textFill>
                  <w14:solidFill>
                    <w14:schemeClr w14:val="tx1"/>
                  </w14:solidFill>
                </w14:textFill>
              </w:rPr>
              <w:t>20</w:t>
            </w:r>
            <w:r>
              <w:rPr>
                <w:rFonts w:hint="eastAsia" w:eastAsia="Times New Roman"/>
                <w:snapToGrid w:val="0"/>
                <w:color w:val="000000" w:themeColor="text1"/>
                <w:highlight w:val="none"/>
                <w14:textFill>
                  <w14:solidFill>
                    <w14:schemeClr w14:val="tx1"/>
                  </w14:solidFill>
                </w14:textFill>
              </w:rPr>
              <w:t>人，</w:t>
            </w:r>
            <w:r>
              <w:rPr>
                <w:rFonts w:eastAsia="Times New Roman"/>
                <w:snapToGrid w:val="0"/>
                <w:color w:val="000000" w:themeColor="text1"/>
                <w:highlight w:val="none"/>
                <w14:textFill>
                  <w14:solidFill>
                    <w14:schemeClr w14:val="tx1"/>
                  </w14:solidFill>
                </w14:textFill>
              </w:rPr>
              <w:t>1</w:t>
            </w:r>
            <w:r>
              <w:rPr>
                <w:rFonts w:hint="eastAsia" w:eastAsia="Times New Roman"/>
                <w:snapToGrid w:val="0"/>
                <w:color w:val="000000" w:themeColor="text1"/>
                <w:highlight w:val="none"/>
                <w14:textFill>
                  <w14:solidFill>
                    <w14:schemeClr w14:val="tx1"/>
                  </w14:solidFill>
                </w14:textFill>
              </w:rPr>
              <w:t>～</w:t>
            </w:r>
            <w:r>
              <w:rPr>
                <w:rFonts w:eastAsia="Times New Roman"/>
                <w:snapToGrid w:val="0"/>
                <w:color w:val="000000" w:themeColor="text1"/>
                <w:highlight w:val="none"/>
                <w14:textFill>
                  <w14:solidFill>
                    <w14:schemeClr w14:val="tx1"/>
                  </w14:solidFill>
                </w14:textFill>
              </w:rPr>
              <w:t>2F</w:t>
            </w:r>
            <w:r>
              <w:rPr>
                <w:rFonts w:hint="eastAsia" w:eastAsia="Times New Roman"/>
                <w:snapToGrid w:val="0"/>
                <w:color w:val="000000" w:themeColor="text1"/>
                <w:highlight w:val="none"/>
                <w14:textFill>
                  <w14:solidFill>
                    <w14:schemeClr w14:val="tx1"/>
                  </w14:solidFill>
                </w14:textFill>
              </w:rPr>
              <w:t>砖瓦房</w:t>
            </w:r>
          </w:p>
        </w:tc>
        <w:tc>
          <w:tcPr>
            <w:tcW w:w="427"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5</w:t>
            </w:r>
          </w:p>
        </w:tc>
        <w:tc>
          <w:tcPr>
            <w:tcW w:w="342"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w:t>
            </w:r>
          </w:p>
        </w:tc>
        <w:tc>
          <w:tcPr>
            <w:tcW w:w="64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6"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11#</w:t>
            </w:r>
            <w:r>
              <w:rPr>
                <w:rFonts w:hint="eastAsia" w:ascii="宋体" w:hAnsi="宋体" w:eastAsia="Times New Roman" w:cs="宋体"/>
                <w:snapToGrid w:val="0"/>
                <w:color w:val="000000" w:themeColor="text1"/>
                <w:highlight w:val="none"/>
                <w14:textFill>
                  <w14:solidFill>
                    <w14:schemeClr w14:val="tx1"/>
                  </w14:solidFill>
                </w14:textFill>
              </w:rPr>
              <w:t>居民点</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北</w:t>
            </w:r>
            <w:r>
              <w:rPr>
                <w:rFonts w:hint="eastAsia" w:eastAsia="Times New Roman"/>
                <w:snapToGrid w:val="0"/>
                <w:color w:val="000000" w:themeColor="text1"/>
                <w:highlight w:val="none"/>
                <w14:textFill>
                  <w14:solidFill>
                    <w14:schemeClr w14:val="tx1"/>
                  </w14:solidFill>
                </w14:textFill>
              </w:rPr>
              <w:t>侧</w:t>
            </w:r>
          </w:p>
        </w:tc>
        <w:tc>
          <w:tcPr>
            <w:tcW w:w="769"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116</w:t>
            </w:r>
            <w:r>
              <w:rPr>
                <w:rFonts w:eastAsia="Times New Roman"/>
                <w:snapToGrid w:val="0"/>
                <w:color w:val="000000" w:themeColor="text1"/>
                <w:highlight w:val="none"/>
                <w14:textFill>
                  <w14:solidFill>
                    <w14:schemeClr w14:val="tx1"/>
                  </w14:solidFill>
                </w14:textFill>
              </w:rPr>
              <w:t>~</w:t>
            </w:r>
            <w:r>
              <w:rPr>
                <w:rFonts w:hint="eastAsia" w:eastAsiaTheme="minorEastAsia"/>
                <w:snapToGrid w:val="0"/>
                <w:color w:val="000000" w:themeColor="text1"/>
                <w:highlight w:val="none"/>
                <w14:textFill>
                  <w14:solidFill>
                    <w14:schemeClr w14:val="tx1"/>
                  </w14:solidFill>
                </w14:textFill>
              </w:rPr>
              <w:t>155</w:t>
            </w:r>
          </w:p>
        </w:tc>
        <w:tc>
          <w:tcPr>
            <w:tcW w:w="1622"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农村环境，</w:t>
            </w:r>
            <w:r>
              <w:rPr>
                <w:rFonts w:hint="eastAsia" w:eastAsiaTheme="minorEastAsia"/>
                <w:snapToGrid w:val="0"/>
                <w:color w:val="000000" w:themeColor="text1"/>
                <w:highlight w:val="none"/>
                <w14:textFill>
                  <w14:solidFill>
                    <w14:schemeClr w14:val="tx1"/>
                  </w14:solidFill>
                </w14:textFill>
              </w:rPr>
              <w:t>3</w:t>
            </w:r>
            <w:r>
              <w:rPr>
                <w:rFonts w:hint="eastAsia" w:eastAsia="Times New Roman"/>
                <w:snapToGrid w:val="0"/>
                <w:color w:val="000000" w:themeColor="text1"/>
                <w:highlight w:val="none"/>
                <w14:textFill>
                  <w14:solidFill>
                    <w14:schemeClr w14:val="tx1"/>
                  </w14:solidFill>
                </w14:textFill>
              </w:rPr>
              <w:t>户</w:t>
            </w:r>
            <w:r>
              <w:rPr>
                <w:rFonts w:hint="eastAsia" w:eastAsiaTheme="minorEastAsia"/>
                <w:snapToGrid w:val="0"/>
                <w:color w:val="000000" w:themeColor="text1"/>
                <w:highlight w:val="none"/>
                <w14:textFill>
                  <w14:solidFill>
                    <w14:schemeClr w14:val="tx1"/>
                  </w14:solidFill>
                </w14:textFill>
              </w:rPr>
              <w:t>12</w:t>
            </w:r>
            <w:r>
              <w:rPr>
                <w:rFonts w:hint="eastAsia" w:eastAsia="Times New Roman"/>
                <w:snapToGrid w:val="0"/>
                <w:color w:val="000000" w:themeColor="text1"/>
                <w:highlight w:val="none"/>
                <w14:textFill>
                  <w14:solidFill>
                    <w14:schemeClr w14:val="tx1"/>
                  </w14:solidFill>
                </w14:textFill>
              </w:rPr>
              <w:t>人，</w:t>
            </w:r>
            <w:r>
              <w:rPr>
                <w:rFonts w:eastAsia="Times New Roman"/>
                <w:snapToGrid w:val="0"/>
                <w:color w:val="000000" w:themeColor="text1"/>
                <w:highlight w:val="none"/>
                <w14:textFill>
                  <w14:solidFill>
                    <w14:schemeClr w14:val="tx1"/>
                  </w14:solidFill>
                </w14:textFill>
              </w:rPr>
              <w:t>1</w:t>
            </w:r>
            <w:r>
              <w:rPr>
                <w:rFonts w:hint="eastAsia" w:eastAsia="Times New Roman"/>
                <w:snapToGrid w:val="0"/>
                <w:color w:val="000000" w:themeColor="text1"/>
                <w:highlight w:val="none"/>
                <w14:textFill>
                  <w14:solidFill>
                    <w14:schemeClr w14:val="tx1"/>
                  </w14:solidFill>
                </w14:textFill>
              </w:rPr>
              <w:t>～</w:t>
            </w:r>
            <w:r>
              <w:rPr>
                <w:rFonts w:eastAsia="Times New Roman"/>
                <w:snapToGrid w:val="0"/>
                <w:color w:val="000000" w:themeColor="text1"/>
                <w:highlight w:val="none"/>
                <w14:textFill>
                  <w14:solidFill>
                    <w14:schemeClr w14:val="tx1"/>
                  </w14:solidFill>
                </w14:textFill>
              </w:rPr>
              <w:t>2F</w:t>
            </w:r>
            <w:r>
              <w:rPr>
                <w:rFonts w:hint="eastAsia" w:eastAsia="Times New Roman"/>
                <w:snapToGrid w:val="0"/>
                <w:color w:val="000000" w:themeColor="text1"/>
                <w:highlight w:val="none"/>
                <w14:textFill>
                  <w14:solidFill>
                    <w14:schemeClr w14:val="tx1"/>
                  </w14:solidFill>
                </w14:textFill>
              </w:rPr>
              <w:t>砖瓦房</w:t>
            </w:r>
          </w:p>
        </w:tc>
        <w:tc>
          <w:tcPr>
            <w:tcW w:w="427"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3</w:t>
            </w:r>
          </w:p>
        </w:tc>
        <w:tc>
          <w:tcPr>
            <w:tcW w:w="342"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w:t>
            </w:r>
          </w:p>
        </w:tc>
        <w:tc>
          <w:tcPr>
            <w:tcW w:w="64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6"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12#</w:t>
            </w:r>
            <w:r>
              <w:rPr>
                <w:rFonts w:hint="eastAsia" w:ascii="宋体" w:hAnsi="宋体" w:eastAsia="Times New Roman" w:cs="宋体"/>
                <w:snapToGrid w:val="0"/>
                <w:color w:val="000000" w:themeColor="text1"/>
                <w:highlight w:val="none"/>
                <w14:textFill>
                  <w14:solidFill>
                    <w14:schemeClr w14:val="tx1"/>
                  </w14:solidFill>
                </w14:textFill>
              </w:rPr>
              <w:t>居民点</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北</w:t>
            </w:r>
            <w:r>
              <w:rPr>
                <w:rFonts w:hint="eastAsia" w:eastAsia="Times New Roman"/>
                <w:snapToGrid w:val="0"/>
                <w:color w:val="000000" w:themeColor="text1"/>
                <w:highlight w:val="none"/>
                <w14:textFill>
                  <w14:solidFill>
                    <w14:schemeClr w14:val="tx1"/>
                  </w14:solidFill>
                </w14:textFill>
              </w:rPr>
              <w:t>侧</w:t>
            </w:r>
          </w:p>
        </w:tc>
        <w:tc>
          <w:tcPr>
            <w:tcW w:w="769"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50</w:t>
            </w:r>
            <w:r>
              <w:rPr>
                <w:rFonts w:eastAsia="Times New Roman"/>
                <w:snapToGrid w:val="0"/>
                <w:color w:val="000000" w:themeColor="text1"/>
                <w:highlight w:val="none"/>
                <w14:textFill>
                  <w14:solidFill>
                    <w14:schemeClr w14:val="tx1"/>
                  </w14:solidFill>
                </w14:textFill>
              </w:rPr>
              <w:t>~1</w:t>
            </w:r>
            <w:r>
              <w:rPr>
                <w:rFonts w:hint="eastAsia" w:eastAsiaTheme="minorEastAsia"/>
                <w:snapToGrid w:val="0"/>
                <w:color w:val="000000" w:themeColor="text1"/>
                <w:highlight w:val="none"/>
                <w14:textFill>
                  <w14:solidFill>
                    <w14:schemeClr w14:val="tx1"/>
                  </w14:solidFill>
                </w14:textFill>
              </w:rPr>
              <w:t>9</w:t>
            </w:r>
            <w:r>
              <w:rPr>
                <w:rFonts w:eastAsia="Times New Roman"/>
                <w:snapToGrid w:val="0"/>
                <w:color w:val="000000" w:themeColor="text1"/>
                <w:highlight w:val="none"/>
                <w14:textFill>
                  <w14:solidFill>
                    <w14:schemeClr w14:val="tx1"/>
                  </w14:solidFill>
                </w14:textFill>
              </w:rPr>
              <w:t>6</w:t>
            </w:r>
          </w:p>
        </w:tc>
        <w:tc>
          <w:tcPr>
            <w:tcW w:w="1622"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农村环境，</w:t>
            </w:r>
            <w:r>
              <w:rPr>
                <w:rFonts w:hint="eastAsia" w:eastAsiaTheme="minorEastAsia"/>
                <w:snapToGrid w:val="0"/>
                <w:color w:val="000000" w:themeColor="text1"/>
                <w:highlight w:val="none"/>
                <w14:textFill>
                  <w14:solidFill>
                    <w14:schemeClr w14:val="tx1"/>
                  </w14:solidFill>
                </w14:textFill>
              </w:rPr>
              <w:t>11</w:t>
            </w:r>
            <w:r>
              <w:rPr>
                <w:rFonts w:hint="eastAsia" w:eastAsia="Times New Roman"/>
                <w:snapToGrid w:val="0"/>
                <w:color w:val="000000" w:themeColor="text1"/>
                <w:highlight w:val="none"/>
                <w14:textFill>
                  <w14:solidFill>
                    <w14:schemeClr w14:val="tx1"/>
                  </w14:solidFill>
                </w14:textFill>
              </w:rPr>
              <w:t>户</w:t>
            </w:r>
            <w:r>
              <w:rPr>
                <w:rFonts w:hint="eastAsia" w:eastAsiaTheme="minorEastAsia"/>
                <w:snapToGrid w:val="0"/>
                <w:color w:val="000000" w:themeColor="text1"/>
                <w:highlight w:val="none"/>
                <w14:textFill>
                  <w14:solidFill>
                    <w14:schemeClr w14:val="tx1"/>
                  </w14:solidFill>
                </w14:textFill>
              </w:rPr>
              <w:t>44</w:t>
            </w:r>
            <w:r>
              <w:rPr>
                <w:rFonts w:hint="eastAsia" w:eastAsia="Times New Roman"/>
                <w:snapToGrid w:val="0"/>
                <w:color w:val="000000" w:themeColor="text1"/>
                <w:highlight w:val="none"/>
                <w14:textFill>
                  <w14:solidFill>
                    <w14:schemeClr w14:val="tx1"/>
                  </w14:solidFill>
                </w14:textFill>
              </w:rPr>
              <w:t>人，</w:t>
            </w:r>
            <w:r>
              <w:rPr>
                <w:rFonts w:eastAsia="Times New Roman"/>
                <w:snapToGrid w:val="0"/>
                <w:color w:val="000000" w:themeColor="text1"/>
                <w:highlight w:val="none"/>
                <w14:textFill>
                  <w14:solidFill>
                    <w14:schemeClr w14:val="tx1"/>
                  </w14:solidFill>
                </w14:textFill>
              </w:rPr>
              <w:t>1</w:t>
            </w:r>
            <w:r>
              <w:rPr>
                <w:rFonts w:hint="eastAsia" w:eastAsia="Times New Roman"/>
                <w:snapToGrid w:val="0"/>
                <w:color w:val="000000" w:themeColor="text1"/>
                <w:highlight w:val="none"/>
                <w14:textFill>
                  <w14:solidFill>
                    <w14:schemeClr w14:val="tx1"/>
                  </w14:solidFill>
                </w14:textFill>
              </w:rPr>
              <w:t>～</w:t>
            </w:r>
            <w:r>
              <w:rPr>
                <w:rFonts w:eastAsia="Times New Roman"/>
                <w:snapToGrid w:val="0"/>
                <w:color w:val="000000" w:themeColor="text1"/>
                <w:highlight w:val="none"/>
                <w14:textFill>
                  <w14:solidFill>
                    <w14:schemeClr w14:val="tx1"/>
                  </w14:solidFill>
                </w14:textFill>
              </w:rPr>
              <w:t>2F</w:t>
            </w:r>
            <w:r>
              <w:rPr>
                <w:rFonts w:hint="eastAsia" w:eastAsia="Times New Roman"/>
                <w:snapToGrid w:val="0"/>
                <w:color w:val="000000" w:themeColor="text1"/>
                <w:highlight w:val="none"/>
                <w14:textFill>
                  <w14:solidFill>
                    <w14:schemeClr w14:val="tx1"/>
                  </w14:solidFill>
                </w14:textFill>
              </w:rPr>
              <w:t>砖瓦房</w:t>
            </w:r>
          </w:p>
        </w:tc>
        <w:tc>
          <w:tcPr>
            <w:tcW w:w="427"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11</w:t>
            </w:r>
          </w:p>
        </w:tc>
        <w:tc>
          <w:tcPr>
            <w:tcW w:w="342"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w:t>
            </w:r>
          </w:p>
        </w:tc>
        <w:tc>
          <w:tcPr>
            <w:tcW w:w="64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6"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13</w:t>
            </w:r>
            <w:r>
              <w:rPr>
                <w:rFonts w:eastAsia="Times New Roman"/>
                <w:snapToGrid w:val="0"/>
                <w:color w:val="000000" w:themeColor="text1"/>
                <w:highlight w:val="none"/>
                <w14:textFill>
                  <w14:solidFill>
                    <w14:schemeClr w14:val="tx1"/>
                  </w14:solidFill>
                </w14:textFill>
              </w:rPr>
              <w:t>#</w:t>
            </w:r>
            <w:r>
              <w:rPr>
                <w:rFonts w:hint="eastAsia" w:ascii="宋体" w:hAnsi="宋体" w:eastAsia="Times New Roman" w:cs="宋体"/>
                <w:snapToGrid w:val="0"/>
                <w:color w:val="000000" w:themeColor="text1"/>
                <w:highlight w:val="none"/>
                <w14:textFill>
                  <w14:solidFill>
                    <w14:schemeClr w14:val="tx1"/>
                  </w14:solidFill>
                </w14:textFill>
              </w:rPr>
              <w:t>居民点</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北</w:t>
            </w:r>
            <w:r>
              <w:rPr>
                <w:rFonts w:hint="eastAsia" w:eastAsia="Times New Roman"/>
                <w:snapToGrid w:val="0"/>
                <w:color w:val="000000" w:themeColor="text1"/>
                <w:highlight w:val="none"/>
                <w14:textFill>
                  <w14:solidFill>
                    <w14:schemeClr w14:val="tx1"/>
                  </w14:solidFill>
                </w14:textFill>
              </w:rPr>
              <w:t>侧</w:t>
            </w:r>
          </w:p>
        </w:tc>
        <w:tc>
          <w:tcPr>
            <w:tcW w:w="769"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25</w:t>
            </w:r>
            <w:r>
              <w:rPr>
                <w:rFonts w:eastAsia="Times New Roman"/>
                <w:snapToGrid w:val="0"/>
                <w:color w:val="000000" w:themeColor="text1"/>
                <w:highlight w:val="none"/>
                <w14:textFill>
                  <w14:solidFill>
                    <w14:schemeClr w14:val="tx1"/>
                  </w14:solidFill>
                </w14:textFill>
              </w:rPr>
              <w:t>~1</w:t>
            </w:r>
            <w:r>
              <w:rPr>
                <w:rFonts w:hint="eastAsia" w:eastAsiaTheme="minorEastAsia"/>
                <w:snapToGrid w:val="0"/>
                <w:color w:val="000000" w:themeColor="text1"/>
                <w:highlight w:val="none"/>
                <w14:textFill>
                  <w14:solidFill>
                    <w14:schemeClr w14:val="tx1"/>
                  </w14:solidFill>
                </w14:textFill>
              </w:rPr>
              <w:t>8</w:t>
            </w:r>
            <w:r>
              <w:rPr>
                <w:rFonts w:eastAsia="Times New Roman"/>
                <w:snapToGrid w:val="0"/>
                <w:color w:val="000000" w:themeColor="text1"/>
                <w:highlight w:val="none"/>
                <w14:textFill>
                  <w14:solidFill>
                    <w14:schemeClr w14:val="tx1"/>
                  </w14:solidFill>
                </w14:textFill>
              </w:rPr>
              <w:t>5</w:t>
            </w:r>
          </w:p>
        </w:tc>
        <w:tc>
          <w:tcPr>
            <w:tcW w:w="1622"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农村环境，</w:t>
            </w:r>
            <w:r>
              <w:rPr>
                <w:rFonts w:hint="eastAsia" w:eastAsiaTheme="minorEastAsia"/>
                <w:snapToGrid w:val="0"/>
                <w:color w:val="000000" w:themeColor="text1"/>
                <w:highlight w:val="none"/>
                <w14:textFill>
                  <w14:solidFill>
                    <w14:schemeClr w14:val="tx1"/>
                  </w14:solidFill>
                </w14:textFill>
              </w:rPr>
              <w:t>8</w:t>
            </w:r>
            <w:r>
              <w:rPr>
                <w:rFonts w:hint="eastAsia" w:eastAsia="Times New Roman"/>
                <w:snapToGrid w:val="0"/>
                <w:color w:val="000000" w:themeColor="text1"/>
                <w:highlight w:val="none"/>
                <w14:textFill>
                  <w14:solidFill>
                    <w14:schemeClr w14:val="tx1"/>
                  </w14:solidFill>
                </w14:textFill>
              </w:rPr>
              <w:t>户</w:t>
            </w:r>
            <w:r>
              <w:rPr>
                <w:rFonts w:hint="eastAsia" w:eastAsiaTheme="minorEastAsia"/>
                <w:snapToGrid w:val="0"/>
                <w:color w:val="000000" w:themeColor="text1"/>
                <w:highlight w:val="none"/>
                <w14:textFill>
                  <w14:solidFill>
                    <w14:schemeClr w14:val="tx1"/>
                  </w14:solidFill>
                </w14:textFill>
              </w:rPr>
              <w:t>24</w:t>
            </w:r>
            <w:r>
              <w:rPr>
                <w:rFonts w:hint="eastAsia" w:eastAsia="Times New Roman"/>
                <w:snapToGrid w:val="0"/>
                <w:color w:val="000000" w:themeColor="text1"/>
                <w:highlight w:val="none"/>
                <w14:textFill>
                  <w14:solidFill>
                    <w14:schemeClr w14:val="tx1"/>
                  </w14:solidFill>
                </w14:textFill>
              </w:rPr>
              <w:t>人，</w:t>
            </w:r>
            <w:r>
              <w:rPr>
                <w:rFonts w:eastAsia="Times New Roman"/>
                <w:snapToGrid w:val="0"/>
                <w:color w:val="000000" w:themeColor="text1"/>
                <w:highlight w:val="none"/>
                <w14:textFill>
                  <w14:solidFill>
                    <w14:schemeClr w14:val="tx1"/>
                  </w14:solidFill>
                </w14:textFill>
              </w:rPr>
              <w:t>1</w:t>
            </w:r>
            <w:r>
              <w:rPr>
                <w:rFonts w:hint="eastAsia" w:eastAsia="Times New Roman"/>
                <w:snapToGrid w:val="0"/>
                <w:color w:val="000000" w:themeColor="text1"/>
                <w:highlight w:val="none"/>
                <w14:textFill>
                  <w14:solidFill>
                    <w14:schemeClr w14:val="tx1"/>
                  </w14:solidFill>
                </w14:textFill>
              </w:rPr>
              <w:t>～</w:t>
            </w:r>
            <w:r>
              <w:rPr>
                <w:rFonts w:eastAsia="Times New Roman"/>
                <w:snapToGrid w:val="0"/>
                <w:color w:val="000000" w:themeColor="text1"/>
                <w:highlight w:val="none"/>
                <w14:textFill>
                  <w14:solidFill>
                    <w14:schemeClr w14:val="tx1"/>
                  </w14:solidFill>
                </w14:textFill>
              </w:rPr>
              <w:t>2F</w:t>
            </w:r>
            <w:r>
              <w:rPr>
                <w:rFonts w:hint="eastAsia" w:eastAsia="Times New Roman"/>
                <w:snapToGrid w:val="0"/>
                <w:color w:val="000000" w:themeColor="text1"/>
                <w:highlight w:val="none"/>
                <w14:textFill>
                  <w14:solidFill>
                    <w14:schemeClr w14:val="tx1"/>
                  </w14:solidFill>
                </w14:textFill>
              </w:rPr>
              <w:t>砖瓦房</w:t>
            </w:r>
          </w:p>
        </w:tc>
        <w:tc>
          <w:tcPr>
            <w:tcW w:w="427"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8</w:t>
            </w:r>
          </w:p>
        </w:tc>
        <w:tc>
          <w:tcPr>
            <w:tcW w:w="342"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w:t>
            </w:r>
          </w:p>
        </w:tc>
        <w:tc>
          <w:tcPr>
            <w:tcW w:w="64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6" w:type="pct"/>
            <w:vAlign w:val="center"/>
          </w:tcPr>
          <w:p>
            <w:pPr>
              <w:pStyle w:val="118"/>
              <w:rPr>
                <w:rFonts w:eastAsiaTheme="minorEastAsia"/>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1</w:t>
            </w:r>
            <w:r>
              <w:rPr>
                <w:rFonts w:hint="eastAsia" w:eastAsiaTheme="minorEastAsia"/>
                <w:snapToGrid w:val="0"/>
                <w:color w:val="000000" w:themeColor="text1"/>
                <w:highlight w:val="none"/>
                <w14:textFill>
                  <w14:solidFill>
                    <w14:schemeClr w14:val="tx1"/>
                  </w14:solidFill>
                </w14:textFill>
              </w:rPr>
              <w:t>4</w:t>
            </w:r>
            <w:r>
              <w:rPr>
                <w:rFonts w:eastAsia="Times New Roman"/>
                <w:snapToGrid w:val="0"/>
                <w:color w:val="000000" w:themeColor="text1"/>
                <w:highlight w:val="none"/>
                <w14:textFill>
                  <w14:solidFill>
                    <w14:schemeClr w14:val="tx1"/>
                  </w14:solidFill>
                </w14:textFill>
              </w:rPr>
              <w:t>#</w:t>
            </w:r>
            <w:r>
              <w:rPr>
                <w:rFonts w:hint="eastAsia" w:ascii="宋体" w:hAnsi="宋体" w:eastAsia="Times New Roman" w:cs="宋体"/>
                <w:snapToGrid w:val="0"/>
                <w:color w:val="000000" w:themeColor="text1"/>
                <w:highlight w:val="none"/>
                <w14:textFill>
                  <w14:solidFill>
                    <w14:schemeClr w14:val="tx1"/>
                  </w14:solidFill>
                </w14:textFill>
              </w:rPr>
              <w:t>居民点</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南</w:t>
            </w:r>
            <w:r>
              <w:rPr>
                <w:rFonts w:hint="eastAsia" w:eastAsia="Times New Roman"/>
                <w:snapToGrid w:val="0"/>
                <w:color w:val="000000" w:themeColor="text1"/>
                <w:highlight w:val="none"/>
                <w14:textFill>
                  <w14:solidFill>
                    <w14:schemeClr w14:val="tx1"/>
                  </w14:solidFill>
                </w14:textFill>
              </w:rPr>
              <w:t>侧</w:t>
            </w:r>
          </w:p>
        </w:tc>
        <w:tc>
          <w:tcPr>
            <w:tcW w:w="769"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24</w:t>
            </w:r>
            <w:r>
              <w:rPr>
                <w:rFonts w:eastAsia="Times New Roman"/>
                <w:snapToGrid w:val="0"/>
                <w:color w:val="000000" w:themeColor="text1"/>
                <w:highlight w:val="none"/>
                <w14:textFill>
                  <w14:solidFill>
                    <w14:schemeClr w14:val="tx1"/>
                  </w14:solidFill>
                </w14:textFill>
              </w:rPr>
              <w:t>~</w:t>
            </w:r>
            <w:r>
              <w:rPr>
                <w:rFonts w:hint="eastAsia" w:eastAsiaTheme="minorEastAsia"/>
                <w:snapToGrid w:val="0"/>
                <w:color w:val="000000" w:themeColor="text1"/>
                <w:highlight w:val="none"/>
                <w14:textFill>
                  <w14:solidFill>
                    <w14:schemeClr w14:val="tx1"/>
                  </w14:solidFill>
                </w14:textFill>
              </w:rPr>
              <w:t>200</w:t>
            </w:r>
          </w:p>
        </w:tc>
        <w:tc>
          <w:tcPr>
            <w:tcW w:w="1622"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宋体" w:cs="宋体"/>
                <w:snapToGrid w:val="0"/>
                <w:color w:val="000000" w:themeColor="text1"/>
                <w:highlight w:val="none"/>
                <w14:textFill>
                  <w14:solidFill>
                    <w14:schemeClr w14:val="tx1"/>
                  </w14:solidFill>
                </w14:textFill>
              </w:rPr>
              <w:t>农</w:t>
            </w:r>
            <w:r>
              <w:rPr>
                <w:rFonts w:hint="eastAsia" w:eastAsia="Times New Roman"/>
                <w:snapToGrid w:val="0"/>
                <w:color w:val="000000" w:themeColor="text1"/>
                <w:highlight w:val="none"/>
                <w14:textFill>
                  <w14:solidFill>
                    <w14:schemeClr w14:val="tx1"/>
                  </w14:solidFill>
                </w14:textFill>
              </w:rPr>
              <w:t>村环境，</w:t>
            </w:r>
            <w:r>
              <w:rPr>
                <w:rFonts w:hint="eastAsia" w:eastAsiaTheme="minorEastAsia"/>
                <w:snapToGrid w:val="0"/>
                <w:color w:val="000000" w:themeColor="text1"/>
                <w:highlight w:val="none"/>
                <w14:textFill>
                  <w14:solidFill>
                    <w14:schemeClr w14:val="tx1"/>
                  </w14:solidFill>
                </w14:textFill>
              </w:rPr>
              <w:t>10</w:t>
            </w:r>
            <w:r>
              <w:rPr>
                <w:rFonts w:hint="eastAsia" w:eastAsia="Times New Roman"/>
                <w:snapToGrid w:val="0"/>
                <w:color w:val="000000" w:themeColor="text1"/>
                <w:highlight w:val="none"/>
                <w14:textFill>
                  <w14:solidFill>
                    <w14:schemeClr w14:val="tx1"/>
                  </w14:solidFill>
                </w14:textFill>
              </w:rPr>
              <w:t>户，</w:t>
            </w:r>
            <w:r>
              <w:rPr>
                <w:rFonts w:hint="eastAsia" w:eastAsiaTheme="minorEastAsia"/>
                <w:snapToGrid w:val="0"/>
                <w:color w:val="000000" w:themeColor="text1"/>
                <w:highlight w:val="none"/>
                <w14:textFill>
                  <w14:solidFill>
                    <w14:schemeClr w14:val="tx1"/>
                  </w14:solidFill>
                </w14:textFill>
              </w:rPr>
              <w:t>4</w:t>
            </w:r>
            <w:r>
              <w:rPr>
                <w:rFonts w:eastAsia="Times New Roman"/>
                <w:snapToGrid w:val="0"/>
                <w:color w:val="000000" w:themeColor="text1"/>
                <w:highlight w:val="none"/>
                <w14:textFill>
                  <w14:solidFill>
                    <w14:schemeClr w14:val="tx1"/>
                  </w14:solidFill>
                </w14:textFill>
              </w:rPr>
              <w:t>0</w:t>
            </w:r>
            <w:r>
              <w:rPr>
                <w:rFonts w:hint="eastAsia" w:eastAsia="Times New Roman"/>
                <w:snapToGrid w:val="0"/>
                <w:color w:val="000000" w:themeColor="text1"/>
                <w:highlight w:val="none"/>
                <w14:textFill>
                  <w14:solidFill>
                    <w14:schemeClr w14:val="tx1"/>
                  </w14:solidFill>
                </w14:textFill>
              </w:rPr>
              <w:t>人，</w:t>
            </w:r>
            <w:r>
              <w:rPr>
                <w:rFonts w:eastAsia="Times New Roman"/>
                <w:snapToGrid w:val="0"/>
                <w:color w:val="000000" w:themeColor="text1"/>
                <w:highlight w:val="none"/>
                <w14:textFill>
                  <w14:solidFill>
                    <w14:schemeClr w14:val="tx1"/>
                  </w14:solidFill>
                </w14:textFill>
              </w:rPr>
              <w:t>1</w:t>
            </w:r>
            <w:r>
              <w:rPr>
                <w:rFonts w:hint="eastAsia" w:eastAsia="Times New Roman"/>
                <w:snapToGrid w:val="0"/>
                <w:color w:val="000000" w:themeColor="text1"/>
                <w:highlight w:val="none"/>
                <w14:textFill>
                  <w14:solidFill>
                    <w14:schemeClr w14:val="tx1"/>
                  </w14:solidFill>
                </w14:textFill>
              </w:rPr>
              <w:t>～</w:t>
            </w:r>
            <w:r>
              <w:rPr>
                <w:rFonts w:eastAsia="Times New Roman"/>
                <w:snapToGrid w:val="0"/>
                <w:color w:val="000000" w:themeColor="text1"/>
                <w:highlight w:val="none"/>
                <w14:textFill>
                  <w14:solidFill>
                    <w14:schemeClr w14:val="tx1"/>
                  </w14:solidFill>
                </w14:textFill>
              </w:rPr>
              <w:t>3F</w:t>
            </w:r>
            <w:r>
              <w:rPr>
                <w:rFonts w:hint="eastAsia" w:eastAsia="Times New Roman"/>
                <w:snapToGrid w:val="0"/>
                <w:color w:val="000000" w:themeColor="text1"/>
                <w:highlight w:val="none"/>
                <w14:textFill>
                  <w14:solidFill>
                    <w14:schemeClr w14:val="tx1"/>
                  </w14:solidFill>
                </w14:textFill>
              </w:rPr>
              <w:t>层，砖混结构</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10</w:t>
            </w:r>
          </w:p>
        </w:tc>
        <w:tc>
          <w:tcPr>
            <w:tcW w:w="342"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w:t>
            </w:r>
          </w:p>
        </w:tc>
        <w:tc>
          <w:tcPr>
            <w:tcW w:w="64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6"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15</w:t>
            </w:r>
            <w:r>
              <w:rPr>
                <w:rFonts w:eastAsia="Times New Roman"/>
                <w:snapToGrid w:val="0"/>
                <w:color w:val="000000" w:themeColor="text1"/>
                <w:highlight w:val="none"/>
                <w14:textFill>
                  <w14:solidFill>
                    <w14:schemeClr w14:val="tx1"/>
                  </w14:solidFill>
                </w14:textFill>
              </w:rPr>
              <w:t>#</w:t>
            </w:r>
            <w:r>
              <w:rPr>
                <w:rFonts w:hint="eastAsia" w:ascii="宋体" w:hAnsi="宋体" w:eastAsia="Times New Roman" w:cs="宋体"/>
                <w:snapToGrid w:val="0"/>
                <w:color w:val="000000" w:themeColor="text1"/>
                <w:highlight w:val="none"/>
                <w14:textFill>
                  <w14:solidFill>
                    <w14:schemeClr w14:val="tx1"/>
                  </w14:solidFill>
                </w14:textFill>
              </w:rPr>
              <w:t>居民点</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南</w:t>
            </w:r>
            <w:r>
              <w:rPr>
                <w:rFonts w:hint="eastAsia" w:eastAsia="Times New Roman"/>
                <w:snapToGrid w:val="0"/>
                <w:color w:val="000000" w:themeColor="text1"/>
                <w:highlight w:val="none"/>
                <w14:textFill>
                  <w14:solidFill>
                    <w14:schemeClr w14:val="tx1"/>
                  </w14:solidFill>
                </w14:textFill>
              </w:rPr>
              <w:t>侧</w:t>
            </w:r>
          </w:p>
        </w:tc>
        <w:tc>
          <w:tcPr>
            <w:tcW w:w="769"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10</w:t>
            </w:r>
            <w:r>
              <w:rPr>
                <w:rFonts w:eastAsia="Times New Roman"/>
                <w:snapToGrid w:val="0"/>
                <w:color w:val="000000" w:themeColor="text1"/>
                <w:highlight w:val="none"/>
                <w14:textFill>
                  <w14:solidFill>
                    <w14:schemeClr w14:val="tx1"/>
                  </w14:solidFill>
                </w14:textFill>
              </w:rPr>
              <w:t>~</w:t>
            </w:r>
            <w:r>
              <w:rPr>
                <w:rFonts w:hint="eastAsia" w:eastAsiaTheme="minorEastAsia"/>
                <w:snapToGrid w:val="0"/>
                <w:color w:val="000000" w:themeColor="text1"/>
                <w:highlight w:val="none"/>
                <w14:textFill>
                  <w14:solidFill>
                    <w14:schemeClr w14:val="tx1"/>
                  </w14:solidFill>
                </w14:textFill>
              </w:rPr>
              <w:t>140</w:t>
            </w:r>
          </w:p>
        </w:tc>
        <w:tc>
          <w:tcPr>
            <w:tcW w:w="1622"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宋体" w:cs="宋体"/>
                <w:snapToGrid w:val="0"/>
                <w:color w:val="000000" w:themeColor="text1"/>
                <w:highlight w:val="none"/>
                <w14:textFill>
                  <w14:solidFill>
                    <w14:schemeClr w14:val="tx1"/>
                  </w14:solidFill>
                </w14:textFill>
              </w:rPr>
              <w:t>农</w:t>
            </w:r>
            <w:r>
              <w:rPr>
                <w:rFonts w:hint="eastAsia" w:eastAsia="Times New Roman"/>
                <w:snapToGrid w:val="0"/>
                <w:color w:val="000000" w:themeColor="text1"/>
                <w:highlight w:val="none"/>
                <w14:textFill>
                  <w14:solidFill>
                    <w14:schemeClr w14:val="tx1"/>
                  </w14:solidFill>
                </w14:textFill>
              </w:rPr>
              <w:t>村环境，</w:t>
            </w:r>
            <w:r>
              <w:rPr>
                <w:rFonts w:eastAsia="Times New Roman"/>
                <w:snapToGrid w:val="0"/>
                <w:color w:val="000000" w:themeColor="text1"/>
                <w:highlight w:val="none"/>
                <w14:textFill>
                  <w14:solidFill>
                    <w14:schemeClr w14:val="tx1"/>
                  </w14:solidFill>
                </w14:textFill>
              </w:rPr>
              <w:t>15</w:t>
            </w:r>
            <w:r>
              <w:rPr>
                <w:rFonts w:hint="eastAsia" w:eastAsia="Times New Roman"/>
                <w:snapToGrid w:val="0"/>
                <w:color w:val="000000" w:themeColor="text1"/>
                <w:highlight w:val="none"/>
                <w14:textFill>
                  <w14:solidFill>
                    <w14:schemeClr w14:val="tx1"/>
                  </w14:solidFill>
                </w14:textFill>
              </w:rPr>
              <w:t>户，</w:t>
            </w:r>
            <w:r>
              <w:rPr>
                <w:rFonts w:eastAsia="Times New Roman"/>
                <w:snapToGrid w:val="0"/>
                <w:color w:val="000000" w:themeColor="text1"/>
                <w:highlight w:val="none"/>
                <w14:textFill>
                  <w14:solidFill>
                    <w14:schemeClr w14:val="tx1"/>
                  </w14:solidFill>
                </w14:textFill>
              </w:rPr>
              <w:t>60</w:t>
            </w:r>
            <w:r>
              <w:rPr>
                <w:rFonts w:hint="eastAsia" w:eastAsia="Times New Roman"/>
                <w:snapToGrid w:val="0"/>
                <w:color w:val="000000" w:themeColor="text1"/>
                <w:highlight w:val="none"/>
                <w14:textFill>
                  <w14:solidFill>
                    <w14:schemeClr w14:val="tx1"/>
                  </w14:solidFill>
                </w14:textFill>
              </w:rPr>
              <w:t>人，</w:t>
            </w:r>
            <w:r>
              <w:rPr>
                <w:rFonts w:eastAsia="Times New Roman"/>
                <w:snapToGrid w:val="0"/>
                <w:color w:val="000000" w:themeColor="text1"/>
                <w:highlight w:val="none"/>
                <w14:textFill>
                  <w14:solidFill>
                    <w14:schemeClr w14:val="tx1"/>
                  </w14:solidFill>
                </w14:textFill>
              </w:rPr>
              <w:t>1</w:t>
            </w:r>
            <w:r>
              <w:rPr>
                <w:rFonts w:hint="eastAsia" w:eastAsia="Times New Roman"/>
                <w:snapToGrid w:val="0"/>
                <w:color w:val="000000" w:themeColor="text1"/>
                <w:highlight w:val="none"/>
                <w14:textFill>
                  <w14:solidFill>
                    <w14:schemeClr w14:val="tx1"/>
                  </w14:solidFill>
                </w14:textFill>
              </w:rPr>
              <w:t>～</w:t>
            </w:r>
            <w:r>
              <w:rPr>
                <w:rFonts w:eastAsia="Times New Roman"/>
                <w:snapToGrid w:val="0"/>
                <w:color w:val="000000" w:themeColor="text1"/>
                <w:highlight w:val="none"/>
                <w14:textFill>
                  <w14:solidFill>
                    <w14:schemeClr w14:val="tx1"/>
                  </w14:solidFill>
                </w14:textFill>
              </w:rPr>
              <w:t>3F</w:t>
            </w:r>
            <w:r>
              <w:rPr>
                <w:rFonts w:hint="eastAsia" w:eastAsia="Times New Roman"/>
                <w:snapToGrid w:val="0"/>
                <w:color w:val="000000" w:themeColor="text1"/>
                <w:highlight w:val="none"/>
                <w14:textFill>
                  <w14:solidFill>
                    <w14:schemeClr w14:val="tx1"/>
                  </w14:solidFill>
                </w14:textFill>
              </w:rPr>
              <w:t>层，砖混结构</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12</w:t>
            </w:r>
          </w:p>
        </w:tc>
        <w:tc>
          <w:tcPr>
            <w:tcW w:w="342"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w:t>
            </w:r>
          </w:p>
        </w:tc>
        <w:tc>
          <w:tcPr>
            <w:tcW w:w="64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6"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16</w:t>
            </w:r>
            <w:r>
              <w:rPr>
                <w:rFonts w:eastAsia="Times New Roman"/>
                <w:snapToGrid w:val="0"/>
                <w:color w:val="000000" w:themeColor="text1"/>
                <w:highlight w:val="none"/>
                <w14:textFill>
                  <w14:solidFill>
                    <w14:schemeClr w14:val="tx1"/>
                  </w14:solidFill>
                </w14:textFill>
              </w:rPr>
              <w:t>#</w:t>
            </w:r>
            <w:r>
              <w:rPr>
                <w:rFonts w:hint="eastAsia" w:ascii="宋体" w:hAnsi="宋体" w:eastAsia="Times New Roman" w:cs="宋体"/>
                <w:snapToGrid w:val="0"/>
                <w:color w:val="000000" w:themeColor="text1"/>
                <w:highlight w:val="none"/>
                <w14:textFill>
                  <w14:solidFill>
                    <w14:schemeClr w14:val="tx1"/>
                  </w14:solidFill>
                </w14:textFill>
              </w:rPr>
              <w:t>居民点</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北</w:t>
            </w:r>
            <w:r>
              <w:rPr>
                <w:rFonts w:hint="eastAsia" w:eastAsia="Times New Roman"/>
                <w:snapToGrid w:val="0"/>
                <w:color w:val="000000" w:themeColor="text1"/>
                <w:highlight w:val="none"/>
                <w14:textFill>
                  <w14:solidFill>
                    <w14:schemeClr w14:val="tx1"/>
                  </w14:solidFill>
                </w14:textFill>
              </w:rPr>
              <w:t>侧</w:t>
            </w:r>
          </w:p>
        </w:tc>
        <w:tc>
          <w:tcPr>
            <w:tcW w:w="769"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62</w:t>
            </w:r>
            <w:r>
              <w:rPr>
                <w:rFonts w:eastAsia="Times New Roman"/>
                <w:snapToGrid w:val="0"/>
                <w:color w:val="000000" w:themeColor="text1"/>
                <w:highlight w:val="none"/>
                <w14:textFill>
                  <w14:solidFill>
                    <w14:schemeClr w14:val="tx1"/>
                  </w14:solidFill>
                </w14:textFill>
              </w:rPr>
              <w:t>~</w:t>
            </w:r>
            <w:r>
              <w:rPr>
                <w:rFonts w:hint="eastAsia" w:eastAsiaTheme="minorEastAsia"/>
                <w:snapToGrid w:val="0"/>
                <w:color w:val="000000" w:themeColor="text1"/>
                <w:highlight w:val="none"/>
                <w14:textFill>
                  <w14:solidFill>
                    <w14:schemeClr w14:val="tx1"/>
                  </w14:solidFill>
                </w14:textFill>
              </w:rPr>
              <w:t>143</w:t>
            </w:r>
          </w:p>
        </w:tc>
        <w:tc>
          <w:tcPr>
            <w:tcW w:w="1622"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宋体" w:cs="宋体"/>
                <w:snapToGrid w:val="0"/>
                <w:color w:val="000000" w:themeColor="text1"/>
                <w:highlight w:val="none"/>
                <w14:textFill>
                  <w14:solidFill>
                    <w14:schemeClr w14:val="tx1"/>
                  </w14:solidFill>
                </w14:textFill>
              </w:rPr>
              <w:t>农</w:t>
            </w:r>
            <w:r>
              <w:rPr>
                <w:rFonts w:hint="eastAsia" w:eastAsia="Times New Roman"/>
                <w:snapToGrid w:val="0"/>
                <w:color w:val="000000" w:themeColor="text1"/>
                <w:highlight w:val="none"/>
                <w14:textFill>
                  <w14:solidFill>
                    <w14:schemeClr w14:val="tx1"/>
                  </w14:solidFill>
                </w14:textFill>
              </w:rPr>
              <w:t>村环境，</w:t>
            </w:r>
            <w:r>
              <w:rPr>
                <w:rFonts w:hint="eastAsia" w:eastAsiaTheme="minorEastAsia"/>
                <w:snapToGrid w:val="0"/>
                <w:color w:val="000000" w:themeColor="text1"/>
                <w:highlight w:val="none"/>
                <w14:textFill>
                  <w14:solidFill>
                    <w14:schemeClr w14:val="tx1"/>
                  </w14:solidFill>
                </w14:textFill>
              </w:rPr>
              <w:t>8</w:t>
            </w:r>
            <w:r>
              <w:rPr>
                <w:rFonts w:hint="eastAsia" w:eastAsia="Times New Roman"/>
                <w:snapToGrid w:val="0"/>
                <w:color w:val="000000" w:themeColor="text1"/>
                <w:highlight w:val="none"/>
                <w14:textFill>
                  <w14:solidFill>
                    <w14:schemeClr w14:val="tx1"/>
                  </w14:solidFill>
                </w14:textFill>
              </w:rPr>
              <w:t>户，</w:t>
            </w:r>
            <w:r>
              <w:rPr>
                <w:rFonts w:hint="eastAsia" w:eastAsiaTheme="minorEastAsia"/>
                <w:snapToGrid w:val="0"/>
                <w:color w:val="000000" w:themeColor="text1"/>
                <w:highlight w:val="none"/>
                <w14:textFill>
                  <w14:solidFill>
                    <w14:schemeClr w14:val="tx1"/>
                  </w14:solidFill>
                </w14:textFill>
              </w:rPr>
              <w:t>32</w:t>
            </w:r>
            <w:r>
              <w:rPr>
                <w:rFonts w:hint="eastAsia" w:eastAsia="Times New Roman"/>
                <w:snapToGrid w:val="0"/>
                <w:color w:val="000000" w:themeColor="text1"/>
                <w:highlight w:val="none"/>
                <w14:textFill>
                  <w14:solidFill>
                    <w14:schemeClr w14:val="tx1"/>
                  </w14:solidFill>
                </w14:textFill>
              </w:rPr>
              <w:t>人，</w:t>
            </w:r>
            <w:r>
              <w:rPr>
                <w:rFonts w:eastAsia="Times New Roman"/>
                <w:snapToGrid w:val="0"/>
                <w:color w:val="000000" w:themeColor="text1"/>
                <w:highlight w:val="none"/>
                <w14:textFill>
                  <w14:solidFill>
                    <w14:schemeClr w14:val="tx1"/>
                  </w14:solidFill>
                </w14:textFill>
              </w:rPr>
              <w:t>1</w:t>
            </w:r>
            <w:r>
              <w:rPr>
                <w:rFonts w:hint="eastAsia" w:eastAsia="Times New Roman"/>
                <w:snapToGrid w:val="0"/>
                <w:color w:val="000000" w:themeColor="text1"/>
                <w:highlight w:val="none"/>
                <w14:textFill>
                  <w14:solidFill>
                    <w14:schemeClr w14:val="tx1"/>
                  </w14:solidFill>
                </w14:textFill>
              </w:rPr>
              <w:t>～</w:t>
            </w:r>
            <w:r>
              <w:rPr>
                <w:rFonts w:eastAsia="Times New Roman"/>
                <w:snapToGrid w:val="0"/>
                <w:color w:val="000000" w:themeColor="text1"/>
                <w:highlight w:val="none"/>
                <w14:textFill>
                  <w14:solidFill>
                    <w14:schemeClr w14:val="tx1"/>
                  </w14:solidFill>
                </w14:textFill>
              </w:rPr>
              <w:t>3F</w:t>
            </w:r>
            <w:r>
              <w:rPr>
                <w:rFonts w:hint="eastAsia" w:eastAsia="Times New Roman"/>
                <w:snapToGrid w:val="0"/>
                <w:color w:val="000000" w:themeColor="text1"/>
                <w:highlight w:val="none"/>
                <w14:textFill>
                  <w14:solidFill>
                    <w14:schemeClr w14:val="tx1"/>
                  </w14:solidFill>
                </w14:textFill>
              </w:rPr>
              <w:t>层，砖混结构</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8</w:t>
            </w:r>
          </w:p>
        </w:tc>
        <w:tc>
          <w:tcPr>
            <w:tcW w:w="342"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w:t>
            </w:r>
          </w:p>
        </w:tc>
        <w:tc>
          <w:tcPr>
            <w:tcW w:w="64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6"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17</w:t>
            </w:r>
            <w:r>
              <w:rPr>
                <w:rFonts w:eastAsia="Times New Roman"/>
                <w:snapToGrid w:val="0"/>
                <w:color w:val="000000" w:themeColor="text1"/>
                <w:highlight w:val="none"/>
                <w14:textFill>
                  <w14:solidFill>
                    <w14:schemeClr w14:val="tx1"/>
                  </w14:solidFill>
                </w14:textFill>
              </w:rPr>
              <w:t>#</w:t>
            </w:r>
            <w:r>
              <w:rPr>
                <w:rFonts w:hint="eastAsia" w:ascii="宋体" w:hAnsi="宋体" w:eastAsia="Times New Roman" w:cs="宋体"/>
                <w:snapToGrid w:val="0"/>
                <w:color w:val="000000" w:themeColor="text1"/>
                <w:highlight w:val="none"/>
                <w14:textFill>
                  <w14:solidFill>
                    <w14:schemeClr w14:val="tx1"/>
                  </w14:solidFill>
                </w14:textFill>
              </w:rPr>
              <w:t>居民点</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北</w:t>
            </w:r>
            <w:r>
              <w:rPr>
                <w:rFonts w:hint="eastAsia" w:eastAsia="Times New Roman"/>
                <w:snapToGrid w:val="0"/>
                <w:color w:val="000000" w:themeColor="text1"/>
                <w:highlight w:val="none"/>
                <w14:textFill>
                  <w14:solidFill>
                    <w14:schemeClr w14:val="tx1"/>
                  </w14:solidFill>
                </w14:textFill>
              </w:rPr>
              <w:t>侧</w:t>
            </w:r>
          </w:p>
        </w:tc>
        <w:tc>
          <w:tcPr>
            <w:tcW w:w="769"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113</w:t>
            </w:r>
            <w:r>
              <w:rPr>
                <w:rFonts w:eastAsia="Times New Roman"/>
                <w:snapToGrid w:val="0"/>
                <w:color w:val="000000" w:themeColor="text1"/>
                <w:highlight w:val="none"/>
                <w14:textFill>
                  <w14:solidFill>
                    <w14:schemeClr w14:val="tx1"/>
                  </w14:solidFill>
                </w14:textFill>
              </w:rPr>
              <w:t>~</w:t>
            </w:r>
            <w:r>
              <w:rPr>
                <w:rFonts w:hint="eastAsia" w:eastAsiaTheme="minorEastAsia"/>
                <w:snapToGrid w:val="0"/>
                <w:color w:val="000000" w:themeColor="text1"/>
                <w:highlight w:val="none"/>
                <w14:textFill>
                  <w14:solidFill>
                    <w14:schemeClr w14:val="tx1"/>
                  </w14:solidFill>
                </w14:textFill>
              </w:rPr>
              <w:t>182</w:t>
            </w:r>
          </w:p>
        </w:tc>
        <w:tc>
          <w:tcPr>
            <w:tcW w:w="1622"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农村环境，</w:t>
            </w:r>
            <w:r>
              <w:rPr>
                <w:rFonts w:hint="eastAsia" w:eastAsiaTheme="minorEastAsia"/>
                <w:snapToGrid w:val="0"/>
                <w:color w:val="000000" w:themeColor="text1"/>
                <w:highlight w:val="none"/>
                <w14:textFill>
                  <w14:solidFill>
                    <w14:schemeClr w14:val="tx1"/>
                  </w14:solidFill>
                </w14:textFill>
              </w:rPr>
              <w:t>6</w:t>
            </w:r>
            <w:r>
              <w:rPr>
                <w:rFonts w:hint="eastAsia" w:eastAsia="Times New Roman"/>
                <w:snapToGrid w:val="0"/>
                <w:color w:val="000000" w:themeColor="text1"/>
                <w:highlight w:val="none"/>
                <w14:textFill>
                  <w14:solidFill>
                    <w14:schemeClr w14:val="tx1"/>
                  </w14:solidFill>
                </w14:textFill>
              </w:rPr>
              <w:t>户</w:t>
            </w:r>
            <w:r>
              <w:rPr>
                <w:rFonts w:hint="eastAsia" w:eastAsiaTheme="minorEastAsia"/>
                <w:snapToGrid w:val="0"/>
                <w:color w:val="000000" w:themeColor="text1"/>
                <w:highlight w:val="none"/>
                <w14:textFill>
                  <w14:solidFill>
                    <w14:schemeClr w14:val="tx1"/>
                  </w14:solidFill>
                </w14:textFill>
              </w:rPr>
              <w:t>24</w:t>
            </w:r>
            <w:r>
              <w:rPr>
                <w:rFonts w:hint="eastAsia" w:eastAsia="Times New Roman"/>
                <w:snapToGrid w:val="0"/>
                <w:color w:val="000000" w:themeColor="text1"/>
                <w:highlight w:val="none"/>
                <w14:textFill>
                  <w14:solidFill>
                    <w14:schemeClr w14:val="tx1"/>
                  </w14:solidFill>
                </w14:textFill>
              </w:rPr>
              <w:t>人，</w:t>
            </w:r>
            <w:r>
              <w:rPr>
                <w:rFonts w:eastAsia="Times New Roman"/>
                <w:snapToGrid w:val="0"/>
                <w:color w:val="000000" w:themeColor="text1"/>
                <w:highlight w:val="none"/>
                <w14:textFill>
                  <w14:solidFill>
                    <w14:schemeClr w14:val="tx1"/>
                  </w14:solidFill>
                </w14:textFill>
              </w:rPr>
              <w:t>1</w:t>
            </w:r>
            <w:r>
              <w:rPr>
                <w:rFonts w:hint="eastAsia" w:eastAsia="Times New Roman"/>
                <w:snapToGrid w:val="0"/>
                <w:color w:val="000000" w:themeColor="text1"/>
                <w:highlight w:val="none"/>
                <w14:textFill>
                  <w14:solidFill>
                    <w14:schemeClr w14:val="tx1"/>
                  </w14:solidFill>
                </w14:textFill>
              </w:rPr>
              <w:t>～</w:t>
            </w:r>
            <w:r>
              <w:rPr>
                <w:rFonts w:eastAsia="Times New Roman"/>
                <w:snapToGrid w:val="0"/>
                <w:color w:val="000000" w:themeColor="text1"/>
                <w:highlight w:val="none"/>
                <w14:textFill>
                  <w14:solidFill>
                    <w14:schemeClr w14:val="tx1"/>
                  </w14:solidFill>
                </w14:textFill>
              </w:rPr>
              <w:t>2F</w:t>
            </w:r>
            <w:r>
              <w:rPr>
                <w:rFonts w:hint="eastAsia" w:eastAsia="Times New Roman"/>
                <w:snapToGrid w:val="0"/>
                <w:color w:val="000000" w:themeColor="text1"/>
                <w:highlight w:val="none"/>
                <w14:textFill>
                  <w14:solidFill>
                    <w14:schemeClr w14:val="tx1"/>
                  </w14:solidFill>
                </w14:textFill>
              </w:rPr>
              <w:t>砖瓦房</w:t>
            </w:r>
          </w:p>
        </w:tc>
        <w:tc>
          <w:tcPr>
            <w:tcW w:w="427"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6</w:t>
            </w:r>
          </w:p>
        </w:tc>
        <w:tc>
          <w:tcPr>
            <w:tcW w:w="342"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w:t>
            </w:r>
          </w:p>
        </w:tc>
        <w:tc>
          <w:tcPr>
            <w:tcW w:w="64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6"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18</w:t>
            </w:r>
            <w:r>
              <w:rPr>
                <w:rFonts w:eastAsia="Times New Roman"/>
                <w:snapToGrid w:val="0"/>
                <w:color w:val="000000" w:themeColor="text1"/>
                <w:highlight w:val="none"/>
                <w14:textFill>
                  <w14:solidFill>
                    <w14:schemeClr w14:val="tx1"/>
                  </w14:solidFill>
                </w14:textFill>
              </w:rPr>
              <w:t>#</w:t>
            </w:r>
            <w:r>
              <w:rPr>
                <w:rFonts w:hint="eastAsia" w:ascii="宋体" w:hAnsi="宋体" w:eastAsia="Times New Roman" w:cs="宋体"/>
                <w:snapToGrid w:val="0"/>
                <w:color w:val="000000" w:themeColor="text1"/>
                <w:highlight w:val="none"/>
                <w14:textFill>
                  <w14:solidFill>
                    <w14:schemeClr w14:val="tx1"/>
                  </w14:solidFill>
                </w14:textFill>
              </w:rPr>
              <w:t>居民点</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西</w:t>
            </w:r>
            <w:r>
              <w:rPr>
                <w:rFonts w:hint="eastAsia" w:eastAsia="Times New Roman"/>
                <w:snapToGrid w:val="0"/>
                <w:color w:val="000000" w:themeColor="text1"/>
                <w:highlight w:val="none"/>
                <w14:textFill>
                  <w14:solidFill>
                    <w14:schemeClr w14:val="tx1"/>
                  </w14:solidFill>
                </w14:textFill>
              </w:rPr>
              <w:t>侧</w:t>
            </w:r>
          </w:p>
        </w:tc>
        <w:tc>
          <w:tcPr>
            <w:tcW w:w="769"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106</w:t>
            </w:r>
            <w:r>
              <w:rPr>
                <w:rFonts w:eastAsia="Times New Roman"/>
                <w:snapToGrid w:val="0"/>
                <w:color w:val="000000" w:themeColor="text1"/>
                <w:highlight w:val="none"/>
                <w14:textFill>
                  <w14:solidFill>
                    <w14:schemeClr w14:val="tx1"/>
                  </w14:solidFill>
                </w14:textFill>
              </w:rPr>
              <w:t>~</w:t>
            </w:r>
            <w:r>
              <w:rPr>
                <w:rFonts w:hint="eastAsia" w:eastAsiaTheme="minorEastAsia"/>
                <w:snapToGrid w:val="0"/>
                <w:color w:val="000000" w:themeColor="text1"/>
                <w:highlight w:val="none"/>
                <w14:textFill>
                  <w14:solidFill>
                    <w14:schemeClr w14:val="tx1"/>
                  </w14:solidFill>
                </w14:textFill>
              </w:rPr>
              <w:t>188</w:t>
            </w:r>
          </w:p>
        </w:tc>
        <w:tc>
          <w:tcPr>
            <w:tcW w:w="1622"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农村环境，</w:t>
            </w:r>
            <w:r>
              <w:rPr>
                <w:rFonts w:hint="eastAsia" w:eastAsiaTheme="minorEastAsia"/>
                <w:snapToGrid w:val="0"/>
                <w:color w:val="000000" w:themeColor="text1"/>
                <w:highlight w:val="none"/>
                <w14:textFill>
                  <w14:solidFill>
                    <w14:schemeClr w14:val="tx1"/>
                  </w14:solidFill>
                </w14:textFill>
              </w:rPr>
              <w:t>4</w:t>
            </w:r>
            <w:r>
              <w:rPr>
                <w:rFonts w:hint="eastAsia" w:eastAsia="Times New Roman"/>
                <w:snapToGrid w:val="0"/>
                <w:color w:val="000000" w:themeColor="text1"/>
                <w:highlight w:val="none"/>
                <w14:textFill>
                  <w14:solidFill>
                    <w14:schemeClr w14:val="tx1"/>
                  </w14:solidFill>
                </w14:textFill>
              </w:rPr>
              <w:t>户</w:t>
            </w:r>
            <w:r>
              <w:rPr>
                <w:rFonts w:hint="eastAsia" w:eastAsiaTheme="minorEastAsia"/>
                <w:snapToGrid w:val="0"/>
                <w:color w:val="000000" w:themeColor="text1"/>
                <w:highlight w:val="none"/>
                <w14:textFill>
                  <w14:solidFill>
                    <w14:schemeClr w14:val="tx1"/>
                  </w14:solidFill>
                </w14:textFill>
              </w:rPr>
              <w:t>16</w:t>
            </w:r>
            <w:r>
              <w:rPr>
                <w:rFonts w:hint="eastAsia" w:eastAsia="Times New Roman"/>
                <w:snapToGrid w:val="0"/>
                <w:color w:val="000000" w:themeColor="text1"/>
                <w:highlight w:val="none"/>
                <w14:textFill>
                  <w14:solidFill>
                    <w14:schemeClr w14:val="tx1"/>
                  </w14:solidFill>
                </w14:textFill>
              </w:rPr>
              <w:t>人，</w:t>
            </w:r>
            <w:r>
              <w:rPr>
                <w:rFonts w:eastAsia="Times New Roman"/>
                <w:snapToGrid w:val="0"/>
                <w:color w:val="000000" w:themeColor="text1"/>
                <w:highlight w:val="none"/>
                <w14:textFill>
                  <w14:solidFill>
                    <w14:schemeClr w14:val="tx1"/>
                  </w14:solidFill>
                </w14:textFill>
              </w:rPr>
              <w:t>1</w:t>
            </w:r>
            <w:r>
              <w:rPr>
                <w:rFonts w:hint="eastAsia" w:eastAsia="Times New Roman"/>
                <w:snapToGrid w:val="0"/>
                <w:color w:val="000000" w:themeColor="text1"/>
                <w:highlight w:val="none"/>
                <w14:textFill>
                  <w14:solidFill>
                    <w14:schemeClr w14:val="tx1"/>
                  </w14:solidFill>
                </w14:textFill>
              </w:rPr>
              <w:t>～</w:t>
            </w:r>
            <w:r>
              <w:rPr>
                <w:rFonts w:eastAsia="Times New Roman"/>
                <w:snapToGrid w:val="0"/>
                <w:color w:val="000000" w:themeColor="text1"/>
                <w:highlight w:val="none"/>
                <w14:textFill>
                  <w14:solidFill>
                    <w14:schemeClr w14:val="tx1"/>
                  </w14:solidFill>
                </w14:textFill>
              </w:rPr>
              <w:t>2F</w:t>
            </w:r>
            <w:r>
              <w:rPr>
                <w:rFonts w:hint="eastAsia" w:eastAsia="Times New Roman"/>
                <w:snapToGrid w:val="0"/>
                <w:color w:val="000000" w:themeColor="text1"/>
                <w:highlight w:val="none"/>
                <w14:textFill>
                  <w14:solidFill>
                    <w14:schemeClr w14:val="tx1"/>
                  </w14:solidFill>
                </w14:textFill>
              </w:rPr>
              <w:t>砖瓦房</w:t>
            </w:r>
          </w:p>
        </w:tc>
        <w:tc>
          <w:tcPr>
            <w:tcW w:w="427"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4</w:t>
            </w:r>
          </w:p>
        </w:tc>
        <w:tc>
          <w:tcPr>
            <w:tcW w:w="342"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w:t>
            </w:r>
          </w:p>
        </w:tc>
        <w:tc>
          <w:tcPr>
            <w:tcW w:w="64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6"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19</w:t>
            </w:r>
            <w:r>
              <w:rPr>
                <w:rFonts w:eastAsia="Times New Roman"/>
                <w:snapToGrid w:val="0"/>
                <w:color w:val="000000" w:themeColor="text1"/>
                <w:highlight w:val="none"/>
                <w14:textFill>
                  <w14:solidFill>
                    <w14:schemeClr w14:val="tx1"/>
                  </w14:solidFill>
                </w14:textFill>
              </w:rPr>
              <w:t>#</w:t>
            </w:r>
            <w:r>
              <w:rPr>
                <w:rFonts w:hint="eastAsia" w:ascii="宋体" w:hAnsi="宋体" w:eastAsia="Times New Roman" w:cs="宋体"/>
                <w:snapToGrid w:val="0"/>
                <w:color w:val="000000" w:themeColor="text1"/>
                <w:highlight w:val="none"/>
                <w14:textFill>
                  <w14:solidFill>
                    <w14:schemeClr w14:val="tx1"/>
                  </w14:solidFill>
                </w14:textFill>
              </w:rPr>
              <w:t>居民点</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西</w:t>
            </w:r>
            <w:r>
              <w:rPr>
                <w:rFonts w:hint="eastAsia" w:eastAsia="Times New Roman"/>
                <w:snapToGrid w:val="0"/>
                <w:color w:val="000000" w:themeColor="text1"/>
                <w:highlight w:val="none"/>
                <w14:textFill>
                  <w14:solidFill>
                    <w14:schemeClr w14:val="tx1"/>
                  </w14:solidFill>
                </w14:textFill>
              </w:rPr>
              <w:t>侧</w:t>
            </w:r>
          </w:p>
        </w:tc>
        <w:tc>
          <w:tcPr>
            <w:tcW w:w="769"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117</w:t>
            </w:r>
            <w:r>
              <w:rPr>
                <w:rFonts w:eastAsia="Times New Roman"/>
                <w:snapToGrid w:val="0"/>
                <w:color w:val="000000" w:themeColor="text1"/>
                <w:highlight w:val="none"/>
                <w14:textFill>
                  <w14:solidFill>
                    <w14:schemeClr w14:val="tx1"/>
                  </w14:solidFill>
                </w14:textFill>
              </w:rPr>
              <w:t>~</w:t>
            </w:r>
            <w:r>
              <w:rPr>
                <w:rFonts w:hint="eastAsia" w:eastAsiaTheme="minorEastAsia"/>
                <w:snapToGrid w:val="0"/>
                <w:color w:val="000000" w:themeColor="text1"/>
                <w:highlight w:val="none"/>
                <w14:textFill>
                  <w14:solidFill>
                    <w14:schemeClr w14:val="tx1"/>
                  </w14:solidFill>
                </w14:textFill>
              </w:rPr>
              <w:t>200</w:t>
            </w:r>
          </w:p>
        </w:tc>
        <w:tc>
          <w:tcPr>
            <w:tcW w:w="1622"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农村环境，</w:t>
            </w:r>
            <w:r>
              <w:rPr>
                <w:rFonts w:hint="eastAsia" w:eastAsiaTheme="minorEastAsia"/>
                <w:snapToGrid w:val="0"/>
                <w:color w:val="000000" w:themeColor="text1"/>
                <w:highlight w:val="none"/>
                <w14:textFill>
                  <w14:solidFill>
                    <w14:schemeClr w14:val="tx1"/>
                  </w14:solidFill>
                </w14:textFill>
              </w:rPr>
              <w:t>3</w:t>
            </w:r>
            <w:r>
              <w:rPr>
                <w:rFonts w:hint="eastAsia" w:eastAsia="Times New Roman"/>
                <w:snapToGrid w:val="0"/>
                <w:color w:val="000000" w:themeColor="text1"/>
                <w:highlight w:val="none"/>
                <w14:textFill>
                  <w14:solidFill>
                    <w14:schemeClr w14:val="tx1"/>
                  </w14:solidFill>
                </w14:textFill>
              </w:rPr>
              <w:t>户</w:t>
            </w:r>
            <w:r>
              <w:rPr>
                <w:rFonts w:hint="eastAsia" w:eastAsiaTheme="minorEastAsia"/>
                <w:snapToGrid w:val="0"/>
                <w:color w:val="000000" w:themeColor="text1"/>
                <w:highlight w:val="none"/>
                <w14:textFill>
                  <w14:solidFill>
                    <w14:schemeClr w14:val="tx1"/>
                  </w14:solidFill>
                </w14:textFill>
              </w:rPr>
              <w:t>12</w:t>
            </w:r>
            <w:r>
              <w:rPr>
                <w:rFonts w:hint="eastAsia" w:eastAsia="Times New Roman"/>
                <w:snapToGrid w:val="0"/>
                <w:color w:val="000000" w:themeColor="text1"/>
                <w:highlight w:val="none"/>
                <w14:textFill>
                  <w14:solidFill>
                    <w14:schemeClr w14:val="tx1"/>
                  </w14:solidFill>
                </w14:textFill>
              </w:rPr>
              <w:t>人，</w:t>
            </w:r>
            <w:r>
              <w:rPr>
                <w:rFonts w:eastAsia="Times New Roman"/>
                <w:snapToGrid w:val="0"/>
                <w:color w:val="000000" w:themeColor="text1"/>
                <w:highlight w:val="none"/>
                <w14:textFill>
                  <w14:solidFill>
                    <w14:schemeClr w14:val="tx1"/>
                  </w14:solidFill>
                </w14:textFill>
              </w:rPr>
              <w:t>1</w:t>
            </w:r>
            <w:r>
              <w:rPr>
                <w:rFonts w:hint="eastAsia" w:eastAsia="Times New Roman"/>
                <w:snapToGrid w:val="0"/>
                <w:color w:val="000000" w:themeColor="text1"/>
                <w:highlight w:val="none"/>
                <w14:textFill>
                  <w14:solidFill>
                    <w14:schemeClr w14:val="tx1"/>
                  </w14:solidFill>
                </w14:textFill>
              </w:rPr>
              <w:t>～</w:t>
            </w:r>
            <w:r>
              <w:rPr>
                <w:rFonts w:eastAsia="Times New Roman"/>
                <w:snapToGrid w:val="0"/>
                <w:color w:val="000000" w:themeColor="text1"/>
                <w:highlight w:val="none"/>
                <w14:textFill>
                  <w14:solidFill>
                    <w14:schemeClr w14:val="tx1"/>
                  </w14:solidFill>
                </w14:textFill>
              </w:rPr>
              <w:t>2F</w:t>
            </w:r>
            <w:r>
              <w:rPr>
                <w:rFonts w:hint="eastAsia" w:eastAsia="Times New Roman"/>
                <w:snapToGrid w:val="0"/>
                <w:color w:val="000000" w:themeColor="text1"/>
                <w:highlight w:val="none"/>
                <w14:textFill>
                  <w14:solidFill>
                    <w14:schemeClr w14:val="tx1"/>
                  </w14:solidFill>
                </w14:textFill>
              </w:rPr>
              <w:t>砖瓦房</w:t>
            </w:r>
          </w:p>
        </w:tc>
        <w:tc>
          <w:tcPr>
            <w:tcW w:w="427"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3</w:t>
            </w:r>
          </w:p>
        </w:tc>
        <w:tc>
          <w:tcPr>
            <w:tcW w:w="342"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w:t>
            </w:r>
          </w:p>
        </w:tc>
        <w:tc>
          <w:tcPr>
            <w:tcW w:w="64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6"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20</w:t>
            </w:r>
            <w:r>
              <w:rPr>
                <w:rFonts w:eastAsia="Times New Roman"/>
                <w:snapToGrid w:val="0"/>
                <w:color w:val="000000" w:themeColor="text1"/>
                <w:highlight w:val="none"/>
                <w14:textFill>
                  <w14:solidFill>
                    <w14:schemeClr w14:val="tx1"/>
                  </w14:solidFill>
                </w14:textFill>
              </w:rPr>
              <w:t>#</w:t>
            </w:r>
            <w:r>
              <w:rPr>
                <w:rFonts w:hint="eastAsia" w:ascii="宋体" w:hAnsi="宋体" w:eastAsia="Times New Roman" w:cs="宋体"/>
                <w:snapToGrid w:val="0"/>
                <w:color w:val="000000" w:themeColor="text1"/>
                <w:highlight w:val="none"/>
                <w14:textFill>
                  <w14:solidFill>
                    <w14:schemeClr w14:val="tx1"/>
                  </w14:solidFill>
                </w14:textFill>
              </w:rPr>
              <w:t>居民点</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西</w:t>
            </w:r>
            <w:r>
              <w:rPr>
                <w:rFonts w:hint="eastAsia" w:eastAsia="Times New Roman"/>
                <w:snapToGrid w:val="0"/>
                <w:color w:val="000000" w:themeColor="text1"/>
                <w:highlight w:val="none"/>
                <w14:textFill>
                  <w14:solidFill>
                    <w14:schemeClr w14:val="tx1"/>
                  </w14:solidFill>
                </w14:textFill>
              </w:rPr>
              <w:t>侧</w:t>
            </w:r>
          </w:p>
        </w:tc>
        <w:tc>
          <w:tcPr>
            <w:tcW w:w="769"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19</w:t>
            </w:r>
            <w:r>
              <w:rPr>
                <w:rFonts w:eastAsia="Times New Roman"/>
                <w:snapToGrid w:val="0"/>
                <w:color w:val="000000" w:themeColor="text1"/>
                <w:highlight w:val="none"/>
                <w14:textFill>
                  <w14:solidFill>
                    <w14:schemeClr w14:val="tx1"/>
                  </w14:solidFill>
                </w14:textFill>
              </w:rPr>
              <w:t>~</w:t>
            </w:r>
            <w:r>
              <w:rPr>
                <w:rFonts w:hint="eastAsia" w:eastAsiaTheme="minorEastAsia"/>
                <w:snapToGrid w:val="0"/>
                <w:color w:val="000000" w:themeColor="text1"/>
                <w:highlight w:val="none"/>
                <w14:textFill>
                  <w14:solidFill>
                    <w14:schemeClr w14:val="tx1"/>
                  </w14:solidFill>
                </w14:textFill>
              </w:rPr>
              <w:t>130</w:t>
            </w:r>
          </w:p>
        </w:tc>
        <w:tc>
          <w:tcPr>
            <w:tcW w:w="1622"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农村环境，</w:t>
            </w:r>
            <w:r>
              <w:rPr>
                <w:rFonts w:eastAsia="Times New Roman"/>
                <w:snapToGrid w:val="0"/>
                <w:color w:val="000000" w:themeColor="text1"/>
                <w:highlight w:val="none"/>
                <w14:textFill>
                  <w14:solidFill>
                    <w14:schemeClr w14:val="tx1"/>
                  </w14:solidFill>
                </w14:textFill>
              </w:rPr>
              <w:t>1</w:t>
            </w:r>
            <w:r>
              <w:rPr>
                <w:rFonts w:hint="eastAsia" w:eastAsiaTheme="minorEastAsia"/>
                <w:snapToGrid w:val="0"/>
                <w:color w:val="000000" w:themeColor="text1"/>
                <w:highlight w:val="none"/>
                <w14:textFill>
                  <w14:solidFill>
                    <w14:schemeClr w14:val="tx1"/>
                  </w14:solidFill>
                </w14:textFill>
              </w:rPr>
              <w:t>2</w:t>
            </w:r>
            <w:r>
              <w:rPr>
                <w:rFonts w:hint="eastAsia" w:eastAsia="Times New Roman"/>
                <w:snapToGrid w:val="0"/>
                <w:color w:val="000000" w:themeColor="text1"/>
                <w:highlight w:val="none"/>
                <w14:textFill>
                  <w14:solidFill>
                    <w14:schemeClr w14:val="tx1"/>
                  </w14:solidFill>
                </w14:textFill>
              </w:rPr>
              <w:t>户</w:t>
            </w:r>
            <w:r>
              <w:rPr>
                <w:rFonts w:hint="eastAsia" w:eastAsiaTheme="minorEastAsia"/>
                <w:snapToGrid w:val="0"/>
                <w:color w:val="000000" w:themeColor="text1"/>
                <w:highlight w:val="none"/>
                <w14:textFill>
                  <w14:solidFill>
                    <w14:schemeClr w14:val="tx1"/>
                  </w14:solidFill>
                </w14:textFill>
              </w:rPr>
              <w:t>4</w:t>
            </w:r>
            <w:r>
              <w:rPr>
                <w:rFonts w:eastAsia="Times New Roman"/>
                <w:snapToGrid w:val="0"/>
                <w:color w:val="000000" w:themeColor="text1"/>
                <w:highlight w:val="none"/>
                <w14:textFill>
                  <w14:solidFill>
                    <w14:schemeClr w14:val="tx1"/>
                  </w14:solidFill>
                </w14:textFill>
              </w:rPr>
              <w:t>8</w:t>
            </w:r>
            <w:r>
              <w:rPr>
                <w:rFonts w:hint="eastAsia" w:eastAsia="Times New Roman"/>
                <w:snapToGrid w:val="0"/>
                <w:color w:val="000000" w:themeColor="text1"/>
                <w:highlight w:val="none"/>
                <w14:textFill>
                  <w14:solidFill>
                    <w14:schemeClr w14:val="tx1"/>
                  </w14:solidFill>
                </w14:textFill>
              </w:rPr>
              <w:t>人，</w:t>
            </w:r>
            <w:r>
              <w:rPr>
                <w:rFonts w:eastAsia="Times New Roman"/>
                <w:snapToGrid w:val="0"/>
                <w:color w:val="000000" w:themeColor="text1"/>
                <w:highlight w:val="none"/>
                <w14:textFill>
                  <w14:solidFill>
                    <w14:schemeClr w14:val="tx1"/>
                  </w14:solidFill>
                </w14:textFill>
              </w:rPr>
              <w:t>1</w:t>
            </w:r>
            <w:r>
              <w:rPr>
                <w:rFonts w:hint="eastAsia" w:eastAsia="Times New Roman"/>
                <w:snapToGrid w:val="0"/>
                <w:color w:val="000000" w:themeColor="text1"/>
                <w:highlight w:val="none"/>
                <w14:textFill>
                  <w14:solidFill>
                    <w14:schemeClr w14:val="tx1"/>
                  </w14:solidFill>
                </w14:textFill>
              </w:rPr>
              <w:t>～</w:t>
            </w:r>
            <w:r>
              <w:rPr>
                <w:rFonts w:hint="eastAsia" w:eastAsiaTheme="minorEastAsia"/>
                <w:snapToGrid w:val="0"/>
                <w:color w:val="000000" w:themeColor="text1"/>
                <w:highlight w:val="none"/>
                <w14:textFill>
                  <w14:solidFill>
                    <w14:schemeClr w14:val="tx1"/>
                  </w14:solidFill>
                </w14:textFill>
              </w:rPr>
              <w:t>3</w:t>
            </w:r>
            <w:r>
              <w:rPr>
                <w:rFonts w:eastAsia="Times New Roman"/>
                <w:snapToGrid w:val="0"/>
                <w:color w:val="000000" w:themeColor="text1"/>
                <w:highlight w:val="none"/>
                <w14:textFill>
                  <w14:solidFill>
                    <w14:schemeClr w14:val="tx1"/>
                  </w14:solidFill>
                </w14:textFill>
              </w:rPr>
              <w:t>F</w:t>
            </w:r>
            <w:r>
              <w:rPr>
                <w:rFonts w:hint="eastAsia" w:eastAsia="Times New Roman"/>
                <w:snapToGrid w:val="0"/>
                <w:color w:val="000000" w:themeColor="text1"/>
                <w:highlight w:val="none"/>
                <w14:textFill>
                  <w14:solidFill>
                    <w14:schemeClr w14:val="tx1"/>
                  </w14:solidFill>
                </w14:textFill>
              </w:rPr>
              <w:t>砖瓦房</w:t>
            </w:r>
          </w:p>
        </w:tc>
        <w:tc>
          <w:tcPr>
            <w:tcW w:w="427"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12</w:t>
            </w:r>
          </w:p>
        </w:tc>
        <w:tc>
          <w:tcPr>
            <w:tcW w:w="342"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w:t>
            </w:r>
          </w:p>
        </w:tc>
        <w:tc>
          <w:tcPr>
            <w:tcW w:w="64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6"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21</w:t>
            </w:r>
            <w:r>
              <w:rPr>
                <w:rFonts w:eastAsia="Times New Roman"/>
                <w:snapToGrid w:val="0"/>
                <w:color w:val="000000" w:themeColor="text1"/>
                <w:highlight w:val="none"/>
                <w14:textFill>
                  <w14:solidFill>
                    <w14:schemeClr w14:val="tx1"/>
                  </w14:solidFill>
                </w14:textFill>
              </w:rPr>
              <w:t>#</w:t>
            </w:r>
            <w:r>
              <w:rPr>
                <w:rFonts w:hint="eastAsia" w:ascii="宋体" w:hAnsi="宋体" w:eastAsia="Times New Roman" w:cs="宋体"/>
                <w:snapToGrid w:val="0"/>
                <w:color w:val="000000" w:themeColor="text1"/>
                <w:highlight w:val="none"/>
                <w14:textFill>
                  <w14:solidFill>
                    <w14:schemeClr w14:val="tx1"/>
                  </w14:solidFill>
                </w14:textFill>
              </w:rPr>
              <w:t>居民点</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北</w:t>
            </w:r>
            <w:r>
              <w:rPr>
                <w:rFonts w:hint="eastAsia" w:eastAsia="Times New Roman"/>
                <w:snapToGrid w:val="0"/>
                <w:color w:val="000000" w:themeColor="text1"/>
                <w:highlight w:val="none"/>
                <w14:textFill>
                  <w14:solidFill>
                    <w14:schemeClr w14:val="tx1"/>
                  </w14:solidFill>
                </w14:textFill>
              </w:rPr>
              <w:t>侧</w:t>
            </w:r>
          </w:p>
        </w:tc>
        <w:tc>
          <w:tcPr>
            <w:tcW w:w="769"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12</w:t>
            </w:r>
            <w:r>
              <w:rPr>
                <w:rFonts w:eastAsia="Times New Roman"/>
                <w:snapToGrid w:val="0"/>
                <w:color w:val="000000" w:themeColor="text1"/>
                <w:highlight w:val="none"/>
                <w14:textFill>
                  <w14:solidFill>
                    <w14:schemeClr w14:val="tx1"/>
                  </w14:solidFill>
                </w14:textFill>
              </w:rPr>
              <w:t>~</w:t>
            </w:r>
            <w:r>
              <w:rPr>
                <w:rFonts w:hint="eastAsia" w:eastAsiaTheme="minorEastAsia"/>
                <w:snapToGrid w:val="0"/>
                <w:color w:val="000000" w:themeColor="text1"/>
                <w:highlight w:val="none"/>
                <w14:textFill>
                  <w14:solidFill>
                    <w14:schemeClr w14:val="tx1"/>
                  </w14:solidFill>
                </w14:textFill>
              </w:rPr>
              <w:t>112</w:t>
            </w:r>
          </w:p>
        </w:tc>
        <w:tc>
          <w:tcPr>
            <w:tcW w:w="1622"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农村环境，</w:t>
            </w:r>
            <w:r>
              <w:rPr>
                <w:rFonts w:hint="eastAsia" w:eastAsiaTheme="minorEastAsia"/>
                <w:snapToGrid w:val="0"/>
                <w:color w:val="000000" w:themeColor="text1"/>
                <w:highlight w:val="none"/>
                <w14:textFill>
                  <w14:solidFill>
                    <w14:schemeClr w14:val="tx1"/>
                  </w14:solidFill>
                </w14:textFill>
              </w:rPr>
              <w:t>6</w:t>
            </w:r>
            <w:r>
              <w:rPr>
                <w:rFonts w:hint="eastAsia" w:eastAsia="Times New Roman"/>
                <w:snapToGrid w:val="0"/>
                <w:color w:val="000000" w:themeColor="text1"/>
                <w:highlight w:val="none"/>
                <w14:textFill>
                  <w14:solidFill>
                    <w14:schemeClr w14:val="tx1"/>
                  </w14:solidFill>
                </w14:textFill>
              </w:rPr>
              <w:t>户</w:t>
            </w:r>
            <w:r>
              <w:rPr>
                <w:rFonts w:hint="eastAsia" w:eastAsiaTheme="minorEastAsia"/>
                <w:snapToGrid w:val="0"/>
                <w:color w:val="000000" w:themeColor="text1"/>
                <w:highlight w:val="none"/>
                <w14:textFill>
                  <w14:solidFill>
                    <w14:schemeClr w14:val="tx1"/>
                  </w14:solidFill>
                </w14:textFill>
              </w:rPr>
              <w:t>24</w:t>
            </w:r>
            <w:r>
              <w:rPr>
                <w:rFonts w:hint="eastAsia" w:eastAsia="Times New Roman"/>
                <w:snapToGrid w:val="0"/>
                <w:color w:val="000000" w:themeColor="text1"/>
                <w:highlight w:val="none"/>
                <w14:textFill>
                  <w14:solidFill>
                    <w14:schemeClr w14:val="tx1"/>
                  </w14:solidFill>
                </w14:textFill>
              </w:rPr>
              <w:t>人，</w:t>
            </w:r>
            <w:r>
              <w:rPr>
                <w:rFonts w:eastAsia="Times New Roman"/>
                <w:snapToGrid w:val="0"/>
                <w:color w:val="000000" w:themeColor="text1"/>
                <w:highlight w:val="none"/>
                <w14:textFill>
                  <w14:solidFill>
                    <w14:schemeClr w14:val="tx1"/>
                  </w14:solidFill>
                </w14:textFill>
              </w:rPr>
              <w:t>1</w:t>
            </w:r>
            <w:r>
              <w:rPr>
                <w:rFonts w:hint="eastAsia" w:eastAsia="Times New Roman"/>
                <w:snapToGrid w:val="0"/>
                <w:color w:val="000000" w:themeColor="text1"/>
                <w:highlight w:val="none"/>
                <w14:textFill>
                  <w14:solidFill>
                    <w14:schemeClr w14:val="tx1"/>
                  </w14:solidFill>
                </w14:textFill>
              </w:rPr>
              <w:t>～</w:t>
            </w:r>
            <w:r>
              <w:rPr>
                <w:rFonts w:eastAsia="Times New Roman"/>
                <w:snapToGrid w:val="0"/>
                <w:color w:val="000000" w:themeColor="text1"/>
                <w:highlight w:val="none"/>
                <w14:textFill>
                  <w14:solidFill>
                    <w14:schemeClr w14:val="tx1"/>
                  </w14:solidFill>
                </w14:textFill>
              </w:rPr>
              <w:t>2F</w:t>
            </w:r>
            <w:r>
              <w:rPr>
                <w:rFonts w:hint="eastAsia" w:eastAsia="Times New Roman"/>
                <w:snapToGrid w:val="0"/>
                <w:color w:val="000000" w:themeColor="text1"/>
                <w:highlight w:val="none"/>
                <w14:textFill>
                  <w14:solidFill>
                    <w14:schemeClr w14:val="tx1"/>
                  </w14:solidFill>
                </w14:textFill>
              </w:rPr>
              <w:t>砖瓦房</w:t>
            </w:r>
          </w:p>
        </w:tc>
        <w:tc>
          <w:tcPr>
            <w:tcW w:w="427"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6</w:t>
            </w:r>
          </w:p>
        </w:tc>
        <w:tc>
          <w:tcPr>
            <w:tcW w:w="342"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w:t>
            </w:r>
          </w:p>
        </w:tc>
        <w:tc>
          <w:tcPr>
            <w:tcW w:w="64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6"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22</w:t>
            </w:r>
            <w:r>
              <w:rPr>
                <w:rFonts w:eastAsia="Times New Roman"/>
                <w:snapToGrid w:val="0"/>
                <w:color w:val="000000" w:themeColor="text1"/>
                <w:highlight w:val="none"/>
                <w14:textFill>
                  <w14:solidFill>
                    <w14:schemeClr w14:val="tx1"/>
                  </w14:solidFill>
                </w14:textFill>
              </w:rPr>
              <w:t>#</w:t>
            </w:r>
            <w:r>
              <w:rPr>
                <w:rFonts w:hint="eastAsia" w:ascii="宋体" w:hAnsi="宋体" w:eastAsia="Times New Roman" w:cs="宋体"/>
                <w:snapToGrid w:val="0"/>
                <w:color w:val="000000" w:themeColor="text1"/>
                <w:highlight w:val="none"/>
                <w14:textFill>
                  <w14:solidFill>
                    <w14:schemeClr w14:val="tx1"/>
                  </w14:solidFill>
                </w14:textFill>
              </w:rPr>
              <w:t>居民点</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北</w:t>
            </w:r>
            <w:r>
              <w:rPr>
                <w:rFonts w:hint="eastAsia" w:eastAsia="Times New Roman"/>
                <w:snapToGrid w:val="0"/>
                <w:color w:val="000000" w:themeColor="text1"/>
                <w:highlight w:val="none"/>
                <w14:textFill>
                  <w14:solidFill>
                    <w14:schemeClr w14:val="tx1"/>
                  </w14:solidFill>
                </w14:textFill>
              </w:rPr>
              <w:t>侧</w:t>
            </w:r>
          </w:p>
        </w:tc>
        <w:tc>
          <w:tcPr>
            <w:tcW w:w="769"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2</w:t>
            </w:r>
            <w:r>
              <w:rPr>
                <w:rFonts w:eastAsia="Times New Roman"/>
                <w:snapToGrid w:val="0"/>
                <w:color w:val="000000" w:themeColor="text1"/>
                <w:highlight w:val="none"/>
                <w14:textFill>
                  <w14:solidFill>
                    <w14:schemeClr w14:val="tx1"/>
                  </w14:solidFill>
                </w14:textFill>
              </w:rPr>
              <w:t>0~</w:t>
            </w:r>
            <w:r>
              <w:rPr>
                <w:rFonts w:hint="eastAsia" w:eastAsiaTheme="minorEastAsia"/>
                <w:snapToGrid w:val="0"/>
                <w:color w:val="000000" w:themeColor="text1"/>
                <w:highlight w:val="none"/>
                <w14:textFill>
                  <w14:solidFill>
                    <w14:schemeClr w14:val="tx1"/>
                  </w14:solidFill>
                </w14:textFill>
              </w:rPr>
              <w:t>200</w:t>
            </w:r>
          </w:p>
        </w:tc>
        <w:tc>
          <w:tcPr>
            <w:tcW w:w="1622"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农村环境，</w:t>
            </w:r>
            <w:r>
              <w:rPr>
                <w:rFonts w:eastAsia="Times New Roman"/>
                <w:snapToGrid w:val="0"/>
                <w:color w:val="000000" w:themeColor="text1"/>
                <w:highlight w:val="none"/>
                <w14:textFill>
                  <w14:solidFill>
                    <w14:schemeClr w14:val="tx1"/>
                  </w14:solidFill>
                </w14:textFill>
              </w:rPr>
              <w:t>3</w:t>
            </w:r>
            <w:r>
              <w:rPr>
                <w:rFonts w:hint="eastAsia" w:eastAsiaTheme="minorEastAsia"/>
                <w:snapToGrid w:val="0"/>
                <w:color w:val="000000" w:themeColor="text1"/>
                <w:highlight w:val="none"/>
                <w14:textFill>
                  <w14:solidFill>
                    <w14:schemeClr w14:val="tx1"/>
                  </w14:solidFill>
                </w14:textFill>
              </w:rPr>
              <w:t>5</w:t>
            </w:r>
            <w:r>
              <w:rPr>
                <w:rFonts w:hint="eastAsia" w:eastAsia="Times New Roman"/>
                <w:snapToGrid w:val="0"/>
                <w:color w:val="000000" w:themeColor="text1"/>
                <w:highlight w:val="none"/>
                <w14:textFill>
                  <w14:solidFill>
                    <w14:schemeClr w14:val="tx1"/>
                  </w14:solidFill>
                </w14:textFill>
              </w:rPr>
              <w:t>户</w:t>
            </w:r>
            <w:r>
              <w:rPr>
                <w:rFonts w:hint="eastAsia" w:eastAsiaTheme="minorEastAsia"/>
                <w:snapToGrid w:val="0"/>
                <w:color w:val="000000" w:themeColor="text1"/>
                <w:highlight w:val="none"/>
                <w14:textFill>
                  <w14:solidFill>
                    <w14:schemeClr w14:val="tx1"/>
                  </w14:solidFill>
                </w14:textFill>
              </w:rPr>
              <w:t>140</w:t>
            </w:r>
            <w:r>
              <w:rPr>
                <w:rFonts w:hint="eastAsia" w:eastAsia="Times New Roman"/>
                <w:snapToGrid w:val="0"/>
                <w:color w:val="000000" w:themeColor="text1"/>
                <w:highlight w:val="none"/>
                <w14:textFill>
                  <w14:solidFill>
                    <w14:schemeClr w14:val="tx1"/>
                  </w14:solidFill>
                </w14:textFill>
              </w:rPr>
              <w:t>人，</w:t>
            </w:r>
            <w:r>
              <w:rPr>
                <w:rFonts w:eastAsia="Times New Roman"/>
                <w:snapToGrid w:val="0"/>
                <w:color w:val="000000" w:themeColor="text1"/>
                <w:highlight w:val="none"/>
                <w14:textFill>
                  <w14:solidFill>
                    <w14:schemeClr w14:val="tx1"/>
                  </w14:solidFill>
                </w14:textFill>
              </w:rPr>
              <w:t>1</w:t>
            </w:r>
            <w:r>
              <w:rPr>
                <w:rFonts w:hint="eastAsia" w:eastAsia="Times New Roman"/>
                <w:snapToGrid w:val="0"/>
                <w:color w:val="000000" w:themeColor="text1"/>
                <w:highlight w:val="none"/>
                <w14:textFill>
                  <w14:solidFill>
                    <w14:schemeClr w14:val="tx1"/>
                  </w14:solidFill>
                </w14:textFill>
              </w:rPr>
              <w:t>～</w:t>
            </w:r>
            <w:r>
              <w:rPr>
                <w:rFonts w:hint="eastAsia" w:eastAsiaTheme="minorEastAsia"/>
                <w:snapToGrid w:val="0"/>
                <w:color w:val="000000" w:themeColor="text1"/>
                <w:highlight w:val="none"/>
                <w14:textFill>
                  <w14:solidFill>
                    <w14:schemeClr w14:val="tx1"/>
                  </w14:solidFill>
                </w14:textFill>
              </w:rPr>
              <w:t>3</w:t>
            </w:r>
            <w:r>
              <w:rPr>
                <w:rFonts w:eastAsia="Times New Roman"/>
                <w:snapToGrid w:val="0"/>
                <w:color w:val="000000" w:themeColor="text1"/>
                <w:highlight w:val="none"/>
                <w14:textFill>
                  <w14:solidFill>
                    <w14:schemeClr w14:val="tx1"/>
                  </w14:solidFill>
                </w14:textFill>
              </w:rPr>
              <w:t>F</w:t>
            </w:r>
            <w:r>
              <w:rPr>
                <w:rFonts w:hint="eastAsia" w:eastAsia="Times New Roman"/>
                <w:snapToGrid w:val="0"/>
                <w:color w:val="000000" w:themeColor="text1"/>
                <w:highlight w:val="none"/>
                <w14:textFill>
                  <w14:solidFill>
                    <w14:schemeClr w14:val="tx1"/>
                  </w14:solidFill>
                </w14:textFill>
              </w:rPr>
              <w:t>砖瓦房</w:t>
            </w:r>
          </w:p>
        </w:tc>
        <w:tc>
          <w:tcPr>
            <w:tcW w:w="427"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35</w:t>
            </w:r>
          </w:p>
        </w:tc>
        <w:tc>
          <w:tcPr>
            <w:tcW w:w="342"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w:t>
            </w:r>
          </w:p>
        </w:tc>
        <w:tc>
          <w:tcPr>
            <w:tcW w:w="64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6"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23</w:t>
            </w:r>
            <w:r>
              <w:rPr>
                <w:rFonts w:eastAsia="Times New Roman"/>
                <w:snapToGrid w:val="0"/>
                <w:color w:val="000000" w:themeColor="text1"/>
                <w:highlight w:val="none"/>
                <w14:textFill>
                  <w14:solidFill>
                    <w14:schemeClr w14:val="tx1"/>
                  </w14:solidFill>
                </w14:textFill>
              </w:rPr>
              <w:t>#</w:t>
            </w:r>
            <w:r>
              <w:rPr>
                <w:rFonts w:hint="eastAsia" w:ascii="宋体" w:hAnsi="宋体" w:eastAsia="Times New Roman" w:cs="宋体"/>
                <w:snapToGrid w:val="0"/>
                <w:color w:val="000000" w:themeColor="text1"/>
                <w:highlight w:val="none"/>
                <w14:textFill>
                  <w14:solidFill>
                    <w14:schemeClr w14:val="tx1"/>
                  </w14:solidFill>
                </w14:textFill>
              </w:rPr>
              <w:t>居民点</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东</w:t>
            </w:r>
            <w:r>
              <w:rPr>
                <w:rFonts w:hint="eastAsia" w:eastAsia="Times New Roman"/>
                <w:snapToGrid w:val="0"/>
                <w:color w:val="000000" w:themeColor="text1"/>
                <w:highlight w:val="none"/>
                <w14:textFill>
                  <w14:solidFill>
                    <w14:schemeClr w14:val="tx1"/>
                  </w14:solidFill>
                </w14:textFill>
              </w:rPr>
              <w:t>侧</w:t>
            </w:r>
          </w:p>
        </w:tc>
        <w:tc>
          <w:tcPr>
            <w:tcW w:w="769"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65</w:t>
            </w:r>
            <w:r>
              <w:rPr>
                <w:rFonts w:eastAsia="Times New Roman"/>
                <w:snapToGrid w:val="0"/>
                <w:color w:val="000000" w:themeColor="text1"/>
                <w:highlight w:val="none"/>
                <w14:textFill>
                  <w14:solidFill>
                    <w14:schemeClr w14:val="tx1"/>
                  </w14:solidFill>
                </w14:textFill>
              </w:rPr>
              <w:t>~</w:t>
            </w:r>
            <w:r>
              <w:rPr>
                <w:rFonts w:hint="eastAsia" w:eastAsiaTheme="minorEastAsia"/>
                <w:snapToGrid w:val="0"/>
                <w:color w:val="000000" w:themeColor="text1"/>
                <w:highlight w:val="none"/>
                <w14:textFill>
                  <w14:solidFill>
                    <w14:schemeClr w14:val="tx1"/>
                  </w14:solidFill>
                </w14:textFill>
              </w:rPr>
              <w:t>200</w:t>
            </w:r>
          </w:p>
        </w:tc>
        <w:tc>
          <w:tcPr>
            <w:tcW w:w="1622"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农村环境，</w:t>
            </w:r>
            <w:r>
              <w:rPr>
                <w:rFonts w:eastAsia="Times New Roman"/>
                <w:snapToGrid w:val="0"/>
                <w:color w:val="000000" w:themeColor="text1"/>
                <w:highlight w:val="none"/>
                <w14:textFill>
                  <w14:solidFill>
                    <w14:schemeClr w14:val="tx1"/>
                  </w14:solidFill>
                </w14:textFill>
              </w:rPr>
              <w:t>8</w:t>
            </w:r>
            <w:r>
              <w:rPr>
                <w:rFonts w:hint="eastAsia" w:eastAsia="Times New Roman"/>
                <w:snapToGrid w:val="0"/>
                <w:color w:val="000000" w:themeColor="text1"/>
                <w:highlight w:val="none"/>
                <w14:textFill>
                  <w14:solidFill>
                    <w14:schemeClr w14:val="tx1"/>
                  </w14:solidFill>
                </w14:textFill>
              </w:rPr>
              <w:t>户</w:t>
            </w:r>
            <w:r>
              <w:rPr>
                <w:rFonts w:hint="eastAsia" w:eastAsiaTheme="minorEastAsia"/>
                <w:snapToGrid w:val="0"/>
                <w:color w:val="000000" w:themeColor="text1"/>
                <w:highlight w:val="none"/>
                <w14:textFill>
                  <w14:solidFill>
                    <w14:schemeClr w14:val="tx1"/>
                  </w14:solidFill>
                </w14:textFill>
              </w:rPr>
              <w:t>32</w:t>
            </w:r>
            <w:r>
              <w:rPr>
                <w:rFonts w:hint="eastAsia" w:eastAsia="Times New Roman"/>
                <w:snapToGrid w:val="0"/>
                <w:color w:val="000000" w:themeColor="text1"/>
                <w:highlight w:val="none"/>
                <w14:textFill>
                  <w14:solidFill>
                    <w14:schemeClr w14:val="tx1"/>
                  </w14:solidFill>
                </w14:textFill>
              </w:rPr>
              <w:t>人，</w:t>
            </w:r>
            <w:r>
              <w:rPr>
                <w:rFonts w:eastAsia="Times New Roman"/>
                <w:snapToGrid w:val="0"/>
                <w:color w:val="000000" w:themeColor="text1"/>
                <w:highlight w:val="none"/>
                <w14:textFill>
                  <w14:solidFill>
                    <w14:schemeClr w14:val="tx1"/>
                  </w14:solidFill>
                </w14:textFill>
              </w:rPr>
              <w:t>1</w:t>
            </w:r>
            <w:r>
              <w:rPr>
                <w:rFonts w:hint="eastAsia" w:eastAsia="Times New Roman"/>
                <w:snapToGrid w:val="0"/>
                <w:color w:val="000000" w:themeColor="text1"/>
                <w:highlight w:val="none"/>
                <w14:textFill>
                  <w14:solidFill>
                    <w14:schemeClr w14:val="tx1"/>
                  </w14:solidFill>
                </w14:textFill>
              </w:rPr>
              <w:t>～</w:t>
            </w:r>
            <w:r>
              <w:rPr>
                <w:rFonts w:hint="eastAsia" w:eastAsiaTheme="minorEastAsia"/>
                <w:snapToGrid w:val="0"/>
                <w:color w:val="000000" w:themeColor="text1"/>
                <w:highlight w:val="none"/>
                <w14:textFill>
                  <w14:solidFill>
                    <w14:schemeClr w14:val="tx1"/>
                  </w14:solidFill>
                </w14:textFill>
              </w:rPr>
              <w:t>3</w:t>
            </w:r>
            <w:r>
              <w:rPr>
                <w:rFonts w:eastAsia="Times New Roman"/>
                <w:snapToGrid w:val="0"/>
                <w:color w:val="000000" w:themeColor="text1"/>
                <w:highlight w:val="none"/>
                <w14:textFill>
                  <w14:solidFill>
                    <w14:schemeClr w14:val="tx1"/>
                  </w14:solidFill>
                </w14:textFill>
              </w:rPr>
              <w:t>F</w:t>
            </w:r>
            <w:r>
              <w:rPr>
                <w:rFonts w:hint="eastAsia" w:eastAsia="Times New Roman"/>
                <w:snapToGrid w:val="0"/>
                <w:color w:val="000000" w:themeColor="text1"/>
                <w:highlight w:val="none"/>
                <w14:textFill>
                  <w14:solidFill>
                    <w14:schemeClr w14:val="tx1"/>
                  </w14:solidFill>
                </w14:textFill>
              </w:rPr>
              <w:t>砖瓦房</w:t>
            </w:r>
          </w:p>
        </w:tc>
        <w:tc>
          <w:tcPr>
            <w:tcW w:w="427"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8</w:t>
            </w:r>
          </w:p>
        </w:tc>
        <w:tc>
          <w:tcPr>
            <w:tcW w:w="342"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w:t>
            </w:r>
          </w:p>
        </w:tc>
        <w:tc>
          <w:tcPr>
            <w:tcW w:w="64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6"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24</w:t>
            </w:r>
            <w:r>
              <w:rPr>
                <w:rFonts w:eastAsia="Times New Roman"/>
                <w:snapToGrid w:val="0"/>
                <w:color w:val="000000" w:themeColor="text1"/>
                <w:highlight w:val="none"/>
                <w14:textFill>
                  <w14:solidFill>
                    <w14:schemeClr w14:val="tx1"/>
                  </w14:solidFill>
                </w14:textFill>
              </w:rPr>
              <w:t>#</w:t>
            </w:r>
            <w:r>
              <w:rPr>
                <w:rFonts w:hint="eastAsia" w:ascii="宋体" w:hAnsi="宋体" w:eastAsia="Times New Roman" w:cs="宋体"/>
                <w:snapToGrid w:val="0"/>
                <w:color w:val="000000" w:themeColor="text1"/>
                <w:highlight w:val="none"/>
                <w14:textFill>
                  <w14:solidFill>
                    <w14:schemeClr w14:val="tx1"/>
                  </w14:solidFill>
                </w14:textFill>
              </w:rPr>
              <w:t>居民点</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西</w:t>
            </w:r>
            <w:r>
              <w:rPr>
                <w:rFonts w:hint="eastAsia" w:eastAsia="Times New Roman"/>
                <w:snapToGrid w:val="0"/>
                <w:color w:val="000000" w:themeColor="text1"/>
                <w:highlight w:val="none"/>
                <w14:textFill>
                  <w14:solidFill>
                    <w14:schemeClr w14:val="tx1"/>
                  </w14:solidFill>
                </w14:textFill>
              </w:rPr>
              <w:t>侧</w:t>
            </w:r>
          </w:p>
        </w:tc>
        <w:tc>
          <w:tcPr>
            <w:tcW w:w="769"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86</w:t>
            </w:r>
            <w:r>
              <w:rPr>
                <w:rFonts w:eastAsia="Times New Roman"/>
                <w:snapToGrid w:val="0"/>
                <w:color w:val="000000" w:themeColor="text1"/>
                <w:highlight w:val="none"/>
                <w14:textFill>
                  <w14:solidFill>
                    <w14:schemeClr w14:val="tx1"/>
                  </w14:solidFill>
                </w14:textFill>
              </w:rPr>
              <w:t>~</w:t>
            </w:r>
            <w:r>
              <w:rPr>
                <w:rFonts w:hint="eastAsia" w:eastAsiaTheme="minorEastAsia"/>
                <w:snapToGrid w:val="0"/>
                <w:color w:val="000000" w:themeColor="text1"/>
                <w:highlight w:val="none"/>
                <w14:textFill>
                  <w14:solidFill>
                    <w14:schemeClr w14:val="tx1"/>
                  </w14:solidFill>
                </w14:textFill>
              </w:rPr>
              <w:t>198</w:t>
            </w:r>
          </w:p>
        </w:tc>
        <w:tc>
          <w:tcPr>
            <w:tcW w:w="1622"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农村环境，</w:t>
            </w:r>
            <w:r>
              <w:rPr>
                <w:rFonts w:eastAsia="Times New Roman"/>
                <w:snapToGrid w:val="0"/>
                <w:color w:val="000000" w:themeColor="text1"/>
                <w:highlight w:val="none"/>
                <w14:textFill>
                  <w14:solidFill>
                    <w14:schemeClr w14:val="tx1"/>
                  </w14:solidFill>
                </w14:textFill>
              </w:rPr>
              <w:t>1</w:t>
            </w:r>
            <w:r>
              <w:rPr>
                <w:rFonts w:hint="eastAsia" w:eastAsiaTheme="minorEastAsia"/>
                <w:snapToGrid w:val="0"/>
                <w:color w:val="000000" w:themeColor="text1"/>
                <w:highlight w:val="none"/>
                <w14:textFill>
                  <w14:solidFill>
                    <w14:schemeClr w14:val="tx1"/>
                  </w14:solidFill>
                </w14:textFill>
              </w:rPr>
              <w:t>2</w:t>
            </w:r>
            <w:r>
              <w:rPr>
                <w:rFonts w:hint="eastAsia" w:eastAsia="Times New Roman"/>
                <w:snapToGrid w:val="0"/>
                <w:color w:val="000000" w:themeColor="text1"/>
                <w:highlight w:val="none"/>
                <w14:textFill>
                  <w14:solidFill>
                    <w14:schemeClr w14:val="tx1"/>
                  </w14:solidFill>
                </w14:textFill>
              </w:rPr>
              <w:t>户</w:t>
            </w:r>
            <w:r>
              <w:rPr>
                <w:rFonts w:hint="eastAsia" w:eastAsiaTheme="minorEastAsia"/>
                <w:snapToGrid w:val="0"/>
                <w:color w:val="000000" w:themeColor="text1"/>
                <w:highlight w:val="none"/>
                <w14:textFill>
                  <w14:solidFill>
                    <w14:schemeClr w14:val="tx1"/>
                  </w14:solidFill>
                </w14:textFill>
              </w:rPr>
              <w:t>4</w:t>
            </w:r>
            <w:r>
              <w:rPr>
                <w:rFonts w:eastAsia="Times New Roman"/>
                <w:snapToGrid w:val="0"/>
                <w:color w:val="000000" w:themeColor="text1"/>
                <w:highlight w:val="none"/>
                <w14:textFill>
                  <w14:solidFill>
                    <w14:schemeClr w14:val="tx1"/>
                  </w14:solidFill>
                </w14:textFill>
              </w:rPr>
              <w:t>8</w:t>
            </w:r>
            <w:r>
              <w:rPr>
                <w:rFonts w:hint="eastAsia" w:eastAsia="Times New Roman"/>
                <w:snapToGrid w:val="0"/>
                <w:color w:val="000000" w:themeColor="text1"/>
                <w:highlight w:val="none"/>
                <w14:textFill>
                  <w14:solidFill>
                    <w14:schemeClr w14:val="tx1"/>
                  </w14:solidFill>
                </w14:textFill>
              </w:rPr>
              <w:t>人，</w:t>
            </w:r>
            <w:r>
              <w:rPr>
                <w:rFonts w:eastAsia="Times New Roman"/>
                <w:snapToGrid w:val="0"/>
                <w:color w:val="000000" w:themeColor="text1"/>
                <w:highlight w:val="none"/>
                <w14:textFill>
                  <w14:solidFill>
                    <w14:schemeClr w14:val="tx1"/>
                  </w14:solidFill>
                </w14:textFill>
              </w:rPr>
              <w:t>1</w:t>
            </w:r>
            <w:r>
              <w:rPr>
                <w:rFonts w:hint="eastAsia" w:eastAsia="Times New Roman"/>
                <w:snapToGrid w:val="0"/>
                <w:color w:val="000000" w:themeColor="text1"/>
                <w:highlight w:val="none"/>
                <w14:textFill>
                  <w14:solidFill>
                    <w14:schemeClr w14:val="tx1"/>
                  </w14:solidFill>
                </w14:textFill>
              </w:rPr>
              <w:t>～</w:t>
            </w:r>
            <w:r>
              <w:rPr>
                <w:rFonts w:hint="eastAsia" w:eastAsiaTheme="minorEastAsia"/>
                <w:snapToGrid w:val="0"/>
                <w:color w:val="000000" w:themeColor="text1"/>
                <w:highlight w:val="none"/>
                <w14:textFill>
                  <w14:solidFill>
                    <w14:schemeClr w14:val="tx1"/>
                  </w14:solidFill>
                </w14:textFill>
              </w:rPr>
              <w:t>3</w:t>
            </w:r>
            <w:r>
              <w:rPr>
                <w:rFonts w:eastAsia="Times New Roman"/>
                <w:snapToGrid w:val="0"/>
                <w:color w:val="000000" w:themeColor="text1"/>
                <w:highlight w:val="none"/>
                <w14:textFill>
                  <w14:solidFill>
                    <w14:schemeClr w14:val="tx1"/>
                  </w14:solidFill>
                </w14:textFill>
              </w:rPr>
              <w:t>F</w:t>
            </w:r>
            <w:r>
              <w:rPr>
                <w:rFonts w:hint="eastAsia" w:eastAsia="Times New Roman"/>
                <w:snapToGrid w:val="0"/>
                <w:color w:val="000000" w:themeColor="text1"/>
                <w:highlight w:val="none"/>
                <w14:textFill>
                  <w14:solidFill>
                    <w14:schemeClr w14:val="tx1"/>
                  </w14:solidFill>
                </w14:textFill>
              </w:rPr>
              <w:t>砖瓦房</w:t>
            </w:r>
          </w:p>
        </w:tc>
        <w:tc>
          <w:tcPr>
            <w:tcW w:w="427"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12</w:t>
            </w:r>
          </w:p>
        </w:tc>
        <w:tc>
          <w:tcPr>
            <w:tcW w:w="342"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w:t>
            </w:r>
          </w:p>
        </w:tc>
        <w:tc>
          <w:tcPr>
            <w:tcW w:w="64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6"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25</w:t>
            </w:r>
            <w:r>
              <w:rPr>
                <w:rFonts w:eastAsia="Times New Roman"/>
                <w:snapToGrid w:val="0"/>
                <w:color w:val="000000" w:themeColor="text1"/>
                <w:highlight w:val="none"/>
                <w14:textFill>
                  <w14:solidFill>
                    <w14:schemeClr w14:val="tx1"/>
                  </w14:solidFill>
                </w14:textFill>
              </w:rPr>
              <w:t>#</w:t>
            </w:r>
            <w:r>
              <w:rPr>
                <w:rFonts w:hint="eastAsia" w:ascii="宋体" w:hAnsi="宋体" w:eastAsia="Times New Roman" w:cs="宋体"/>
                <w:snapToGrid w:val="0"/>
                <w:color w:val="000000" w:themeColor="text1"/>
                <w:highlight w:val="none"/>
                <w14:textFill>
                  <w14:solidFill>
                    <w14:schemeClr w14:val="tx1"/>
                  </w14:solidFill>
                </w14:textFill>
              </w:rPr>
              <w:t>居民点</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东</w:t>
            </w:r>
            <w:r>
              <w:rPr>
                <w:rFonts w:hint="eastAsia" w:eastAsia="Times New Roman"/>
                <w:snapToGrid w:val="0"/>
                <w:color w:val="000000" w:themeColor="text1"/>
                <w:highlight w:val="none"/>
                <w14:textFill>
                  <w14:solidFill>
                    <w14:schemeClr w14:val="tx1"/>
                  </w14:solidFill>
                </w14:textFill>
              </w:rPr>
              <w:t>侧</w:t>
            </w:r>
          </w:p>
        </w:tc>
        <w:tc>
          <w:tcPr>
            <w:tcW w:w="769"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130</w:t>
            </w:r>
            <w:r>
              <w:rPr>
                <w:rFonts w:eastAsia="Times New Roman"/>
                <w:snapToGrid w:val="0"/>
                <w:color w:val="000000" w:themeColor="text1"/>
                <w:highlight w:val="none"/>
                <w14:textFill>
                  <w14:solidFill>
                    <w14:schemeClr w14:val="tx1"/>
                  </w14:solidFill>
                </w14:textFill>
              </w:rPr>
              <w:t>~</w:t>
            </w:r>
            <w:r>
              <w:rPr>
                <w:rFonts w:hint="eastAsia" w:eastAsiaTheme="minorEastAsia"/>
                <w:snapToGrid w:val="0"/>
                <w:color w:val="000000" w:themeColor="text1"/>
                <w:highlight w:val="none"/>
                <w14:textFill>
                  <w14:solidFill>
                    <w14:schemeClr w14:val="tx1"/>
                  </w14:solidFill>
                </w14:textFill>
              </w:rPr>
              <w:t>200</w:t>
            </w:r>
          </w:p>
        </w:tc>
        <w:tc>
          <w:tcPr>
            <w:tcW w:w="1622"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农村环境，</w:t>
            </w:r>
            <w:r>
              <w:rPr>
                <w:rFonts w:eastAsia="Times New Roman"/>
                <w:snapToGrid w:val="0"/>
                <w:color w:val="000000" w:themeColor="text1"/>
                <w:highlight w:val="none"/>
                <w14:textFill>
                  <w14:solidFill>
                    <w14:schemeClr w14:val="tx1"/>
                  </w14:solidFill>
                </w14:textFill>
              </w:rPr>
              <w:t>13</w:t>
            </w:r>
            <w:r>
              <w:rPr>
                <w:rFonts w:hint="eastAsia" w:eastAsia="Times New Roman"/>
                <w:snapToGrid w:val="0"/>
                <w:color w:val="000000" w:themeColor="text1"/>
                <w:highlight w:val="none"/>
                <w14:textFill>
                  <w14:solidFill>
                    <w14:schemeClr w14:val="tx1"/>
                  </w14:solidFill>
                </w14:textFill>
              </w:rPr>
              <w:t>户</w:t>
            </w:r>
            <w:r>
              <w:rPr>
                <w:rFonts w:eastAsia="Times New Roman"/>
                <w:snapToGrid w:val="0"/>
                <w:color w:val="000000" w:themeColor="text1"/>
                <w:highlight w:val="none"/>
                <w14:textFill>
                  <w14:solidFill>
                    <w14:schemeClr w14:val="tx1"/>
                  </w14:solidFill>
                </w14:textFill>
              </w:rPr>
              <w:t>52</w:t>
            </w:r>
            <w:r>
              <w:rPr>
                <w:rFonts w:hint="eastAsia" w:eastAsia="Times New Roman"/>
                <w:snapToGrid w:val="0"/>
                <w:color w:val="000000" w:themeColor="text1"/>
                <w:highlight w:val="none"/>
                <w14:textFill>
                  <w14:solidFill>
                    <w14:schemeClr w14:val="tx1"/>
                  </w14:solidFill>
                </w14:textFill>
              </w:rPr>
              <w:t>人，</w:t>
            </w:r>
            <w:r>
              <w:rPr>
                <w:rFonts w:eastAsia="Times New Roman"/>
                <w:snapToGrid w:val="0"/>
                <w:color w:val="000000" w:themeColor="text1"/>
                <w:highlight w:val="none"/>
                <w14:textFill>
                  <w14:solidFill>
                    <w14:schemeClr w14:val="tx1"/>
                  </w14:solidFill>
                </w14:textFill>
              </w:rPr>
              <w:t>1</w:t>
            </w:r>
            <w:r>
              <w:rPr>
                <w:rFonts w:hint="eastAsia" w:eastAsia="Times New Roman"/>
                <w:snapToGrid w:val="0"/>
                <w:color w:val="000000" w:themeColor="text1"/>
                <w:highlight w:val="none"/>
                <w14:textFill>
                  <w14:solidFill>
                    <w14:schemeClr w14:val="tx1"/>
                  </w14:solidFill>
                </w14:textFill>
              </w:rPr>
              <w:t>～</w:t>
            </w:r>
            <w:r>
              <w:rPr>
                <w:rFonts w:hint="eastAsia" w:eastAsiaTheme="minorEastAsia"/>
                <w:snapToGrid w:val="0"/>
                <w:color w:val="000000" w:themeColor="text1"/>
                <w:highlight w:val="none"/>
                <w14:textFill>
                  <w14:solidFill>
                    <w14:schemeClr w14:val="tx1"/>
                  </w14:solidFill>
                </w14:textFill>
              </w:rPr>
              <w:t>3</w:t>
            </w:r>
            <w:r>
              <w:rPr>
                <w:rFonts w:eastAsia="Times New Roman"/>
                <w:snapToGrid w:val="0"/>
                <w:color w:val="000000" w:themeColor="text1"/>
                <w:highlight w:val="none"/>
                <w14:textFill>
                  <w14:solidFill>
                    <w14:schemeClr w14:val="tx1"/>
                  </w14:solidFill>
                </w14:textFill>
              </w:rPr>
              <w:t>F</w:t>
            </w:r>
            <w:r>
              <w:rPr>
                <w:rFonts w:hint="eastAsia" w:eastAsia="Times New Roman"/>
                <w:snapToGrid w:val="0"/>
                <w:color w:val="000000" w:themeColor="text1"/>
                <w:highlight w:val="none"/>
                <w14:textFill>
                  <w14:solidFill>
                    <w14:schemeClr w14:val="tx1"/>
                  </w14:solidFill>
                </w14:textFill>
              </w:rPr>
              <w:t>砖瓦房</w:t>
            </w:r>
          </w:p>
        </w:tc>
        <w:tc>
          <w:tcPr>
            <w:tcW w:w="427"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13</w:t>
            </w:r>
          </w:p>
        </w:tc>
        <w:tc>
          <w:tcPr>
            <w:tcW w:w="342"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w:t>
            </w:r>
          </w:p>
        </w:tc>
        <w:tc>
          <w:tcPr>
            <w:tcW w:w="64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6"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26</w:t>
            </w:r>
            <w:r>
              <w:rPr>
                <w:rFonts w:eastAsia="Times New Roman"/>
                <w:snapToGrid w:val="0"/>
                <w:color w:val="000000" w:themeColor="text1"/>
                <w:highlight w:val="none"/>
                <w14:textFill>
                  <w14:solidFill>
                    <w14:schemeClr w14:val="tx1"/>
                  </w14:solidFill>
                </w14:textFill>
              </w:rPr>
              <w:t>#</w:t>
            </w:r>
            <w:r>
              <w:rPr>
                <w:rFonts w:hint="eastAsia" w:ascii="宋体" w:hAnsi="宋体" w:eastAsia="Times New Roman" w:cs="宋体"/>
                <w:snapToGrid w:val="0"/>
                <w:color w:val="000000" w:themeColor="text1"/>
                <w:highlight w:val="none"/>
                <w14:textFill>
                  <w14:solidFill>
                    <w14:schemeClr w14:val="tx1"/>
                  </w14:solidFill>
                </w14:textFill>
              </w:rPr>
              <w:t>居民点</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东</w:t>
            </w:r>
            <w:r>
              <w:rPr>
                <w:rFonts w:hint="eastAsia" w:eastAsia="Times New Roman"/>
                <w:snapToGrid w:val="0"/>
                <w:color w:val="000000" w:themeColor="text1"/>
                <w:highlight w:val="none"/>
                <w14:textFill>
                  <w14:solidFill>
                    <w14:schemeClr w14:val="tx1"/>
                  </w14:solidFill>
                </w14:textFill>
              </w:rPr>
              <w:t>侧</w:t>
            </w:r>
          </w:p>
        </w:tc>
        <w:tc>
          <w:tcPr>
            <w:tcW w:w="769"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35</w:t>
            </w:r>
            <w:r>
              <w:rPr>
                <w:rFonts w:eastAsia="Times New Roman"/>
                <w:snapToGrid w:val="0"/>
                <w:color w:val="000000" w:themeColor="text1"/>
                <w:highlight w:val="none"/>
                <w14:textFill>
                  <w14:solidFill>
                    <w14:schemeClr w14:val="tx1"/>
                  </w14:solidFill>
                </w14:textFill>
              </w:rPr>
              <w:t>~1</w:t>
            </w:r>
            <w:r>
              <w:rPr>
                <w:rFonts w:hint="eastAsia" w:eastAsiaTheme="minorEastAsia"/>
                <w:snapToGrid w:val="0"/>
                <w:color w:val="000000" w:themeColor="text1"/>
                <w:highlight w:val="none"/>
                <w14:textFill>
                  <w14:solidFill>
                    <w14:schemeClr w14:val="tx1"/>
                  </w14:solidFill>
                </w14:textFill>
              </w:rPr>
              <w:t>90</w:t>
            </w:r>
          </w:p>
        </w:tc>
        <w:tc>
          <w:tcPr>
            <w:tcW w:w="1622"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农村环境，</w:t>
            </w:r>
            <w:r>
              <w:rPr>
                <w:rFonts w:eastAsia="Times New Roman"/>
                <w:snapToGrid w:val="0"/>
                <w:color w:val="000000" w:themeColor="text1"/>
                <w:highlight w:val="none"/>
                <w14:textFill>
                  <w14:solidFill>
                    <w14:schemeClr w14:val="tx1"/>
                  </w14:solidFill>
                </w14:textFill>
              </w:rPr>
              <w:t>5</w:t>
            </w:r>
            <w:r>
              <w:rPr>
                <w:rFonts w:hint="eastAsia" w:eastAsia="Times New Roman"/>
                <w:snapToGrid w:val="0"/>
                <w:color w:val="000000" w:themeColor="text1"/>
                <w:highlight w:val="none"/>
                <w14:textFill>
                  <w14:solidFill>
                    <w14:schemeClr w14:val="tx1"/>
                  </w14:solidFill>
                </w14:textFill>
              </w:rPr>
              <w:t>户</w:t>
            </w:r>
            <w:r>
              <w:rPr>
                <w:rFonts w:hint="eastAsia" w:eastAsiaTheme="minorEastAsia"/>
                <w:snapToGrid w:val="0"/>
                <w:color w:val="000000" w:themeColor="text1"/>
                <w:highlight w:val="none"/>
                <w14:textFill>
                  <w14:solidFill>
                    <w14:schemeClr w14:val="tx1"/>
                  </w14:solidFill>
                </w14:textFill>
              </w:rPr>
              <w:t>2</w:t>
            </w:r>
            <w:r>
              <w:rPr>
                <w:rFonts w:eastAsia="Times New Roman"/>
                <w:snapToGrid w:val="0"/>
                <w:color w:val="000000" w:themeColor="text1"/>
                <w:highlight w:val="none"/>
                <w14:textFill>
                  <w14:solidFill>
                    <w14:schemeClr w14:val="tx1"/>
                  </w14:solidFill>
                </w14:textFill>
              </w:rPr>
              <w:t>0</w:t>
            </w:r>
            <w:r>
              <w:rPr>
                <w:rFonts w:hint="eastAsia" w:eastAsia="Times New Roman"/>
                <w:snapToGrid w:val="0"/>
                <w:color w:val="000000" w:themeColor="text1"/>
                <w:highlight w:val="none"/>
                <w14:textFill>
                  <w14:solidFill>
                    <w14:schemeClr w14:val="tx1"/>
                  </w14:solidFill>
                </w14:textFill>
              </w:rPr>
              <w:t>人，</w:t>
            </w:r>
            <w:r>
              <w:rPr>
                <w:rFonts w:eastAsia="Times New Roman"/>
                <w:snapToGrid w:val="0"/>
                <w:color w:val="000000" w:themeColor="text1"/>
                <w:highlight w:val="none"/>
                <w14:textFill>
                  <w14:solidFill>
                    <w14:schemeClr w14:val="tx1"/>
                  </w14:solidFill>
                </w14:textFill>
              </w:rPr>
              <w:t>1</w:t>
            </w:r>
            <w:r>
              <w:rPr>
                <w:rFonts w:hint="eastAsia" w:eastAsia="Times New Roman"/>
                <w:snapToGrid w:val="0"/>
                <w:color w:val="000000" w:themeColor="text1"/>
                <w:highlight w:val="none"/>
                <w14:textFill>
                  <w14:solidFill>
                    <w14:schemeClr w14:val="tx1"/>
                  </w14:solidFill>
                </w14:textFill>
              </w:rPr>
              <w:t>～</w:t>
            </w:r>
            <w:r>
              <w:rPr>
                <w:rFonts w:eastAsia="Times New Roman"/>
                <w:snapToGrid w:val="0"/>
                <w:color w:val="000000" w:themeColor="text1"/>
                <w:highlight w:val="none"/>
                <w14:textFill>
                  <w14:solidFill>
                    <w14:schemeClr w14:val="tx1"/>
                  </w14:solidFill>
                </w14:textFill>
              </w:rPr>
              <w:t>2F</w:t>
            </w:r>
            <w:r>
              <w:rPr>
                <w:rFonts w:hint="eastAsia" w:eastAsia="Times New Roman"/>
                <w:snapToGrid w:val="0"/>
                <w:color w:val="000000" w:themeColor="text1"/>
                <w:highlight w:val="none"/>
                <w14:textFill>
                  <w14:solidFill>
                    <w14:schemeClr w14:val="tx1"/>
                  </w14:solidFill>
                </w14:textFill>
              </w:rPr>
              <w:t>砖瓦房</w:t>
            </w:r>
          </w:p>
        </w:tc>
        <w:tc>
          <w:tcPr>
            <w:tcW w:w="427"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5</w:t>
            </w:r>
          </w:p>
        </w:tc>
        <w:tc>
          <w:tcPr>
            <w:tcW w:w="342"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w:t>
            </w:r>
          </w:p>
        </w:tc>
        <w:tc>
          <w:tcPr>
            <w:tcW w:w="64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6"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27</w:t>
            </w:r>
            <w:r>
              <w:rPr>
                <w:rFonts w:eastAsia="Times New Roman"/>
                <w:snapToGrid w:val="0"/>
                <w:color w:val="000000" w:themeColor="text1"/>
                <w:highlight w:val="none"/>
                <w14:textFill>
                  <w14:solidFill>
                    <w14:schemeClr w14:val="tx1"/>
                  </w14:solidFill>
                </w14:textFill>
              </w:rPr>
              <w:t>#</w:t>
            </w:r>
            <w:r>
              <w:rPr>
                <w:rFonts w:hint="eastAsia" w:ascii="宋体" w:hAnsi="宋体" w:eastAsia="Times New Roman" w:cs="宋体"/>
                <w:snapToGrid w:val="0"/>
                <w:color w:val="000000" w:themeColor="text1"/>
                <w:highlight w:val="none"/>
                <w14:textFill>
                  <w14:solidFill>
                    <w14:schemeClr w14:val="tx1"/>
                  </w14:solidFill>
                </w14:textFill>
              </w:rPr>
              <w:t>居民点</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南</w:t>
            </w:r>
            <w:r>
              <w:rPr>
                <w:rFonts w:hint="eastAsia" w:eastAsia="Times New Roman"/>
                <w:snapToGrid w:val="0"/>
                <w:color w:val="000000" w:themeColor="text1"/>
                <w:highlight w:val="none"/>
                <w14:textFill>
                  <w14:solidFill>
                    <w14:schemeClr w14:val="tx1"/>
                  </w14:solidFill>
                </w14:textFill>
              </w:rPr>
              <w:t>侧</w:t>
            </w:r>
          </w:p>
        </w:tc>
        <w:tc>
          <w:tcPr>
            <w:tcW w:w="769"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116</w:t>
            </w:r>
            <w:r>
              <w:rPr>
                <w:rFonts w:eastAsia="Times New Roman"/>
                <w:snapToGrid w:val="0"/>
                <w:color w:val="000000" w:themeColor="text1"/>
                <w:highlight w:val="none"/>
                <w14:textFill>
                  <w14:solidFill>
                    <w14:schemeClr w14:val="tx1"/>
                  </w14:solidFill>
                </w14:textFill>
              </w:rPr>
              <w:t>~1</w:t>
            </w:r>
            <w:r>
              <w:rPr>
                <w:rFonts w:hint="eastAsia" w:eastAsiaTheme="minorEastAsia"/>
                <w:snapToGrid w:val="0"/>
                <w:color w:val="000000" w:themeColor="text1"/>
                <w:highlight w:val="none"/>
                <w14:textFill>
                  <w14:solidFill>
                    <w14:schemeClr w14:val="tx1"/>
                  </w14:solidFill>
                </w14:textFill>
              </w:rPr>
              <w:t>80</w:t>
            </w:r>
          </w:p>
        </w:tc>
        <w:tc>
          <w:tcPr>
            <w:tcW w:w="1622"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宋体" w:cs="宋体"/>
                <w:snapToGrid w:val="0"/>
                <w:color w:val="000000" w:themeColor="text1"/>
                <w:highlight w:val="none"/>
                <w14:textFill>
                  <w14:solidFill>
                    <w14:schemeClr w14:val="tx1"/>
                  </w14:solidFill>
                </w14:textFill>
              </w:rPr>
              <w:t>农</w:t>
            </w:r>
            <w:r>
              <w:rPr>
                <w:rFonts w:hint="eastAsia" w:eastAsia="Times New Roman"/>
                <w:snapToGrid w:val="0"/>
                <w:color w:val="000000" w:themeColor="text1"/>
                <w:highlight w:val="none"/>
                <w14:textFill>
                  <w14:solidFill>
                    <w14:schemeClr w14:val="tx1"/>
                  </w14:solidFill>
                </w14:textFill>
              </w:rPr>
              <w:t>村环境，</w:t>
            </w:r>
            <w:r>
              <w:rPr>
                <w:rFonts w:eastAsia="Times New Roman"/>
                <w:snapToGrid w:val="0"/>
                <w:color w:val="000000" w:themeColor="text1"/>
                <w:highlight w:val="none"/>
                <w14:textFill>
                  <w14:solidFill>
                    <w14:schemeClr w14:val="tx1"/>
                  </w14:solidFill>
                </w14:textFill>
              </w:rPr>
              <w:t>5</w:t>
            </w:r>
            <w:r>
              <w:rPr>
                <w:rFonts w:hint="eastAsia" w:eastAsia="Times New Roman"/>
                <w:snapToGrid w:val="0"/>
                <w:color w:val="000000" w:themeColor="text1"/>
                <w:highlight w:val="none"/>
                <w14:textFill>
                  <w14:solidFill>
                    <w14:schemeClr w14:val="tx1"/>
                  </w14:solidFill>
                </w14:textFill>
              </w:rPr>
              <w:t>户，</w:t>
            </w:r>
            <w:r>
              <w:rPr>
                <w:rFonts w:eastAsia="Times New Roman"/>
                <w:snapToGrid w:val="0"/>
                <w:color w:val="000000" w:themeColor="text1"/>
                <w:highlight w:val="none"/>
                <w14:textFill>
                  <w14:solidFill>
                    <w14:schemeClr w14:val="tx1"/>
                  </w14:solidFill>
                </w14:textFill>
              </w:rPr>
              <w:t>20</w:t>
            </w:r>
            <w:r>
              <w:rPr>
                <w:rFonts w:hint="eastAsia" w:eastAsia="Times New Roman"/>
                <w:snapToGrid w:val="0"/>
                <w:color w:val="000000" w:themeColor="text1"/>
                <w:highlight w:val="none"/>
                <w14:textFill>
                  <w14:solidFill>
                    <w14:schemeClr w14:val="tx1"/>
                  </w14:solidFill>
                </w14:textFill>
              </w:rPr>
              <w:t>人，</w:t>
            </w:r>
            <w:r>
              <w:rPr>
                <w:rFonts w:eastAsia="Times New Roman"/>
                <w:snapToGrid w:val="0"/>
                <w:color w:val="000000" w:themeColor="text1"/>
                <w:highlight w:val="none"/>
                <w14:textFill>
                  <w14:solidFill>
                    <w14:schemeClr w14:val="tx1"/>
                  </w14:solidFill>
                </w14:textFill>
              </w:rPr>
              <w:t>1</w:t>
            </w:r>
            <w:r>
              <w:rPr>
                <w:rFonts w:hint="eastAsia" w:eastAsia="Times New Roman"/>
                <w:snapToGrid w:val="0"/>
                <w:color w:val="000000" w:themeColor="text1"/>
                <w:highlight w:val="none"/>
                <w14:textFill>
                  <w14:solidFill>
                    <w14:schemeClr w14:val="tx1"/>
                  </w14:solidFill>
                </w14:textFill>
              </w:rPr>
              <w:t>～</w:t>
            </w:r>
            <w:r>
              <w:rPr>
                <w:rFonts w:eastAsia="Times New Roman"/>
                <w:snapToGrid w:val="0"/>
                <w:color w:val="000000" w:themeColor="text1"/>
                <w:highlight w:val="none"/>
                <w14:textFill>
                  <w14:solidFill>
                    <w14:schemeClr w14:val="tx1"/>
                  </w14:solidFill>
                </w14:textFill>
              </w:rPr>
              <w:t>3F</w:t>
            </w:r>
            <w:r>
              <w:rPr>
                <w:rFonts w:hint="eastAsia" w:eastAsia="Times New Roman"/>
                <w:snapToGrid w:val="0"/>
                <w:color w:val="000000" w:themeColor="text1"/>
                <w:highlight w:val="none"/>
                <w14:textFill>
                  <w14:solidFill>
                    <w14:schemeClr w14:val="tx1"/>
                  </w14:solidFill>
                </w14:textFill>
              </w:rPr>
              <w:t>层，砖混结构</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5</w:t>
            </w:r>
          </w:p>
        </w:tc>
        <w:tc>
          <w:tcPr>
            <w:tcW w:w="342"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w:t>
            </w:r>
          </w:p>
        </w:tc>
        <w:tc>
          <w:tcPr>
            <w:tcW w:w="64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6" w:type="pct"/>
            <w:vAlign w:val="center"/>
          </w:tcPr>
          <w:p>
            <w:pPr>
              <w:pStyle w:val="118"/>
              <w:rPr>
                <w:rFonts w:eastAsiaTheme="minorEastAsia"/>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2</w:t>
            </w:r>
            <w:r>
              <w:rPr>
                <w:rFonts w:hint="eastAsia" w:eastAsiaTheme="minorEastAsia"/>
                <w:snapToGrid w:val="0"/>
                <w:color w:val="000000" w:themeColor="text1"/>
                <w:highlight w:val="none"/>
                <w14:textFill>
                  <w14:solidFill>
                    <w14:schemeClr w14:val="tx1"/>
                  </w14:solidFill>
                </w14:textFill>
              </w:rPr>
              <w:t>8</w:t>
            </w:r>
            <w:r>
              <w:rPr>
                <w:rFonts w:eastAsia="Times New Roman"/>
                <w:snapToGrid w:val="0"/>
                <w:color w:val="000000" w:themeColor="text1"/>
                <w:highlight w:val="none"/>
                <w14:textFill>
                  <w14:solidFill>
                    <w14:schemeClr w14:val="tx1"/>
                  </w14:solidFill>
                </w14:textFill>
              </w:rPr>
              <w:t>#</w:t>
            </w:r>
            <w:r>
              <w:rPr>
                <w:rFonts w:hint="eastAsia" w:ascii="宋体" w:hAnsi="宋体" w:eastAsia="Times New Roman" w:cs="宋体"/>
                <w:snapToGrid w:val="0"/>
                <w:color w:val="000000" w:themeColor="text1"/>
                <w:highlight w:val="none"/>
                <w14:textFill>
                  <w14:solidFill>
                    <w14:schemeClr w14:val="tx1"/>
                  </w14:solidFill>
                </w14:textFill>
              </w:rPr>
              <w:t>居民点</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南</w:t>
            </w:r>
            <w:r>
              <w:rPr>
                <w:rFonts w:hint="eastAsia" w:eastAsia="Times New Roman"/>
                <w:snapToGrid w:val="0"/>
                <w:color w:val="000000" w:themeColor="text1"/>
                <w:highlight w:val="none"/>
                <w14:textFill>
                  <w14:solidFill>
                    <w14:schemeClr w14:val="tx1"/>
                  </w14:solidFill>
                </w14:textFill>
              </w:rPr>
              <w:t>侧</w:t>
            </w:r>
          </w:p>
        </w:tc>
        <w:tc>
          <w:tcPr>
            <w:tcW w:w="769"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117</w:t>
            </w:r>
            <w:r>
              <w:rPr>
                <w:rFonts w:eastAsia="Times New Roman"/>
                <w:snapToGrid w:val="0"/>
                <w:color w:val="000000" w:themeColor="text1"/>
                <w:highlight w:val="none"/>
                <w14:textFill>
                  <w14:solidFill>
                    <w14:schemeClr w14:val="tx1"/>
                  </w14:solidFill>
                </w14:textFill>
              </w:rPr>
              <w:t>~</w:t>
            </w:r>
            <w:r>
              <w:rPr>
                <w:rFonts w:hint="eastAsia" w:eastAsiaTheme="minorEastAsia"/>
                <w:snapToGrid w:val="0"/>
                <w:color w:val="000000" w:themeColor="text1"/>
                <w:highlight w:val="none"/>
                <w14:textFill>
                  <w14:solidFill>
                    <w14:schemeClr w14:val="tx1"/>
                  </w14:solidFill>
                </w14:textFill>
              </w:rPr>
              <w:t>194</w:t>
            </w:r>
          </w:p>
        </w:tc>
        <w:tc>
          <w:tcPr>
            <w:tcW w:w="1622"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宋体" w:cs="宋体"/>
                <w:snapToGrid w:val="0"/>
                <w:color w:val="000000" w:themeColor="text1"/>
                <w:highlight w:val="none"/>
                <w14:textFill>
                  <w14:solidFill>
                    <w14:schemeClr w14:val="tx1"/>
                  </w14:solidFill>
                </w14:textFill>
              </w:rPr>
              <w:t>农</w:t>
            </w:r>
            <w:r>
              <w:rPr>
                <w:rFonts w:hint="eastAsia" w:eastAsia="Times New Roman"/>
                <w:snapToGrid w:val="0"/>
                <w:color w:val="000000" w:themeColor="text1"/>
                <w:highlight w:val="none"/>
                <w14:textFill>
                  <w14:solidFill>
                    <w14:schemeClr w14:val="tx1"/>
                  </w14:solidFill>
                </w14:textFill>
              </w:rPr>
              <w:t>村环境，</w:t>
            </w:r>
            <w:r>
              <w:rPr>
                <w:rFonts w:hint="eastAsia" w:eastAsiaTheme="minorEastAsia"/>
                <w:snapToGrid w:val="0"/>
                <w:color w:val="000000" w:themeColor="text1"/>
                <w:highlight w:val="none"/>
                <w14:textFill>
                  <w14:solidFill>
                    <w14:schemeClr w14:val="tx1"/>
                  </w14:solidFill>
                </w14:textFill>
              </w:rPr>
              <w:t>9</w:t>
            </w:r>
            <w:r>
              <w:rPr>
                <w:rFonts w:hint="eastAsia" w:eastAsia="Times New Roman"/>
                <w:snapToGrid w:val="0"/>
                <w:color w:val="000000" w:themeColor="text1"/>
                <w:highlight w:val="none"/>
                <w14:textFill>
                  <w14:solidFill>
                    <w14:schemeClr w14:val="tx1"/>
                  </w14:solidFill>
                </w14:textFill>
              </w:rPr>
              <w:t>户，</w:t>
            </w:r>
            <w:r>
              <w:rPr>
                <w:rFonts w:hint="eastAsia" w:eastAsiaTheme="minorEastAsia"/>
                <w:snapToGrid w:val="0"/>
                <w:color w:val="000000" w:themeColor="text1"/>
                <w:highlight w:val="none"/>
                <w14:textFill>
                  <w14:solidFill>
                    <w14:schemeClr w14:val="tx1"/>
                  </w14:solidFill>
                </w14:textFill>
              </w:rPr>
              <w:t>36</w:t>
            </w:r>
            <w:r>
              <w:rPr>
                <w:rFonts w:hint="eastAsia" w:eastAsia="Times New Roman"/>
                <w:snapToGrid w:val="0"/>
                <w:color w:val="000000" w:themeColor="text1"/>
                <w:highlight w:val="none"/>
                <w14:textFill>
                  <w14:solidFill>
                    <w14:schemeClr w14:val="tx1"/>
                  </w14:solidFill>
                </w14:textFill>
              </w:rPr>
              <w:t>人，</w:t>
            </w:r>
            <w:r>
              <w:rPr>
                <w:rFonts w:eastAsia="Times New Roman"/>
                <w:snapToGrid w:val="0"/>
                <w:color w:val="000000" w:themeColor="text1"/>
                <w:highlight w:val="none"/>
                <w14:textFill>
                  <w14:solidFill>
                    <w14:schemeClr w14:val="tx1"/>
                  </w14:solidFill>
                </w14:textFill>
              </w:rPr>
              <w:t>1</w:t>
            </w:r>
            <w:r>
              <w:rPr>
                <w:rFonts w:hint="eastAsia" w:eastAsia="Times New Roman"/>
                <w:snapToGrid w:val="0"/>
                <w:color w:val="000000" w:themeColor="text1"/>
                <w:highlight w:val="none"/>
                <w14:textFill>
                  <w14:solidFill>
                    <w14:schemeClr w14:val="tx1"/>
                  </w14:solidFill>
                </w14:textFill>
              </w:rPr>
              <w:t>～</w:t>
            </w:r>
            <w:r>
              <w:rPr>
                <w:rFonts w:eastAsia="Times New Roman"/>
                <w:snapToGrid w:val="0"/>
                <w:color w:val="000000" w:themeColor="text1"/>
                <w:highlight w:val="none"/>
                <w14:textFill>
                  <w14:solidFill>
                    <w14:schemeClr w14:val="tx1"/>
                  </w14:solidFill>
                </w14:textFill>
              </w:rPr>
              <w:t>3F</w:t>
            </w:r>
            <w:r>
              <w:rPr>
                <w:rFonts w:hint="eastAsia" w:eastAsia="Times New Roman"/>
                <w:snapToGrid w:val="0"/>
                <w:color w:val="000000" w:themeColor="text1"/>
                <w:highlight w:val="none"/>
                <w14:textFill>
                  <w14:solidFill>
                    <w14:schemeClr w14:val="tx1"/>
                  </w14:solidFill>
                </w14:textFill>
              </w:rPr>
              <w:t>层，砖混结构</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9</w:t>
            </w:r>
          </w:p>
        </w:tc>
        <w:tc>
          <w:tcPr>
            <w:tcW w:w="342"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w:t>
            </w:r>
          </w:p>
        </w:tc>
        <w:tc>
          <w:tcPr>
            <w:tcW w:w="64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6"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29</w:t>
            </w:r>
            <w:r>
              <w:rPr>
                <w:rFonts w:eastAsia="Times New Roman"/>
                <w:snapToGrid w:val="0"/>
                <w:color w:val="000000" w:themeColor="text1"/>
                <w:highlight w:val="none"/>
                <w14:textFill>
                  <w14:solidFill>
                    <w14:schemeClr w14:val="tx1"/>
                  </w14:solidFill>
                </w14:textFill>
              </w:rPr>
              <w:t>#</w:t>
            </w:r>
            <w:r>
              <w:rPr>
                <w:rFonts w:hint="eastAsia" w:ascii="宋体" w:hAnsi="宋体" w:eastAsia="Times New Roman" w:cs="宋体"/>
                <w:snapToGrid w:val="0"/>
                <w:color w:val="000000" w:themeColor="text1"/>
                <w:highlight w:val="none"/>
                <w14:textFill>
                  <w14:solidFill>
                    <w14:schemeClr w14:val="tx1"/>
                  </w14:solidFill>
                </w14:textFill>
              </w:rPr>
              <w:t>居民点</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北</w:t>
            </w:r>
            <w:r>
              <w:rPr>
                <w:rFonts w:hint="eastAsia" w:eastAsia="Times New Roman"/>
                <w:snapToGrid w:val="0"/>
                <w:color w:val="000000" w:themeColor="text1"/>
                <w:highlight w:val="none"/>
                <w14:textFill>
                  <w14:solidFill>
                    <w14:schemeClr w14:val="tx1"/>
                  </w14:solidFill>
                </w14:textFill>
              </w:rPr>
              <w:t>侧</w:t>
            </w:r>
          </w:p>
        </w:tc>
        <w:tc>
          <w:tcPr>
            <w:tcW w:w="769"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9</w:t>
            </w:r>
            <w:r>
              <w:rPr>
                <w:rFonts w:eastAsia="Times New Roman"/>
                <w:snapToGrid w:val="0"/>
                <w:color w:val="000000" w:themeColor="text1"/>
                <w:highlight w:val="none"/>
                <w14:textFill>
                  <w14:solidFill>
                    <w14:schemeClr w14:val="tx1"/>
                  </w14:solidFill>
                </w14:textFill>
              </w:rPr>
              <w:t>~</w:t>
            </w:r>
            <w:r>
              <w:rPr>
                <w:rFonts w:hint="eastAsia" w:eastAsiaTheme="minorEastAsia"/>
                <w:snapToGrid w:val="0"/>
                <w:color w:val="000000" w:themeColor="text1"/>
                <w:highlight w:val="none"/>
                <w14:textFill>
                  <w14:solidFill>
                    <w14:schemeClr w14:val="tx1"/>
                  </w14:solidFill>
                </w14:textFill>
              </w:rPr>
              <w:t>200</w:t>
            </w:r>
          </w:p>
        </w:tc>
        <w:tc>
          <w:tcPr>
            <w:tcW w:w="1622"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宋体" w:cs="宋体"/>
                <w:snapToGrid w:val="0"/>
                <w:color w:val="000000" w:themeColor="text1"/>
                <w:highlight w:val="none"/>
                <w14:textFill>
                  <w14:solidFill>
                    <w14:schemeClr w14:val="tx1"/>
                  </w14:solidFill>
                </w14:textFill>
              </w:rPr>
              <w:t>农</w:t>
            </w:r>
            <w:r>
              <w:rPr>
                <w:rFonts w:hint="eastAsia" w:eastAsia="Times New Roman"/>
                <w:snapToGrid w:val="0"/>
                <w:color w:val="000000" w:themeColor="text1"/>
                <w:highlight w:val="none"/>
                <w14:textFill>
                  <w14:solidFill>
                    <w14:schemeClr w14:val="tx1"/>
                  </w14:solidFill>
                </w14:textFill>
              </w:rPr>
              <w:t>村环境，</w:t>
            </w:r>
            <w:r>
              <w:rPr>
                <w:rFonts w:eastAsia="Times New Roman"/>
                <w:snapToGrid w:val="0"/>
                <w:color w:val="000000" w:themeColor="text1"/>
                <w:highlight w:val="none"/>
                <w14:textFill>
                  <w14:solidFill>
                    <w14:schemeClr w14:val="tx1"/>
                  </w14:solidFill>
                </w14:textFill>
              </w:rPr>
              <w:t>2</w:t>
            </w:r>
            <w:r>
              <w:rPr>
                <w:rFonts w:hint="eastAsia" w:eastAsiaTheme="minorEastAsia"/>
                <w:snapToGrid w:val="0"/>
                <w:color w:val="000000" w:themeColor="text1"/>
                <w:highlight w:val="none"/>
                <w14:textFill>
                  <w14:solidFill>
                    <w14:schemeClr w14:val="tx1"/>
                  </w14:solidFill>
                </w14:textFill>
              </w:rPr>
              <w:t>5</w:t>
            </w:r>
            <w:r>
              <w:rPr>
                <w:rFonts w:hint="eastAsia" w:eastAsia="Times New Roman"/>
                <w:snapToGrid w:val="0"/>
                <w:color w:val="000000" w:themeColor="text1"/>
                <w:highlight w:val="none"/>
                <w14:textFill>
                  <w14:solidFill>
                    <w14:schemeClr w14:val="tx1"/>
                  </w14:solidFill>
                </w14:textFill>
              </w:rPr>
              <w:t>户，</w:t>
            </w:r>
            <w:r>
              <w:rPr>
                <w:rFonts w:hint="eastAsia" w:eastAsiaTheme="minorEastAsia"/>
                <w:snapToGrid w:val="0"/>
                <w:color w:val="000000" w:themeColor="text1"/>
                <w:highlight w:val="none"/>
                <w14:textFill>
                  <w14:solidFill>
                    <w14:schemeClr w14:val="tx1"/>
                  </w14:solidFill>
                </w14:textFill>
              </w:rPr>
              <w:t>100</w:t>
            </w:r>
            <w:r>
              <w:rPr>
                <w:rFonts w:hint="eastAsia" w:eastAsia="Times New Roman"/>
                <w:snapToGrid w:val="0"/>
                <w:color w:val="000000" w:themeColor="text1"/>
                <w:highlight w:val="none"/>
                <w14:textFill>
                  <w14:solidFill>
                    <w14:schemeClr w14:val="tx1"/>
                  </w14:solidFill>
                </w14:textFill>
              </w:rPr>
              <w:t>人，</w:t>
            </w:r>
            <w:r>
              <w:rPr>
                <w:rFonts w:eastAsia="Times New Roman"/>
                <w:snapToGrid w:val="0"/>
                <w:color w:val="000000" w:themeColor="text1"/>
                <w:highlight w:val="none"/>
                <w14:textFill>
                  <w14:solidFill>
                    <w14:schemeClr w14:val="tx1"/>
                  </w14:solidFill>
                </w14:textFill>
              </w:rPr>
              <w:t>1</w:t>
            </w:r>
            <w:r>
              <w:rPr>
                <w:rFonts w:hint="eastAsia" w:eastAsia="Times New Roman"/>
                <w:snapToGrid w:val="0"/>
                <w:color w:val="000000" w:themeColor="text1"/>
                <w:highlight w:val="none"/>
                <w14:textFill>
                  <w14:solidFill>
                    <w14:schemeClr w14:val="tx1"/>
                  </w14:solidFill>
                </w14:textFill>
              </w:rPr>
              <w:t>～</w:t>
            </w:r>
            <w:r>
              <w:rPr>
                <w:rFonts w:eastAsia="Times New Roman"/>
                <w:snapToGrid w:val="0"/>
                <w:color w:val="000000" w:themeColor="text1"/>
                <w:highlight w:val="none"/>
                <w14:textFill>
                  <w14:solidFill>
                    <w14:schemeClr w14:val="tx1"/>
                  </w14:solidFill>
                </w14:textFill>
              </w:rPr>
              <w:t>3F</w:t>
            </w:r>
            <w:r>
              <w:rPr>
                <w:rFonts w:hint="eastAsia" w:eastAsia="Times New Roman"/>
                <w:snapToGrid w:val="0"/>
                <w:color w:val="000000" w:themeColor="text1"/>
                <w:highlight w:val="none"/>
                <w14:textFill>
                  <w14:solidFill>
                    <w14:schemeClr w14:val="tx1"/>
                  </w14:solidFill>
                </w14:textFill>
              </w:rPr>
              <w:t>层，砖混结构</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25</w:t>
            </w:r>
          </w:p>
        </w:tc>
        <w:tc>
          <w:tcPr>
            <w:tcW w:w="342"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w:t>
            </w:r>
          </w:p>
        </w:tc>
        <w:tc>
          <w:tcPr>
            <w:tcW w:w="64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6"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30</w:t>
            </w:r>
            <w:r>
              <w:rPr>
                <w:rFonts w:eastAsia="Times New Roman"/>
                <w:snapToGrid w:val="0"/>
                <w:color w:val="000000" w:themeColor="text1"/>
                <w:highlight w:val="none"/>
                <w14:textFill>
                  <w14:solidFill>
                    <w14:schemeClr w14:val="tx1"/>
                  </w14:solidFill>
                </w14:textFill>
              </w:rPr>
              <w:t>#</w:t>
            </w:r>
            <w:r>
              <w:rPr>
                <w:rFonts w:hint="eastAsia" w:ascii="宋体" w:hAnsi="宋体" w:eastAsia="Times New Roman" w:cs="宋体"/>
                <w:snapToGrid w:val="0"/>
                <w:color w:val="000000" w:themeColor="text1"/>
                <w:highlight w:val="none"/>
                <w14:textFill>
                  <w14:solidFill>
                    <w14:schemeClr w14:val="tx1"/>
                  </w14:solidFill>
                </w14:textFill>
              </w:rPr>
              <w:t>居民点</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南</w:t>
            </w:r>
            <w:r>
              <w:rPr>
                <w:rFonts w:hint="eastAsia" w:eastAsia="Times New Roman"/>
                <w:snapToGrid w:val="0"/>
                <w:color w:val="000000" w:themeColor="text1"/>
                <w:highlight w:val="none"/>
                <w14:textFill>
                  <w14:solidFill>
                    <w14:schemeClr w14:val="tx1"/>
                  </w14:solidFill>
                </w14:textFill>
              </w:rPr>
              <w:t>侧</w:t>
            </w:r>
          </w:p>
        </w:tc>
        <w:tc>
          <w:tcPr>
            <w:tcW w:w="769"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20</w:t>
            </w:r>
            <w:r>
              <w:rPr>
                <w:rFonts w:eastAsia="Times New Roman"/>
                <w:snapToGrid w:val="0"/>
                <w:color w:val="000000" w:themeColor="text1"/>
                <w:highlight w:val="none"/>
                <w14:textFill>
                  <w14:solidFill>
                    <w14:schemeClr w14:val="tx1"/>
                  </w14:solidFill>
                </w14:textFill>
              </w:rPr>
              <w:t>~</w:t>
            </w:r>
            <w:r>
              <w:rPr>
                <w:rFonts w:hint="eastAsia" w:eastAsiaTheme="minorEastAsia"/>
                <w:snapToGrid w:val="0"/>
                <w:color w:val="000000" w:themeColor="text1"/>
                <w:highlight w:val="none"/>
                <w14:textFill>
                  <w14:solidFill>
                    <w14:schemeClr w14:val="tx1"/>
                  </w14:solidFill>
                </w14:textFill>
              </w:rPr>
              <w:t>19</w:t>
            </w:r>
            <w:r>
              <w:rPr>
                <w:rFonts w:eastAsia="Times New Roman"/>
                <w:snapToGrid w:val="0"/>
                <w:color w:val="000000" w:themeColor="text1"/>
                <w:highlight w:val="none"/>
                <w14:textFill>
                  <w14:solidFill>
                    <w14:schemeClr w14:val="tx1"/>
                  </w14:solidFill>
                </w14:textFill>
              </w:rPr>
              <w:t>0</w:t>
            </w:r>
          </w:p>
        </w:tc>
        <w:tc>
          <w:tcPr>
            <w:tcW w:w="1622"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农村环境，</w:t>
            </w:r>
            <w:r>
              <w:rPr>
                <w:rFonts w:hint="eastAsia" w:eastAsiaTheme="minorEastAsia"/>
                <w:snapToGrid w:val="0"/>
                <w:color w:val="000000" w:themeColor="text1"/>
                <w:highlight w:val="none"/>
                <w14:textFill>
                  <w14:solidFill>
                    <w14:schemeClr w14:val="tx1"/>
                  </w14:solidFill>
                </w14:textFill>
              </w:rPr>
              <w:t>26</w:t>
            </w:r>
            <w:r>
              <w:rPr>
                <w:rFonts w:hint="eastAsia" w:eastAsia="Times New Roman"/>
                <w:snapToGrid w:val="0"/>
                <w:color w:val="000000" w:themeColor="text1"/>
                <w:highlight w:val="none"/>
                <w14:textFill>
                  <w14:solidFill>
                    <w14:schemeClr w14:val="tx1"/>
                  </w14:solidFill>
                </w14:textFill>
              </w:rPr>
              <w:t>户</w:t>
            </w:r>
            <w:r>
              <w:rPr>
                <w:rFonts w:hint="eastAsia" w:eastAsiaTheme="minorEastAsia"/>
                <w:snapToGrid w:val="0"/>
                <w:color w:val="000000" w:themeColor="text1"/>
                <w:highlight w:val="none"/>
                <w14:textFill>
                  <w14:solidFill>
                    <w14:schemeClr w14:val="tx1"/>
                  </w14:solidFill>
                </w14:textFill>
              </w:rPr>
              <w:t>104</w:t>
            </w:r>
            <w:r>
              <w:rPr>
                <w:rFonts w:hint="eastAsia" w:eastAsia="Times New Roman"/>
                <w:snapToGrid w:val="0"/>
                <w:color w:val="000000" w:themeColor="text1"/>
                <w:highlight w:val="none"/>
                <w14:textFill>
                  <w14:solidFill>
                    <w14:schemeClr w14:val="tx1"/>
                  </w14:solidFill>
                </w14:textFill>
              </w:rPr>
              <w:t>人，</w:t>
            </w:r>
            <w:r>
              <w:rPr>
                <w:rFonts w:eastAsia="Times New Roman"/>
                <w:snapToGrid w:val="0"/>
                <w:color w:val="000000" w:themeColor="text1"/>
                <w:highlight w:val="none"/>
                <w14:textFill>
                  <w14:solidFill>
                    <w14:schemeClr w14:val="tx1"/>
                  </w14:solidFill>
                </w14:textFill>
              </w:rPr>
              <w:t>1</w:t>
            </w:r>
            <w:r>
              <w:rPr>
                <w:rFonts w:hint="eastAsia" w:eastAsia="Times New Roman"/>
                <w:snapToGrid w:val="0"/>
                <w:color w:val="000000" w:themeColor="text1"/>
                <w:highlight w:val="none"/>
                <w14:textFill>
                  <w14:solidFill>
                    <w14:schemeClr w14:val="tx1"/>
                  </w14:solidFill>
                </w14:textFill>
              </w:rPr>
              <w:t>～</w:t>
            </w:r>
            <w:r>
              <w:rPr>
                <w:rFonts w:hint="eastAsia" w:eastAsiaTheme="minorEastAsia"/>
                <w:snapToGrid w:val="0"/>
                <w:color w:val="000000" w:themeColor="text1"/>
                <w:highlight w:val="none"/>
                <w14:textFill>
                  <w14:solidFill>
                    <w14:schemeClr w14:val="tx1"/>
                  </w14:solidFill>
                </w14:textFill>
              </w:rPr>
              <w:t>3</w:t>
            </w:r>
            <w:r>
              <w:rPr>
                <w:rFonts w:eastAsia="Times New Roman"/>
                <w:snapToGrid w:val="0"/>
                <w:color w:val="000000" w:themeColor="text1"/>
                <w:highlight w:val="none"/>
                <w14:textFill>
                  <w14:solidFill>
                    <w14:schemeClr w14:val="tx1"/>
                  </w14:solidFill>
                </w14:textFill>
              </w:rPr>
              <w:t>F</w:t>
            </w:r>
            <w:r>
              <w:rPr>
                <w:rFonts w:hint="eastAsia" w:eastAsia="Times New Roman"/>
                <w:snapToGrid w:val="0"/>
                <w:color w:val="000000" w:themeColor="text1"/>
                <w:highlight w:val="none"/>
                <w14:textFill>
                  <w14:solidFill>
                    <w14:schemeClr w14:val="tx1"/>
                  </w14:solidFill>
                </w14:textFill>
              </w:rPr>
              <w:t>砖瓦房</w:t>
            </w:r>
          </w:p>
        </w:tc>
        <w:tc>
          <w:tcPr>
            <w:tcW w:w="427"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26</w:t>
            </w:r>
          </w:p>
        </w:tc>
        <w:tc>
          <w:tcPr>
            <w:tcW w:w="342"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w:t>
            </w:r>
          </w:p>
        </w:tc>
        <w:tc>
          <w:tcPr>
            <w:tcW w:w="64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6"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31</w:t>
            </w:r>
            <w:r>
              <w:rPr>
                <w:rFonts w:eastAsia="Times New Roman"/>
                <w:snapToGrid w:val="0"/>
                <w:color w:val="000000" w:themeColor="text1"/>
                <w:highlight w:val="none"/>
                <w14:textFill>
                  <w14:solidFill>
                    <w14:schemeClr w14:val="tx1"/>
                  </w14:solidFill>
                </w14:textFill>
              </w:rPr>
              <w:t>#</w:t>
            </w:r>
            <w:r>
              <w:rPr>
                <w:rFonts w:hint="eastAsia" w:ascii="宋体" w:hAnsi="宋体" w:eastAsia="Times New Roman" w:cs="宋体"/>
                <w:snapToGrid w:val="0"/>
                <w:color w:val="000000" w:themeColor="text1"/>
                <w:highlight w:val="none"/>
                <w14:textFill>
                  <w14:solidFill>
                    <w14:schemeClr w14:val="tx1"/>
                  </w14:solidFill>
                </w14:textFill>
              </w:rPr>
              <w:t>居民点</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北</w:t>
            </w:r>
            <w:r>
              <w:rPr>
                <w:rFonts w:hint="eastAsia" w:eastAsia="Times New Roman"/>
                <w:snapToGrid w:val="0"/>
                <w:color w:val="000000" w:themeColor="text1"/>
                <w:highlight w:val="none"/>
                <w14:textFill>
                  <w14:solidFill>
                    <w14:schemeClr w14:val="tx1"/>
                  </w14:solidFill>
                </w14:textFill>
              </w:rPr>
              <w:t>侧</w:t>
            </w:r>
          </w:p>
        </w:tc>
        <w:tc>
          <w:tcPr>
            <w:tcW w:w="769"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13</w:t>
            </w:r>
            <w:r>
              <w:rPr>
                <w:rFonts w:eastAsia="Times New Roman"/>
                <w:snapToGrid w:val="0"/>
                <w:color w:val="000000" w:themeColor="text1"/>
                <w:highlight w:val="none"/>
                <w14:textFill>
                  <w14:solidFill>
                    <w14:schemeClr w14:val="tx1"/>
                  </w14:solidFill>
                </w14:textFill>
              </w:rPr>
              <w:t>~</w:t>
            </w:r>
            <w:r>
              <w:rPr>
                <w:rFonts w:hint="eastAsia" w:eastAsiaTheme="minorEastAsia"/>
                <w:snapToGrid w:val="0"/>
                <w:color w:val="000000" w:themeColor="text1"/>
                <w:highlight w:val="none"/>
                <w14:textFill>
                  <w14:solidFill>
                    <w14:schemeClr w14:val="tx1"/>
                  </w14:solidFill>
                </w14:textFill>
              </w:rPr>
              <w:t>170</w:t>
            </w:r>
          </w:p>
        </w:tc>
        <w:tc>
          <w:tcPr>
            <w:tcW w:w="1622"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农村环境，</w:t>
            </w:r>
            <w:r>
              <w:rPr>
                <w:rFonts w:hint="eastAsia" w:eastAsiaTheme="minorEastAsia"/>
                <w:snapToGrid w:val="0"/>
                <w:color w:val="000000" w:themeColor="text1"/>
                <w:highlight w:val="none"/>
                <w14:textFill>
                  <w14:solidFill>
                    <w14:schemeClr w14:val="tx1"/>
                  </w14:solidFill>
                </w14:textFill>
              </w:rPr>
              <w:t>16</w:t>
            </w:r>
            <w:r>
              <w:rPr>
                <w:rFonts w:hint="eastAsia" w:eastAsia="Times New Roman"/>
                <w:snapToGrid w:val="0"/>
                <w:color w:val="000000" w:themeColor="text1"/>
                <w:highlight w:val="none"/>
                <w14:textFill>
                  <w14:solidFill>
                    <w14:schemeClr w14:val="tx1"/>
                  </w14:solidFill>
                </w14:textFill>
              </w:rPr>
              <w:t>户</w:t>
            </w:r>
            <w:r>
              <w:rPr>
                <w:rFonts w:hint="eastAsia" w:eastAsiaTheme="minorEastAsia"/>
                <w:snapToGrid w:val="0"/>
                <w:color w:val="000000" w:themeColor="text1"/>
                <w:highlight w:val="none"/>
                <w14:textFill>
                  <w14:solidFill>
                    <w14:schemeClr w14:val="tx1"/>
                  </w14:solidFill>
                </w14:textFill>
              </w:rPr>
              <w:t>84</w:t>
            </w:r>
            <w:r>
              <w:rPr>
                <w:rFonts w:hint="eastAsia" w:eastAsia="Times New Roman"/>
                <w:snapToGrid w:val="0"/>
                <w:color w:val="000000" w:themeColor="text1"/>
                <w:highlight w:val="none"/>
                <w14:textFill>
                  <w14:solidFill>
                    <w14:schemeClr w14:val="tx1"/>
                  </w14:solidFill>
                </w14:textFill>
              </w:rPr>
              <w:t>人，</w:t>
            </w:r>
            <w:r>
              <w:rPr>
                <w:rFonts w:eastAsia="Times New Roman"/>
                <w:snapToGrid w:val="0"/>
                <w:color w:val="000000" w:themeColor="text1"/>
                <w:highlight w:val="none"/>
                <w14:textFill>
                  <w14:solidFill>
                    <w14:schemeClr w14:val="tx1"/>
                  </w14:solidFill>
                </w14:textFill>
              </w:rPr>
              <w:t>1</w:t>
            </w:r>
            <w:r>
              <w:rPr>
                <w:rFonts w:hint="eastAsia" w:eastAsia="Times New Roman"/>
                <w:snapToGrid w:val="0"/>
                <w:color w:val="000000" w:themeColor="text1"/>
                <w:highlight w:val="none"/>
                <w14:textFill>
                  <w14:solidFill>
                    <w14:schemeClr w14:val="tx1"/>
                  </w14:solidFill>
                </w14:textFill>
              </w:rPr>
              <w:t>～</w:t>
            </w:r>
            <w:r>
              <w:rPr>
                <w:rFonts w:hint="eastAsia" w:eastAsiaTheme="minorEastAsia"/>
                <w:snapToGrid w:val="0"/>
                <w:color w:val="000000" w:themeColor="text1"/>
                <w:highlight w:val="none"/>
                <w14:textFill>
                  <w14:solidFill>
                    <w14:schemeClr w14:val="tx1"/>
                  </w14:solidFill>
                </w14:textFill>
              </w:rPr>
              <w:t>3</w:t>
            </w:r>
            <w:r>
              <w:rPr>
                <w:rFonts w:eastAsia="Times New Roman"/>
                <w:snapToGrid w:val="0"/>
                <w:color w:val="000000" w:themeColor="text1"/>
                <w:highlight w:val="none"/>
                <w14:textFill>
                  <w14:solidFill>
                    <w14:schemeClr w14:val="tx1"/>
                  </w14:solidFill>
                </w14:textFill>
              </w:rPr>
              <w:t>F</w:t>
            </w:r>
            <w:r>
              <w:rPr>
                <w:rFonts w:hint="eastAsia" w:eastAsia="Times New Roman"/>
                <w:snapToGrid w:val="0"/>
                <w:color w:val="000000" w:themeColor="text1"/>
                <w:highlight w:val="none"/>
                <w14:textFill>
                  <w14:solidFill>
                    <w14:schemeClr w14:val="tx1"/>
                  </w14:solidFill>
                </w14:textFill>
              </w:rPr>
              <w:t>砖瓦房</w:t>
            </w:r>
          </w:p>
        </w:tc>
        <w:tc>
          <w:tcPr>
            <w:tcW w:w="427"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16</w:t>
            </w:r>
          </w:p>
        </w:tc>
        <w:tc>
          <w:tcPr>
            <w:tcW w:w="342"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w:t>
            </w:r>
          </w:p>
        </w:tc>
        <w:tc>
          <w:tcPr>
            <w:tcW w:w="64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6"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32</w:t>
            </w:r>
            <w:r>
              <w:rPr>
                <w:rFonts w:eastAsia="Times New Roman"/>
                <w:snapToGrid w:val="0"/>
                <w:color w:val="000000" w:themeColor="text1"/>
                <w:highlight w:val="none"/>
                <w14:textFill>
                  <w14:solidFill>
                    <w14:schemeClr w14:val="tx1"/>
                  </w14:solidFill>
                </w14:textFill>
              </w:rPr>
              <w:t>#</w:t>
            </w:r>
            <w:r>
              <w:rPr>
                <w:rFonts w:hint="eastAsia" w:ascii="宋体" w:hAnsi="宋体" w:eastAsia="Times New Roman" w:cs="宋体"/>
                <w:snapToGrid w:val="0"/>
                <w:color w:val="000000" w:themeColor="text1"/>
                <w:highlight w:val="none"/>
                <w14:textFill>
                  <w14:solidFill>
                    <w14:schemeClr w14:val="tx1"/>
                  </w14:solidFill>
                </w14:textFill>
              </w:rPr>
              <w:t>居民点</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北</w:t>
            </w:r>
            <w:r>
              <w:rPr>
                <w:rFonts w:hint="eastAsia" w:eastAsia="Times New Roman"/>
                <w:snapToGrid w:val="0"/>
                <w:color w:val="000000" w:themeColor="text1"/>
                <w:highlight w:val="none"/>
                <w14:textFill>
                  <w14:solidFill>
                    <w14:schemeClr w14:val="tx1"/>
                  </w14:solidFill>
                </w14:textFill>
              </w:rPr>
              <w:t>侧</w:t>
            </w:r>
          </w:p>
        </w:tc>
        <w:tc>
          <w:tcPr>
            <w:tcW w:w="769"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23</w:t>
            </w:r>
            <w:r>
              <w:rPr>
                <w:rFonts w:eastAsia="Times New Roman"/>
                <w:snapToGrid w:val="0"/>
                <w:color w:val="000000" w:themeColor="text1"/>
                <w:highlight w:val="none"/>
                <w14:textFill>
                  <w14:solidFill>
                    <w14:schemeClr w14:val="tx1"/>
                  </w14:solidFill>
                </w14:textFill>
              </w:rPr>
              <w:t>~</w:t>
            </w:r>
            <w:r>
              <w:rPr>
                <w:rFonts w:hint="eastAsia" w:eastAsiaTheme="minorEastAsia"/>
                <w:snapToGrid w:val="0"/>
                <w:color w:val="000000" w:themeColor="text1"/>
                <w:highlight w:val="none"/>
                <w14:textFill>
                  <w14:solidFill>
                    <w14:schemeClr w14:val="tx1"/>
                  </w14:solidFill>
                </w14:textFill>
              </w:rPr>
              <w:t>75</w:t>
            </w:r>
          </w:p>
        </w:tc>
        <w:tc>
          <w:tcPr>
            <w:tcW w:w="1622"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宋体" w:cs="宋体"/>
                <w:snapToGrid w:val="0"/>
                <w:color w:val="000000" w:themeColor="text1"/>
                <w:highlight w:val="none"/>
                <w14:textFill>
                  <w14:solidFill>
                    <w14:schemeClr w14:val="tx1"/>
                  </w14:solidFill>
                </w14:textFill>
              </w:rPr>
              <w:t>农</w:t>
            </w:r>
            <w:r>
              <w:rPr>
                <w:rFonts w:hint="eastAsia" w:eastAsia="Times New Roman"/>
                <w:snapToGrid w:val="0"/>
                <w:color w:val="000000" w:themeColor="text1"/>
                <w:highlight w:val="none"/>
                <w14:textFill>
                  <w14:solidFill>
                    <w14:schemeClr w14:val="tx1"/>
                  </w14:solidFill>
                </w14:textFill>
              </w:rPr>
              <w:t>村环境，</w:t>
            </w:r>
            <w:r>
              <w:rPr>
                <w:rFonts w:eastAsia="Times New Roman"/>
                <w:snapToGrid w:val="0"/>
                <w:color w:val="000000" w:themeColor="text1"/>
                <w:highlight w:val="none"/>
                <w14:textFill>
                  <w14:solidFill>
                    <w14:schemeClr w14:val="tx1"/>
                  </w14:solidFill>
                </w14:textFill>
              </w:rPr>
              <w:t>5</w:t>
            </w:r>
            <w:r>
              <w:rPr>
                <w:rFonts w:hint="eastAsia" w:eastAsia="Times New Roman"/>
                <w:snapToGrid w:val="0"/>
                <w:color w:val="000000" w:themeColor="text1"/>
                <w:highlight w:val="none"/>
                <w14:textFill>
                  <w14:solidFill>
                    <w14:schemeClr w14:val="tx1"/>
                  </w14:solidFill>
                </w14:textFill>
              </w:rPr>
              <w:t>户，</w:t>
            </w:r>
            <w:r>
              <w:rPr>
                <w:rFonts w:hint="eastAsia" w:eastAsiaTheme="minorEastAsia"/>
                <w:snapToGrid w:val="0"/>
                <w:color w:val="000000" w:themeColor="text1"/>
                <w:highlight w:val="none"/>
                <w14:textFill>
                  <w14:solidFill>
                    <w14:schemeClr w14:val="tx1"/>
                  </w14:solidFill>
                </w14:textFill>
              </w:rPr>
              <w:t>2</w:t>
            </w:r>
            <w:r>
              <w:rPr>
                <w:rFonts w:eastAsia="Times New Roman"/>
                <w:snapToGrid w:val="0"/>
                <w:color w:val="000000" w:themeColor="text1"/>
                <w:highlight w:val="none"/>
                <w14:textFill>
                  <w14:solidFill>
                    <w14:schemeClr w14:val="tx1"/>
                  </w14:solidFill>
                </w14:textFill>
              </w:rPr>
              <w:t>0</w:t>
            </w:r>
            <w:r>
              <w:rPr>
                <w:rFonts w:hint="eastAsia" w:eastAsia="Times New Roman"/>
                <w:snapToGrid w:val="0"/>
                <w:color w:val="000000" w:themeColor="text1"/>
                <w:highlight w:val="none"/>
                <w14:textFill>
                  <w14:solidFill>
                    <w14:schemeClr w14:val="tx1"/>
                  </w14:solidFill>
                </w14:textFill>
              </w:rPr>
              <w:t>人，</w:t>
            </w:r>
            <w:r>
              <w:rPr>
                <w:rFonts w:eastAsia="Times New Roman"/>
                <w:snapToGrid w:val="0"/>
                <w:color w:val="000000" w:themeColor="text1"/>
                <w:highlight w:val="none"/>
                <w14:textFill>
                  <w14:solidFill>
                    <w14:schemeClr w14:val="tx1"/>
                  </w14:solidFill>
                </w14:textFill>
              </w:rPr>
              <w:t>1</w:t>
            </w:r>
            <w:r>
              <w:rPr>
                <w:rFonts w:hint="eastAsia" w:eastAsia="Times New Roman"/>
                <w:snapToGrid w:val="0"/>
                <w:color w:val="000000" w:themeColor="text1"/>
                <w:highlight w:val="none"/>
                <w14:textFill>
                  <w14:solidFill>
                    <w14:schemeClr w14:val="tx1"/>
                  </w14:solidFill>
                </w14:textFill>
              </w:rPr>
              <w:t>～</w:t>
            </w:r>
            <w:r>
              <w:rPr>
                <w:rFonts w:eastAsia="Times New Roman"/>
                <w:snapToGrid w:val="0"/>
                <w:color w:val="000000" w:themeColor="text1"/>
                <w:highlight w:val="none"/>
                <w14:textFill>
                  <w14:solidFill>
                    <w14:schemeClr w14:val="tx1"/>
                  </w14:solidFill>
                </w14:textFill>
              </w:rPr>
              <w:t>3F</w:t>
            </w:r>
            <w:r>
              <w:rPr>
                <w:rFonts w:hint="eastAsia" w:eastAsia="Times New Roman"/>
                <w:snapToGrid w:val="0"/>
                <w:color w:val="000000" w:themeColor="text1"/>
                <w:highlight w:val="none"/>
                <w14:textFill>
                  <w14:solidFill>
                    <w14:schemeClr w14:val="tx1"/>
                  </w14:solidFill>
                </w14:textFill>
              </w:rPr>
              <w:t>层，砖混结构</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5</w:t>
            </w:r>
          </w:p>
        </w:tc>
        <w:tc>
          <w:tcPr>
            <w:tcW w:w="342"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w:t>
            </w:r>
          </w:p>
        </w:tc>
        <w:tc>
          <w:tcPr>
            <w:tcW w:w="64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6"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33</w:t>
            </w:r>
            <w:r>
              <w:rPr>
                <w:rFonts w:eastAsia="Times New Roman"/>
                <w:snapToGrid w:val="0"/>
                <w:color w:val="000000" w:themeColor="text1"/>
                <w:highlight w:val="none"/>
                <w14:textFill>
                  <w14:solidFill>
                    <w14:schemeClr w14:val="tx1"/>
                  </w14:solidFill>
                </w14:textFill>
              </w:rPr>
              <w:t>#</w:t>
            </w:r>
            <w:r>
              <w:rPr>
                <w:rFonts w:hint="eastAsia" w:ascii="宋体" w:hAnsi="宋体" w:eastAsia="Times New Roman" w:cs="宋体"/>
                <w:snapToGrid w:val="0"/>
                <w:color w:val="000000" w:themeColor="text1"/>
                <w:highlight w:val="none"/>
                <w14:textFill>
                  <w14:solidFill>
                    <w14:schemeClr w14:val="tx1"/>
                  </w14:solidFill>
                </w14:textFill>
              </w:rPr>
              <w:t>居民点</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北</w:t>
            </w:r>
            <w:r>
              <w:rPr>
                <w:rFonts w:hint="eastAsia" w:eastAsia="Times New Roman"/>
                <w:snapToGrid w:val="0"/>
                <w:color w:val="000000" w:themeColor="text1"/>
                <w:highlight w:val="none"/>
                <w14:textFill>
                  <w14:solidFill>
                    <w14:schemeClr w14:val="tx1"/>
                  </w14:solidFill>
                </w14:textFill>
              </w:rPr>
              <w:t>侧</w:t>
            </w:r>
          </w:p>
        </w:tc>
        <w:tc>
          <w:tcPr>
            <w:tcW w:w="769"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27</w:t>
            </w:r>
            <w:r>
              <w:rPr>
                <w:rFonts w:eastAsia="Times New Roman"/>
                <w:snapToGrid w:val="0"/>
                <w:color w:val="000000" w:themeColor="text1"/>
                <w:highlight w:val="none"/>
                <w14:textFill>
                  <w14:solidFill>
                    <w14:schemeClr w14:val="tx1"/>
                  </w14:solidFill>
                </w14:textFill>
              </w:rPr>
              <w:t>~</w:t>
            </w:r>
            <w:r>
              <w:rPr>
                <w:rFonts w:hint="eastAsia" w:eastAsiaTheme="minorEastAsia"/>
                <w:snapToGrid w:val="0"/>
                <w:color w:val="000000" w:themeColor="text1"/>
                <w:highlight w:val="none"/>
                <w14:textFill>
                  <w14:solidFill>
                    <w14:schemeClr w14:val="tx1"/>
                  </w14:solidFill>
                </w14:textFill>
              </w:rPr>
              <w:t>176</w:t>
            </w:r>
          </w:p>
        </w:tc>
        <w:tc>
          <w:tcPr>
            <w:tcW w:w="1622"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宋体" w:cs="宋体"/>
                <w:snapToGrid w:val="0"/>
                <w:color w:val="000000" w:themeColor="text1"/>
                <w:highlight w:val="none"/>
                <w14:textFill>
                  <w14:solidFill>
                    <w14:schemeClr w14:val="tx1"/>
                  </w14:solidFill>
                </w14:textFill>
              </w:rPr>
              <w:t>农</w:t>
            </w:r>
            <w:r>
              <w:rPr>
                <w:rFonts w:hint="eastAsia" w:eastAsia="Times New Roman"/>
                <w:snapToGrid w:val="0"/>
                <w:color w:val="000000" w:themeColor="text1"/>
                <w:highlight w:val="none"/>
                <w14:textFill>
                  <w14:solidFill>
                    <w14:schemeClr w14:val="tx1"/>
                  </w14:solidFill>
                </w14:textFill>
              </w:rPr>
              <w:t>村环境，</w:t>
            </w:r>
            <w:r>
              <w:rPr>
                <w:rFonts w:hint="eastAsia" w:eastAsiaTheme="minorEastAsia"/>
                <w:snapToGrid w:val="0"/>
                <w:color w:val="000000" w:themeColor="text1"/>
                <w:highlight w:val="none"/>
                <w14:textFill>
                  <w14:solidFill>
                    <w14:schemeClr w14:val="tx1"/>
                  </w14:solidFill>
                </w14:textFill>
              </w:rPr>
              <w:t>1</w:t>
            </w:r>
            <w:r>
              <w:rPr>
                <w:rFonts w:eastAsia="Times New Roman"/>
                <w:snapToGrid w:val="0"/>
                <w:color w:val="000000" w:themeColor="text1"/>
                <w:highlight w:val="none"/>
                <w14:textFill>
                  <w14:solidFill>
                    <w14:schemeClr w14:val="tx1"/>
                  </w14:solidFill>
                </w14:textFill>
              </w:rPr>
              <w:t>2</w:t>
            </w:r>
            <w:r>
              <w:rPr>
                <w:rFonts w:hint="eastAsia" w:eastAsia="Times New Roman"/>
                <w:snapToGrid w:val="0"/>
                <w:color w:val="000000" w:themeColor="text1"/>
                <w:highlight w:val="none"/>
                <w14:textFill>
                  <w14:solidFill>
                    <w14:schemeClr w14:val="tx1"/>
                  </w14:solidFill>
                </w14:textFill>
              </w:rPr>
              <w:t>户，</w:t>
            </w:r>
            <w:r>
              <w:rPr>
                <w:rFonts w:hint="eastAsia" w:eastAsiaTheme="minorEastAsia"/>
                <w:snapToGrid w:val="0"/>
                <w:color w:val="000000" w:themeColor="text1"/>
                <w:highlight w:val="none"/>
                <w14:textFill>
                  <w14:solidFill>
                    <w14:schemeClr w14:val="tx1"/>
                  </w14:solidFill>
                </w14:textFill>
              </w:rPr>
              <w:t>4</w:t>
            </w:r>
            <w:r>
              <w:rPr>
                <w:rFonts w:eastAsia="Times New Roman"/>
                <w:snapToGrid w:val="0"/>
                <w:color w:val="000000" w:themeColor="text1"/>
                <w:highlight w:val="none"/>
                <w14:textFill>
                  <w14:solidFill>
                    <w14:schemeClr w14:val="tx1"/>
                  </w14:solidFill>
                </w14:textFill>
              </w:rPr>
              <w:t>8</w:t>
            </w:r>
            <w:r>
              <w:rPr>
                <w:rFonts w:hint="eastAsia" w:eastAsia="Times New Roman"/>
                <w:snapToGrid w:val="0"/>
                <w:color w:val="000000" w:themeColor="text1"/>
                <w:highlight w:val="none"/>
                <w14:textFill>
                  <w14:solidFill>
                    <w14:schemeClr w14:val="tx1"/>
                  </w14:solidFill>
                </w14:textFill>
              </w:rPr>
              <w:t>人，</w:t>
            </w:r>
            <w:r>
              <w:rPr>
                <w:rFonts w:eastAsia="Times New Roman"/>
                <w:snapToGrid w:val="0"/>
                <w:color w:val="000000" w:themeColor="text1"/>
                <w:highlight w:val="none"/>
                <w14:textFill>
                  <w14:solidFill>
                    <w14:schemeClr w14:val="tx1"/>
                  </w14:solidFill>
                </w14:textFill>
              </w:rPr>
              <w:t>1</w:t>
            </w:r>
            <w:r>
              <w:rPr>
                <w:rFonts w:hint="eastAsia" w:eastAsia="Times New Roman"/>
                <w:snapToGrid w:val="0"/>
                <w:color w:val="000000" w:themeColor="text1"/>
                <w:highlight w:val="none"/>
                <w14:textFill>
                  <w14:solidFill>
                    <w14:schemeClr w14:val="tx1"/>
                  </w14:solidFill>
                </w14:textFill>
              </w:rPr>
              <w:t>～</w:t>
            </w:r>
            <w:r>
              <w:rPr>
                <w:rFonts w:eastAsia="Times New Roman"/>
                <w:snapToGrid w:val="0"/>
                <w:color w:val="000000" w:themeColor="text1"/>
                <w:highlight w:val="none"/>
                <w14:textFill>
                  <w14:solidFill>
                    <w14:schemeClr w14:val="tx1"/>
                  </w14:solidFill>
                </w14:textFill>
              </w:rPr>
              <w:t>3F</w:t>
            </w:r>
            <w:r>
              <w:rPr>
                <w:rFonts w:hint="eastAsia" w:eastAsia="Times New Roman"/>
                <w:snapToGrid w:val="0"/>
                <w:color w:val="000000" w:themeColor="text1"/>
                <w:highlight w:val="none"/>
                <w14:textFill>
                  <w14:solidFill>
                    <w14:schemeClr w14:val="tx1"/>
                  </w14:solidFill>
                </w14:textFill>
              </w:rPr>
              <w:t>层，砖混结构</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4</w:t>
            </w:r>
          </w:p>
        </w:tc>
        <w:tc>
          <w:tcPr>
            <w:tcW w:w="342"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8</w:t>
            </w:r>
          </w:p>
        </w:tc>
        <w:tc>
          <w:tcPr>
            <w:tcW w:w="647" w:type="pct"/>
            <w:vMerge w:val="continue"/>
            <w:vAlign w:val="center"/>
          </w:tcPr>
          <w:p>
            <w:pPr>
              <w:pStyle w:val="118"/>
              <w:rPr>
                <w:rFonts w:eastAsiaTheme="minorEastAsia"/>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6"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34</w:t>
            </w:r>
            <w:r>
              <w:rPr>
                <w:rFonts w:eastAsia="Times New Roman"/>
                <w:snapToGrid w:val="0"/>
                <w:color w:val="000000" w:themeColor="text1"/>
                <w:highlight w:val="none"/>
                <w14:textFill>
                  <w14:solidFill>
                    <w14:schemeClr w14:val="tx1"/>
                  </w14:solidFill>
                </w14:textFill>
              </w:rPr>
              <w:t>#</w:t>
            </w:r>
            <w:r>
              <w:rPr>
                <w:rFonts w:hint="eastAsia" w:ascii="宋体" w:hAnsi="宋体" w:eastAsia="Times New Roman" w:cs="宋体"/>
                <w:snapToGrid w:val="0"/>
                <w:color w:val="000000" w:themeColor="text1"/>
                <w:highlight w:val="none"/>
                <w14:textFill>
                  <w14:solidFill>
                    <w14:schemeClr w14:val="tx1"/>
                  </w14:solidFill>
                </w14:textFill>
              </w:rPr>
              <w:t>居民点</w:t>
            </w:r>
          </w:p>
        </w:tc>
        <w:tc>
          <w:tcPr>
            <w:tcW w:w="42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南</w:t>
            </w:r>
            <w:r>
              <w:rPr>
                <w:rFonts w:hint="eastAsia" w:eastAsia="Times New Roman"/>
                <w:snapToGrid w:val="0"/>
                <w:color w:val="000000" w:themeColor="text1"/>
                <w:highlight w:val="none"/>
                <w14:textFill>
                  <w14:solidFill>
                    <w14:schemeClr w14:val="tx1"/>
                  </w14:solidFill>
                </w14:textFill>
              </w:rPr>
              <w:t>侧</w:t>
            </w:r>
          </w:p>
        </w:tc>
        <w:tc>
          <w:tcPr>
            <w:tcW w:w="769"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124</w:t>
            </w:r>
            <w:r>
              <w:rPr>
                <w:rFonts w:eastAsia="Times New Roman"/>
                <w:snapToGrid w:val="0"/>
                <w:color w:val="000000" w:themeColor="text1"/>
                <w:highlight w:val="none"/>
                <w14:textFill>
                  <w14:solidFill>
                    <w14:schemeClr w14:val="tx1"/>
                  </w14:solidFill>
                </w14:textFill>
              </w:rPr>
              <w:t>~</w:t>
            </w:r>
            <w:r>
              <w:rPr>
                <w:rFonts w:hint="eastAsia" w:eastAsiaTheme="minorEastAsia"/>
                <w:snapToGrid w:val="0"/>
                <w:color w:val="000000" w:themeColor="text1"/>
                <w:highlight w:val="none"/>
                <w14:textFill>
                  <w14:solidFill>
                    <w14:schemeClr w14:val="tx1"/>
                  </w14:solidFill>
                </w14:textFill>
              </w:rPr>
              <w:t>192</w:t>
            </w:r>
          </w:p>
        </w:tc>
        <w:tc>
          <w:tcPr>
            <w:tcW w:w="1622"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农村环境，</w:t>
            </w:r>
            <w:r>
              <w:rPr>
                <w:rFonts w:hint="eastAsia" w:eastAsiaTheme="minorEastAsia"/>
                <w:snapToGrid w:val="0"/>
                <w:color w:val="000000" w:themeColor="text1"/>
                <w:highlight w:val="none"/>
                <w14:textFill>
                  <w14:solidFill>
                    <w14:schemeClr w14:val="tx1"/>
                  </w14:solidFill>
                </w14:textFill>
              </w:rPr>
              <w:t>5</w:t>
            </w:r>
            <w:r>
              <w:rPr>
                <w:rFonts w:hint="eastAsia" w:eastAsia="Times New Roman"/>
                <w:snapToGrid w:val="0"/>
                <w:color w:val="000000" w:themeColor="text1"/>
                <w:highlight w:val="none"/>
                <w14:textFill>
                  <w14:solidFill>
                    <w14:schemeClr w14:val="tx1"/>
                  </w14:solidFill>
                </w14:textFill>
              </w:rPr>
              <w:t>户</w:t>
            </w:r>
            <w:r>
              <w:rPr>
                <w:rFonts w:hint="eastAsia" w:eastAsiaTheme="minorEastAsia"/>
                <w:snapToGrid w:val="0"/>
                <w:color w:val="000000" w:themeColor="text1"/>
                <w:highlight w:val="none"/>
                <w14:textFill>
                  <w14:solidFill>
                    <w14:schemeClr w14:val="tx1"/>
                  </w14:solidFill>
                </w14:textFill>
              </w:rPr>
              <w:t>20</w:t>
            </w:r>
            <w:r>
              <w:rPr>
                <w:rFonts w:hint="eastAsia" w:eastAsia="Times New Roman"/>
                <w:snapToGrid w:val="0"/>
                <w:color w:val="000000" w:themeColor="text1"/>
                <w:highlight w:val="none"/>
                <w14:textFill>
                  <w14:solidFill>
                    <w14:schemeClr w14:val="tx1"/>
                  </w14:solidFill>
                </w14:textFill>
              </w:rPr>
              <w:t>人，</w:t>
            </w:r>
            <w:r>
              <w:rPr>
                <w:rFonts w:eastAsia="Times New Roman"/>
                <w:snapToGrid w:val="0"/>
                <w:color w:val="000000" w:themeColor="text1"/>
                <w:highlight w:val="none"/>
                <w14:textFill>
                  <w14:solidFill>
                    <w14:schemeClr w14:val="tx1"/>
                  </w14:solidFill>
                </w14:textFill>
              </w:rPr>
              <w:t>1</w:t>
            </w:r>
            <w:r>
              <w:rPr>
                <w:rFonts w:hint="eastAsia" w:eastAsia="Times New Roman"/>
                <w:snapToGrid w:val="0"/>
                <w:color w:val="000000" w:themeColor="text1"/>
                <w:highlight w:val="none"/>
                <w14:textFill>
                  <w14:solidFill>
                    <w14:schemeClr w14:val="tx1"/>
                  </w14:solidFill>
                </w14:textFill>
              </w:rPr>
              <w:t>～</w:t>
            </w:r>
            <w:r>
              <w:rPr>
                <w:rFonts w:hint="eastAsia" w:eastAsiaTheme="minorEastAsia"/>
                <w:snapToGrid w:val="0"/>
                <w:color w:val="000000" w:themeColor="text1"/>
                <w:highlight w:val="none"/>
                <w14:textFill>
                  <w14:solidFill>
                    <w14:schemeClr w14:val="tx1"/>
                  </w14:solidFill>
                </w14:textFill>
              </w:rPr>
              <w:t>3</w:t>
            </w:r>
            <w:r>
              <w:rPr>
                <w:rFonts w:eastAsia="Times New Roman"/>
                <w:snapToGrid w:val="0"/>
                <w:color w:val="000000" w:themeColor="text1"/>
                <w:highlight w:val="none"/>
                <w14:textFill>
                  <w14:solidFill>
                    <w14:schemeClr w14:val="tx1"/>
                  </w14:solidFill>
                </w14:textFill>
              </w:rPr>
              <w:t>F</w:t>
            </w:r>
            <w:r>
              <w:rPr>
                <w:rFonts w:hint="eastAsia" w:eastAsia="Times New Roman"/>
                <w:snapToGrid w:val="0"/>
                <w:color w:val="000000" w:themeColor="text1"/>
                <w:highlight w:val="none"/>
                <w14:textFill>
                  <w14:solidFill>
                    <w14:schemeClr w14:val="tx1"/>
                  </w14:solidFill>
                </w14:textFill>
              </w:rPr>
              <w:t>砖瓦房</w:t>
            </w:r>
          </w:p>
        </w:tc>
        <w:tc>
          <w:tcPr>
            <w:tcW w:w="427"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2</w:t>
            </w:r>
          </w:p>
        </w:tc>
        <w:tc>
          <w:tcPr>
            <w:tcW w:w="342" w:type="pct"/>
            <w:vAlign w:val="center"/>
          </w:tcPr>
          <w:p>
            <w:pPr>
              <w:pStyle w:val="118"/>
              <w:rPr>
                <w:rFonts w:ascii="宋体" w:hAnsi="宋体" w:eastAsia="Times New Roman" w:cs="宋体"/>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3</w:t>
            </w:r>
          </w:p>
        </w:tc>
        <w:tc>
          <w:tcPr>
            <w:tcW w:w="647" w:type="pct"/>
            <w:vMerge w:val="continue"/>
            <w:vAlign w:val="center"/>
          </w:tcPr>
          <w:p>
            <w:pPr>
              <w:pStyle w:val="118"/>
              <w:rPr>
                <w:rFonts w:eastAsiaTheme="minorEastAsia"/>
                <w:snapToGrid w:val="0"/>
                <w:color w:val="000000" w:themeColor="text1"/>
                <w:highlight w:val="none"/>
                <w14:textFill>
                  <w14:solidFill>
                    <w14:schemeClr w14:val="tx1"/>
                  </w14:solidFill>
                </w14:textFill>
              </w:rPr>
            </w:pPr>
          </w:p>
        </w:tc>
      </w:tr>
    </w:tbl>
    <w:p>
      <w:pPr>
        <w:pStyle w:val="6"/>
        <w:numPr>
          <w:ilvl w:val="0"/>
          <w:numId w:val="0"/>
        </w:numPr>
        <w:spacing w:before="120"/>
        <w:ind w:firstLine="20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2.9.2.6</w:t>
      </w:r>
      <w:r>
        <w:rPr>
          <w:color w:val="000000" w:themeColor="text1"/>
          <w:highlight w:val="none"/>
          <w14:textFill>
            <w14:solidFill>
              <w14:schemeClr w14:val="tx1"/>
            </w14:solidFill>
          </w14:textFill>
        </w:rPr>
        <w:t>土壤保护目标</w:t>
      </w:r>
    </w:p>
    <w:p>
      <w:pPr>
        <w:tabs>
          <w:tab w:val="left" w:pos="0"/>
        </w:tabs>
        <w:ind w:firstLine="480"/>
        <w:rPr>
          <w:rFonts w:cs="Times New Roman"/>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根据本次现状监测结果，本项目所在地周边土壤以棕色土壤为主。本项目土壤环境保护目标主要为项目占地范围以及占地范围外0.2km内的耕地（含基本农田）、</w:t>
      </w:r>
      <w:r>
        <w:rPr>
          <w:rFonts w:hint="eastAsia"/>
          <w:bCs/>
          <w:color w:val="000000" w:themeColor="text1"/>
          <w:szCs w:val="24"/>
          <w:highlight w:val="none"/>
          <w14:textFill>
            <w14:solidFill>
              <w14:schemeClr w14:val="tx1"/>
            </w14:solidFill>
          </w14:textFill>
        </w:rPr>
        <w:t>林</w:t>
      </w:r>
      <w:r>
        <w:rPr>
          <w:bCs/>
          <w:color w:val="000000" w:themeColor="text1"/>
          <w:szCs w:val="24"/>
          <w:highlight w:val="none"/>
          <w14:textFill>
            <w14:solidFill>
              <w14:schemeClr w14:val="tx1"/>
            </w14:solidFill>
          </w14:textFill>
        </w:rPr>
        <w:t>地等。</w:t>
      </w:r>
    </w:p>
    <w:p>
      <w:pPr>
        <w:pStyle w:val="6"/>
        <w:numPr>
          <w:ilvl w:val="0"/>
          <w:numId w:val="0"/>
        </w:numPr>
        <w:spacing w:before="120"/>
        <w:ind w:firstLine="20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2.9.2.7</w:t>
      </w:r>
      <w:r>
        <w:rPr>
          <w:color w:val="000000" w:themeColor="text1"/>
          <w:highlight w:val="none"/>
          <w14:textFill>
            <w14:solidFill>
              <w14:schemeClr w14:val="tx1"/>
            </w14:solidFill>
          </w14:textFill>
        </w:rPr>
        <w:t>环境风险保护目标</w:t>
      </w:r>
    </w:p>
    <w:p>
      <w:pPr>
        <w:tabs>
          <w:tab w:val="left" w:pos="0"/>
        </w:tabs>
        <w:ind w:firstLine="480"/>
        <w:rPr>
          <w:rFonts w:cs="Times New Roman"/>
          <w:bCs/>
          <w:color w:val="000000" w:themeColor="text1"/>
          <w:szCs w:val="24"/>
          <w:highlight w:val="none"/>
          <w14:textFill>
            <w14:solidFill>
              <w14:schemeClr w14:val="tx1"/>
            </w14:solidFill>
          </w14:textFill>
        </w:rPr>
      </w:pPr>
      <w:r>
        <w:rPr>
          <w:rFonts w:hint="eastAsia"/>
          <w:color w:val="000000" w:themeColor="text1"/>
          <w:highlight w:val="none"/>
          <w14:textFill>
            <w14:solidFill>
              <w14:schemeClr w14:val="tx1"/>
            </w14:solidFill>
          </w14:textFill>
        </w:rPr>
        <w:t>大气环境风险</w:t>
      </w:r>
      <w:r>
        <w:rPr>
          <w:color w:val="000000" w:themeColor="text1"/>
          <w:highlight w:val="none"/>
          <w14:textFill>
            <w14:solidFill>
              <w14:schemeClr w14:val="tx1"/>
            </w14:solidFill>
          </w14:textFill>
        </w:rPr>
        <w:t>保护目标与大气环境保护目标一致，为</w:t>
      </w:r>
      <w:r>
        <w:rPr>
          <w:rFonts w:hint="eastAsia"/>
          <w:color w:val="000000" w:themeColor="text1"/>
          <w:highlight w:val="none"/>
          <w14:textFill>
            <w14:solidFill>
              <w14:schemeClr w14:val="tx1"/>
            </w14:solidFill>
          </w14:textFill>
        </w:rPr>
        <w:t>以试采站为中心边长</w:t>
      </w:r>
      <w:r>
        <w:rPr>
          <w:color w:val="000000" w:themeColor="text1"/>
          <w:highlight w:val="none"/>
          <w14:textFill>
            <w14:solidFill>
              <w14:schemeClr w14:val="tx1"/>
            </w14:solidFill>
          </w14:textFill>
        </w:rPr>
        <w:t>5km</w:t>
      </w:r>
      <w:r>
        <w:rPr>
          <w:rFonts w:hint="eastAsia"/>
          <w:color w:val="000000" w:themeColor="text1"/>
          <w:highlight w:val="none"/>
          <w14:textFill>
            <w14:solidFill>
              <w14:schemeClr w14:val="tx1"/>
            </w14:solidFill>
          </w14:textFill>
        </w:rPr>
        <w:t>的</w:t>
      </w:r>
      <w:r>
        <w:rPr>
          <w:color w:val="000000" w:themeColor="text1"/>
          <w:highlight w:val="none"/>
          <w14:textFill>
            <w14:solidFill>
              <w14:schemeClr w14:val="tx1"/>
            </w14:solidFill>
          </w14:textFill>
        </w:rPr>
        <w:t>矩形范围内及集输管线两侧200m范围内的居民</w:t>
      </w:r>
      <w:r>
        <w:rPr>
          <w:rFonts w:hint="eastAsia"/>
          <w:color w:val="000000" w:themeColor="text1"/>
          <w:highlight w:val="none"/>
          <w14:textFill>
            <w14:solidFill>
              <w14:schemeClr w14:val="tx1"/>
            </w14:solidFill>
          </w14:textFill>
        </w:rPr>
        <w:t>，保护居民生产生活不受到本项目影响，具体见表2.9-4</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表2.9-5</w:t>
      </w:r>
      <w:r>
        <w:rPr>
          <w:color w:val="000000" w:themeColor="text1"/>
          <w:highlight w:val="none"/>
          <w14:textFill>
            <w14:solidFill>
              <w14:schemeClr w14:val="tx1"/>
            </w14:solidFill>
          </w14:textFill>
        </w:rPr>
        <w:t>；地表水环境风险保护目标与地表水环境保护目标一致，为管线穿越的</w:t>
      </w:r>
      <w:r>
        <w:rPr>
          <w:rFonts w:hint="eastAsia"/>
          <w:color w:val="000000" w:themeColor="text1"/>
          <w:highlight w:val="none"/>
          <w14:textFill>
            <w14:solidFill>
              <w14:schemeClr w14:val="tx1"/>
            </w14:solidFill>
          </w14:textFill>
        </w:rPr>
        <w:t>州河支流</w:t>
      </w:r>
      <w:r>
        <w:rPr>
          <w:color w:val="000000" w:themeColor="text1"/>
          <w:highlight w:val="none"/>
          <w14:textFill>
            <w14:solidFill>
              <w14:schemeClr w14:val="tx1"/>
            </w14:solidFill>
          </w14:textFill>
        </w:rPr>
        <w:t>和</w:t>
      </w:r>
      <w:r>
        <w:rPr>
          <w:rFonts w:hint="eastAsia"/>
          <w:color w:val="000000" w:themeColor="text1"/>
          <w:highlight w:val="none"/>
          <w14:textFill>
            <w14:solidFill>
              <w14:schemeClr w14:val="tx1"/>
            </w14:solidFill>
          </w14:textFill>
        </w:rPr>
        <w:t>一般</w:t>
      </w:r>
      <w:r>
        <w:rPr>
          <w:color w:val="000000" w:themeColor="text1"/>
          <w:highlight w:val="none"/>
          <w14:textFill>
            <w14:solidFill>
              <w14:schemeClr w14:val="tx1"/>
            </w14:solidFill>
          </w14:textFill>
        </w:rPr>
        <w:t>沟渠</w:t>
      </w:r>
      <w:r>
        <w:rPr>
          <w:rFonts w:hint="eastAsia"/>
          <w:color w:val="000000" w:themeColor="text1"/>
          <w:highlight w:val="none"/>
          <w14:textFill>
            <w14:solidFill>
              <w14:schemeClr w14:val="tx1"/>
            </w14:solidFill>
          </w14:textFill>
        </w:rPr>
        <w:t>，保护地表水质不因本项目受到影响，具体见表2.9-1</w:t>
      </w:r>
      <w:r>
        <w:rPr>
          <w:color w:val="000000" w:themeColor="text1"/>
          <w:highlight w:val="none"/>
          <w14:textFill>
            <w14:solidFill>
              <w14:schemeClr w14:val="tx1"/>
            </w14:solidFill>
          </w14:textFill>
        </w:rPr>
        <w:t>；地下水环境风险保护目标与地下水环境保护目标一致，为评价范围内的</w:t>
      </w:r>
      <w:r>
        <w:rPr>
          <w:rFonts w:hint="eastAsia"/>
          <w:color w:val="000000" w:themeColor="text1"/>
          <w:highlight w:val="none"/>
          <w14:textFill>
            <w14:solidFill>
              <w14:schemeClr w14:val="tx1"/>
            </w14:solidFill>
          </w14:textFill>
        </w:rPr>
        <w:t>泉水和</w:t>
      </w:r>
      <w:r>
        <w:rPr>
          <w:color w:val="000000" w:themeColor="text1"/>
          <w:highlight w:val="none"/>
          <w14:textFill>
            <w14:solidFill>
              <w14:schemeClr w14:val="tx1"/>
            </w14:solidFill>
          </w14:textFill>
        </w:rPr>
        <w:t>居民饮用水井</w:t>
      </w:r>
      <w:r>
        <w:rPr>
          <w:rFonts w:hint="eastAsia"/>
          <w:color w:val="000000" w:themeColor="text1"/>
          <w:highlight w:val="none"/>
          <w14:textFill>
            <w14:solidFill>
              <w14:schemeClr w14:val="tx1"/>
            </w14:solidFill>
          </w14:textFill>
        </w:rPr>
        <w:t>，保护地下水水质不因本项目受到影响，具体见表2.9-2</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表2.9-3</w:t>
      </w:r>
      <w:r>
        <w:rPr>
          <w:rFonts w:hint="eastAsia" w:cs="Times New Roman"/>
          <w:color w:val="000000" w:themeColor="text1"/>
          <w:szCs w:val="24"/>
          <w:highlight w:val="none"/>
          <w14:textFill>
            <w14:solidFill>
              <w14:schemeClr w14:val="tx1"/>
            </w14:solidFill>
          </w14:textFill>
        </w:rPr>
        <w:t>。</w:t>
      </w:r>
    </w:p>
    <w:p>
      <w:pPr>
        <w:pStyle w:val="5"/>
        <w:spacing w:before="120"/>
        <w:ind w:firstLine="480"/>
        <w:rPr>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自然保护区、风景名胜区、文物古迹</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本项目不涉及自然保护区、风景名胜区和文物古迹。</w:t>
      </w:r>
    </w:p>
    <w:p>
      <w:pPr>
        <w:pStyle w:val="4"/>
        <w:spacing w:before="120"/>
        <w:rPr>
          <w:color w:val="000000" w:themeColor="text1"/>
          <w:highlight w:val="none"/>
          <w:lang w:eastAsia="zh-CN"/>
          <w14:textFill>
            <w14:solidFill>
              <w14:schemeClr w14:val="tx1"/>
            </w14:solidFill>
          </w14:textFill>
        </w:rPr>
      </w:pPr>
      <w:bookmarkStart w:id="107" w:name="_Toc11781"/>
      <w:r>
        <w:rPr>
          <w:color w:val="000000" w:themeColor="text1"/>
          <w:highlight w:val="none"/>
          <w:lang w:eastAsia="zh-CN"/>
          <w14:textFill>
            <w14:solidFill>
              <w14:schemeClr w14:val="tx1"/>
            </w14:solidFill>
          </w14:textFill>
        </w:rPr>
        <w:t>工程方案的合理性分析</w:t>
      </w:r>
      <w:bookmarkEnd w:id="107"/>
    </w:p>
    <w:p>
      <w:pPr>
        <w:pStyle w:val="5"/>
        <w:spacing w:before="120"/>
        <w:ind w:firstLine="480"/>
        <w:rPr>
          <w:b/>
          <w:color w:val="000000" w:themeColor="text1"/>
          <w:highlight w:val="none"/>
          <w:lang w:eastAsia="zh-CN"/>
          <w14:textFill>
            <w14:solidFill>
              <w14:schemeClr w14:val="tx1"/>
            </w14:solidFill>
          </w14:textFill>
        </w:rPr>
      </w:pPr>
      <w:bookmarkStart w:id="108" w:name="_Toc120173088"/>
      <w:r>
        <w:rPr>
          <w:color w:val="000000" w:themeColor="text1"/>
          <w:highlight w:val="none"/>
          <w:lang w:eastAsia="zh-CN"/>
          <w14:textFill>
            <w14:solidFill>
              <w14:schemeClr w14:val="tx1"/>
            </w14:solidFill>
          </w14:textFill>
        </w:rPr>
        <w:t>项目选址合理性分析</w:t>
      </w:r>
      <w:bookmarkEnd w:id="108"/>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根据现场调查，本项目处于农村环境，本项目</w:t>
      </w:r>
      <w:r>
        <w:rPr>
          <w:rFonts w:hint="eastAsia"/>
          <w:color w:val="000000" w:themeColor="text1"/>
          <w:highlight w:val="none"/>
          <w14:textFill>
            <w14:solidFill>
              <w14:schemeClr w14:val="tx1"/>
            </w14:solidFill>
          </w14:textFill>
        </w:rPr>
        <w:t>试</w:t>
      </w:r>
      <w:r>
        <w:rPr>
          <w:color w:val="000000" w:themeColor="text1"/>
          <w:highlight w:val="none"/>
          <w14:textFill>
            <w14:solidFill>
              <w14:schemeClr w14:val="tx1"/>
            </w14:solidFill>
          </w14:textFill>
        </w:rPr>
        <w:t>采期</w:t>
      </w:r>
      <w:r>
        <w:rPr>
          <w:rFonts w:hint="eastAsia"/>
          <w:color w:val="000000" w:themeColor="text1"/>
          <w:highlight w:val="none"/>
          <w14:textFill>
            <w14:solidFill>
              <w14:schemeClr w14:val="tx1"/>
            </w14:solidFill>
          </w14:textFill>
        </w:rPr>
        <w:t>站场</w:t>
      </w:r>
      <w:r>
        <w:rPr>
          <w:color w:val="000000" w:themeColor="text1"/>
          <w:highlight w:val="none"/>
          <w14:textFill>
            <w14:solidFill>
              <w14:schemeClr w14:val="tx1"/>
            </w14:solidFill>
          </w14:textFill>
        </w:rPr>
        <w:t>为五级站场，周围</w:t>
      </w:r>
      <w:r>
        <w:rPr>
          <w:rFonts w:hint="eastAsia"/>
          <w:color w:val="000000" w:themeColor="text1"/>
          <w:highlight w:val="none"/>
          <w14:textFill>
            <w14:solidFill>
              <w14:schemeClr w14:val="tx1"/>
            </w14:solidFill>
          </w14:textFill>
        </w:rPr>
        <w:t>零散分布有部分居民，</w:t>
      </w:r>
      <w:r>
        <w:rPr>
          <w:color w:val="000000" w:themeColor="text1"/>
          <w:highlight w:val="none"/>
          <w14:textFill>
            <w14:solidFill>
              <w14:schemeClr w14:val="tx1"/>
            </w14:solidFill>
          </w14:textFill>
        </w:rPr>
        <w:t>无厂矿企业、35kV及以上独立变电所、无林地、无高速公路和铁路、无架空电力线路，300m范围内无爆炸作业场地，满足《石油天然气工程设计防火规范》（GB50183-2004）等要求。</w:t>
      </w:r>
    </w:p>
    <w:p>
      <w:pPr>
        <w:ind w:firstLine="480"/>
        <w:rPr>
          <w:rFonts w:cs="Times New Roman"/>
          <w:color w:val="000000" w:themeColor="text1"/>
          <w:szCs w:val="24"/>
          <w:highlight w:val="none"/>
          <w14:textFill>
            <w14:solidFill>
              <w14:schemeClr w14:val="tx1"/>
            </w14:solidFill>
          </w14:textFill>
        </w:rPr>
      </w:pPr>
      <w:r>
        <w:rPr>
          <w:bCs/>
          <w:color w:val="000000" w:themeColor="text1"/>
          <w:highlight w:val="none"/>
          <w14:textFill>
            <w14:solidFill>
              <w14:schemeClr w14:val="tx1"/>
            </w14:solidFill>
          </w14:textFill>
        </w:rPr>
        <w:t>拟建项目选址内无泉眼、地下暗河等控制性水点分布，不涉及各类保护区</w:t>
      </w:r>
      <w:r>
        <w:rPr>
          <w:rFonts w:hint="eastAsia"/>
          <w:bCs/>
          <w:color w:val="000000" w:themeColor="text1"/>
          <w:highlight w:val="none"/>
          <w14:textFill>
            <w14:solidFill>
              <w14:schemeClr w14:val="tx1"/>
            </w14:solidFill>
          </w14:textFill>
        </w:rPr>
        <w:t>及</w:t>
      </w:r>
      <w:r>
        <w:rPr>
          <w:bCs/>
          <w:color w:val="000000" w:themeColor="text1"/>
          <w:highlight w:val="none"/>
          <w14:textFill>
            <w14:solidFill>
              <w14:schemeClr w14:val="tx1"/>
            </w14:solidFill>
          </w14:textFill>
        </w:rPr>
        <w:t>环境敏感区，符合规划和国土管理方面的规定，其选址比较理想。本项目为在原雷页1井场</w:t>
      </w:r>
      <w:r>
        <w:rPr>
          <w:rFonts w:hint="eastAsia"/>
          <w:bCs/>
          <w:color w:val="000000" w:themeColor="text1"/>
          <w:highlight w:val="none"/>
          <w14:textFill>
            <w14:solidFill>
              <w14:schemeClr w14:val="tx1"/>
            </w14:solidFill>
          </w14:textFill>
        </w:rPr>
        <w:t>西侧</w:t>
      </w:r>
      <w:r>
        <w:rPr>
          <w:bCs/>
          <w:color w:val="000000" w:themeColor="text1"/>
          <w:highlight w:val="none"/>
          <w14:textFill>
            <w14:solidFill>
              <w14:schemeClr w14:val="tx1"/>
            </w14:solidFill>
          </w14:textFill>
        </w:rPr>
        <w:t>进行建设，新增占地</w:t>
      </w:r>
      <w:r>
        <w:rPr>
          <w:rFonts w:hint="eastAsia"/>
          <w:bCs/>
          <w:color w:val="000000" w:themeColor="text1"/>
          <w:highlight w:val="none"/>
          <w14:textFill>
            <w14:solidFill>
              <w14:schemeClr w14:val="tx1"/>
            </w14:solidFill>
          </w14:textFill>
        </w:rPr>
        <w:t>较小</w:t>
      </w:r>
      <w:r>
        <w:rPr>
          <w:bCs/>
          <w:color w:val="000000" w:themeColor="text1"/>
          <w:highlight w:val="none"/>
          <w14:textFill>
            <w14:solidFill>
              <w14:schemeClr w14:val="tx1"/>
            </w14:solidFill>
          </w14:textFill>
        </w:rPr>
        <w:t>，能够有效</w:t>
      </w:r>
      <w:r>
        <w:rPr>
          <w:rFonts w:hint="eastAsia"/>
          <w:bCs/>
          <w:color w:val="000000" w:themeColor="text1"/>
          <w:highlight w:val="none"/>
          <w14:textFill>
            <w14:solidFill>
              <w14:schemeClr w14:val="tx1"/>
            </w14:solidFill>
          </w14:textFill>
        </w:rPr>
        <w:t>地</w:t>
      </w:r>
      <w:r>
        <w:rPr>
          <w:bCs/>
          <w:color w:val="000000" w:themeColor="text1"/>
          <w:highlight w:val="none"/>
          <w14:textFill>
            <w14:solidFill>
              <w14:schemeClr w14:val="tx1"/>
            </w14:solidFill>
          </w14:textFill>
        </w:rPr>
        <w:t>降低项目建设和运营对区域生态环境的影响。选址位于当地城镇规划区外，不涉及环境敏感区，符合“三线一单”管控要求。因此项目选址合理</w:t>
      </w:r>
      <w:r>
        <w:rPr>
          <w:rFonts w:cs="Times New Roman"/>
          <w:color w:val="000000" w:themeColor="text1"/>
          <w:szCs w:val="24"/>
          <w:highlight w:val="none"/>
          <w14:textFill>
            <w14:solidFill>
              <w14:schemeClr w14:val="tx1"/>
            </w14:solidFill>
          </w14:textFill>
        </w:rPr>
        <w:t>。</w:t>
      </w:r>
    </w:p>
    <w:p>
      <w:pPr>
        <w:pStyle w:val="5"/>
        <w:spacing w:before="120"/>
        <w:ind w:firstLine="480"/>
        <w:rPr>
          <w:color w:val="000000" w:themeColor="text1"/>
          <w:highlight w:val="none"/>
          <w:lang w:eastAsia="zh-CN"/>
          <w14:textFill>
            <w14:solidFill>
              <w14:schemeClr w14:val="tx1"/>
            </w14:solidFill>
          </w14:textFill>
        </w:rPr>
      </w:pPr>
      <w:r>
        <w:rPr>
          <w:color w:val="000000" w:themeColor="text1"/>
          <w:highlight w:val="none"/>
          <w:lang w:eastAsia="zh-CN"/>
          <w14:textFill>
            <w14:solidFill>
              <w14:schemeClr w14:val="tx1"/>
            </w14:solidFill>
          </w14:textFill>
        </w:rPr>
        <w:t>集输管线路由</w:t>
      </w:r>
      <w:r>
        <w:rPr>
          <w:rFonts w:hint="eastAsia"/>
          <w:color w:val="000000" w:themeColor="text1"/>
          <w:highlight w:val="none"/>
          <w:lang w:eastAsia="zh-CN"/>
          <w14:textFill>
            <w14:solidFill>
              <w14:schemeClr w14:val="tx1"/>
            </w14:solidFill>
          </w14:textFill>
        </w:rPr>
        <w:t>方案比选</w:t>
      </w:r>
    </w:p>
    <w:p>
      <w:pPr>
        <w:widowControl/>
        <w:adjustRightInd/>
        <w:snapToGrid/>
        <w:ind w:firstLine="482"/>
        <w:rPr>
          <w:rFonts w:cs="Times New Roman"/>
          <w:b/>
          <w:bCs/>
          <w:color w:val="000000" w:themeColor="text1"/>
          <w:kern w:val="0"/>
          <w:szCs w:val="24"/>
          <w:highlight w:val="none"/>
          <w14:textFill>
            <w14:solidFill>
              <w14:schemeClr w14:val="tx1"/>
            </w14:solidFill>
          </w14:textFill>
        </w:rPr>
      </w:pPr>
      <w:r>
        <w:rPr>
          <w:rFonts w:hint="eastAsia" w:cs="Times New Roman"/>
          <w:b/>
          <w:bCs/>
          <w:color w:val="000000" w:themeColor="text1"/>
          <w:kern w:val="0"/>
          <w:szCs w:val="24"/>
          <w:highlight w:val="none"/>
          <w14:textFill>
            <w14:solidFill>
              <w14:schemeClr w14:val="tx1"/>
            </w14:solidFill>
          </w14:textFill>
        </w:rPr>
        <w:t>（1）外输流向方案比选</w:t>
      </w:r>
    </w:p>
    <w:p>
      <w:pPr>
        <w:widowControl/>
        <w:adjustRightInd/>
        <w:snapToGrid/>
        <w:ind w:firstLine="482"/>
        <w:rPr>
          <w:rFonts w:cs="Times New Roman"/>
          <w:b/>
          <w:bCs/>
          <w:color w:val="000000" w:themeColor="text1"/>
          <w:kern w:val="0"/>
          <w:szCs w:val="24"/>
          <w:highlight w:val="none"/>
          <w14:textFill>
            <w14:solidFill>
              <w14:schemeClr w14:val="tx1"/>
            </w14:solidFill>
          </w14:textFill>
        </w:rPr>
      </w:pPr>
      <w:r>
        <w:rPr>
          <w:rFonts w:hint="eastAsia" w:cs="Times New Roman"/>
          <w:b/>
          <w:bCs/>
          <w:color w:val="000000" w:themeColor="text1"/>
          <w:kern w:val="0"/>
          <w:szCs w:val="24"/>
          <w:highlight w:val="none"/>
          <w14:textFill>
            <w14:solidFill>
              <w14:schemeClr w14:val="tx1"/>
            </w14:solidFill>
          </w14:textFill>
        </w:rPr>
        <w:t>1）雷页1井试采站周边管网简介：</w:t>
      </w:r>
    </w:p>
    <w:p>
      <w:pPr>
        <w:widowControl/>
        <w:adjustRightInd/>
        <w:snapToGrid/>
        <w:ind w:firstLine="480"/>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雷页1井试采站位于四川省达州市宣汉县</w:t>
      </w:r>
      <w:r>
        <w:rPr>
          <w:rFonts w:hint="eastAsia" w:cs="Times New Roman"/>
          <w:color w:val="000000" w:themeColor="text1"/>
          <w:kern w:val="0"/>
          <w:szCs w:val="24"/>
          <w:highlight w:val="none"/>
          <w:lang w:eastAsia="zh-CN"/>
          <w14:textFill>
            <w14:solidFill>
              <w14:schemeClr w14:val="tx1"/>
            </w14:solidFill>
          </w14:textFill>
        </w:rPr>
        <w:t>**</w:t>
      </w:r>
      <w:r>
        <w:rPr>
          <w:rFonts w:hint="eastAsia" w:cs="Times New Roman"/>
          <w:color w:val="000000" w:themeColor="text1"/>
          <w:kern w:val="0"/>
          <w:szCs w:val="24"/>
          <w:highlight w:val="none"/>
          <w14:textFill>
            <w14:solidFill>
              <w14:schemeClr w14:val="tx1"/>
            </w14:solidFill>
          </w14:textFill>
        </w:rPr>
        <w:t>石虎村8组，试采站在普光主体、大湾区块已建管网的南侧，离已建天然气管网距离较远。雷页1井距普光主体酸气集输管网直线距离约25km；在其西侧有毛达线，雷页1井试采站距毛达线的魏兴站直线距离约9.1km；在其东侧有川气东送管道及达化专线，雷页1井试采站距川气东送管道、达化专线的燕子窝阀室直线距离约21km。</w:t>
      </w:r>
    </w:p>
    <w:p>
      <w:pPr>
        <w:pStyle w:val="6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4853940" cy="5132070"/>
            <wp:effectExtent l="0" t="0" r="3810" b="0"/>
            <wp:docPr id="2835547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554752" name="图片 1"/>
                    <pic:cNvPicPr>
                      <a:picLocks noChangeAspect="1"/>
                    </pic:cNvPicPr>
                  </pic:nvPicPr>
                  <pic:blipFill>
                    <a:blip r:embed="rId47"/>
                    <a:stretch>
                      <a:fillRect/>
                    </a:stretch>
                  </pic:blipFill>
                  <pic:spPr>
                    <a:xfrm>
                      <a:off x="0" y="0"/>
                      <a:ext cx="4860553" cy="5138967"/>
                    </a:xfrm>
                    <a:prstGeom prst="rect">
                      <a:avLst/>
                    </a:prstGeom>
                  </pic:spPr>
                </pic:pic>
              </a:graphicData>
            </a:graphic>
          </wp:inline>
        </w:drawing>
      </w:r>
    </w:p>
    <w:p>
      <w:pPr>
        <w:pStyle w:val="241"/>
        <w:keepNext w:val="0"/>
        <w:keepLines w:val="0"/>
        <w:pageBreakBefore w:val="0"/>
        <w:widowControl w:val="0"/>
        <w:kinsoku/>
        <w:wordWrap/>
        <w:overflowPunct/>
        <w:topLinePunct w:val="0"/>
        <w:autoSpaceDE/>
        <w:autoSpaceDN/>
        <w:bidi w:val="0"/>
        <w:adjustRightInd/>
        <w:snapToGrid/>
        <w:textAlignment w:val="auto"/>
        <w:outlineLvl w:val="9"/>
        <w:rPr>
          <w:rFonts w:hint="eastAsia" w:ascii="Times New Roman" w:hAnsi="Times New Roman" w:eastAsia="黑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黑体" w:cs="Times New Roman"/>
          <w:color w:val="000000" w:themeColor="text1"/>
          <w:kern w:val="2"/>
          <w:sz w:val="24"/>
          <w:szCs w:val="24"/>
          <w:highlight w:val="none"/>
          <w:lang w:val="en-US" w:eastAsia="zh-CN" w:bidi="ar-SA"/>
          <w14:textFill>
            <w14:solidFill>
              <w14:schemeClr w14:val="tx1"/>
            </w14:solidFill>
          </w14:textFill>
        </w:rPr>
        <w:t>图</w:t>
      </w:r>
      <w:r>
        <w:rPr>
          <w:rFonts w:hint="eastAsia" w:ascii="Times New Roman" w:hAnsi="Times New Roman" w:eastAsia="黑体" w:cs="Times New Roman"/>
          <w:color w:val="000000" w:themeColor="text1"/>
          <w:kern w:val="2"/>
          <w:sz w:val="24"/>
          <w:szCs w:val="24"/>
          <w:highlight w:val="none"/>
          <w:lang w:val="en-US" w:eastAsia="zh-CN" w:bidi="ar-SA"/>
          <w14:textFill>
            <w14:solidFill>
              <w14:schemeClr w14:val="tx1"/>
            </w14:solidFill>
          </w14:textFill>
        </w:rPr>
        <w:fldChar w:fldCharType="begin"/>
      </w:r>
      <w:r>
        <w:rPr>
          <w:rFonts w:hint="eastAsia" w:ascii="Times New Roman" w:hAnsi="Times New Roman" w:eastAsia="黑体" w:cs="Times New Roman"/>
          <w:color w:val="000000" w:themeColor="text1"/>
          <w:kern w:val="2"/>
          <w:sz w:val="24"/>
          <w:szCs w:val="24"/>
          <w:highlight w:val="none"/>
          <w:lang w:val="en-US" w:eastAsia="zh-CN" w:bidi="ar-SA"/>
          <w14:textFill>
            <w14:solidFill>
              <w14:schemeClr w14:val="tx1"/>
            </w14:solidFill>
          </w14:textFill>
        </w:rPr>
        <w:instrText xml:space="preserve"> STYLEREF 2 \s </w:instrText>
      </w:r>
      <w:r>
        <w:rPr>
          <w:rFonts w:hint="eastAsia" w:ascii="Times New Roman" w:hAnsi="Times New Roman" w:eastAsia="黑体" w:cs="Times New Roman"/>
          <w:color w:val="000000" w:themeColor="text1"/>
          <w:kern w:val="2"/>
          <w:sz w:val="24"/>
          <w:szCs w:val="24"/>
          <w:highlight w:val="none"/>
          <w:lang w:val="en-US" w:eastAsia="zh-CN" w:bidi="ar-SA"/>
          <w14:textFill>
            <w14:solidFill>
              <w14:schemeClr w14:val="tx1"/>
            </w14:solidFill>
          </w14:textFill>
        </w:rPr>
        <w:fldChar w:fldCharType="separate"/>
      </w:r>
      <w:r>
        <w:rPr>
          <w:rFonts w:hint="eastAsia" w:ascii="Times New Roman" w:hAnsi="Times New Roman" w:eastAsia="黑体" w:cs="Times New Roman"/>
          <w:color w:val="000000" w:themeColor="text1"/>
          <w:kern w:val="2"/>
          <w:sz w:val="24"/>
          <w:szCs w:val="24"/>
          <w:highlight w:val="none"/>
          <w:lang w:val="en-US" w:eastAsia="zh-CN" w:bidi="ar-SA"/>
          <w14:textFill>
            <w14:solidFill>
              <w14:schemeClr w14:val="tx1"/>
            </w14:solidFill>
          </w14:textFill>
        </w:rPr>
        <w:t>2.10</w:t>
      </w:r>
      <w:r>
        <w:rPr>
          <w:rFonts w:hint="eastAsia" w:ascii="Times New Roman" w:hAnsi="Times New Roman" w:eastAsia="黑体" w:cs="Times New Roman"/>
          <w:color w:val="000000" w:themeColor="text1"/>
          <w:kern w:val="2"/>
          <w:sz w:val="24"/>
          <w:szCs w:val="24"/>
          <w:highlight w:val="none"/>
          <w:lang w:val="en-US" w:eastAsia="zh-CN" w:bidi="ar-SA"/>
          <w14:textFill>
            <w14:solidFill>
              <w14:schemeClr w14:val="tx1"/>
            </w14:solidFill>
          </w14:textFill>
        </w:rPr>
        <w:fldChar w:fldCharType="end"/>
      </w:r>
      <w:r>
        <w:rPr>
          <w:rFonts w:hint="eastAsia" w:ascii="Times New Roman" w:hAnsi="Times New Roman" w:eastAsia="黑体" w:cs="Times New Roman"/>
          <w:color w:val="000000" w:themeColor="text1"/>
          <w:kern w:val="2"/>
          <w:sz w:val="24"/>
          <w:szCs w:val="24"/>
          <w:highlight w:val="none"/>
          <w:lang w:val="en-US" w:eastAsia="zh-CN" w:bidi="ar-SA"/>
          <w14:textFill>
            <w14:solidFill>
              <w14:schemeClr w14:val="tx1"/>
            </w14:solidFill>
          </w14:textFill>
        </w:rPr>
        <w:noBreakHyphen/>
      </w:r>
      <w:r>
        <w:rPr>
          <w:rFonts w:hint="eastAsia" w:ascii="Times New Roman" w:hAnsi="Times New Roman" w:eastAsia="黑体" w:cs="Times New Roman"/>
          <w:color w:val="000000" w:themeColor="text1"/>
          <w:kern w:val="2"/>
          <w:sz w:val="24"/>
          <w:szCs w:val="24"/>
          <w:highlight w:val="none"/>
          <w:lang w:val="en-US" w:eastAsia="zh-CN" w:bidi="ar-SA"/>
          <w14:textFill>
            <w14:solidFill>
              <w14:schemeClr w14:val="tx1"/>
            </w14:solidFill>
          </w14:textFill>
        </w:rPr>
        <w:fldChar w:fldCharType="begin"/>
      </w:r>
      <w:r>
        <w:rPr>
          <w:rFonts w:hint="eastAsia" w:ascii="Times New Roman" w:hAnsi="Times New Roman" w:eastAsia="黑体" w:cs="Times New Roman"/>
          <w:color w:val="000000" w:themeColor="text1"/>
          <w:kern w:val="2"/>
          <w:sz w:val="24"/>
          <w:szCs w:val="24"/>
          <w:highlight w:val="none"/>
          <w:lang w:val="en-US" w:eastAsia="zh-CN" w:bidi="ar-SA"/>
          <w14:textFill>
            <w14:solidFill>
              <w14:schemeClr w14:val="tx1"/>
            </w14:solidFill>
          </w14:textFill>
        </w:rPr>
        <w:instrText xml:space="preserve"> SEQ 图 \* ARABIC \s 2 </w:instrText>
      </w:r>
      <w:r>
        <w:rPr>
          <w:rFonts w:hint="eastAsia" w:ascii="Times New Roman" w:hAnsi="Times New Roman" w:eastAsia="黑体" w:cs="Times New Roman"/>
          <w:color w:val="000000" w:themeColor="text1"/>
          <w:kern w:val="2"/>
          <w:sz w:val="24"/>
          <w:szCs w:val="24"/>
          <w:highlight w:val="none"/>
          <w:lang w:val="en-US" w:eastAsia="zh-CN" w:bidi="ar-SA"/>
          <w14:textFill>
            <w14:solidFill>
              <w14:schemeClr w14:val="tx1"/>
            </w14:solidFill>
          </w14:textFill>
        </w:rPr>
        <w:fldChar w:fldCharType="separate"/>
      </w:r>
      <w:r>
        <w:rPr>
          <w:rFonts w:hint="eastAsia" w:ascii="Times New Roman" w:hAnsi="Times New Roman" w:eastAsia="黑体" w:cs="Times New Roman"/>
          <w:color w:val="000000" w:themeColor="text1"/>
          <w:kern w:val="2"/>
          <w:sz w:val="24"/>
          <w:szCs w:val="24"/>
          <w:highlight w:val="none"/>
          <w:lang w:val="en-US" w:eastAsia="zh-CN" w:bidi="ar-SA"/>
          <w14:textFill>
            <w14:solidFill>
              <w14:schemeClr w14:val="tx1"/>
            </w14:solidFill>
          </w14:textFill>
        </w:rPr>
        <w:t>1</w:t>
      </w:r>
      <w:r>
        <w:rPr>
          <w:rFonts w:hint="eastAsia" w:ascii="Times New Roman" w:hAnsi="Times New Roman" w:eastAsia="黑体" w:cs="Times New Roman"/>
          <w:color w:val="000000" w:themeColor="text1"/>
          <w:kern w:val="2"/>
          <w:sz w:val="24"/>
          <w:szCs w:val="24"/>
          <w:highlight w:val="none"/>
          <w:lang w:val="en-US" w:eastAsia="zh-CN" w:bidi="ar-SA"/>
          <w14:textFill>
            <w14:solidFill>
              <w14:schemeClr w14:val="tx1"/>
            </w14:solidFill>
          </w14:textFill>
        </w:rPr>
        <w:fldChar w:fldCharType="end"/>
      </w:r>
      <w:r>
        <w:rPr>
          <w:rFonts w:hint="eastAsia" w:ascii="Times New Roman" w:hAnsi="Times New Roman" w:eastAsia="黑体" w:cs="Times New Roman"/>
          <w:color w:val="000000" w:themeColor="text1"/>
          <w:kern w:val="2"/>
          <w:sz w:val="24"/>
          <w:szCs w:val="24"/>
          <w:highlight w:val="none"/>
          <w:lang w:val="en-US" w:eastAsia="zh-CN" w:bidi="ar-SA"/>
          <w14:textFill>
            <w14:solidFill>
              <w14:schemeClr w14:val="tx1"/>
            </w14:solidFill>
          </w14:textFill>
        </w:rPr>
        <w:t xml:space="preserve"> 雷页1井试采站周边管网</w:t>
      </w:r>
    </w:p>
    <w:p>
      <w:pPr>
        <w:widowControl/>
        <w:adjustRightInd/>
        <w:snapToGrid/>
        <w:ind w:firstLine="482"/>
        <w:rPr>
          <w:rFonts w:cs="Times New Roman"/>
          <w:b/>
          <w:bCs/>
          <w:color w:val="000000" w:themeColor="text1"/>
          <w:kern w:val="0"/>
          <w:szCs w:val="24"/>
          <w:highlight w:val="none"/>
          <w14:textFill>
            <w14:solidFill>
              <w14:schemeClr w14:val="tx1"/>
            </w14:solidFill>
          </w14:textFill>
        </w:rPr>
      </w:pPr>
      <w:r>
        <w:rPr>
          <w:rFonts w:hint="eastAsia" w:cs="Times New Roman"/>
          <w:b/>
          <w:bCs/>
          <w:color w:val="000000" w:themeColor="text1"/>
          <w:kern w:val="0"/>
          <w:szCs w:val="24"/>
          <w:highlight w:val="none"/>
          <w14:textFill>
            <w14:solidFill>
              <w14:schemeClr w14:val="tx1"/>
            </w14:solidFill>
          </w14:textFill>
        </w:rPr>
        <w:t>2）外输流向方案比选</w:t>
      </w:r>
    </w:p>
    <w:p>
      <w:pPr>
        <w:widowControl/>
        <w:adjustRightInd/>
        <w:snapToGrid/>
        <w:ind w:firstLine="480"/>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根据雷页1井周边管线和阀室等分布情况，本项目气体外输可有四个流向：</w:t>
      </w:r>
    </w:p>
    <w:p>
      <w:pPr>
        <w:widowControl/>
        <w:adjustRightInd/>
        <w:snapToGrid/>
        <w:ind w:firstLine="480"/>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方案一：将气体输送至毛达线的魏兴站，部分进入毛达线（在保证普光配气站压力3.5MPa情况下，毛达线可接收20×10</w:t>
      </w:r>
      <w:r>
        <w:rPr>
          <w:rFonts w:hint="eastAsia" w:cs="Times New Roman"/>
          <w:color w:val="000000" w:themeColor="text1"/>
          <w:kern w:val="0"/>
          <w:szCs w:val="24"/>
          <w:highlight w:val="none"/>
          <w:vertAlign w:val="superscript"/>
          <w14:textFill>
            <w14:solidFill>
              <w14:schemeClr w14:val="tx1"/>
            </w14:solidFill>
          </w14:textFill>
        </w:rPr>
        <w:t>4</w:t>
      </w:r>
      <w:r>
        <w:rPr>
          <w:rFonts w:hint="eastAsia" w:cs="Times New Roman"/>
          <w:color w:val="000000" w:themeColor="text1"/>
          <w:kern w:val="0"/>
          <w:szCs w:val="24"/>
          <w:highlight w:val="none"/>
          <w14:textFill>
            <w14:solidFill>
              <w14:schemeClr w14:val="tx1"/>
            </w14:solidFill>
          </w14:textFill>
        </w:rPr>
        <w:t>m</w:t>
      </w:r>
      <w:r>
        <w:rPr>
          <w:rFonts w:hint="eastAsia" w:cs="Times New Roman"/>
          <w:color w:val="000000" w:themeColor="text1"/>
          <w:kern w:val="0"/>
          <w:szCs w:val="24"/>
          <w:highlight w:val="none"/>
          <w:vertAlign w:val="superscript"/>
          <w14:textFill>
            <w14:solidFill>
              <w14:schemeClr w14:val="tx1"/>
            </w14:solidFill>
          </w14:textFill>
        </w:rPr>
        <w:t>3</w:t>
      </w:r>
      <w:r>
        <w:rPr>
          <w:rFonts w:hint="eastAsia" w:cs="Times New Roman"/>
          <w:color w:val="000000" w:themeColor="text1"/>
          <w:kern w:val="0"/>
          <w:szCs w:val="24"/>
          <w:highlight w:val="none"/>
          <w14:textFill>
            <w14:solidFill>
              <w14:schemeClr w14:val="tx1"/>
            </w14:solidFill>
          </w14:textFill>
        </w:rPr>
        <w:t>/d），在后期雷页1、明1井组开始试采后，对毛达线进行升压改造，改造后除个别年份外，毛达线可接收雷页1、明1全部气量。</w:t>
      </w:r>
    </w:p>
    <w:p>
      <w:pPr>
        <w:widowControl/>
        <w:adjustRightInd/>
        <w:snapToGrid/>
        <w:ind w:firstLine="480"/>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方案二：新建管线将气体输送至普光配气站，通过配气站外销。</w:t>
      </w:r>
    </w:p>
    <w:p>
      <w:pPr>
        <w:widowControl/>
        <w:adjustRightInd/>
        <w:snapToGrid/>
        <w:ind w:firstLine="480"/>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方案三：新建管线将气体输送至中石油杨柳垭配气站外销。</w:t>
      </w:r>
    </w:p>
    <w:p>
      <w:pPr>
        <w:widowControl/>
        <w:adjustRightInd/>
        <w:snapToGrid/>
        <w:ind w:firstLine="480"/>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方案四：新建管线将气体输送至达化专线燕子窝阀室进入达化专线。四个方案线路走向见下图。</w:t>
      </w:r>
    </w:p>
    <w:p>
      <w:pPr>
        <w:pStyle w:val="6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3815715" cy="4457065"/>
            <wp:effectExtent l="0" t="0" r="0" b="635"/>
            <wp:docPr id="13798967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896752" name="图片 1"/>
                    <pic:cNvPicPr>
                      <a:picLocks noChangeAspect="1"/>
                    </pic:cNvPicPr>
                  </pic:nvPicPr>
                  <pic:blipFill>
                    <a:blip r:embed="rId48"/>
                    <a:stretch>
                      <a:fillRect/>
                    </a:stretch>
                  </pic:blipFill>
                  <pic:spPr>
                    <a:xfrm>
                      <a:off x="0" y="0"/>
                      <a:ext cx="3821412" cy="4463600"/>
                    </a:xfrm>
                    <a:prstGeom prst="rect">
                      <a:avLst/>
                    </a:prstGeom>
                  </pic:spPr>
                </pic:pic>
              </a:graphicData>
            </a:graphic>
          </wp:inline>
        </w:drawing>
      </w:r>
    </w:p>
    <w:p>
      <w:pPr>
        <w:pStyle w:val="188"/>
        <w:keepNext/>
        <w:keepLines w:val="0"/>
        <w:pageBreakBefore w:val="0"/>
        <w:widowControl w:val="0"/>
        <w:kinsoku/>
        <w:wordWrap/>
        <w:overflowPunct/>
        <w:topLinePunct w:val="0"/>
        <w:autoSpaceDE/>
        <w:autoSpaceDN/>
        <w:bidi w:val="0"/>
        <w:adjustRightInd w:val="0"/>
        <w:snapToGrid w:val="0"/>
        <w:ind w:firstLine="482"/>
        <w:textAlignment w:val="auto"/>
        <w:outlineLvl w:val="9"/>
        <w:rPr>
          <w:color w:val="000000" w:themeColor="text1"/>
          <w:kern w:val="0"/>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2.10</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项目外输流向线路走向图</w:t>
      </w:r>
    </w:p>
    <w:p>
      <w:pPr>
        <w:widowControl/>
        <w:adjustRightInd/>
        <w:snapToGrid/>
        <w:ind w:firstLine="480"/>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各方案优缺点比选见下表：</w:t>
      </w:r>
    </w:p>
    <w:p>
      <w:pPr>
        <w:pStyle w:val="14"/>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2.10</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外输流向方案比选表</w:t>
      </w:r>
    </w:p>
    <w:tbl>
      <w:tblPr>
        <w:tblStyle w:val="4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5"/>
        <w:gridCol w:w="1185"/>
        <w:gridCol w:w="1186"/>
        <w:gridCol w:w="1186"/>
        <w:gridCol w:w="1186"/>
        <w:gridCol w:w="1186"/>
        <w:gridCol w:w="11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5" w:type="dxa"/>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序号</w:t>
            </w:r>
          </w:p>
        </w:tc>
        <w:tc>
          <w:tcPr>
            <w:tcW w:w="1185" w:type="dxa"/>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项目</w:t>
            </w:r>
          </w:p>
        </w:tc>
        <w:tc>
          <w:tcPr>
            <w:tcW w:w="1186" w:type="dxa"/>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方案一</w:t>
            </w:r>
          </w:p>
        </w:tc>
        <w:tc>
          <w:tcPr>
            <w:tcW w:w="1186" w:type="dxa"/>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方案二</w:t>
            </w:r>
          </w:p>
        </w:tc>
        <w:tc>
          <w:tcPr>
            <w:tcW w:w="1186" w:type="dxa"/>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方案三</w:t>
            </w:r>
          </w:p>
        </w:tc>
        <w:tc>
          <w:tcPr>
            <w:tcW w:w="1186" w:type="dxa"/>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方案四</w:t>
            </w:r>
          </w:p>
        </w:tc>
        <w:tc>
          <w:tcPr>
            <w:tcW w:w="1186" w:type="dxa"/>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比选结果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5"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p>
        </w:tc>
        <w:tc>
          <w:tcPr>
            <w:tcW w:w="1185"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管线设计压力</w:t>
            </w:r>
          </w:p>
        </w:tc>
        <w:tc>
          <w:tcPr>
            <w:tcW w:w="118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6.3MPa</w:t>
            </w:r>
          </w:p>
        </w:tc>
        <w:tc>
          <w:tcPr>
            <w:tcW w:w="118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6.3MPa</w:t>
            </w:r>
          </w:p>
        </w:tc>
        <w:tc>
          <w:tcPr>
            <w:tcW w:w="118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6.3MPa</w:t>
            </w:r>
          </w:p>
        </w:tc>
        <w:tc>
          <w:tcPr>
            <w:tcW w:w="118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8.0MPa</w:t>
            </w:r>
          </w:p>
        </w:tc>
        <w:tc>
          <w:tcPr>
            <w:tcW w:w="118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方案一、二、三占优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5"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p>
        </w:tc>
        <w:tc>
          <w:tcPr>
            <w:tcW w:w="1185"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新建管线长度</w:t>
            </w:r>
          </w:p>
        </w:tc>
        <w:tc>
          <w:tcPr>
            <w:tcW w:w="118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11.8km</w:t>
            </w:r>
          </w:p>
        </w:tc>
        <w:tc>
          <w:tcPr>
            <w:tcW w:w="118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34.7km</w:t>
            </w:r>
          </w:p>
        </w:tc>
        <w:tc>
          <w:tcPr>
            <w:tcW w:w="118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30.1km</w:t>
            </w:r>
          </w:p>
        </w:tc>
        <w:tc>
          <w:tcPr>
            <w:tcW w:w="118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29.5km</w:t>
            </w:r>
          </w:p>
        </w:tc>
        <w:tc>
          <w:tcPr>
            <w:tcW w:w="118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方案一占优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5"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w:t>
            </w:r>
          </w:p>
        </w:tc>
        <w:tc>
          <w:tcPr>
            <w:tcW w:w="1185"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穿跨越</w:t>
            </w:r>
          </w:p>
        </w:tc>
        <w:tc>
          <w:tcPr>
            <w:tcW w:w="118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高速和国道穿越各1次，不穿越大型河流</w:t>
            </w:r>
          </w:p>
        </w:tc>
        <w:tc>
          <w:tcPr>
            <w:tcW w:w="118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高速和国道穿越各2次，不穿越大型河流</w:t>
            </w:r>
          </w:p>
        </w:tc>
        <w:tc>
          <w:tcPr>
            <w:tcW w:w="118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国道以上公路3次，河流大型穿越1次</w:t>
            </w:r>
          </w:p>
        </w:tc>
        <w:tc>
          <w:tcPr>
            <w:tcW w:w="118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河流大型穿越1次</w:t>
            </w:r>
          </w:p>
        </w:tc>
        <w:tc>
          <w:tcPr>
            <w:tcW w:w="118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方案一占优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5"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w:t>
            </w:r>
          </w:p>
        </w:tc>
        <w:tc>
          <w:tcPr>
            <w:tcW w:w="1185"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终端是否需要新建站</w:t>
            </w:r>
          </w:p>
        </w:tc>
        <w:tc>
          <w:tcPr>
            <w:tcW w:w="118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否</w:t>
            </w:r>
          </w:p>
        </w:tc>
        <w:tc>
          <w:tcPr>
            <w:tcW w:w="118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否</w:t>
            </w:r>
          </w:p>
        </w:tc>
        <w:tc>
          <w:tcPr>
            <w:tcW w:w="118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否</w:t>
            </w:r>
          </w:p>
        </w:tc>
        <w:tc>
          <w:tcPr>
            <w:tcW w:w="118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需要</w:t>
            </w:r>
          </w:p>
        </w:tc>
        <w:tc>
          <w:tcPr>
            <w:tcW w:w="118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方案一、二、三占优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5"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w:t>
            </w:r>
          </w:p>
        </w:tc>
        <w:tc>
          <w:tcPr>
            <w:tcW w:w="1185"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是否需要带压开口</w:t>
            </w:r>
          </w:p>
        </w:tc>
        <w:tc>
          <w:tcPr>
            <w:tcW w:w="118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否</w:t>
            </w:r>
          </w:p>
        </w:tc>
        <w:tc>
          <w:tcPr>
            <w:tcW w:w="118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否</w:t>
            </w:r>
          </w:p>
        </w:tc>
        <w:tc>
          <w:tcPr>
            <w:tcW w:w="118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否</w:t>
            </w:r>
          </w:p>
        </w:tc>
        <w:tc>
          <w:tcPr>
            <w:tcW w:w="118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需要</w:t>
            </w:r>
          </w:p>
        </w:tc>
        <w:tc>
          <w:tcPr>
            <w:tcW w:w="118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方案一、二、三占优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5"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w:t>
            </w:r>
          </w:p>
        </w:tc>
        <w:tc>
          <w:tcPr>
            <w:tcW w:w="1185"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投资（万元）</w:t>
            </w:r>
          </w:p>
        </w:tc>
        <w:tc>
          <w:tcPr>
            <w:tcW w:w="118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2645</w:t>
            </w:r>
          </w:p>
        </w:tc>
        <w:tc>
          <w:tcPr>
            <w:tcW w:w="118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7944</w:t>
            </w:r>
          </w:p>
        </w:tc>
        <w:tc>
          <w:tcPr>
            <w:tcW w:w="118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7396</w:t>
            </w:r>
          </w:p>
        </w:tc>
        <w:tc>
          <w:tcPr>
            <w:tcW w:w="118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7177</w:t>
            </w:r>
          </w:p>
        </w:tc>
        <w:tc>
          <w:tcPr>
            <w:tcW w:w="118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方案一占优</w:t>
            </w:r>
          </w:p>
        </w:tc>
      </w:tr>
    </w:tbl>
    <w:p>
      <w:pPr>
        <w:widowControl/>
        <w:adjustRightInd/>
        <w:snapToGrid/>
        <w:spacing w:before="120" w:beforeLines="50"/>
        <w:ind w:firstLine="480"/>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从线路长度、穿（跨）越工程量、投资等方面看，方案一占优，因而雷页1井试采外输流向推荐方案一。</w:t>
      </w:r>
    </w:p>
    <w:p>
      <w:pPr>
        <w:widowControl/>
        <w:adjustRightInd/>
        <w:snapToGrid/>
        <w:ind w:firstLine="482"/>
        <w:rPr>
          <w:rFonts w:cs="Times New Roman"/>
          <w:b/>
          <w:bCs/>
          <w:color w:val="000000" w:themeColor="text1"/>
          <w:kern w:val="0"/>
          <w:szCs w:val="24"/>
          <w:highlight w:val="none"/>
          <w14:textFill>
            <w14:solidFill>
              <w14:schemeClr w14:val="tx1"/>
            </w14:solidFill>
          </w14:textFill>
        </w:rPr>
      </w:pPr>
      <w:r>
        <w:rPr>
          <w:rFonts w:hint="eastAsia" w:cs="Times New Roman"/>
          <w:b/>
          <w:bCs/>
          <w:color w:val="000000" w:themeColor="text1"/>
          <w:kern w:val="0"/>
          <w:szCs w:val="24"/>
          <w:highlight w:val="none"/>
          <w14:textFill>
            <w14:solidFill>
              <w14:schemeClr w14:val="tx1"/>
            </w14:solidFill>
          </w14:textFill>
        </w:rPr>
        <w:t>（2）</w:t>
      </w:r>
      <w:r>
        <w:rPr>
          <w:rFonts w:hint="eastAsia" w:cs="Times New Roman"/>
          <w:b/>
          <w:bCs/>
          <w:color w:val="000000" w:themeColor="text1"/>
          <w:szCs w:val="24"/>
          <w:highlight w:val="none"/>
          <w14:textFill>
            <w14:solidFill>
              <w14:schemeClr w14:val="tx1"/>
            </w14:solidFill>
          </w14:textFill>
        </w:rPr>
        <w:t>雷页</w:t>
      </w:r>
      <w:r>
        <w:rPr>
          <w:rFonts w:cs="Times New Roman"/>
          <w:b/>
          <w:bCs/>
          <w:color w:val="000000" w:themeColor="text1"/>
          <w:szCs w:val="24"/>
          <w:highlight w:val="none"/>
          <w14:textFill>
            <w14:solidFill>
              <w14:schemeClr w14:val="tx1"/>
            </w14:solidFill>
          </w14:textFill>
        </w:rPr>
        <w:t>1</w:t>
      </w:r>
      <w:r>
        <w:rPr>
          <w:rFonts w:hint="eastAsia" w:cs="Times New Roman"/>
          <w:b/>
          <w:bCs/>
          <w:color w:val="000000" w:themeColor="text1"/>
          <w:szCs w:val="24"/>
          <w:highlight w:val="none"/>
          <w14:textFill>
            <w14:solidFill>
              <w14:schemeClr w14:val="tx1"/>
            </w14:solidFill>
          </w14:textFill>
        </w:rPr>
        <w:t>井试采站～</w:t>
      </w:r>
      <w:r>
        <w:rPr>
          <w:rFonts w:ascii="宋体" w:hAnsi="宋体"/>
          <w:b/>
          <w:bCs/>
          <w:color w:val="000000" w:themeColor="text1"/>
          <w:szCs w:val="24"/>
          <w:highlight w:val="none"/>
          <w14:textFill>
            <w14:solidFill>
              <w14:schemeClr w14:val="tx1"/>
            </w14:solidFill>
          </w14:textFill>
        </w:rPr>
        <w:t>毛达线魏兴站</w:t>
      </w:r>
      <w:r>
        <w:rPr>
          <w:rFonts w:hint="eastAsia" w:cs="Times New Roman"/>
          <w:b/>
          <w:bCs/>
          <w:color w:val="000000" w:themeColor="text1"/>
          <w:szCs w:val="24"/>
          <w:highlight w:val="none"/>
          <w14:textFill>
            <w14:solidFill>
              <w14:schemeClr w14:val="tx1"/>
            </w14:solidFill>
          </w14:textFill>
        </w:rPr>
        <w:t>的输气管道方案比选</w:t>
      </w:r>
    </w:p>
    <w:p>
      <w:pPr>
        <w:widowControl/>
        <w:adjustRightInd/>
        <w:snapToGrid/>
        <w:ind w:firstLine="480"/>
        <w:rPr>
          <w:rFonts w:cs="Times New Roman"/>
          <w:color w:val="000000" w:themeColor="text1"/>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根据前文外输流向方案比选结果，</w:t>
      </w:r>
      <w:r>
        <w:rPr>
          <w:rFonts w:cs="Times New Roman"/>
          <w:color w:val="000000" w:themeColor="text1"/>
          <w:kern w:val="0"/>
          <w:szCs w:val="24"/>
          <w:highlight w:val="none"/>
          <w14:textFill>
            <w14:solidFill>
              <w14:schemeClr w14:val="tx1"/>
            </w14:solidFill>
          </w14:textFill>
        </w:rPr>
        <w:t>本工程需新建一条</w:t>
      </w:r>
      <w:r>
        <w:rPr>
          <w:rFonts w:hint="eastAsia" w:cs="Times New Roman"/>
          <w:color w:val="000000" w:themeColor="text1"/>
          <w:szCs w:val="24"/>
          <w:highlight w:val="none"/>
          <w14:textFill>
            <w14:solidFill>
              <w14:schemeClr w14:val="tx1"/>
            </w14:solidFill>
          </w14:textFill>
        </w:rPr>
        <w:t>雷页</w:t>
      </w:r>
      <w:r>
        <w:rPr>
          <w:rFonts w:cs="Times New Roman"/>
          <w:color w:val="000000" w:themeColor="text1"/>
          <w:szCs w:val="24"/>
          <w:highlight w:val="none"/>
          <w14:textFill>
            <w14:solidFill>
              <w14:schemeClr w14:val="tx1"/>
            </w14:solidFill>
          </w14:textFill>
        </w:rPr>
        <w:t>1</w:t>
      </w:r>
      <w:r>
        <w:rPr>
          <w:rFonts w:hint="eastAsia" w:cs="Times New Roman"/>
          <w:color w:val="000000" w:themeColor="text1"/>
          <w:szCs w:val="24"/>
          <w:highlight w:val="none"/>
          <w14:textFill>
            <w14:solidFill>
              <w14:schemeClr w14:val="tx1"/>
            </w14:solidFill>
          </w14:textFill>
        </w:rPr>
        <w:t>井试采站～</w:t>
      </w:r>
      <w:r>
        <w:rPr>
          <w:rFonts w:ascii="宋体" w:hAnsi="宋体"/>
          <w:color w:val="000000" w:themeColor="text1"/>
          <w:szCs w:val="24"/>
          <w:highlight w:val="none"/>
          <w14:textFill>
            <w14:solidFill>
              <w14:schemeClr w14:val="tx1"/>
            </w14:solidFill>
          </w14:textFill>
        </w:rPr>
        <w:t>毛达线魏兴站</w:t>
      </w:r>
      <w:r>
        <w:rPr>
          <w:rFonts w:hint="eastAsia" w:cs="Times New Roman"/>
          <w:color w:val="000000" w:themeColor="text1"/>
          <w:szCs w:val="24"/>
          <w:highlight w:val="none"/>
          <w14:textFill>
            <w14:solidFill>
              <w14:schemeClr w14:val="tx1"/>
            </w14:solidFill>
          </w14:textFill>
        </w:rPr>
        <w:t>的输气管道</w:t>
      </w:r>
      <w:r>
        <w:rPr>
          <w:rFonts w:cs="Times New Roman"/>
          <w:color w:val="000000" w:themeColor="text1"/>
          <w:kern w:val="0"/>
          <w:szCs w:val="24"/>
          <w:highlight w:val="none"/>
          <w14:textFill>
            <w14:solidFill>
              <w14:schemeClr w14:val="tx1"/>
            </w14:solidFill>
          </w14:textFill>
        </w:rPr>
        <w:t>，</w:t>
      </w:r>
      <w:r>
        <w:rPr>
          <w:rFonts w:cs="Times New Roman"/>
          <w:color w:val="000000" w:themeColor="text1"/>
          <w:highlight w:val="none"/>
          <w14:textFill>
            <w14:solidFill>
              <w14:schemeClr w14:val="tx1"/>
            </w14:solidFill>
          </w14:textFill>
        </w:rPr>
        <w:t>本工程</w:t>
      </w:r>
      <w:r>
        <w:rPr>
          <w:rFonts w:hint="eastAsia" w:cs="Times New Roman"/>
          <w:color w:val="000000" w:themeColor="text1"/>
          <w:highlight w:val="none"/>
          <w14:textFill>
            <w14:solidFill>
              <w14:schemeClr w14:val="tx1"/>
            </w14:solidFill>
          </w14:textFill>
        </w:rPr>
        <w:t>管道选线根据当地地质条件、地质灾害等要求，</w:t>
      </w:r>
      <w:r>
        <w:rPr>
          <w:rFonts w:cs="Times New Roman"/>
          <w:bCs/>
          <w:color w:val="000000" w:themeColor="text1"/>
          <w:highlight w:val="none"/>
          <w14:textFill>
            <w14:solidFill>
              <w14:schemeClr w14:val="tx1"/>
            </w14:solidFill>
          </w14:textFill>
        </w:rPr>
        <w:t>中原油田普光分公司</w:t>
      </w:r>
      <w:r>
        <w:rPr>
          <w:rFonts w:hint="eastAsia" w:cs="Times New Roman"/>
          <w:color w:val="000000" w:themeColor="text1"/>
          <w:highlight w:val="none"/>
          <w14:textFill>
            <w14:solidFill>
              <w14:schemeClr w14:val="tx1"/>
            </w14:solidFill>
          </w14:textFill>
        </w:rPr>
        <w:t>经过反复论证，最终仅有两条可供选择的线路。由于线路周边分布有较多的天然林、公益林、基本农田，可供选择的线路无法避让，经过比选，项目两条线路均需穿越部分公益林、天然林和基本农田。</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本项目两条可供选择的线路的具体情况如下：</w:t>
      </w:r>
    </w:p>
    <w:p>
      <w:pPr>
        <w:widowControl/>
        <w:ind w:firstLine="482"/>
        <w:jc w:val="left"/>
        <w:rPr>
          <w:rFonts w:cs="Times New Roman"/>
          <w:color w:val="000000" w:themeColor="text1"/>
          <w:kern w:val="0"/>
          <w:szCs w:val="24"/>
          <w:highlight w:val="none"/>
          <w14:textFill>
            <w14:solidFill>
              <w14:schemeClr w14:val="tx1"/>
            </w14:solidFill>
          </w14:textFill>
        </w:rPr>
      </w:pPr>
      <w:r>
        <w:rPr>
          <w:rFonts w:cs="Times New Roman"/>
          <w:b/>
          <w:bCs/>
          <w:color w:val="000000" w:themeColor="text1"/>
          <w:kern w:val="0"/>
          <w:szCs w:val="24"/>
          <w:highlight w:val="none"/>
          <w14:textFill>
            <w14:solidFill>
              <w14:schemeClr w14:val="tx1"/>
            </w14:solidFill>
          </w14:textFill>
        </w:rPr>
        <w:t>方案一</w:t>
      </w:r>
      <w:r>
        <w:rPr>
          <w:rFonts w:cs="Times New Roman"/>
          <w:color w:val="000000" w:themeColor="text1"/>
          <w:kern w:val="0"/>
          <w:szCs w:val="24"/>
          <w:highlight w:val="none"/>
          <w14:textFill>
            <w14:solidFill>
              <w14:schemeClr w14:val="tx1"/>
            </w14:solidFill>
          </w14:textFill>
        </w:rPr>
        <w:t>：本方案管线长度约</w:t>
      </w:r>
      <w:r>
        <w:rPr>
          <w:rFonts w:hint="eastAsia" w:cs="Times New Roman"/>
          <w:color w:val="000000" w:themeColor="text1"/>
          <w:kern w:val="0"/>
          <w:szCs w:val="24"/>
          <w:highlight w:val="none"/>
          <w14:textFill>
            <w14:solidFill>
              <w14:schemeClr w14:val="tx1"/>
            </w14:solidFill>
          </w14:textFill>
        </w:rPr>
        <w:t>11.8</w:t>
      </w:r>
      <w:r>
        <w:rPr>
          <w:rFonts w:cs="Times New Roman"/>
          <w:color w:val="000000" w:themeColor="text1"/>
          <w:kern w:val="0"/>
          <w:szCs w:val="24"/>
          <w:highlight w:val="none"/>
          <w14:textFill>
            <w14:solidFill>
              <w14:schemeClr w14:val="tx1"/>
            </w14:solidFill>
          </w14:textFill>
        </w:rPr>
        <w:t>km</w:t>
      </w:r>
      <w:r>
        <w:rPr>
          <w:rFonts w:hint="eastAsia" w:cs="Times New Roman"/>
          <w:color w:val="000000" w:themeColor="text1"/>
          <w:kern w:val="0"/>
          <w:szCs w:val="24"/>
          <w:highlight w:val="none"/>
          <w14:textFill>
            <w14:solidFill>
              <w14:schemeClr w14:val="tx1"/>
            </w14:solidFill>
          </w14:textFill>
        </w:rPr>
        <w:t>，线路从雷页1井试采站后向西翻过小山，顺乡村公路向西北方向敷设约400m后，向西偏北方向敷设，经过石虎村到达州河支流，穿过州河支流后向西敷设，到达北斗村，管线在该处穿越G65高速，再向西北方向，经过冉家沟、杨家湾，穿过G210国道，到达魏兴镇的魏兴交接计量站</w:t>
      </w:r>
      <w:r>
        <w:rPr>
          <w:rFonts w:cs="Times New Roman"/>
          <w:color w:val="000000" w:themeColor="text1"/>
          <w:kern w:val="0"/>
          <w:szCs w:val="24"/>
          <w:highlight w:val="none"/>
          <w14:textFill>
            <w14:solidFill>
              <w14:schemeClr w14:val="tx1"/>
            </w14:solidFill>
          </w14:textFill>
        </w:rPr>
        <w:t>。</w:t>
      </w:r>
    </w:p>
    <w:p>
      <w:pPr>
        <w:widowControl/>
        <w:ind w:firstLine="482"/>
        <w:jc w:val="left"/>
        <w:rPr>
          <w:rFonts w:cs="Times New Roman"/>
          <w:color w:val="000000" w:themeColor="text1"/>
          <w:kern w:val="0"/>
          <w:szCs w:val="24"/>
          <w:highlight w:val="none"/>
          <w14:textFill>
            <w14:solidFill>
              <w14:schemeClr w14:val="tx1"/>
            </w14:solidFill>
          </w14:textFill>
        </w:rPr>
      </w:pPr>
      <w:r>
        <w:rPr>
          <w:rFonts w:cs="Times New Roman"/>
          <w:b/>
          <w:bCs/>
          <w:color w:val="000000" w:themeColor="text1"/>
          <w:kern w:val="0"/>
          <w:szCs w:val="24"/>
          <w:highlight w:val="none"/>
          <w14:textFill>
            <w14:solidFill>
              <w14:schemeClr w14:val="tx1"/>
            </w14:solidFill>
          </w14:textFill>
        </w:rPr>
        <w:t>方案二</w:t>
      </w:r>
      <w:r>
        <w:rPr>
          <w:rFonts w:cs="Times New Roman"/>
          <w:color w:val="000000" w:themeColor="text1"/>
          <w:kern w:val="0"/>
          <w:szCs w:val="24"/>
          <w:highlight w:val="none"/>
          <w14:textFill>
            <w14:solidFill>
              <w14:schemeClr w14:val="tx1"/>
            </w14:solidFill>
          </w14:textFill>
        </w:rPr>
        <w:t>：本方案管线长度约</w:t>
      </w:r>
      <w:r>
        <w:rPr>
          <w:rFonts w:hint="eastAsia" w:cs="Times New Roman"/>
          <w:color w:val="000000" w:themeColor="text1"/>
          <w:kern w:val="0"/>
          <w:szCs w:val="24"/>
          <w:highlight w:val="none"/>
          <w14:textFill>
            <w14:solidFill>
              <w14:schemeClr w14:val="tx1"/>
            </w14:solidFill>
          </w14:textFill>
        </w:rPr>
        <w:t>12.0</w:t>
      </w:r>
      <w:r>
        <w:rPr>
          <w:rFonts w:cs="Times New Roman"/>
          <w:color w:val="000000" w:themeColor="text1"/>
          <w:kern w:val="0"/>
          <w:szCs w:val="24"/>
          <w:highlight w:val="none"/>
          <w14:textFill>
            <w14:solidFill>
              <w14:schemeClr w14:val="tx1"/>
            </w14:solidFill>
          </w14:textFill>
        </w:rPr>
        <w:t>km</w:t>
      </w:r>
      <w:r>
        <w:rPr>
          <w:rFonts w:hint="eastAsia" w:cs="Times New Roman"/>
          <w:color w:val="000000" w:themeColor="text1"/>
          <w:kern w:val="0"/>
          <w:szCs w:val="24"/>
          <w:highlight w:val="none"/>
          <w14:textFill>
            <w14:solidFill>
              <w14:schemeClr w14:val="tx1"/>
            </w14:solidFill>
          </w14:textFill>
        </w:rPr>
        <w:t>，线路从雷页1井试采站出站后向西翻过小山，向西偏北方向敷设，经过廖家院子、郭家沟后到达州河支流，穿过州河支流后沿魏王路向西敷设，到达豆城村，管线在该处穿越G65高速，再向西方向，经过郑家岩，穿过G210国道，到达魏兴镇的魏兴交接计量站</w:t>
      </w:r>
      <w:r>
        <w:rPr>
          <w:rFonts w:cs="Times New Roman"/>
          <w:color w:val="000000" w:themeColor="text1"/>
          <w:kern w:val="0"/>
          <w:szCs w:val="24"/>
          <w:highlight w:val="none"/>
          <w14:textFill>
            <w14:solidFill>
              <w14:schemeClr w14:val="tx1"/>
            </w14:solidFill>
          </w14:textFill>
        </w:rPr>
        <w:t>。</w:t>
      </w:r>
    </w:p>
    <w:p>
      <w:pPr>
        <w:widowControl/>
        <w:ind w:firstLine="480"/>
        <w:jc w:val="left"/>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线路方案比选示意图详见</w:t>
      </w:r>
      <w:r>
        <w:rPr>
          <w:rFonts w:cs="Times New Roman"/>
          <w:color w:val="000000" w:themeColor="text1"/>
          <w:kern w:val="0"/>
          <w:szCs w:val="24"/>
          <w:highlight w:val="none"/>
          <w14:textFill>
            <w14:solidFill>
              <w14:schemeClr w14:val="tx1"/>
            </w14:solidFill>
          </w14:textFill>
        </w:rPr>
        <w:fldChar w:fldCharType="begin"/>
      </w:r>
      <w:r>
        <w:rPr>
          <w:rFonts w:cs="Times New Roman"/>
          <w:color w:val="000000" w:themeColor="text1"/>
          <w:kern w:val="0"/>
          <w:szCs w:val="24"/>
          <w:highlight w:val="none"/>
          <w14:textFill>
            <w14:solidFill>
              <w14:schemeClr w14:val="tx1"/>
            </w14:solidFill>
          </w14:textFill>
        </w:rPr>
        <w:instrText xml:space="preserve"> </w:instrText>
      </w:r>
      <w:r>
        <w:rPr>
          <w:rFonts w:hint="eastAsia" w:cs="Times New Roman"/>
          <w:color w:val="000000" w:themeColor="text1"/>
          <w:kern w:val="0"/>
          <w:szCs w:val="24"/>
          <w:highlight w:val="none"/>
          <w14:textFill>
            <w14:solidFill>
              <w14:schemeClr w14:val="tx1"/>
            </w14:solidFill>
          </w14:textFill>
        </w:rPr>
        <w:instrText xml:space="preserve">REF _Ref149593335 \h</w:instrText>
      </w:r>
      <w:r>
        <w:rPr>
          <w:rFonts w:cs="Times New Roman"/>
          <w:color w:val="000000" w:themeColor="text1"/>
          <w:kern w:val="0"/>
          <w:szCs w:val="24"/>
          <w:highlight w:val="none"/>
          <w14:textFill>
            <w14:solidFill>
              <w14:schemeClr w14:val="tx1"/>
            </w14:solidFill>
          </w14:textFill>
        </w:rPr>
        <w:instrText xml:space="preserve">  \* MERGEFORMAT </w:instrText>
      </w:r>
      <w:r>
        <w:rPr>
          <w:rFonts w:cs="Times New Roman"/>
          <w:color w:val="000000" w:themeColor="text1"/>
          <w:kern w:val="0"/>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t>2.10</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3</w:t>
      </w:r>
      <w:r>
        <w:rPr>
          <w:rFonts w:cs="Times New Roman"/>
          <w:color w:val="000000" w:themeColor="text1"/>
          <w:kern w:val="0"/>
          <w:szCs w:val="24"/>
          <w:highlight w:val="none"/>
          <w14:textFill>
            <w14:solidFill>
              <w14:schemeClr w14:val="tx1"/>
            </w14:solidFill>
          </w14:textFill>
        </w:rPr>
        <w:fldChar w:fldCharType="end"/>
      </w:r>
      <w:r>
        <w:rPr>
          <w:rFonts w:hint="eastAsia" w:cs="Times New Roman"/>
          <w:color w:val="000000" w:themeColor="text1"/>
          <w:kern w:val="0"/>
          <w:szCs w:val="24"/>
          <w:highlight w:val="none"/>
          <w14:textFill>
            <w14:solidFill>
              <w14:schemeClr w14:val="tx1"/>
            </w14:solidFill>
          </w14:textFill>
        </w:rPr>
        <w:t>。</w:t>
      </w:r>
    </w:p>
    <w:p>
      <w:pPr>
        <w:pStyle w:val="6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691008" behindDoc="0" locked="0" layoutInCell="1" allowOverlap="1">
                <wp:simplePos x="0" y="0"/>
                <wp:positionH relativeFrom="column">
                  <wp:posOffset>3429000</wp:posOffset>
                </wp:positionH>
                <wp:positionV relativeFrom="paragraph">
                  <wp:posOffset>3041650</wp:posOffset>
                </wp:positionV>
                <wp:extent cx="982345" cy="379095"/>
                <wp:effectExtent l="0" t="0" r="465455" b="20955"/>
                <wp:wrapNone/>
                <wp:docPr id="295274759" name="对话气泡: 矩形 1"/>
                <wp:cNvGraphicFramePr/>
                <a:graphic xmlns:a="http://schemas.openxmlformats.org/drawingml/2006/main">
                  <a:graphicData uri="http://schemas.microsoft.com/office/word/2010/wordprocessingShape">
                    <wps:wsp>
                      <wps:cNvSpPr/>
                      <wps:spPr>
                        <a:xfrm>
                          <a:off x="0" y="0"/>
                          <a:ext cx="982345" cy="379095"/>
                        </a:xfrm>
                        <a:prstGeom prst="wedgeRectCallout">
                          <a:avLst>
                            <a:gd name="adj1" fmla="val 91836"/>
                            <a:gd name="adj2" fmla="val -40221"/>
                          </a:avLst>
                        </a:prstGeom>
                      </wps:spPr>
                      <wps:style>
                        <a:lnRef idx="2">
                          <a:schemeClr val="accent1">
                            <a:shade val="15000"/>
                          </a:schemeClr>
                        </a:lnRef>
                        <a:fillRef idx="1">
                          <a:schemeClr val="accent1"/>
                        </a:fillRef>
                        <a:effectRef idx="0">
                          <a:schemeClr val="accent1"/>
                        </a:effectRef>
                        <a:fontRef idx="minor">
                          <a:schemeClr val="lt1"/>
                        </a:fontRef>
                      </wps:style>
                      <wps:txbx>
                        <w:txbxContent>
                          <w:p>
                            <w:pPr>
                              <w:spacing w:line="240" w:lineRule="auto"/>
                              <w:ind w:firstLine="0" w:firstLineChars="0"/>
                              <w:jc w:val="center"/>
                              <w:rPr>
                                <w:rFonts w:ascii="黑体" w:hAnsi="黑体" w:eastAsia="黑体"/>
                              </w:rPr>
                            </w:pPr>
                            <w:r>
                              <w:rPr>
                                <w:rFonts w:hint="eastAsia" w:ascii="黑体" w:hAnsi="黑体" w:eastAsia="黑体"/>
                                <w:color w:val="FF0000"/>
                              </w:rPr>
                              <w:t>项目起点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 o:spid="_x0000_s1026" o:spt="61" type="#_x0000_t61" style="position:absolute;left:0pt;margin-left:270pt;margin-top:239.5pt;height:29.85pt;width:77.35pt;z-index:251691008;v-text-anchor:middle;mso-width-relative:page;mso-height-relative:page;" fillcolor="#4472C4 [3204]" filled="t" stroked="t" coordsize="21600,21600" o:gfxdata="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" adj="30637,2112">
                <v:fill on="t" focussize="0,0"/>
                <v:stroke weight="1pt" color="#172C51 [3204]" miterlimit="8" joinstyle="miter"/>
                <v:imagedata o:title=""/>
                <o:lock v:ext="edit" aspectratio="f"/>
                <v:textbox>
                  <w:txbxContent>
                    <w:p>
                      <w:pPr>
                        <w:spacing w:line="240" w:lineRule="auto"/>
                        <w:ind w:firstLine="0" w:firstLineChars="0"/>
                        <w:jc w:val="center"/>
                        <w:rPr>
                          <w:rFonts w:ascii="黑体" w:hAnsi="黑体" w:eastAsia="黑体"/>
                        </w:rPr>
                      </w:pPr>
                      <w:r>
                        <w:rPr>
                          <w:rFonts w:hint="eastAsia" w:ascii="黑体" w:hAnsi="黑体" w:eastAsia="黑体"/>
                          <w:color w:val="FF0000"/>
                        </w:rPr>
                        <w:t>项目起点</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92032" behindDoc="0" locked="0" layoutInCell="1" allowOverlap="1">
                <wp:simplePos x="0" y="0"/>
                <wp:positionH relativeFrom="column">
                  <wp:posOffset>90170</wp:posOffset>
                </wp:positionH>
                <wp:positionV relativeFrom="paragraph">
                  <wp:posOffset>465455</wp:posOffset>
                </wp:positionV>
                <wp:extent cx="982345" cy="379095"/>
                <wp:effectExtent l="0" t="0" r="27305" b="649605"/>
                <wp:wrapNone/>
                <wp:docPr id="1929660548" name="对话气泡: 矩形 1"/>
                <wp:cNvGraphicFramePr/>
                <a:graphic xmlns:a="http://schemas.openxmlformats.org/drawingml/2006/main">
                  <a:graphicData uri="http://schemas.microsoft.com/office/word/2010/wordprocessingShape">
                    <wps:wsp>
                      <wps:cNvSpPr/>
                      <wps:spPr>
                        <a:xfrm>
                          <a:off x="0" y="0"/>
                          <a:ext cx="982345" cy="379095"/>
                        </a:xfrm>
                        <a:prstGeom prst="wedgeRectCallout">
                          <a:avLst>
                            <a:gd name="adj1" fmla="val -14934"/>
                            <a:gd name="adj2" fmla="val 201255"/>
                          </a:avLst>
                        </a:prstGeom>
                      </wps:spPr>
                      <wps:style>
                        <a:lnRef idx="2">
                          <a:schemeClr val="accent1">
                            <a:shade val="15000"/>
                          </a:schemeClr>
                        </a:lnRef>
                        <a:fillRef idx="1">
                          <a:schemeClr val="accent1"/>
                        </a:fillRef>
                        <a:effectRef idx="0">
                          <a:schemeClr val="accent1"/>
                        </a:effectRef>
                        <a:fontRef idx="minor">
                          <a:schemeClr val="lt1"/>
                        </a:fontRef>
                      </wps:style>
                      <wps:txbx>
                        <w:txbxContent>
                          <w:p>
                            <w:pPr>
                              <w:spacing w:line="240" w:lineRule="auto"/>
                              <w:ind w:firstLine="0" w:firstLineChars="0"/>
                              <w:jc w:val="center"/>
                              <w:rPr>
                                <w:rFonts w:ascii="黑体" w:hAnsi="黑体" w:eastAsia="黑体"/>
                              </w:rPr>
                            </w:pPr>
                            <w:r>
                              <w:rPr>
                                <w:rFonts w:hint="eastAsia" w:ascii="黑体" w:hAnsi="黑体" w:eastAsia="黑体"/>
                                <w:color w:val="FF0000"/>
                              </w:rPr>
                              <w:t>项目终点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 o:spid="_x0000_s1026" o:spt="61" type="#_x0000_t61" style="position:absolute;left:0pt;margin-left:7.1pt;margin-top:36.65pt;height:29.85pt;width:77.35pt;z-index:251692032;v-text-anchor:middle;mso-width-relative:page;mso-height-relative:page;" fillcolor="#4472C4 [3204]" filled="t" stroked="t" coordsize="21600,21600" o:gfxdata="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" adj="7574,54271">
                <v:fill on="t" focussize="0,0"/>
                <v:stroke weight="1pt" color="#172C51 [3204]" miterlimit="8" joinstyle="miter"/>
                <v:imagedata o:title=""/>
                <o:lock v:ext="edit" aspectratio="f"/>
                <v:textbox>
                  <w:txbxContent>
                    <w:p>
                      <w:pPr>
                        <w:spacing w:line="240" w:lineRule="auto"/>
                        <w:ind w:firstLine="0" w:firstLineChars="0"/>
                        <w:jc w:val="center"/>
                        <w:rPr>
                          <w:rFonts w:ascii="黑体" w:hAnsi="黑体" w:eastAsia="黑体"/>
                        </w:rPr>
                      </w:pPr>
                      <w:r>
                        <w:rPr>
                          <w:rFonts w:hint="eastAsia" w:ascii="黑体" w:hAnsi="黑体" w:eastAsia="黑体"/>
                          <w:color w:val="FF0000"/>
                        </w:rPr>
                        <w:t>项目终点</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89984" behindDoc="0" locked="0" layoutInCell="1" allowOverlap="1">
                <wp:simplePos x="0" y="0"/>
                <wp:positionH relativeFrom="column">
                  <wp:posOffset>447675</wp:posOffset>
                </wp:positionH>
                <wp:positionV relativeFrom="paragraph">
                  <wp:posOffset>2073275</wp:posOffset>
                </wp:positionV>
                <wp:extent cx="752475" cy="285750"/>
                <wp:effectExtent l="0" t="304800" r="123825" b="19050"/>
                <wp:wrapNone/>
                <wp:docPr id="1041708992" name="对话气泡: 矩形 1"/>
                <wp:cNvGraphicFramePr/>
                <a:graphic xmlns:a="http://schemas.openxmlformats.org/drawingml/2006/main">
                  <a:graphicData uri="http://schemas.microsoft.com/office/word/2010/wordprocessingShape">
                    <wps:wsp>
                      <wps:cNvSpPr/>
                      <wps:spPr>
                        <a:xfrm>
                          <a:off x="0" y="0"/>
                          <a:ext cx="752475" cy="285750"/>
                        </a:xfrm>
                        <a:prstGeom prst="wedgeRectCallout">
                          <a:avLst>
                            <a:gd name="adj1" fmla="val 58136"/>
                            <a:gd name="adj2" fmla="val -140834"/>
                          </a:avLst>
                        </a:prstGeom>
                        <a:solidFill>
                          <a:schemeClr val="accent5">
                            <a:lumMod val="60000"/>
                            <a:lumOff val="4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pPr>
                              <w:ind w:firstLine="0" w:firstLineChars="0"/>
                              <w:rPr>
                                <w:color w:val="000000" w:themeColor="text1"/>
                                <w14:shadow w14:blurRad="38100" w14:dist="19050" w14:dir="2700000" w14:sx="100000" w14:sy="100000" w14:kx="0" w14:ky="0" w14:algn="tl">
                                  <w14:schemeClr w14:val="dk1">
                                    <w14:alpha w14:val="60000"/>
                                  </w14:schemeClr>
                                </w14:shadow>
                                <w14:textFill>
                                  <w14:solidFill>
                                    <w14:schemeClr w14:val="tx1"/>
                                  </w14:solidFill>
                                </w14:textFill>
                              </w:rPr>
                            </w:pP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rPr>
                              <w:t>方案一</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 o:spid="_x0000_s1026" o:spt="61" type="#_x0000_t61" style="position:absolute;left:0pt;margin-left:35.25pt;margin-top:163.25pt;height:22.5pt;width:59.25pt;z-index:251689984;v-text-anchor:middle;mso-width-relative:page;mso-height-relative:page;" fillcolor="#9DC3E6 [1944]" filled="t" stroked="t" coordsize="21600,21600" o:gfxdata="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" adj="23357,-19620">
                <v:fill on="t" focussize="0,0"/>
                <v:stroke weight="1pt" color="#172C51 [3204]" miterlimit="8" joinstyle="miter"/>
                <v:imagedata o:title=""/>
                <o:lock v:ext="edit" aspectratio="f"/>
                <v:textbox>
                  <w:txbxContent>
                    <w:p>
                      <w:pPr>
                        <w:ind w:firstLine="0" w:firstLineChars="0"/>
                        <w:rPr>
                          <w:color w:val="000000" w:themeColor="text1"/>
                          <w14:shadow w14:blurRad="38100" w14:dist="19050" w14:dir="2700000" w14:sx="100000" w14:sy="100000" w14:kx="0" w14:ky="0" w14:algn="tl">
                            <w14:schemeClr w14:val="dk1">
                              <w14:alpha w14:val="60000"/>
                            </w14:schemeClr>
                          </w14:shadow>
                          <w14:textFill>
                            <w14:solidFill>
                              <w14:schemeClr w14:val="tx1"/>
                            </w14:solidFill>
                          </w14:textFill>
                        </w:rPr>
                      </w:pP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rPr>
                        <w:t>方案一</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93056" behindDoc="0" locked="0" layoutInCell="1" allowOverlap="1">
                <wp:simplePos x="0" y="0"/>
                <wp:positionH relativeFrom="column">
                  <wp:posOffset>4235450</wp:posOffset>
                </wp:positionH>
                <wp:positionV relativeFrom="paragraph">
                  <wp:posOffset>1543050</wp:posOffset>
                </wp:positionV>
                <wp:extent cx="752475" cy="285750"/>
                <wp:effectExtent l="285750" t="0" r="28575" b="247650"/>
                <wp:wrapNone/>
                <wp:docPr id="951496741" name="对话气泡: 矩形 1"/>
                <wp:cNvGraphicFramePr/>
                <a:graphic xmlns:a="http://schemas.openxmlformats.org/drawingml/2006/main">
                  <a:graphicData uri="http://schemas.microsoft.com/office/word/2010/wordprocessingShape">
                    <wps:wsp>
                      <wps:cNvSpPr/>
                      <wps:spPr>
                        <a:xfrm>
                          <a:off x="0" y="0"/>
                          <a:ext cx="752475" cy="285750"/>
                        </a:xfrm>
                        <a:prstGeom prst="wedgeRectCallout">
                          <a:avLst>
                            <a:gd name="adj1" fmla="val -81222"/>
                            <a:gd name="adj2" fmla="val 119631"/>
                          </a:avLst>
                        </a:prstGeom>
                        <a:solidFill>
                          <a:schemeClr val="accent5">
                            <a:lumMod val="60000"/>
                            <a:lumOff val="4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pPr>
                              <w:ind w:firstLine="0" w:firstLineChars="0"/>
                              <w:rPr>
                                <w:color w:val="000000" w:themeColor="text1"/>
                                <w14:shadow w14:blurRad="38100" w14:dist="19050" w14:dir="2700000" w14:sx="100000" w14:sy="100000" w14:kx="0" w14:ky="0" w14:algn="tl">
                                  <w14:schemeClr w14:val="dk1">
                                    <w14:alpha w14:val="60000"/>
                                  </w14:schemeClr>
                                </w14:shadow>
                                <w14:textFill>
                                  <w14:solidFill>
                                    <w14:schemeClr w14:val="tx1"/>
                                  </w14:solidFill>
                                </w14:textFill>
                              </w:rPr>
                            </w:pP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rPr>
                              <w:t>方案二</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 o:spid="_x0000_s1026" o:spt="61" type="#_x0000_t61" style="position:absolute;left:0pt;margin-left:333.5pt;margin-top:121.5pt;height:22.5pt;width:59.25pt;z-index:251693056;v-text-anchor:middle;mso-width-relative:page;mso-height-relative:page;" fillcolor="#9DC3E6 [1944]" filled="t" stroked="t" coordsize="21600,21600" o:gfxdata="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" adj="-6744,36640">
                <v:fill on="t" focussize="0,0"/>
                <v:stroke weight="1pt" color="#172C51 [3204]" miterlimit="8" joinstyle="miter"/>
                <v:imagedata o:title=""/>
                <o:lock v:ext="edit" aspectratio="f"/>
                <v:textbox>
                  <w:txbxContent>
                    <w:p>
                      <w:pPr>
                        <w:ind w:firstLine="0" w:firstLineChars="0"/>
                        <w:rPr>
                          <w:color w:val="000000" w:themeColor="text1"/>
                          <w14:shadow w14:blurRad="38100" w14:dist="19050" w14:dir="2700000" w14:sx="100000" w14:sy="100000" w14:kx="0" w14:ky="0" w14:algn="tl">
                            <w14:schemeClr w14:val="dk1">
                              <w14:alpha w14:val="60000"/>
                            </w14:schemeClr>
                          </w14:shadow>
                          <w14:textFill>
                            <w14:solidFill>
                              <w14:schemeClr w14:val="tx1"/>
                            </w14:solidFill>
                          </w14:textFill>
                        </w:rPr>
                      </w:pP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rPr>
                        <w:t>方案二</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88960" behindDoc="0" locked="0" layoutInCell="1" allowOverlap="1">
                <wp:simplePos x="0" y="0"/>
                <wp:positionH relativeFrom="column">
                  <wp:posOffset>2565400</wp:posOffset>
                </wp:positionH>
                <wp:positionV relativeFrom="paragraph">
                  <wp:posOffset>660400</wp:posOffset>
                </wp:positionV>
                <wp:extent cx="861060" cy="285750"/>
                <wp:effectExtent l="57150" t="0" r="15240" b="209550"/>
                <wp:wrapNone/>
                <wp:docPr id="1482190566" name="对话气泡: 矩形 1"/>
                <wp:cNvGraphicFramePr/>
                <a:graphic xmlns:a="http://schemas.openxmlformats.org/drawingml/2006/main">
                  <a:graphicData uri="http://schemas.microsoft.com/office/word/2010/wordprocessingShape">
                    <wps:wsp>
                      <wps:cNvSpPr/>
                      <wps:spPr>
                        <a:xfrm>
                          <a:off x="0" y="0"/>
                          <a:ext cx="861060" cy="285750"/>
                        </a:xfrm>
                        <a:prstGeom prst="wedgeRectCallout">
                          <a:avLst>
                            <a:gd name="adj1" fmla="val -51252"/>
                            <a:gd name="adj2" fmla="val 105239"/>
                          </a:avLst>
                        </a:prstGeom>
                        <a:solidFill>
                          <a:srgbClr val="92D050"/>
                        </a:solidFill>
                      </wps:spPr>
                      <wps:style>
                        <a:lnRef idx="2">
                          <a:schemeClr val="accent1">
                            <a:shade val="15000"/>
                          </a:schemeClr>
                        </a:lnRef>
                        <a:fillRef idx="1">
                          <a:schemeClr val="accent1"/>
                        </a:fillRef>
                        <a:effectRef idx="0">
                          <a:schemeClr val="accent1"/>
                        </a:effectRef>
                        <a:fontRef idx="minor">
                          <a:schemeClr val="lt1"/>
                        </a:fontRef>
                      </wps:style>
                      <wps:txbx>
                        <w:txbxContent>
                          <w:p>
                            <w:pPr>
                              <w:ind w:firstLine="0" w:firstLineChars="0"/>
                              <w:rPr>
                                <w:color w:val="000000" w:themeColor="text1"/>
                                <w14:shadow w14:blurRad="38100" w14:dist="19050" w14:dir="2700000" w14:sx="100000" w14:sy="100000" w14:kx="0" w14:ky="0" w14:algn="tl">
                                  <w14:schemeClr w14:val="dk1">
                                    <w14:alpha w14:val="60000"/>
                                  </w14:schemeClr>
                                </w14:shadow>
                                <w14:textFill>
                                  <w14:solidFill>
                                    <w14:schemeClr w14:val="tx1"/>
                                  </w14:solidFill>
                                </w14:textFill>
                              </w:rPr>
                            </w:pP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rPr>
                              <w:t>基本农田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 o:spid="_x0000_s1026" o:spt="61" type="#_x0000_t61" style="position:absolute;left:0pt;margin-left:202pt;margin-top:52pt;height:22.5pt;width:67.8pt;z-index:251688960;v-text-anchor:middle;mso-width-relative:page;mso-height-relative:page;" fillcolor="#92D050" filled="t" stroked="t" coordsize="21600,21600" o:gfxdata="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" adj="-270,33532">
                <v:fill on="t" focussize="0,0"/>
                <v:stroke weight="1pt" color="#172C51 [3204]" miterlimit="8" joinstyle="miter"/>
                <v:imagedata o:title=""/>
                <o:lock v:ext="edit" aspectratio="f"/>
                <v:textbox>
                  <w:txbxContent>
                    <w:p>
                      <w:pPr>
                        <w:ind w:firstLine="0" w:firstLineChars="0"/>
                        <w:rPr>
                          <w:color w:val="000000" w:themeColor="text1"/>
                          <w14:shadow w14:blurRad="38100" w14:dist="19050" w14:dir="2700000" w14:sx="100000" w14:sy="100000" w14:kx="0" w14:ky="0" w14:algn="tl">
                            <w14:schemeClr w14:val="dk1">
                              <w14:alpha w14:val="60000"/>
                            </w14:schemeClr>
                          </w14:shadow>
                          <w14:textFill>
                            <w14:solidFill>
                              <w14:schemeClr w14:val="tx1"/>
                            </w14:solidFill>
                          </w14:textFill>
                        </w:rPr>
                      </w:pP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rPr>
                        <w:t>基本农田</w:t>
                      </w:r>
                    </w:p>
                  </w:txbxContent>
                </v:textbox>
              </v:shape>
            </w:pict>
          </mc:Fallback>
        </mc:AlternateContent>
      </w:r>
      <w:r>
        <w:rPr>
          <w:color w:val="000000" w:themeColor="text1"/>
          <w:highlight w:val="none"/>
          <w14:textFill>
            <w14:solidFill>
              <w14:schemeClr w14:val="tx1"/>
            </w14:solidFill>
          </w14:textFill>
        </w:rPr>
        <w:drawing>
          <wp:inline distT="0" distB="0" distL="0" distR="0">
            <wp:extent cx="5276850" cy="3483610"/>
            <wp:effectExtent l="0" t="0" r="0" b="2540"/>
            <wp:docPr id="973664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66475" name="图片 1"/>
                    <pic:cNvPicPr>
                      <a:picLocks noChangeAspect="1"/>
                    </pic:cNvPicPr>
                  </pic:nvPicPr>
                  <pic:blipFill>
                    <a:blip r:embed="rId49"/>
                    <a:stretch>
                      <a:fillRect/>
                    </a:stretch>
                  </pic:blipFill>
                  <pic:spPr>
                    <a:xfrm>
                      <a:off x="0" y="0"/>
                      <a:ext cx="5276850" cy="3483610"/>
                    </a:xfrm>
                    <a:prstGeom prst="rect">
                      <a:avLst/>
                    </a:prstGeom>
                  </pic:spPr>
                </pic:pic>
              </a:graphicData>
            </a:graphic>
          </wp:inline>
        </w:drawing>
      </w:r>
    </w:p>
    <w:p>
      <w:pPr>
        <w:pStyle w:val="76"/>
        <w:ind w:firstLine="482"/>
        <w:rPr>
          <w:color w:val="000000" w:themeColor="text1"/>
          <w:highlight w:val="none"/>
          <w14:textFill>
            <w14:solidFill>
              <w14:schemeClr w14:val="tx1"/>
            </w14:solidFill>
          </w14:textFill>
        </w:rPr>
      </w:pPr>
      <w:bookmarkStart w:id="109" w:name="_Ref149593335"/>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2.10</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fldChar w:fldCharType="end"/>
      </w:r>
      <w:bookmarkEnd w:id="109"/>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线路方案比选示意图</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线路比选方案见表2.10</w:t>
      </w:r>
      <w:r>
        <w:rPr>
          <w:color w:val="000000" w:themeColor="text1"/>
          <w:highlight w:val="none"/>
          <w14:textFill>
            <w14:solidFill>
              <w14:schemeClr w14:val="tx1"/>
            </w14:solidFill>
          </w14:textFill>
        </w:rPr>
        <w:t>-2</w:t>
      </w:r>
      <w:r>
        <w:rPr>
          <w:rFonts w:hint="eastAsia"/>
          <w:color w:val="000000" w:themeColor="text1"/>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2.10</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线路比选方案优缺点比较一览表</w:t>
      </w:r>
    </w:p>
    <w:tbl>
      <w:tblPr>
        <w:tblStyle w:val="18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3"/>
        <w:gridCol w:w="1170"/>
        <w:gridCol w:w="2189"/>
        <w:gridCol w:w="1843"/>
        <w:gridCol w:w="26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110" w:type="pct"/>
            <w:gridSpan w:val="2"/>
            <w:vAlign w:val="center"/>
          </w:tcPr>
          <w:p>
            <w:pPr>
              <w:pStyle w:val="118"/>
              <w:spacing w:line="240" w:lineRule="auto"/>
              <w:ind w:firstLine="0"/>
              <w:rPr>
                <w:rFonts w:eastAsia="Times New Roman"/>
                <w:b/>
                <w:bCs/>
                <w:snapToGrid w:val="0"/>
                <w:color w:val="000000" w:themeColor="text1"/>
                <w:highlight w:val="none"/>
                <w14:textFill>
                  <w14:solidFill>
                    <w14:schemeClr w14:val="tx1"/>
                  </w14:solidFill>
                </w14:textFill>
                <w14:ligatures w14:val="standardContextual"/>
              </w:rPr>
            </w:pPr>
            <w:r>
              <w:rPr>
                <w:rFonts w:hint="eastAsia" w:eastAsia="Times New Roman"/>
                <w:b/>
                <w:bCs/>
                <w:snapToGrid w:val="0"/>
                <w:color w:val="000000" w:themeColor="text1"/>
                <w:highlight w:val="none"/>
                <w14:textFill>
                  <w14:solidFill>
                    <w14:schemeClr w14:val="tx1"/>
                  </w14:solidFill>
                </w14:textFill>
                <w14:ligatures w14:val="standardContextual"/>
              </w:rPr>
              <w:t>项目</w:t>
            </w:r>
          </w:p>
        </w:tc>
        <w:tc>
          <w:tcPr>
            <w:tcW w:w="1284" w:type="pct"/>
            <w:vAlign w:val="center"/>
          </w:tcPr>
          <w:p>
            <w:pPr>
              <w:pStyle w:val="118"/>
              <w:spacing w:line="240" w:lineRule="auto"/>
              <w:ind w:firstLine="0"/>
              <w:rPr>
                <w:rFonts w:eastAsia="Times New Roman"/>
                <w:b/>
                <w:bCs/>
                <w:snapToGrid w:val="0"/>
                <w:color w:val="000000" w:themeColor="text1"/>
                <w:highlight w:val="none"/>
                <w14:textFill>
                  <w14:solidFill>
                    <w14:schemeClr w14:val="tx1"/>
                  </w14:solidFill>
                </w14:textFill>
                <w14:ligatures w14:val="standardContextual"/>
              </w:rPr>
            </w:pPr>
            <w:r>
              <w:rPr>
                <w:rFonts w:hint="eastAsia" w:ascii="宋体" w:hAnsi="宋体" w:eastAsia="宋体" w:cs="宋体"/>
                <w:b/>
                <w:bCs/>
                <w:snapToGrid w:val="0"/>
                <w:color w:val="000000" w:themeColor="text1"/>
                <w:highlight w:val="none"/>
                <w14:textFill>
                  <w14:solidFill>
                    <w14:schemeClr w14:val="tx1"/>
                  </w14:solidFill>
                </w14:textFill>
                <w14:ligatures w14:val="standardContextual"/>
              </w:rPr>
              <w:t>方</w:t>
            </w:r>
            <w:r>
              <w:rPr>
                <w:rFonts w:hint="eastAsia" w:eastAsia="Times New Roman"/>
                <w:b/>
                <w:bCs/>
                <w:snapToGrid w:val="0"/>
                <w:color w:val="000000" w:themeColor="text1"/>
                <w:highlight w:val="none"/>
                <w14:textFill>
                  <w14:solidFill>
                    <w14:schemeClr w14:val="tx1"/>
                  </w14:solidFill>
                </w14:textFill>
                <w14:ligatures w14:val="standardContextual"/>
              </w:rPr>
              <w:t>案一</w:t>
            </w:r>
          </w:p>
        </w:tc>
        <w:tc>
          <w:tcPr>
            <w:tcW w:w="1081" w:type="pct"/>
            <w:vAlign w:val="center"/>
          </w:tcPr>
          <w:p>
            <w:pPr>
              <w:pStyle w:val="118"/>
              <w:spacing w:line="240" w:lineRule="auto"/>
              <w:ind w:firstLine="0"/>
              <w:rPr>
                <w:rFonts w:eastAsia="Times New Roman"/>
                <w:b/>
                <w:bCs/>
                <w:snapToGrid w:val="0"/>
                <w:color w:val="000000" w:themeColor="text1"/>
                <w:highlight w:val="none"/>
                <w14:textFill>
                  <w14:solidFill>
                    <w14:schemeClr w14:val="tx1"/>
                  </w14:solidFill>
                </w14:textFill>
                <w14:ligatures w14:val="standardContextual"/>
              </w:rPr>
            </w:pPr>
            <w:r>
              <w:rPr>
                <w:rFonts w:hint="eastAsia" w:ascii="宋体" w:hAnsi="宋体" w:eastAsia="宋体" w:cs="宋体"/>
                <w:b/>
                <w:bCs/>
                <w:snapToGrid w:val="0"/>
                <w:color w:val="000000" w:themeColor="text1"/>
                <w:highlight w:val="none"/>
                <w14:textFill>
                  <w14:solidFill>
                    <w14:schemeClr w14:val="tx1"/>
                  </w14:solidFill>
                </w14:textFill>
                <w14:ligatures w14:val="standardContextual"/>
              </w:rPr>
              <w:t>方</w:t>
            </w:r>
            <w:r>
              <w:rPr>
                <w:rFonts w:hint="eastAsia" w:eastAsia="Times New Roman"/>
                <w:b/>
                <w:bCs/>
                <w:snapToGrid w:val="0"/>
                <w:color w:val="000000" w:themeColor="text1"/>
                <w:highlight w:val="none"/>
                <w14:textFill>
                  <w14:solidFill>
                    <w14:schemeClr w14:val="tx1"/>
                  </w14:solidFill>
                </w14:textFill>
                <w14:ligatures w14:val="standardContextual"/>
              </w:rPr>
              <w:t>案二</w:t>
            </w:r>
          </w:p>
        </w:tc>
        <w:tc>
          <w:tcPr>
            <w:tcW w:w="1525" w:type="pct"/>
            <w:vAlign w:val="center"/>
          </w:tcPr>
          <w:p>
            <w:pPr>
              <w:pStyle w:val="118"/>
              <w:spacing w:line="240" w:lineRule="auto"/>
              <w:ind w:firstLine="0"/>
              <w:rPr>
                <w:rFonts w:eastAsia="Times New Roman"/>
                <w:b/>
                <w:bCs/>
                <w:snapToGrid w:val="0"/>
                <w:color w:val="000000" w:themeColor="text1"/>
                <w:highlight w:val="none"/>
                <w14:textFill>
                  <w14:solidFill>
                    <w14:schemeClr w14:val="tx1"/>
                  </w14:solidFill>
                </w14:textFill>
                <w14:ligatures w14:val="standardContextual"/>
              </w:rPr>
            </w:pPr>
            <w:r>
              <w:rPr>
                <w:rFonts w:hint="eastAsia" w:ascii="宋体" w:hAnsi="宋体" w:eastAsia="宋体" w:cs="宋体"/>
                <w:b/>
                <w:bCs/>
                <w:snapToGrid w:val="0"/>
                <w:color w:val="000000" w:themeColor="text1"/>
                <w:highlight w:val="none"/>
                <w14:textFill>
                  <w14:solidFill>
                    <w14:schemeClr w14:val="tx1"/>
                  </w14:solidFill>
                </w14:textFill>
                <w14:ligatures w14:val="standardContextual"/>
              </w:rPr>
              <w:t>比</w:t>
            </w:r>
            <w:r>
              <w:rPr>
                <w:rFonts w:hint="eastAsia" w:eastAsia="Times New Roman"/>
                <w:b/>
                <w:bCs/>
                <w:snapToGrid w:val="0"/>
                <w:color w:val="000000" w:themeColor="text1"/>
                <w:highlight w:val="none"/>
                <w14:textFill>
                  <w14:solidFill>
                    <w14:schemeClr w14:val="tx1"/>
                  </w14:solidFill>
                </w14:textFill>
                <w14:ligatures w14:val="standardContextual"/>
              </w:rPr>
              <w:t>选结果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0" w:type="pct"/>
            <w:gridSpan w:val="2"/>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长</w:t>
            </w:r>
            <w:r>
              <w:rPr>
                <w:rFonts w:hint="eastAsia" w:eastAsia="Times New Roman"/>
                <w:snapToGrid w:val="0"/>
                <w:color w:val="000000" w:themeColor="text1"/>
                <w:highlight w:val="none"/>
                <w14:textFill>
                  <w14:solidFill>
                    <w14:schemeClr w14:val="tx1"/>
                  </w14:solidFill>
                </w14:textFill>
                <w14:ligatures w14:val="standardContextual"/>
              </w:rPr>
              <w:t>度</w:t>
            </w:r>
          </w:p>
        </w:tc>
        <w:tc>
          <w:tcPr>
            <w:tcW w:w="128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heme="minorEastAsia"/>
                <w:snapToGrid w:val="0"/>
                <w:color w:val="000000" w:themeColor="text1"/>
                <w:highlight w:val="none"/>
                <w14:textFill>
                  <w14:solidFill>
                    <w14:schemeClr w14:val="tx1"/>
                  </w14:solidFill>
                </w14:textFill>
                <w14:ligatures w14:val="standardContextual"/>
              </w:rPr>
              <w:t>11.8</w:t>
            </w:r>
            <w:r>
              <w:rPr>
                <w:rFonts w:eastAsia="Times New Roman"/>
                <w:snapToGrid w:val="0"/>
                <w:color w:val="000000" w:themeColor="text1"/>
                <w:highlight w:val="none"/>
                <w14:textFill>
                  <w14:solidFill>
                    <w14:schemeClr w14:val="tx1"/>
                  </w14:solidFill>
                </w14:textFill>
                <w14:ligatures w14:val="standardContextual"/>
              </w:rPr>
              <w:t>km</w:t>
            </w:r>
          </w:p>
        </w:tc>
        <w:tc>
          <w:tcPr>
            <w:tcW w:w="1081"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heme="minorEastAsia"/>
                <w:snapToGrid w:val="0"/>
                <w:color w:val="000000" w:themeColor="text1"/>
                <w:highlight w:val="none"/>
                <w14:textFill>
                  <w14:solidFill>
                    <w14:schemeClr w14:val="tx1"/>
                  </w14:solidFill>
                </w14:textFill>
                <w14:ligatures w14:val="standardContextual"/>
              </w:rPr>
              <w:t>12</w:t>
            </w:r>
            <w:r>
              <w:rPr>
                <w:rFonts w:eastAsia="Times New Roman"/>
                <w:snapToGrid w:val="0"/>
                <w:color w:val="000000" w:themeColor="text1"/>
                <w:highlight w:val="none"/>
                <w14:textFill>
                  <w14:solidFill>
                    <w14:schemeClr w14:val="tx1"/>
                  </w14:solidFill>
                </w14:textFill>
                <w14:ligatures w14:val="standardContextual"/>
              </w:rPr>
              <w:t>.0km</w:t>
            </w:r>
          </w:p>
        </w:tc>
        <w:tc>
          <w:tcPr>
            <w:tcW w:w="1525"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方</w:t>
            </w:r>
            <w:r>
              <w:rPr>
                <w:rFonts w:hint="eastAsia" w:eastAsia="Times New Roman"/>
                <w:snapToGrid w:val="0"/>
                <w:color w:val="000000" w:themeColor="text1"/>
                <w:highlight w:val="none"/>
                <w14:textFill>
                  <w14:solidFill>
                    <w14:schemeClr w14:val="tx1"/>
                  </w14:solidFill>
                </w14:textFill>
                <w14:ligatures w14:val="standardContextual"/>
              </w:rPr>
              <w:t>案一优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 w:type="pct"/>
            <w:vMerge w:val="restar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环</w:t>
            </w:r>
            <w:r>
              <w:rPr>
                <w:rFonts w:hint="eastAsia" w:eastAsia="Times New Roman"/>
                <w:snapToGrid w:val="0"/>
                <w:color w:val="000000" w:themeColor="text1"/>
                <w:highlight w:val="none"/>
                <w14:textFill>
                  <w14:solidFill>
                    <w14:schemeClr w14:val="tx1"/>
                  </w14:solidFill>
                </w14:textFill>
                <w14:ligatures w14:val="standardContextual"/>
              </w:rPr>
              <w:t>境保护方面</w:t>
            </w:r>
          </w:p>
        </w:tc>
        <w:tc>
          <w:tcPr>
            <w:tcW w:w="686"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基</w:t>
            </w:r>
            <w:r>
              <w:rPr>
                <w:rFonts w:hint="eastAsia" w:eastAsia="Times New Roman"/>
                <w:snapToGrid w:val="0"/>
                <w:color w:val="000000" w:themeColor="text1"/>
                <w:highlight w:val="none"/>
                <w14:textFill>
                  <w14:solidFill>
                    <w14:schemeClr w14:val="tx1"/>
                  </w14:solidFill>
                </w14:textFill>
                <w14:ligatures w14:val="standardContextual"/>
              </w:rPr>
              <w:t>本农田</w:t>
            </w:r>
          </w:p>
        </w:tc>
        <w:tc>
          <w:tcPr>
            <w:tcW w:w="128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穿</w:t>
            </w:r>
            <w:r>
              <w:rPr>
                <w:rFonts w:hint="eastAsia" w:eastAsia="Times New Roman"/>
                <w:snapToGrid w:val="0"/>
                <w:color w:val="000000" w:themeColor="text1"/>
                <w:highlight w:val="none"/>
                <w14:textFill>
                  <w14:solidFill>
                    <w14:schemeClr w14:val="tx1"/>
                  </w14:solidFill>
                </w14:textFill>
                <w14:ligatures w14:val="standardContextual"/>
              </w:rPr>
              <w:t>越基本农田约</w:t>
            </w:r>
            <w:r>
              <w:rPr>
                <w:rFonts w:hint="eastAsia" w:eastAsiaTheme="minorEastAsia"/>
                <w:snapToGrid w:val="0"/>
                <w:color w:val="000000" w:themeColor="text1"/>
                <w:highlight w:val="none"/>
                <w14:textFill>
                  <w14:solidFill>
                    <w14:schemeClr w14:val="tx1"/>
                  </w14:solidFill>
                </w14:textFill>
                <w14:ligatures w14:val="standardContextual"/>
              </w:rPr>
              <w:t>2.12</w:t>
            </w:r>
            <w:r>
              <w:rPr>
                <w:rFonts w:eastAsia="Times New Roman"/>
                <w:snapToGrid w:val="0"/>
                <w:color w:val="000000" w:themeColor="text1"/>
                <w:highlight w:val="none"/>
                <w14:textFill>
                  <w14:solidFill>
                    <w14:schemeClr w14:val="tx1"/>
                  </w14:solidFill>
                </w14:textFill>
                <w14:ligatures w14:val="standardContextual"/>
              </w:rPr>
              <w:t>m</w:t>
            </w:r>
          </w:p>
        </w:tc>
        <w:tc>
          <w:tcPr>
            <w:tcW w:w="1081"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穿</w:t>
            </w:r>
            <w:r>
              <w:rPr>
                <w:rFonts w:hint="eastAsia" w:eastAsia="Times New Roman"/>
                <w:snapToGrid w:val="0"/>
                <w:color w:val="000000" w:themeColor="text1"/>
                <w:highlight w:val="none"/>
                <w14:textFill>
                  <w14:solidFill>
                    <w14:schemeClr w14:val="tx1"/>
                  </w14:solidFill>
                </w14:textFill>
                <w14:ligatures w14:val="standardContextual"/>
              </w:rPr>
              <w:t>越基本农田约</w:t>
            </w:r>
            <w:r>
              <w:rPr>
                <w:rFonts w:hint="eastAsia" w:eastAsiaTheme="minorEastAsia"/>
                <w:snapToGrid w:val="0"/>
                <w:color w:val="000000" w:themeColor="text1"/>
                <w:highlight w:val="none"/>
                <w14:textFill>
                  <w14:solidFill>
                    <w14:schemeClr w14:val="tx1"/>
                  </w14:solidFill>
                </w14:textFill>
                <w14:ligatures w14:val="standardContextual"/>
              </w:rPr>
              <w:t>2.23</w:t>
            </w:r>
            <w:r>
              <w:rPr>
                <w:rFonts w:eastAsia="Times New Roman"/>
                <w:snapToGrid w:val="0"/>
                <w:color w:val="000000" w:themeColor="text1"/>
                <w:highlight w:val="none"/>
                <w14:textFill>
                  <w14:solidFill>
                    <w14:schemeClr w14:val="tx1"/>
                  </w14:solidFill>
                </w14:textFill>
                <w14:ligatures w14:val="standardContextual"/>
              </w:rPr>
              <w:t>km</w:t>
            </w:r>
          </w:p>
        </w:tc>
        <w:tc>
          <w:tcPr>
            <w:tcW w:w="1525"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方</w:t>
            </w:r>
            <w:r>
              <w:rPr>
                <w:rFonts w:hint="eastAsia" w:eastAsia="Times New Roman"/>
                <w:snapToGrid w:val="0"/>
                <w:color w:val="000000" w:themeColor="text1"/>
                <w:highlight w:val="none"/>
                <w14:textFill>
                  <w14:solidFill>
                    <w14:schemeClr w14:val="tx1"/>
                  </w14:solidFill>
                </w14:textFill>
                <w14:ligatures w14:val="standardContextual"/>
              </w:rPr>
              <w:t>案一较方案二穿越耕地农田区域范围小，施工期对耕地农田的破坏程度相对较小。方案一优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 w:type="pct"/>
            <w:vMerge w:val="continue"/>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p>
        </w:tc>
        <w:tc>
          <w:tcPr>
            <w:tcW w:w="686"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大</w:t>
            </w:r>
            <w:r>
              <w:rPr>
                <w:rFonts w:hint="eastAsia" w:eastAsia="Times New Roman"/>
                <w:snapToGrid w:val="0"/>
                <w:color w:val="000000" w:themeColor="text1"/>
                <w:highlight w:val="none"/>
                <w14:textFill>
                  <w14:solidFill>
                    <w14:schemeClr w14:val="tx1"/>
                  </w14:solidFill>
                </w14:textFill>
                <w14:ligatures w14:val="standardContextual"/>
              </w:rPr>
              <w:t>气环境和声环境影响方面</w:t>
            </w:r>
          </w:p>
        </w:tc>
        <w:tc>
          <w:tcPr>
            <w:tcW w:w="128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沿</w:t>
            </w:r>
            <w:r>
              <w:rPr>
                <w:rFonts w:hint="eastAsia" w:eastAsia="Times New Roman"/>
                <w:snapToGrid w:val="0"/>
                <w:color w:val="000000" w:themeColor="text1"/>
                <w:highlight w:val="none"/>
                <w14:textFill>
                  <w14:solidFill>
                    <w14:schemeClr w14:val="tx1"/>
                  </w14:solidFill>
                </w14:textFill>
                <w14:ligatures w14:val="standardContextual"/>
              </w:rPr>
              <w:t>线居民点相对较少</w:t>
            </w:r>
          </w:p>
        </w:tc>
        <w:tc>
          <w:tcPr>
            <w:tcW w:w="1081"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沿</w:t>
            </w:r>
            <w:r>
              <w:rPr>
                <w:rFonts w:hint="eastAsia" w:eastAsia="Times New Roman"/>
                <w:snapToGrid w:val="0"/>
                <w:color w:val="000000" w:themeColor="text1"/>
                <w:highlight w:val="none"/>
                <w14:textFill>
                  <w14:solidFill>
                    <w14:schemeClr w14:val="tx1"/>
                  </w14:solidFill>
                </w14:textFill>
                <w14:ligatures w14:val="standardContextual"/>
              </w:rPr>
              <w:t>线居民点相对较多</w:t>
            </w:r>
          </w:p>
        </w:tc>
        <w:tc>
          <w:tcPr>
            <w:tcW w:w="1525"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方</w:t>
            </w:r>
            <w:r>
              <w:rPr>
                <w:rFonts w:hint="eastAsia" w:eastAsia="Times New Roman"/>
                <w:snapToGrid w:val="0"/>
                <w:color w:val="000000" w:themeColor="text1"/>
                <w:highlight w:val="none"/>
                <w14:textFill>
                  <w14:solidFill>
                    <w14:schemeClr w14:val="tx1"/>
                  </w14:solidFill>
                </w14:textFill>
                <w14:ligatures w14:val="standardContextual"/>
              </w:rPr>
              <w:t>案一沿线居民点相对较少，管线施工期和营运期所涉及的大气环境和声环境对居民影响相对较小。方案一优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 w:type="pct"/>
            <w:vMerge w:val="continue"/>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p>
        </w:tc>
        <w:tc>
          <w:tcPr>
            <w:tcW w:w="686"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水</w:t>
            </w:r>
            <w:r>
              <w:rPr>
                <w:rFonts w:hint="eastAsia" w:eastAsia="Times New Roman"/>
                <w:snapToGrid w:val="0"/>
                <w:color w:val="000000" w:themeColor="text1"/>
                <w:highlight w:val="none"/>
                <w14:textFill>
                  <w14:solidFill>
                    <w14:schemeClr w14:val="tx1"/>
                  </w14:solidFill>
                </w14:textFill>
                <w14:ligatures w14:val="standardContextual"/>
              </w:rPr>
              <w:t>环境影响方面</w:t>
            </w:r>
          </w:p>
        </w:tc>
        <w:tc>
          <w:tcPr>
            <w:tcW w:w="128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穿</w:t>
            </w:r>
            <w:r>
              <w:rPr>
                <w:rFonts w:hint="eastAsia" w:eastAsia="Times New Roman"/>
                <w:snapToGrid w:val="0"/>
                <w:color w:val="000000" w:themeColor="text1"/>
                <w:highlight w:val="none"/>
                <w14:textFill>
                  <w14:solidFill>
                    <w14:schemeClr w14:val="tx1"/>
                  </w14:solidFill>
                </w14:textFill>
                <w14:ligatures w14:val="standardContextual"/>
              </w:rPr>
              <w:t>越州河支流</w:t>
            </w:r>
            <w:r>
              <w:rPr>
                <w:rFonts w:eastAsia="Times New Roman"/>
                <w:snapToGrid w:val="0"/>
                <w:color w:val="000000" w:themeColor="text1"/>
                <w:highlight w:val="none"/>
                <w14:textFill>
                  <w14:solidFill>
                    <w14:schemeClr w14:val="tx1"/>
                  </w14:solidFill>
                </w14:textFill>
                <w14:ligatures w14:val="standardContextual"/>
              </w:rPr>
              <w:t>1</w:t>
            </w:r>
            <w:r>
              <w:rPr>
                <w:rFonts w:hint="eastAsia" w:eastAsia="Times New Roman"/>
                <w:snapToGrid w:val="0"/>
                <w:color w:val="000000" w:themeColor="text1"/>
                <w:highlight w:val="none"/>
                <w14:textFill>
                  <w14:solidFill>
                    <w14:schemeClr w14:val="tx1"/>
                  </w14:solidFill>
                </w14:textFill>
                <w14:ligatures w14:val="standardContextual"/>
              </w:rPr>
              <w:t>次，小型河流</w:t>
            </w:r>
            <w:r>
              <w:rPr>
                <w:rFonts w:eastAsia="Times New Roman"/>
                <w:snapToGrid w:val="0"/>
                <w:color w:val="000000" w:themeColor="text1"/>
                <w:highlight w:val="none"/>
                <w14:textFill>
                  <w14:solidFill>
                    <w14:schemeClr w14:val="tx1"/>
                  </w14:solidFill>
                </w14:textFill>
                <w14:ligatures w14:val="standardContextual"/>
              </w:rPr>
              <w:t>13</w:t>
            </w:r>
            <w:r>
              <w:rPr>
                <w:rFonts w:hint="eastAsia" w:eastAsia="Times New Roman"/>
                <w:snapToGrid w:val="0"/>
                <w:color w:val="000000" w:themeColor="text1"/>
                <w:highlight w:val="none"/>
                <w14:textFill>
                  <w14:solidFill>
                    <w14:schemeClr w14:val="tx1"/>
                  </w14:solidFill>
                </w14:textFill>
                <w14:ligatures w14:val="standardContextual"/>
              </w:rPr>
              <w:t>次</w:t>
            </w:r>
          </w:p>
        </w:tc>
        <w:tc>
          <w:tcPr>
            <w:tcW w:w="1081"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穿</w:t>
            </w:r>
            <w:r>
              <w:rPr>
                <w:rFonts w:hint="eastAsia" w:eastAsia="Times New Roman"/>
                <w:snapToGrid w:val="0"/>
                <w:color w:val="000000" w:themeColor="text1"/>
                <w:highlight w:val="none"/>
                <w14:textFill>
                  <w14:solidFill>
                    <w14:schemeClr w14:val="tx1"/>
                  </w14:solidFill>
                </w14:textFill>
                <w14:ligatures w14:val="standardContextual"/>
              </w:rPr>
              <w:t>越州河支流</w:t>
            </w:r>
            <w:r>
              <w:rPr>
                <w:rFonts w:eastAsia="Times New Roman"/>
                <w:snapToGrid w:val="0"/>
                <w:color w:val="000000" w:themeColor="text1"/>
                <w:highlight w:val="none"/>
                <w14:textFill>
                  <w14:solidFill>
                    <w14:schemeClr w14:val="tx1"/>
                  </w14:solidFill>
                </w14:textFill>
                <w14:ligatures w14:val="standardContextual"/>
              </w:rPr>
              <w:t>1</w:t>
            </w:r>
            <w:r>
              <w:rPr>
                <w:rFonts w:hint="eastAsia" w:eastAsia="Times New Roman"/>
                <w:snapToGrid w:val="0"/>
                <w:color w:val="000000" w:themeColor="text1"/>
                <w:highlight w:val="none"/>
                <w14:textFill>
                  <w14:solidFill>
                    <w14:schemeClr w14:val="tx1"/>
                  </w14:solidFill>
                </w14:textFill>
                <w14:ligatures w14:val="standardContextual"/>
              </w:rPr>
              <w:t>次，小型河流</w:t>
            </w:r>
            <w:r>
              <w:rPr>
                <w:rFonts w:eastAsia="Times New Roman"/>
                <w:snapToGrid w:val="0"/>
                <w:color w:val="000000" w:themeColor="text1"/>
                <w:highlight w:val="none"/>
                <w14:textFill>
                  <w14:solidFill>
                    <w14:schemeClr w14:val="tx1"/>
                  </w14:solidFill>
                </w14:textFill>
                <w14:ligatures w14:val="standardContextual"/>
              </w:rPr>
              <w:t>14</w:t>
            </w:r>
            <w:r>
              <w:rPr>
                <w:rFonts w:hint="eastAsia" w:eastAsia="Times New Roman"/>
                <w:snapToGrid w:val="0"/>
                <w:color w:val="000000" w:themeColor="text1"/>
                <w:highlight w:val="none"/>
                <w14:textFill>
                  <w14:solidFill>
                    <w14:schemeClr w14:val="tx1"/>
                  </w14:solidFill>
                </w14:textFill>
                <w14:ligatures w14:val="standardContextual"/>
              </w:rPr>
              <w:t>次</w:t>
            </w:r>
          </w:p>
        </w:tc>
        <w:tc>
          <w:tcPr>
            <w:tcW w:w="1525"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基</w:t>
            </w:r>
            <w:r>
              <w:rPr>
                <w:rFonts w:hint="eastAsia" w:eastAsia="Times New Roman"/>
                <w:snapToGrid w:val="0"/>
                <w:color w:val="000000" w:themeColor="text1"/>
                <w:highlight w:val="none"/>
                <w14:textFill>
                  <w14:solidFill>
                    <w14:schemeClr w14:val="tx1"/>
                  </w14:solidFill>
                </w14:textFill>
                <w14:ligatures w14:val="standardContextual"/>
              </w:rPr>
              <w:t>本一致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 w:type="pct"/>
            <w:vMerge w:val="continue"/>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p>
        </w:tc>
        <w:tc>
          <w:tcPr>
            <w:tcW w:w="686"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环</w:t>
            </w:r>
            <w:r>
              <w:rPr>
                <w:rFonts w:hint="eastAsia" w:eastAsia="Times New Roman"/>
                <w:snapToGrid w:val="0"/>
                <w:color w:val="000000" w:themeColor="text1"/>
                <w:highlight w:val="none"/>
                <w14:textFill>
                  <w14:solidFill>
                    <w14:schemeClr w14:val="tx1"/>
                  </w14:solidFill>
                </w14:textFill>
                <w14:ligatures w14:val="standardContextual"/>
              </w:rPr>
              <w:t>境风险影响方面</w:t>
            </w:r>
          </w:p>
        </w:tc>
        <w:tc>
          <w:tcPr>
            <w:tcW w:w="128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沿</w:t>
            </w:r>
            <w:r>
              <w:rPr>
                <w:rFonts w:hint="eastAsia" w:eastAsia="Times New Roman"/>
                <w:snapToGrid w:val="0"/>
                <w:color w:val="000000" w:themeColor="text1"/>
                <w:highlight w:val="none"/>
                <w14:textFill>
                  <w14:solidFill>
                    <w14:schemeClr w14:val="tx1"/>
                  </w14:solidFill>
                </w14:textFill>
                <w14:ligatures w14:val="standardContextual"/>
              </w:rPr>
              <w:t>线居民点相对较少</w:t>
            </w:r>
          </w:p>
        </w:tc>
        <w:tc>
          <w:tcPr>
            <w:tcW w:w="1081"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沿</w:t>
            </w:r>
            <w:r>
              <w:rPr>
                <w:rFonts w:hint="eastAsia" w:eastAsia="Times New Roman"/>
                <w:snapToGrid w:val="0"/>
                <w:color w:val="000000" w:themeColor="text1"/>
                <w:highlight w:val="none"/>
                <w14:textFill>
                  <w14:solidFill>
                    <w14:schemeClr w14:val="tx1"/>
                  </w14:solidFill>
                </w14:textFill>
                <w14:ligatures w14:val="standardContextual"/>
              </w:rPr>
              <w:t>线居民点相对较多</w:t>
            </w:r>
          </w:p>
        </w:tc>
        <w:tc>
          <w:tcPr>
            <w:tcW w:w="1525"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事</w:t>
            </w:r>
            <w:r>
              <w:rPr>
                <w:rFonts w:hint="eastAsia" w:eastAsia="Times New Roman"/>
                <w:snapToGrid w:val="0"/>
                <w:color w:val="000000" w:themeColor="text1"/>
                <w:highlight w:val="none"/>
                <w14:textFill>
                  <w14:solidFill>
                    <w14:schemeClr w14:val="tx1"/>
                  </w14:solidFill>
                </w14:textFill>
                <w14:ligatures w14:val="standardContextual"/>
              </w:rPr>
              <w:t>故状态下，方案二沿线居民点较多，环境风险相对较大。方案一优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 w:type="pct"/>
            <w:vMerge w:val="continue"/>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p>
        </w:tc>
        <w:tc>
          <w:tcPr>
            <w:tcW w:w="686"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生</w:t>
            </w:r>
            <w:r>
              <w:rPr>
                <w:rFonts w:hint="eastAsia" w:eastAsia="Times New Roman"/>
                <w:snapToGrid w:val="0"/>
                <w:color w:val="000000" w:themeColor="text1"/>
                <w:highlight w:val="none"/>
                <w14:textFill>
                  <w14:solidFill>
                    <w14:schemeClr w14:val="tx1"/>
                  </w14:solidFill>
                </w14:textFill>
                <w14:ligatures w14:val="standardContextual"/>
              </w:rPr>
              <w:t>态环境影响方面</w:t>
            </w:r>
          </w:p>
        </w:tc>
        <w:tc>
          <w:tcPr>
            <w:tcW w:w="128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全</w:t>
            </w:r>
            <w:r>
              <w:rPr>
                <w:rFonts w:hint="eastAsia" w:eastAsia="Times New Roman"/>
                <w:snapToGrid w:val="0"/>
                <w:color w:val="000000" w:themeColor="text1"/>
                <w:highlight w:val="none"/>
                <w14:textFill>
                  <w14:solidFill>
                    <w14:schemeClr w14:val="tx1"/>
                  </w14:solidFill>
                </w14:textFill>
                <w14:ligatures w14:val="standardContextual"/>
              </w:rPr>
              <w:t>线属于生态一般区域</w:t>
            </w:r>
          </w:p>
        </w:tc>
        <w:tc>
          <w:tcPr>
            <w:tcW w:w="1081"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全</w:t>
            </w:r>
            <w:r>
              <w:rPr>
                <w:rFonts w:hint="eastAsia" w:eastAsia="Times New Roman"/>
                <w:snapToGrid w:val="0"/>
                <w:color w:val="000000" w:themeColor="text1"/>
                <w:highlight w:val="none"/>
                <w14:textFill>
                  <w14:solidFill>
                    <w14:schemeClr w14:val="tx1"/>
                  </w14:solidFill>
                </w14:textFill>
                <w14:ligatures w14:val="standardContextual"/>
              </w:rPr>
              <w:t>线属于生态一般区域</w:t>
            </w:r>
          </w:p>
        </w:tc>
        <w:tc>
          <w:tcPr>
            <w:tcW w:w="1525"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基</w:t>
            </w:r>
            <w:r>
              <w:rPr>
                <w:rFonts w:hint="eastAsia" w:eastAsia="Times New Roman"/>
                <w:snapToGrid w:val="0"/>
                <w:color w:val="000000" w:themeColor="text1"/>
                <w:highlight w:val="none"/>
                <w14:textFill>
                  <w14:solidFill>
                    <w14:schemeClr w14:val="tx1"/>
                  </w14:solidFill>
                </w14:textFill>
                <w14:ligatures w14:val="standardContextual"/>
              </w:rPr>
              <w:t>本一致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 w:type="pct"/>
            <w:vMerge w:val="continue"/>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p>
        </w:tc>
        <w:tc>
          <w:tcPr>
            <w:tcW w:w="686"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是</w:t>
            </w:r>
            <w:r>
              <w:rPr>
                <w:rFonts w:hint="eastAsia" w:eastAsia="Times New Roman"/>
                <w:snapToGrid w:val="0"/>
                <w:color w:val="000000" w:themeColor="text1"/>
                <w:highlight w:val="none"/>
                <w14:textFill>
                  <w14:solidFill>
                    <w14:schemeClr w14:val="tx1"/>
                  </w14:solidFill>
                </w14:textFill>
                <w14:ligatures w14:val="standardContextual"/>
              </w:rPr>
              <w:t>否涉及生态敏感区</w:t>
            </w:r>
          </w:p>
        </w:tc>
        <w:tc>
          <w:tcPr>
            <w:tcW w:w="128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穿</w:t>
            </w:r>
            <w:r>
              <w:rPr>
                <w:rFonts w:hint="eastAsia" w:eastAsia="Times New Roman"/>
                <w:snapToGrid w:val="0"/>
                <w:color w:val="000000" w:themeColor="text1"/>
                <w:highlight w:val="none"/>
                <w14:textFill>
                  <w14:solidFill>
                    <w14:schemeClr w14:val="tx1"/>
                  </w14:solidFill>
                </w14:textFill>
                <w14:ligatures w14:val="standardContextual"/>
              </w:rPr>
              <w:t>越二级公益林350</w:t>
            </w:r>
            <w:r>
              <w:rPr>
                <w:rFonts w:eastAsia="Times New Roman"/>
                <w:snapToGrid w:val="0"/>
                <w:color w:val="000000" w:themeColor="text1"/>
                <w:highlight w:val="none"/>
                <w14:textFill>
                  <w14:solidFill>
                    <w14:schemeClr w14:val="tx1"/>
                  </w14:solidFill>
                </w14:textFill>
                <w14:ligatures w14:val="standardContextual"/>
              </w:rPr>
              <w:t>m</w:t>
            </w:r>
            <w:r>
              <w:rPr>
                <w:rFonts w:hint="eastAsia" w:eastAsia="Times New Roman"/>
                <w:snapToGrid w:val="0"/>
                <w:color w:val="000000" w:themeColor="text1"/>
                <w:highlight w:val="none"/>
                <w14:textFill>
                  <w14:solidFill>
                    <w14:schemeClr w14:val="tx1"/>
                  </w14:solidFill>
                </w14:textFill>
                <w14:ligatures w14:val="standardContextual"/>
              </w:rPr>
              <w:t>，穿越天然林180</w:t>
            </w:r>
            <w:r>
              <w:rPr>
                <w:rFonts w:eastAsia="Times New Roman"/>
                <w:snapToGrid w:val="0"/>
                <w:color w:val="000000" w:themeColor="text1"/>
                <w:highlight w:val="none"/>
                <w14:textFill>
                  <w14:solidFill>
                    <w14:schemeClr w14:val="tx1"/>
                  </w14:solidFill>
                </w14:textFill>
                <w14:ligatures w14:val="standardContextual"/>
              </w:rPr>
              <w:t>m</w:t>
            </w:r>
          </w:p>
        </w:tc>
        <w:tc>
          <w:tcPr>
            <w:tcW w:w="1081"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穿</w:t>
            </w:r>
            <w:r>
              <w:rPr>
                <w:rFonts w:hint="eastAsia" w:eastAsia="Times New Roman"/>
                <w:snapToGrid w:val="0"/>
                <w:color w:val="000000" w:themeColor="text1"/>
                <w:highlight w:val="none"/>
                <w14:textFill>
                  <w14:solidFill>
                    <w14:schemeClr w14:val="tx1"/>
                  </w14:solidFill>
                </w14:textFill>
                <w14:ligatures w14:val="standardContextual"/>
              </w:rPr>
              <w:t>越二级公益林480</w:t>
            </w:r>
            <w:r>
              <w:rPr>
                <w:rFonts w:eastAsia="Times New Roman"/>
                <w:snapToGrid w:val="0"/>
                <w:color w:val="000000" w:themeColor="text1"/>
                <w:highlight w:val="none"/>
                <w14:textFill>
                  <w14:solidFill>
                    <w14:schemeClr w14:val="tx1"/>
                  </w14:solidFill>
                </w14:textFill>
                <w14:ligatures w14:val="standardContextual"/>
              </w:rPr>
              <w:t>m</w:t>
            </w:r>
            <w:r>
              <w:rPr>
                <w:rFonts w:hint="eastAsia" w:eastAsia="Times New Roman"/>
                <w:snapToGrid w:val="0"/>
                <w:color w:val="000000" w:themeColor="text1"/>
                <w:highlight w:val="none"/>
                <w14:textFill>
                  <w14:solidFill>
                    <w14:schemeClr w14:val="tx1"/>
                  </w14:solidFill>
                </w14:textFill>
                <w14:ligatures w14:val="standardContextual"/>
              </w:rPr>
              <w:t>，穿越天然林260</w:t>
            </w:r>
            <w:r>
              <w:rPr>
                <w:rFonts w:eastAsia="Times New Roman"/>
                <w:snapToGrid w:val="0"/>
                <w:color w:val="000000" w:themeColor="text1"/>
                <w:highlight w:val="none"/>
                <w14:textFill>
                  <w14:solidFill>
                    <w14:schemeClr w14:val="tx1"/>
                  </w14:solidFill>
                </w14:textFill>
                <w14:ligatures w14:val="standardContextual"/>
              </w:rPr>
              <w:t>m</w:t>
            </w:r>
          </w:p>
        </w:tc>
        <w:tc>
          <w:tcPr>
            <w:tcW w:w="1525"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方</w:t>
            </w:r>
            <w:r>
              <w:rPr>
                <w:rFonts w:hint="eastAsia" w:eastAsia="Times New Roman"/>
                <w:snapToGrid w:val="0"/>
                <w:color w:val="000000" w:themeColor="text1"/>
                <w:highlight w:val="none"/>
                <w14:textFill>
                  <w14:solidFill>
                    <w14:schemeClr w14:val="tx1"/>
                  </w14:solidFill>
                </w14:textFill>
                <w14:ligatures w14:val="standardContextual"/>
              </w:rPr>
              <w:t>案一优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 w:type="pct"/>
            <w:vMerge w:val="continue"/>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p>
        </w:tc>
        <w:tc>
          <w:tcPr>
            <w:tcW w:w="686"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水</w:t>
            </w:r>
            <w:r>
              <w:rPr>
                <w:rFonts w:hint="eastAsia" w:eastAsia="Times New Roman"/>
                <w:snapToGrid w:val="0"/>
                <w:color w:val="000000" w:themeColor="text1"/>
                <w:highlight w:val="none"/>
                <w14:textFill>
                  <w14:solidFill>
                    <w14:schemeClr w14:val="tx1"/>
                  </w14:solidFill>
                </w14:textFill>
                <w14:ligatures w14:val="standardContextual"/>
              </w:rPr>
              <w:t>土保持影响</w:t>
            </w:r>
          </w:p>
        </w:tc>
        <w:tc>
          <w:tcPr>
            <w:tcW w:w="128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主</w:t>
            </w:r>
            <w:r>
              <w:rPr>
                <w:rFonts w:hint="eastAsia" w:eastAsia="Times New Roman"/>
                <w:snapToGrid w:val="0"/>
                <w:color w:val="000000" w:themeColor="text1"/>
                <w:highlight w:val="none"/>
                <w14:textFill>
                  <w14:solidFill>
                    <w14:schemeClr w14:val="tx1"/>
                  </w14:solidFill>
                </w14:textFill>
                <w14:ligatures w14:val="standardContextual"/>
              </w:rPr>
              <w:t>要经过林地，穿越林地较方案二短，对水土保持影响较方案二小</w:t>
            </w:r>
          </w:p>
        </w:tc>
        <w:tc>
          <w:tcPr>
            <w:tcW w:w="1081"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主</w:t>
            </w:r>
            <w:r>
              <w:rPr>
                <w:rFonts w:hint="eastAsia" w:eastAsia="Times New Roman"/>
                <w:snapToGrid w:val="0"/>
                <w:color w:val="000000" w:themeColor="text1"/>
                <w:highlight w:val="none"/>
                <w14:textFill>
                  <w14:solidFill>
                    <w14:schemeClr w14:val="tx1"/>
                  </w14:solidFill>
                </w14:textFill>
                <w14:ligatures w14:val="standardContextual"/>
              </w:rPr>
              <w:t>要经过林地，穿越林地较方案一长，对水土保持影响较方案一大</w:t>
            </w:r>
          </w:p>
        </w:tc>
        <w:tc>
          <w:tcPr>
            <w:tcW w:w="1525"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方</w:t>
            </w:r>
            <w:r>
              <w:rPr>
                <w:rFonts w:hint="eastAsia" w:eastAsia="Times New Roman"/>
                <w:snapToGrid w:val="0"/>
                <w:color w:val="000000" w:themeColor="text1"/>
                <w:highlight w:val="none"/>
                <w14:textFill>
                  <w14:solidFill>
                    <w14:schemeClr w14:val="tx1"/>
                  </w14:solidFill>
                </w14:textFill>
                <w14:ligatures w14:val="standardContextual"/>
              </w:rPr>
              <w:t>案一优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 w:type="pct"/>
            <w:vMerge w:val="restar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人</w:t>
            </w:r>
            <w:r>
              <w:rPr>
                <w:rFonts w:hint="eastAsia" w:eastAsia="Times New Roman"/>
                <w:snapToGrid w:val="0"/>
                <w:color w:val="000000" w:themeColor="text1"/>
                <w:highlight w:val="none"/>
                <w14:textFill>
                  <w14:solidFill>
                    <w14:schemeClr w14:val="tx1"/>
                  </w14:solidFill>
                </w14:textFill>
                <w14:ligatures w14:val="standardContextual"/>
              </w:rPr>
              <w:t>文与社会比选</w:t>
            </w:r>
          </w:p>
        </w:tc>
        <w:tc>
          <w:tcPr>
            <w:tcW w:w="686"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穿</w:t>
            </w:r>
            <w:r>
              <w:rPr>
                <w:rFonts w:hint="eastAsia" w:eastAsia="Times New Roman"/>
                <w:snapToGrid w:val="0"/>
                <w:color w:val="000000" w:themeColor="text1"/>
                <w:highlight w:val="none"/>
                <w14:textFill>
                  <w14:solidFill>
                    <w14:schemeClr w14:val="tx1"/>
                  </w14:solidFill>
                </w14:textFill>
                <w14:ligatures w14:val="standardContextual"/>
              </w:rPr>
              <w:t>越军事、文物保护区</w:t>
            </w:r>
          </w:p>
        </w:tc>
        <w:tc>
          <w:tcPr>
            <w:tcW w:w="128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无</w:t>
            </w:r>
          </w:p>
        </w:tc>
        <w:tc>
          <w:tcPr>
            <w:tcW w:w="1081"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无</w:t>
            </w:r>
          </w:p>
        </w:tc>
        <w:tc>
          <w:tcPr>
            <w:tcW w:w="1525"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 w:type="pct"/>
            <w:vMerge w:val="continue"/>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p>
        </w:tc>
        <w:tc>
          <w:tcPr>
            <w:tcW w:w="686"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与</w:t>
            </w:r>
            <w:r>
              <w:rPr>
                <w:rFonts w:hint="eastAsia" w:eastAsia="Times New Roman"/>
                <w:snapToGrid w:val="0"/>
                <w:color w:val="000000" w:themeColor="text1"/>
                <w:highlight w:val="none"/>
                <w14:textFill>
                  <w14:solidFill>
                    <w14:schemeClr w14:val="tx1"/>
                  </w14:solidFill>
                </w14:textFill>
                <w14:ligatures w14:val="standardContextual"/>
              </w:rPr>
              <w:t>城镇总体规划协调方面</w:t>
            </w:r>
          </w:p>
        </w:tc>
        <w:tc>
          <w:tcPr>
            <w:tcW w:w="128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不</w:t>
            </w:r>
            <w:r>
              <w:rPr>
                <w:rFonts w:hint="eastAsia" w:eastAsia="Times New Roman"/>
                <w:snapToGrid w:val="0"/>
                <w:color w:val="000000" w:themeColor="text1"/>
                <w:highlight w:val="none"/>
                <w14:textFill>
                  <w14:solidFill>
                    <w14:schemeClr w14:val="tx1"/>
                  </w14:solidFill>
                </w14:textFill>
                <w14:ligatures w14:val="standardContextual"/>
              </w:rPr>
              <w:t>涉及城镇规划区，项目建设符合城镇发展规划</w:t>
            </w:r>
          </w:p>
        </w:tc>
        <w:tc>
          <w:tcPr>
            <w:tcW w:w="1081"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不</w:t>
            </w:r>
            <w:r>
              <w:rPr>
                <w:rFonts w:hint="eastAsia" w:eastAsia="Times New Roman"/>
                <w:snapToGrid w:val="0"/>
                <w:color w:val="000000" w:themeColor="text1"/>
                <w:highlight w:val="none"/>
                <w14:textFill>
                  <w14:solidFill>
                    <w14:schemeClr w14:val="tx1"/>
                  </w14:solidFill>
                </w14:textFill>
                <w14:ligatures w14:val="standardContextual"/>
              </w:rPr>
              <w:t>涉及城镇规划区，项目建设符合城镇发展规划</w:t>
            </w:r>
          </w:p>
        </w:tc>
        <w:tc>
          <w:tcPr>
            <w:tcW w:w="1525"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一</w:t>
            </w:r>
            <w:r>
              <w:rPr>
                <w:rFonts w:hint="eastAsia" w:eastAsia="Times New Roman"/>
                <w:snapToGrid w:val="0"/>
                <w:color w:val="000000" w:themeColor="text1"/>
                <w:highlight w:val="none"/>
                <w14:textFill>
                  <w14:solidFill>
                    <w14:schemeClr w14:val="tx1"/>
                  </w14:solidFill>
                </w14:textFill>
                <w14:ligatures w14:val="standardContextual"/>
              </w:rPr>
              <w:t>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 w:type="pct"/>
            <w:vMerge w:val="continue"/>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p>
        </w:tc>
        <w:tc>
          <w:tcPr>
            <w:tcW w:w="686"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施</w:t>
            </w:r>
            <w:r>
              <w:rPr>
                <w:rFonts w:hint="eastAsia" w:eastAsia="Times New Roman"/>
                <w:snapToGrid w:val="0"/>
                <w:color w:val="000000" w:themeColor="text1"/>
                <w:highlight w:val="none"/>
                <w14:textFill>
                  <w14:solidFill>
                    <w14:schemeClr w14:val="tx1"/>
                  </w14:solidFill>
                </w14:textFill>
                <w14:ligatures w14:val="standardContextual"/>
              </w:rPr>
              <w:t>工对沿线社会影响方面</w:t>
            </w:r>
          </w:p>
        </w:tc>
        <w:tc>
          <w:tcPr>
            <w:tcW w:w="128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均</w:t>
            </w:r>
            <w:r>
              <w:rPr>
                <w:rFonts w:hint="eastAsia" w:eastAsia="Times New Roman"/>
                <w:snapToGrid w:val="0"/>
                <w:color w:val="000000" w:themeColor="text1"/>
                <w:highlight w:val="none"/>
                <w14:textFill>
                  <w14:solidFill>
                    <w14:schemeClr w14:val="tx1"/>
                  </w14:solidFill>
                </w14:textFill>
                <w14:ligatures w14:val="standardContextual"/>
              </w:rPr>
              <w:t>不涉及密集民房和局部拆迁，对于周边的社会影响均不严重</w:t>
            </w:r>
          </w:p>
        </w:tc>
        <w:tc>
          <w:tcPr>
            <w:tcW w:w="1081"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均</w:t>
            </w:r>
            <w:r>
              <w:rPr>
                <w:rFonts w:hint="eastAsia" w:eastAsia="Times New Roman"/>
                <w:snapToGrid w:val="0"/>
                <w:color w:val="000000" w:themeColor="text1"/>
                <w:highlight w:val="none"/>
                <w14:textFill>
                  <w14:solidFill>
                    <w14:schemeClr w14:val="tx1"/>
                  </w14:solidFill>
                </w14:textFill>
                <w14:ligatures w14:val="standardContextual"/>
              </w:rPr>
              <w:t>不涉及密集民房和局部拆迁，对于周边的社会影响均不严重</w:t>
            </w:r>
          </w:p>
        </w:tc>
        <w:tc>
          <w:tcPr>
            <w:tcW w:w="1525"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基</w:t>
            </w:r>
            <w:r>
              <w:rPr>
                <w:rFonts w:hint="eastAsia" w:eastAsia="Times New Roman"/>
                <w:snapToGrid w:val="0"/>
                <w:color w:val="000000" w:themeColor="text1"/>
                <w:highlight w:val="none"/>
                <w14:textFill>
                  <w14:solidFill>
                    <w14:schemeClr w14:val="tx1"/>
                  </w14:solidFill>
                </w14:textFill>
                <w14:ligatures w14:val="standardContextual"/>
              </w:rPr>
              <w:t>本一致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 w:type="pct"/>
            <w:vMerge w:val="continue"/>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p>
        </w:tc>
        <w:tc>
          <w:tcPr>
            <w:tcW w:w="686"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道</w:t>
            </w:r>
            <w:r>
              <w:rPr>
                <w:rFonts w:hint="eastAsia" w:eastAsia="Times New Roman"/>
                <w:snapToGrid w:val="0"/>
                <w:color w:val="000000" w:themeColor="text1"/>
                <w:highlight w:val="none"/>
                <w14:textFill>
                  <w14:solidFill>
                    <w14:schemeClr w14:val="tx1"/>
                  </w14:solidFill>
                </w14:textFill>
                <w14:ligatures w14:val="standardContextual"/>
              </w:rPr>
              <w:t>路穿越</w:t>
            </w:r>
          </w:p>
        </w:tc>
        <w:tc>
          <w:tcPr>
            <w:tcW w:w="128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color w:val="000000" w:themeColor="text1"/>
                <w:highlight w:val="none"/>
                <w14:textFill>
                  <w14:solidFill>
                    <w14:schemeClr w14:val="tx1"/>
                  </w14:solidFill>
                </w14:textFill>
                <w14:ligatures w14:val="standardContextual"/>
              </w:rPr>
              <w:t>穿</w:t>
            </w:r>
            <w:r>
              <w:rPr>
                <w:rFonts w:hint="eastAsia" w:eastAsia="Times New Roman"/>
                <w:color w:val="000000" w:themeColor="text1"/>
                <w:highlight w:val="none"/>
                <w14:textFill>
                  <w14:solidFill>
                    <w14:schemeClr w14:val="tx1"/>
                  </w14:solidFill>
                </w14:textFill>
                <w14:ligatures w14:val="standardContextual"/>
              </w:rPr>
              <w:t>越</w:t>
            </w:r>
            <w:r>
              <w:rPr>
                <w:rFonts w:eastAsia="Times New Roman"/>
                <w:color w:val="000000" w:themeColor="text1"/>
                <w:highlight w:val="none"/>
                <w14:textFill>
                  <w14:solidFill>
                    <w14:schemeClr w14:val="tx1"/>
                  </w14:solidFill>
                </w14:textFill>
                <w14:ligatures w14:val="standardContextual"/>
              </w:rPr>
              <w:t>G65</w:t>
            </w:r>
            <w:r>
              <w:rPr>
                <w:rFonts w:hint="eastAsia" w:eastAsia="Times New Roman"/>
                <w:color w:val="000000" w:themeColor="text1"/>
                <w:highlight w:val="none"/>
                <w14:textFill>
                  <w14:solidFill>
                    <w14:schemeClr w14:val="tx1"/>
                  </w14:solidFill>
                </w14:textFill>
                <w14:ligatures w14:val="standardContextual"/>
              </w:rPr>
              <w:t>高速</w:t>
            </w:r>
            <w:r>
              <w:rPr>
                <w:rFonts w:eastAsia="Times New Roman"/>
                <w:color w:val="000000" w:themeColor="text1"/>
                <w:highlight w:val="none"/>
                <w14:textFill>
                  <w14:solidFill>
                    <w14:schemeClr w14:val="tx1"/>
                  </w14:solidFill>
                </w14:textFill>
                <w14:ligatures w14:val="standardContextual"/>
              </w:rPr>
              <w:t>1</w:t>
            </w:r>
            <w:r>
              <w:rPr>
                <w:rFonts w:hint="eastAsia" w:eastAsia="Times New Roman"/>
                <w:color w:val="000000" w:themeColor="text1"/>
                <w:highlight w:val="none"/>
                <w14:textFill>
                  <w14:solidFill>
                    <w14:schemeClr w14:val="tx1"/>
                  </w14:solidFill>
                </w14:textFill>
                <w14:ligatures w14:val="standardContextual"/>
              </w:rPr>
              <w:t>次、</w:t>
            </w:r>
            <w:r>
              <w:rPr>
                <w:rFonts w:eastAsia="Times New Roman"/>
                <w:color w:val="000000" w:themeColor="text1"/>
                <w:highlight w:val="none"/>
                <w14:textFill>
                  <w14:solidFill>
                    <w14:schemeClr w14:val="tx1"/>
                  </w14:solidFill>
                </w14:textFill>
                <w14:ligatures w14:val="standardContextual"/>
              </w:rPr>
              <w:t>G210</w:t>
            </w:r>
            <w:r>
              <w:rPr>
                <w:rFonts w:hint="eastAsia" w:eastAsia="Times New Roman"/>
                <w:color w:val="000000" w:themeColor="text1"/>
                <w:highlight w:val="none"/>
                <w14:textFill>
                  <w14:solidFill>
                    <w14:schemeClr w14:val="tx1"/>
                  </w14:solidFill>
                </w14:textFill>
                <w14:ligatures w14:val="standardContextual"/>
              </w:rPr>
              <w:t>国道</w:t>
            </w:r>
            <w:r>
              <w:rPr>
                <w:rFonts w:eastAsia="Times New Roman"/>
                <w:color w:val="000000" w:themeColor="text1"/>
                <w:highlight w:val="none"/>
                <w14:textFill>
                  <w14:solidFill>
                    <w14:schemeClr w14:val="tx1"/>
                  </w14:solidFill>
                </w14:textFill>
                <w14:ligatures w14:val="standardContextual"/>
              </w:rPr>
              <w:t>1</w:t>
            </w:r>
            <w:r>
              <w:rPr>
                <w:rFonts w:hint="eastAsia" w:eastAsia="Times New Roman"/>
                <w:color w:val="000000" w:themeColor="text1"/>
                <w:highlight w:val="none"/>
                <w14:textFill>
                  <w14:solidFill>
                    <w14:schemeClr w14:val="tx1"/>
                  </w14:solidFill>
                </w14:textFill>
                <w14:ligatures w14:val="standardContextual"/>
              </w:rPr>
              <w:t>次，</w:t>
            </w:r>
            <w:r>
              <w:rPr>
                <w:rFonts w:hint="eastAsia" w:eastAsia="Times New Roman"/>
                <w:snapToGrid w:val="0"/>
                <w:color w:val="000000" w:themeColor="text1"/>
                <w:highlight w:val="none"/>
                <w14:textFill>
                  <w14:solidFill>
                    <w14:schemeClr w14:val="tx1"/>
                  </w14:solidFill>
                </w14:textFill>
                <w14:ligatures w14:val="standardContextual"/>
              </w:rPr>
              <w:t>乡村道路</w:t>
            </w:r>
            <w:r>
              <w:rPr>
                <w:rFonts w:eastAsiaTheme="minorEastAsia"/>
                <w:snapToGrid w:val="0"/>
                <w:color w:val="000000" w:themeColor="text1"/>
                <w:highlight w:val="none"/>
                <w14:textFill>
                  <w14:solidFill>
                    <w14:schemeClr w14:val="tx1"/>
                  </w14:solidFill>
                </w14:textFill>
                <w14:ligatures w14:val="standardContextual"/>
              </w:rPr>
              <w:t>23</w:t>
            </w:r>
            <w:r>
              <w:rPr>
                <w:rFonts w:hint="eastAsia" w:eastAsia="Times New Roman"/>
                <w:snapToGrid w:val="0"/>
                <w:color w:val="000000" w:themeColor="text1"/>
                <w:highlight w:val="none"/>
                <w14:textFill>
                  <w14:solidFill>
                    <w14:schemeClr w14:val="tx1"/>
                  </w14:solidFill>
                </w14:textFill>
                <w14:ligatures w14:val="standardContextual"/>
              </w:rPr>
              <w:t>次</w:t>
            </w:r>
          </w:p>
        </w:tc>
        <w:tc>
          <w:tcPr>
            <w:tcW w:w="1081"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color w:val="000000" w:themeColor="text1"/>
                <w:highlight w:val="none"/>
                <w14:textFill>
                  <w14:solidFill>
                    <w14:schemeClr w14:val="tx1"/>
                  </w14:solidFill>
                </w14:textFill>
                <w14:ligatures w14:val="standardContextual"/>
              </w:rPr>
              <w:t>穿</w:t>
            </w:r>
            <w:r>
              <w:rPr>
                <w:rFonts w:hint="eastAsia" w:eastAsia="Times New Roman"/>
                <w:color w:val="000000" w:themeColor="text1"/>
                <w:highlight w:val="none"/>
                <w14:textFill>
                  <w14:solidFill>
                    <w14:schemeClr w14:val="tx1"/>
                  </w14:solidFill>
                </w14:textFill>
                <w14:ligatures w14:val="standardContextual"/>
              </w:rPr>
              <w:t>越</w:t>
            </w:r>
            <w:r>
              <w:rPr>
                <w:rFonts w:eastAsia="Times New Roman"/>
                <w:color w:val="000000" w:themeColor="text1"/>
                <w:highlight w:val="none"/>
                <w14:textFill>
                  <w14:solidFill>
                    <w14:schemeClr w14:val="tx1"/>
                  </w14:solidFill>
                </w14:textFill>
                <w14:ligatures w14:val="standardContextual"/>
              </w:rPr>
              <w:t>G65</w:t>
            </w:r>
            <w:r>
              <w:rPr>
                <w:rFonts w:hint="eastAsia" w:eastAsia="Times New Roman"/>
                <w:color w:val="000000" w:themeColor="text1"/>
                <w:highlight w:val="none"/>
                <w14:textFill>
                  <w14:solidFill>
                    <w14:schemeClr w14:val="tx1"/>
                  </w14:solidFill>
                </w14:textFill>
                <w14:ligatures w14:val="standardContextual"/>
              </w:rPr>
              <w:t>高速</w:t>
            </w:r>
            <w:r>
              <w:rPr>
                <w:rFonts w:eastAsia="Times New Roman"/>
                <w:color w:val="000000" w:themeColor="text1"/>
                <w:highlight w:val="none"/>
                <w14:textFill>
                  <w14:solidFill>
                    <w14:schemeClr w14:val="tx1"/>
                  </w14:solidFill>
                </w14:textFill>
                <w14:ligatures w14:val="standardContextual"/>
              </w:rPr>
              <w:t>1</w:t>
            </w:r>
            <w:r>
              <w:rPr>
                <w:rFonts w:hint="eastAsia" w:eastAsia="Times New Roman"/>
                <w:color w:val="000000" w:themeColor="text1"/>
                <w:highlight w:val="none"/>
                <w14:textFill>
                  <w14:solidFill>
                    <w14:schemeClr w14:val="tx1"/>
                  </w14:solidFill>
                </w14:textFill>
                <w14:ligatures w14:val="standardContextual"/>
              </w:rPr>
              <w:t>次、</w:t>
            </w:r>
            <w:r>
              <w:rPr>
                <w:rFonts w:eastAsia="Times New Roman"/>
                <w:color w:val="000000" w:themeColor="text1"/>
                <w:highlight w:val="none"/>
                <w14:textFill>
                  <w14:solidFill>
                    <w14:schemeClr w14:val="tx1"/>
                  </w14:solidFill>
                </w14:textFill>
                <w14:ligatures w14:val="standardContextual"/>
              </w:rPr>
              <w:t>G210</w:t>
            </w:r>
            <w:r>
              <w:rPr>
                <w:rFonts w:hint="eastAsia" w:eastAsia="Times New Roman"/>
                <w:color w:val="000000" w:themeColor="text1"/>
                <w:highlight w:val="none"/>
                <w14:textFill>
                  <w14:solidFill>
                    <w14:schemeClr w14:val="tx1"/>
                  </w14:solidFill>
                </w14:textFill>
                <w14:ligatures w14:val="standardContextual"/>
              </w:rPr>
              <w:t>国道</w:t>
            </w:r>
            <w:r>
              <w:rPr>
                <w:rFonts w:eastAsia="Times New Roman"/>
                <w:color w:val="000000" w:themeColor="text1"/>
                <w:highlight w:val="none"/>
                <w14:textFill>
                  <w14:solidFill>
                    <w14:schemeClr w14:val="tx1"/>
                  </w14:solidFill>
                </w14:textFill>
                <w14:ligatures w14:val="standardContextual"/>
              </w:rPr>
              <w:t>1</w:t>
            </w:r>
            <w:r>
              <w:rPr>
                <w:rFonts w:hint="eastAsia" w:eastAsia="Times New Roman"/>
                <w:color w:val="000000" w:themeColor="text1"/>
                <w:highlight w:val="none"/>
                <w14:textFill>
                  <w14:solidFill>
                    <w14:schemeClr w14:val="tx1"/>
                  </w14:solidFill>
                </w14:textFill>
                <w14:ligatures w14:val="standardContextual"/>
              </w:rPr>
              <w:t>次，</w:t>
            </w:r>
            <w:r>
              <w:rPr>
                <w:rFonts w:hint="eastAsia" w:eastAsia="Times New Roman"/>
                <w:snapToGrid w:val="0"/>
                <w:color w:val="000000" w:themeColor="text1"/>
                <w:highlight w:val="none"/>
                <w14:textFill>
                  <w14:solidFill>
                    <w14:schemeClr w14:val="tx1"/>
                  </w14:solidFill>
                </w14:textFill>
                <w14:ligatures w14:val="standardContextual"/>
              </w:rPr>
              <w:t>乡村道路</w:t>
            </w:r>
            <w:r>
              <w:rPr>
                <w:rFonts w:eastAsiaTheme="minorEastAsia"/>
                <w:snapToGrid w:val="0"/>
                <w:color w:val="000000" w:themeColor="text1"/>
                <w:highlight w:val="none"/>
                <w14:textFill>
                  <w14:solidFill>
                    <w14:schemeClr w14:val="tx1"/>
                  </w14:solidFill>
                </w14:textFill>
                <w14:ligatures w14:val="standardContextual"/>
              </w:rPr>
              <w:t>25</w:t>
            </w:r>
            <w:r>
              <w:rPr>
                <w:rFonts w:hint="eastAsia" w:eastAsia="Times New Roman"/>
                <w:snapToGrid w:val="0"/>
                <w:color w:val="000000" w:themeColor="text1"/>
                <w:highlight w:val="none"/>
                <w14:textFill>
                  <w14:solidFill>
                    <w14:schemeClr w14:val="tx1"/>
                  </w14:solidFill>
                </w14:textFill>
                <w14:ligatures w14:val="standardContextual"/>
              </w:rPr>
              <w:t>次</w:t>
            </w:r>
          </w:p>
        </w:tc>
        <w:tc>
          <w:tcPr>
            <w:tcW w:w="1525"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基</w:t>
            </w:r>
            <w:r>
              <w:rPr>
                <w:rFonts w:hint="eastAsia" w:eastAsia="Times New Roman"/>
                <w:snapToGrid w:val="0"/>
                <w:color w:val="000000" w:themeColor="text1"/>
                <w:highlight w:val="none"/>
                <w14:textFill>
                  <w14:solidFill>
                    <w14:schemeClr w14:val="tx1"/>
                  </w14:solidFill>
                </w14:textFill>
                <w14:ligatures w14:val="standardContextual"/>
              </w:rPr>
              <w:t>本一致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0" w:type="pct"/>
            <w:gridSpan w:val="2"/>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工</w:t>
            </w:r>
            <w:r>
              <w:rPr>
                <w:rFonts w:hint="eastAsia" w:eastAsia="Times New Roman"/>
                <w:snapToGrid w:val="0"/>
                <w:color w:val="000000" w:themeColor="text1"/>
                <w:highlight w:val="none"/>
                <w14:textFill>
                  <w14:solidFill>
                    <w14:schemeClr w14:val="tx1"/>
                  </w14:solidFill>
                </w14:textFill>
                <w14:ligatures w14:val="standardContextual"/>
              </w:rPr>
              <w:t>程投资比选</w:t>
            </w:r>
          </w:p>
        </w:tc>
        <w:tc>
          <w:tcPr>
            <w:tcW w:w="128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Times New Roman" w:cs="宋体"/>
                <w:snapToGrid w:val="0"/>
                <w:color w:val="000000" w:themeColor="text1"/>
                <w:highlight w:val="none"/>
                <w14:textFill>
                  <w14:solidFill>
                    <w14:schemeClr w14:val="tx1"/>
                  </w14:solidFill>
                </w14:textFill>
                <w14:ligatures w14:val="standardContextual"/>
              </w:rPr>
              <w:t>约</w:t>
            </w:r>
            <w:r>
              <w:rPr>
                <w:rFonts w:hint="eastAsia" w:eastAsiaTheme="minorEastAsia"/>
                <w:snapToGrid w:val="0"/>
                <w:color w:val="000000" w:themeColor="text1"/>
                <w:highlight w:val="none"/>
                <w:lang w:eastAsia="zh-CN"/>
                <w14:textFill>
                  <w14:solidFill>
                    <w14:schemeClr w14:val="tx1"/>
                  </w14:solidFill>
                </w14:textFill>
                <w14:ligatures w14:val="standardContextual"/>
              </w:rPr>
              <w:t>**</w:t>
            </w:r>
            <w:r>
              <w:rPr>
                <w:rFonts w:hint="eastAsia" w:ascii="宋体" w:hAnsi="宋体" w:eastAsia="Times New Roman" w:cs="宋体"/>
                <w:snapToGrid w:val="0"/>
                <w:color w:val="000000" w:themeColor="text1"/>
                <w:highlight w:val="none"/>
                <w14:textFill>
                  <w14:solidFill>
                    <w14:schemeClr w14:val="tx1"/>
                  </w14:solidFill>
                </w14:textFill>
                <w14:ligatures w14:val="standardContextual"/>
              </w:rPr>
              <w:t>万元</w:t>
            </w:r>
          </w:p>
        </w:tc>
        <w:tc>
          <w:tcPr>
            <w:tcW w:w="1081"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Times New Roman" w:cs="宋体"/>
                <w:snapToGrid w:val="0"/>
                <w:color w:val="000000" w:themeColor="text1"/>
                <w:highlight w:val="none"/>
                <w14:textFill>
                  <w14:solidFill>
                    <w14:schemeClr w14:val="tx1"/>
                  </w14:solidFill>
                </w14:textFill>
                <w14:ligatures w14:val="standardContextual"/>
              </w:rPr>
              <w:t>约</w:t>
            </w:r>
            <w:r>
              <w:rPr>
                <w:rFonts w:eastAsiaTheme="minorEastAsia"/>
                <w:snapToGrid w:val="0"/>
                <w:color w:val="000000" w:themeColor="text1"/>
                <w:highlight w:val="none"/>
                <w14:textFill>
                  <w14:solidFill>
                    <w14:schemeClr w14:val="tx1"/>
                  </w14:solidFill>
                </w14:textFill>
                <w14:ligatures w14:val="standardContextual"/>
              </w:rPr>
              <w:t>5</w:t>
            </w:r>
            <w:r>
              <w:rPr>
                <w:rFonts w:eastAsia="Times New Roman"/>
                <w:snapToGrid w:val="0"/>
                <w:color w:val="000000" w:themeColor="text1"/>
                <w:highlight w:val="none"/>
                <w14:textFill>
                  <w14:solidFill>
                    <w14:schemeClr w14:val="tx1"/>
                  </w14:solidFill>
                </w14:textFill>
                <w14:ligatures w14:val="standardContextual"/>
              </w:rPr>
              <w:t>610</w:t>
            </w:r>
            <w:r>
              <w:rPr>
                <w:rFonts w:hint="eastAsia" w:ascii="宋体" w:hAnsi="宋体" w:eastAsia="Times New Roman" w:cs="宋体"/>
                <w:snapToGrid w:val="0"/>
                <w:color w:val="000000" w:themeColor="text1"/>
                <w:highlight w:val="none"/>
                <w14:textFill>
                  <w14:solidFill>
                    <w14:schemeClr w14:val="tx1"/>
                  </w14:solidFill>
                </w14:textFill>
                <w14:ligatures w14:val="standardContextual"/>
              </w:rPr>
              <w:t>万元</w:t>
            </w:r>
          </w:p>
        </w:tc>
        <w:tc>
          <w:tcPr>
            <w:tcW w:w="1525"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方</w:t>
            </w:r>
            <w:r>
              <w:rPr>
                <w:rFonts w:hint="eastAsia" w:eastAsia="Times New Roman"/>
                <w:snapToGrid w:val="0"/>
                <w:color w:val="000000" w:themeColor="text1"/>
                <w:highlight w:val="none"/>
                <w14:textFill>
                  <w14:solidFill>
                    <w14:schemeClr w14:val="tx1"/>
                  </w14:solidFill>
                </w14:textFill>
                <w14:ligatures w14:val="standardContextual"/>
              </w:rPr>
              <w:t>案一优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0" w:type="pct"/>
            <w:gridSpan w:val="2"/>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方</w:t>
            </w:r>
            <w:r>
              <w:rPr>
                <w:rFonts w:hint="eastAsia" w:eastAsia="Times New Roman"/>
                <w:snapToGrid w:val="0"/>
                <w:color w:val="000000" w:themeColor="text1"/>
                <w:highlight w:val="none"/>
                <w14:textFill>
                  <w14:solidFill>
                    <w14:schemeClr w14:val="tx1"/>
                  </w14:solidFill>
                </w14:textFill>
                <w14:ligatures w14:val="standardContextual"/>
              </w:rPr>
              <w:t>案比较结果</w:t>
            </w:r>
          </w:p>
        </w:tc>
        <w:tc>
          <w:tcPr>
            <w:tcW w:w="1284"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推</w:t>
            </w:r>
            <w:r>
              <w:rPr>
                <w:rFonts w:hint="eastAsia" w:eastAsia="Times New Roman"/>
                <w:snapToGrid w:val="0"/>
                <w:color w:val="000000" w:themeColor="text1"/>
                <w:highlight w:val="none"/>
                <w14:textFill>
                  <w14:solidFill>
                    <w14:schemeClr w14:val="tx1"/>
                  </w14:solidFill>
                </w14:textFill>
                <w14:ligatures w14:val="standardContextual"/>
              </w:rPr>
              <w:t>荐</w:t>
            </w:r>
          </w:p>
        </w:tc>
        <w:tc>
          <w:tcPr>
            <w:tcW w:w="1081"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不</w:t>
            </w:r>
            <w:r>
              <w:rPr>
                <w:rFonts w:hint="eastAsia" w:eastAsia="Times New Roman"/>
                <w:snapToGrid w:val="0"/>
                <w:color w:val="000000" w:themeColor="text1"/>
                <w:highlight w:val="none"/>
                <w14:textFill>
                  <w14:solidFill>
                    <w14:schemeClr w14:val="tx1"/>
                  </w14:solidFill>
                </w14:textFill>
                <w14:ligatures w14:val="standardContextual"/>
              </w:rPr>
              <w:t>推荐</w:t>
            </w:r>
          </w:p>
        </w:tc>
        <w:tc>
          <w:tcPr>
            <w:tcW w:w="1525" w:type="pct"/>
            <w:vAlign w:val="center"/>
          </w:tcPr>
          <w:p>
            <w:pPr>
              <w:pStyle w:val="118"/>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hAnsi="宋体" w:eastAsia="宋体" w:cs="宋体"/>
                <w:snapToGrid w:val="0"/>
                <w:color w:val="000000" w:themeColor="text1"/>
                <w:highlight w:val="none"/>
                <w14:textFill>
                  <w14:solidFill>
                    <w14:schemeClr w14:val="tx1"/>
                  </w14:solidFill>
                </w14:textFill>
                <w14:ligatures w14:val="standardContextual"/>
              </w:rPr>
              <w:t>方</w:t>
            </w:r>
            <w:r>
              <w:rPr>
                <w:rFonts w:hint="eastAsia" w:eastAsia="Times New Roman"/>
                <w:snapToGrid w:val="0"/>
                <w:color w:val="000000" w:themeColor="text1"/>
                <w:highlight w:val="none"/>
                <w14:textFill>
                  <w14:solidFill>
                    <w14:schemeClr w14:val="tx1"/>
                  </w14:solidFill>
                </w14:textFill>
                <w14:ligatures w14:val="standardContextual"/>
              </w:rPr>
              <w:t>案一优</w:t>
            </w:r>
          </w:p>
        </w:tc>
      </w:tr>
    </w:tbl>
    <w:p>
      <w:pPr>
        <w:widowControl/>
        <w:adjustRightInd/>
        <w:snapToGrid/>
        <w:spacing w:before="120" w:beforeLines="50"/>
        <w:ind w:firstLine="480"/>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综上，从环境保护</w:t>
      </w:r>
      <w:r>
        <w:rPr>
          <w:rFonts w:hint="eastAsia" w:cs="Times New Roman"/>
          <w:color w:val="000000" w:themeColor="text1"/>
          <w:kern w:val="0"/>
          <w:szCs w:val="24"/>
          <w:highlight w:val="none"/>
          <w14:textFill>
            <w14:solidFill>
              <w14:schemeClr w14:val="tx1"/>
            </w14:solidFill>
          </w14:textFill>
        </w:rPr>
        <w:t>及工程经济</w:t>
      </w:r>
      <w:r>
        <w:rPr>
          <w:rFonts w:cs="Times New Roman"/>
          <w:color w:val="000000" w:themeColor="text1"/>
          <w:kern w:val="0"/>
          <w:szCs w:val="24"/>
          <w:highlight w:val="none"/>
          <w14:textFill>
            <w14:solidFill>
              <w14:schemeClr w14:val="tx1"/>
            </w14:solidFill>
          </w14:textFill>
        </w:rPr>
        <w:t>的角度</w:t>
      </w:r>
      <w:r>
        <w:rPr>
          <w:rFonts w:hint="eastAsia" w:cs="Times New Roman"/>
          <w:color w:val="000000" w:themeColor="text1"/>
          <w:kern w:val="0"/>
          <w:szCs w:val="24"/>
          <w:highlight w:val="none"/>
          <w14:textFill>
            <w14:solidFill>
              <w14:schemeClr w14:val="tx1"/>
            </w14:solidFill>
          </w14:textFill>
        </w:rPr>
        <w:t>综合考虑</w:t>
      </w:r>
      <w:r>
        <w:rPr>
          <w:rFonts w:cs="Times New Roman"/>
          <w:color w:val="000000" w:themeColor="text1"/>
          <w:kern w:val="0"/>
          <w:szCs w:val="24"/>
          <w:highlight w:val="none"/>
          <w14:textFill>
            <w14:solidFill>
              <w14:schemeClr w14:val="tx1"/>
            </w14:solidFill>
          </w14:textFill>
        </w:rPr>
        <w:t>分析，</w:t>
      </w:r>
      <w:r>
        <w:rPr>
          <w:rFonts w:hint="eastAsia" w:cs="Times New Roman"/>
          <w:color w:val="000000" w:themeColor="text1"/>
          <w:kern w:val="0"/>
          <w:szCs w:val="24"/>
          <w:highlight w:val="none"/>
          <w14:textFill>
            <w14:solidFill>
              <w14:schemeClr w14:val="tx1"/>
            </w14:solidFill>
          </w14:textFill>
        </w:rPr>
        <w:t>均</w:t>
      </w:r>
      <w:r>
        <w:rPr>
          <w:rFonts w:cs="Times New Roman"/>
          <w:color w:val="000000" w:themeColor="text1"/>
          <w:kern w:val="0"/>
          <w:szCs w:val="24"/>
          <w:highlight w:val="none"/>
          <w14:textFill>
            <w14:solidFill>
              <w14:schemeClr w14:val="tx1"/>
            </w14:solidFill>
          </w14:textFill>
        </w:rPr>
        <w:t>推荐采用方案</w:t>
      </w:r>
      <w:r>
        <w:rPr>
          <w:rFonts w:hint="eastAsia" w:cs="Times New Roman"/>
          <w:color w:val="000000" w:themeColor="text1"/>
          <w:kern w:val="0"/>
          <w:szCs w:val="24"/>
          <w:highlight w:val="none"/>
          <w14:textFill>
            <w14:solidFill>
              <w14:schemeClr w14:val="tx1"/>
            </w14:solidFill>
          </w14:textFill>
        </w:rPr>
        <w:t>一</w:t>
      </w:r>
      <w:r>
        <w:rPr>
          <w:rFonts w:cs="Times New Roman"/>
          <w:color w:val="000000" w:themeColor="text1"/>
          <w:kern w:val="0"/>
          <w:szCs w:val="24"/>
          <w:highlight w:val="none"/>
          <w14:textFill>
            <w14:solidFill>
              <w14:schemeClr w14:val="tx1"/>
            </w14:solidFill>
          </w14:textFill>
        </w:rPr>
        <w:t>线路走向。</w:t>
      </w:r>
      <w:r>
        <w:rPr>
          <w:rFonts w:hint="eastAsia"/>
          <w:color w:val="000000" w:themeColor="text1"/>
          <w:highlight w:val="none"/>
          <w14:textFill>
            <w14:solidFill>
              <w14:schemeClr w14:val="tx1"/>
            </w14:solidFill>
          </w14:textFill>
        </w:rPr>
        <w:t>由于本项目管线涉及穿越部分公益林和天然林，建设单位应当在开工前取得林地审批手续，林地审批手续取得前本项目管线涉及公益林和天然林段不得开工建设。</w:t>
      </w:r>
    </w:p>
    <w:p>
      <w:pPr>
        <w:pStyle w:val="5"/>
        <w:spacing w:before="120"/>
        <w:ind w:firstLine="480"/>
        <w:rPr>
          <w:b/>
          <w:color w:val="000000" w:themeColor="text1"/>
          <w:highlight w:val="none"/>
          <w:lang w:eastAsia="zh-CN"/>
          <w14:textFill>
            <w14:solidFill>
              <w14:schemeClr w14:val="tx1"/>
            </w14:solidFill>
          </w14:textFill>
        </w:rPr>
      </w:pPr>
      <w:bookmarkStart w:id="110" w:name="_Toc120173089"/>
      <w:bookmarkStart w:id="111" w:name="_Hlk49360744"/>
      <w:r>
        <w:rPr>
          <w:color w:val="000000" w:themeColor="text1"/>
          <w:highlight w:val="none"/>
          <w:lang w:eastAsia="zh-CN"/>
          <w14:textFill>
            <w14:solidFill>
              <w14:schemeClr w14:val="tx1"/>
            </w14:solidFill>
          </w14:textFill>
        </w:rPr>
        <w:t>平面布置合理性分析</w:t>
      </w:r>
      <w:bookmarkEnd w:id="110"/>
    </w:p>
    <w:p>
      <w:pPr>
        <w:tabs>
          <w:tab w:val="left" w:pos="0"/>
        </w:tabs>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站场平面布置根据功能需要，设置工艺装置区、污水罐区、辅助生产区和放空区；根据雷页1平台新井位布局，为满足边钻井边生产的要求，将站址布置于新井台的西侧现状鱼塘处。</w:t>
      </w:r>
    </w:p>
    <w:p>
      <w:pPr>
        <w:tabs>
          <w:tab w:val="left" w:pos="0"/>
        </w:tabs>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工艺装置区布置水套加热炉1座，分离器1座，分子筛脱水装置</w:t>
      </w:r>
      <w:r>
        <w:rPr>
          <w:rFonts w:cs="Times New Roman"/>
          <w:bCs/>
          <w:color w:val="000000" w:themeColor="text1"/>
          <w:szCs w:val="24"/>
          <w:highlight w:val="none"/>
          <w14:textFill>
            <w14:solidFill>
              <w14:schemeClr w14:val="tx1"/>
            </w14:solidFill>
          </w14:textFill>
        </w:rPr>
        <w:t>2</w:t>
      </w:r>
      <w:r>
        <w:rPr>
          <w:rFonts w:hint="eastAsia" w:cs="Times New Roman"/>
          <w:bCs/>
          <w:color w:val="000000" w:themeColor="text1"/>
          <w:szCs w:val="24"/>
          <w:highlight w:val="none"/>
          <w14:textFill>
            <w14:solidFill>
              <w14:schemeClr w14:val="tx1"/>
            </w14:solidFill>
          </w14:textFill>
        </w:rPr>
        <w:t>座等；辅助生产区设置值班室、卫生间、配电间等辅助生产设施；放空区设置1座放空立管。站场及放空区围墙均采用2.5m高丝网围墙。主入口位于站场西侧，设置14m宽钢制大门，连接大门处设置4m宽道路。道路转弯半径为9m。</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本项目</w:t>
      </w:r>
      <w:r>
        <w:rPr>
          <w:rFonts w:hint="eastAsia" w:cs="Times New Roman"/>
          <w:bCs/>
          <w:color w:val="000000" w:themeColor="text1"/>
          <w:szCs w:val="24"/>
          <w:highlight w:val="none"/>
          <w14:textFill>
            <w14:solidFill>
              <w14:schemeClr w14:val="tx1"/>
            </w14:solidFill>
          </w14:textFill>
        </w:rPr>
        <w:t>试采期</w:t>
      </w:r>
      <w:r>
        <w:rPr>
          <w:rFonts w:cs="Times New Roman"/>
          <w:bCs/>
          <w:color w:val="000000" w:themeColor="text1"/>
          <w:szCs w:val="24"/>
          <w:highlight w:val="none"/>
          <w14:textFill>
            <w14:solidFill>
              <w14:schemeClr w14:val="tx1"/>
            </w14:solidFill>
          </w14:textFill>
        </w:rPr>
        <w:t>平面布置按照《石油天然气工程设计防火规范》（GB50183-2004）等石油和天然气行业标准的要求进行，</w:t>
      </w:r>
      <w:r>
        <w:rPr>
          <w:rFonts w:hint="eastAsia" w:cs="Times New Roman"/>
          <w:bCs/>
          <w:color w:val="000000" w:themeColor="text1"/>
          <w:szCs w:val="24"/>
          <w:highlight w:val="none"/>
          <w14:textFill>
            <w14:solidFill>
              <w14:schemeClr w14:val="tx1"/>
            </w14:solidFill>
          </w14:textFill>
        </w:rPr>
        <w:t>站场内工艺设施及放空立管与周边设施的防火间距情况及站内各设施间距见表</w:t>
      </w:r>
      <w:r>
        <w:rPr>
          <w:rFonts w:cs="Times New Roman"/>
          <w:bCs/>
          <w:color w:val="000000" w:themeColor="text1"/>
          <w:szCs w:val="24"/>
          <w:highlight w:val="none"/>
          <w14:textFill>
            <w14:solidFill>
              <w14:schemeClr w14:val="tx1"/>
            </w14:solidFill>
          </w14:textFill>
        </w:rPr>
        <w:t>2.10</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3</w:t>
      </w:r>
      <w:r>
        <w:rPr>
          <w:rFonts w:hint="eastAsia" w:cs="Times New Roman"/>
          <w:bCs/>
          <w:color w:val="000000" w:themeColor="text1"/>
          <w:szCs w:val="24"/>
          <w:highlight w:val="none"/>
          <w14:textFill>
            <w14:solidFill>
              <w14:schemeClr w14:val="tx1"/>
            </w14:solidFill>
          </w14:textFill>
        </w:rPr>
        <w:t>及表</w:t>
      </w:r>
      <w:r>
        <w:rPr>
          <w:rFonts w:cs="Times New Roman"/>
          <w:bCs/>
          <w:color w:val="000000" w:themeColor="text1"/>
          <w:szCs w:val="24"/>
          <w:highlight w:val="none"/>
          <w14:textFill>
            <w14:solidFill>
              <w14:schemeClr w14:val="tx1"/>
            </w14:solidFill>
          </w14:textFill>
        </w:rPr>
        <w:t>2.10</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4</w:t>
      </w:r>
      <w:r>
        <w:rPr>
          <w:rFonts w:hint="eastAsia" w:cs="Times New Roman"/>
          <w:bCs/>
          <w:color w:val="000000" w:themeColor="text1"/>
          <w:szCs w:val="24"/>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2.10</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站内工艺设施与周边设施距离一览表（单位：</w:t>
      </w:r>
      <w:r>
        <w:rPr>
          <w:color w:val="000000" w:themeColor="text1"/>
          <w:highlight w:val="none"/>
          <w14:textFill>
            <w14:solidFill>
              <w14:schemeClr w14:val="tx1"/>
            </w14:solidFill>
          </w14:textFill>
        </w:rPr>
        <w:t>m）</w:t>
      </w:r>
    </w:p>
    <w:tbl>
      <w:tblPr>
        <w:tblStyle w:val="4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0"/>
        <w:gridCol w:w="725"/>
        <w:gridCol w:w="1134"/>
        <w:gridCol w:w="708"/>
        <w:gridCol w:w="753"/>
        <w:gridCol w:w="830"/>
        <w:gridCol w:w="830"/>
        <w:gridCol w:w="830"/>
        <w:gridCol w:w="846"/>
        <w:gridCol w:w="8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830" w:type="dxa"/>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站场名称</w:t>
            </w:r>
          </w:p>
        </w:tc>
        <w:tc>
          <w:tcPr>
            <w:tcW w:w="725" w:type="dxa"/>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类型</w:t>
            </w:r>
          </w:p>
        </w:tc>
        <w:tc>
          <w:tcPr>
            <w:tcW w:w="1134" w:type="dxa"/>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100人以上居住区、村镇、公共福利设施</w:t>
            </w:r>
          </w:p>
        </w:tc>
        <w:tc>
          <w:tcPr>
            <w:tcW w:w="708" w:type="dxa"/>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100人以下散居房</w:t>
            </w:r>
          </w:p>
        </w:tc>
        <w:tc>
          <w:tcPr>
            <w:tcW w:w="753" w:type="dxa"/>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相邻厂矿企业</w:t>
            </w:r>
          </w:p>
        </w:tc>
        <w:tc>
          <w:tcPr>
            <w:tcW w:w="830" w:type="dxa"/>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高速公路</w:t>
            </w:r>
          </w:p>
        </w:tc>
        <w:tc>
          <w:tcPr>
            <w:tcW w:w="830" w:type="dxa"/>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其他公路</w:t>
            </w:r>
          </w:p>
        </w:tc>
        <w:tc>
          <w:tcPr>
            <w:tcW w:w="830" w:type="dxa"/>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3</w:t>
            </w:r>
            <w:r>
              <w:rPr>
                <w:b/>
                <w:bCs/>
                <w:color w:val="000000" w:themeColor="text1"/>
                <w:highlight w:val="none"/>
                <w14:textFill>
                  <w14:solidFill>
                    <w14:schemeClr w14:val="tx1"/>
                  </w14:solidFill>
                </w14:textFill>
              </w:rPr>
              <w:t>5</w:t>
            </w:r>
            <w:r>
              <w:rPr>
                <w:rFonts w:hint="eastAsia"/>
                <w:b/>
                <w:bCs/>
                <w:color w:val="000000" w:themeColor="text1"/>
                <w:highlight w:val="none"/>
                <w14:textFill>
                  <w14:solidFill>
                    <w14:schemeClr w14:val="tx1"/>
                  </w14:solidFill>
                </w14:textFill>
              </w:rPr>
              <w:t>KV及以上架空电力线路</w:t>
            </w:r>
          </w:p>
        </w:tc>
        <w:tc>
          <w:tcPr>
            <w:tcW w:w="830" w:type="dxa"/>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3</w:t>
            </w:r>
            <w:r>
              <w:rPr>
                <w:b/>
                <w:bCs/>
                <w:color w:val="000000" w:themeColor="text1"/>
                <w:highlight w:val="none"/>
                <w14:textFill>
                  <w14:solidFill>
                    <w14:schemeClr w14:val="tx1"/>
                  </w14:solidFill>
                </w14:textFill>
              </w:rPr>
              <w:t>5</w:t>
            </w:r>
            <w:r>
              <w:rPr>
                <w:rFonts w:hint="eastAsia"/>
                <w:b/>
                <w:bCs/>
                <w:color w:val="000000" w:themeColor="text1"/>
                <w:highlight w:val="none"/>
                <w14:textFill>
                  <w14:solidFill>
                    <w14:schemeClr w14:val="tx1"/>
                  </w14:solidFill>
                </w14:textFill>
              </w:rPr>
              <w:t>KV及以下架空电力线路</w:t>
            </w:r>
          </w:p>
        </w:tc>
        <w:tc>
          <w:tcPr>
            <w:tcW w:w="830" w:type="dxa"/>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爆炸作业场地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0" w:type="dxa"/>
            <w:vMerge w:val="restar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雷页1井装置区</w:t>
            </w:r>
          </w:p>
        </w:tc>
        <w:tc>
          <w:tcPr>
            <w:tcW w:w="725"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规范要求</w:t>
            </w:r>
          </w:p>
        </w:tc>
        <w:tc>
          <w:tcPr>
            <w:tcW w:w="1134"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2.5</w:t>
            </w:r>
          </w:p>
        </w:tc>
        <w:tc>
          <w:tcPr>
            <w:tcW w:w="708"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2.5</w:t>
            </w:r>
          </w:p>
        </w:tc>
        <w:tc>
          <w:tcPr>
            <w:tcW w:w="753"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2.5</w:t>
            </w:r>
          </w:p>
        </w:tc>
        <w:tc>
          <w:tcPr>
            <w:tcW w:w="830"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5</w:t>
            </w:r>
          </w:p>
        </w:tc>
        <w:tc>
          <w:tcPr>
            <w:tcW w:w="830"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t>.5</w:t>
            </w:r>
          </w:p>
        </w:tc>
        <w:tc>
          <w:tcPr>
            <w:tcW w:w="830"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5倍杆高且不小于30</w:t>
            </w:r>
          </w:p>
        </w:tc>
        <w:tc>
          <w:tcPr>
            <w:tcW w:w="830"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1.5倍杆高</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18</w:t>
            </w:r>
            <w:r>
              <w:rPr>
                <w:rFonts w:hint="eastAsia"/>
                <w:color w:val="000000" w:themeColor="text1"/>
                <w:highlight w:val="none"/>
                <w14:textFill>
                  <w14:solidFill>
                    <w14:schemeClr w14:val="tx1"/>
                  </w14:solidFill>
                </w14:textFill>
              </w:rPr>
              <w:t>）</w:t>
            </w:r>
          </w:p>
        </w:tc>
        <w:tc>
          <w:tcPr>
            <w:tcW w:w="830"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0" w:type="dxa"/>
            <w:vMerge w:val="continue"/>
            <w:vAlign w:val="center"/>
          </w:tcPr>
          <w:p>
            <w:pPr>
              <w:pStyle w:val="118"/>
              <w:rPr>
                <w:color w:val="000000" w:themeColor="text1"/>
                <w:highlight w:val="none"/>
                <w14:textFill>
                  <w14:solidFill>
                    <w14:schemeClr w14:val="tx1"/>
                  </w14:solidFill>
                </w14:textFill>
              </w:rPr>
            </w:pPr>
          </w:p>
        </w:tc>
        <w:tc>
          <w:tcPr>
            <w:tcW w:w="725"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现状距离</w:t>
            </w:r>
          </w:p>
        </w:tc>
        <w:tc>
          <w:tcPr>
            <w:tcW w:w="1134"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8.7</w:t>
            </w:r>
          </w:p>
        </w:tc>
        <w:tc>
          <w:tcPr>
            <w:tcW w:w="708"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8.7</w:t>
            </w:r>
          </w:p>
        </w:tc>
        <w:tc>
          <w:tcPr>
            <w:tcW w:w="753"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830"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830"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830"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40.9</w:t>
            </w:r>
          </w:p>
        </w:tc>
        <w:tc>
          <w:tcPr>
            <w:tcW w:w="830"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7</w:t>
            </w:r>
          </w:p>
        </w:tc>
        <w:tc>
          <w:tcPr>
            <w:tcW w:w="830"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0" w:type="dxa"/>
            <w:vMerge w:val="continue"/>
            <w:vAlign w:val="center"/>
          </w:tcPr>
          <w:p>
            <w:pPr>
              <w:pStyle w:val="118"/>
              <w:rPr>
                <w:color w:val="000000" w:themeColor="text1"/>
                <w:highlight w:val="none"/>
                <w14:textFill>
                  <w14:solidFill>
                    <w14:schemeClr w14:val="tx1"/>
                  </w14:solidFill>
                </w14:textFill>
              </w:rPr>
            </w:pPr>
          </w:p>
        </w:tc>
        <w:tc>
          <w:tcPr>
            <w:tcW w:w="725"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设计距离</w:t>
            </w:r>
          </w:p>
        </w:tc>
        <w:tc>
          <w:tcPr>
            <w:tcW w:w="1134"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8.7</w:t>
            </w:r>
          </w:p>
        </w:tc>
        <w:tc>
          <w:tcPr>
            <w:tcW w:w="708"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8.7</w:t>
            </w:r>
          </w:p>
        </w:tc>
        <w:tc>
          <w:tcPr>
            <w:tcW w:w="753"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830"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830"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830"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40.9</w:t>
            </w:r>
          </w:p>
        </w:tc>
        <w:tc>
          <w:tcPr>
            <w:tcW w:w="830"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7</w:t>
            </w:r>
          </w:p>
        </w:tc>
        <w:tc>
          <w:tcPr>
            <w:tcW w:w="830"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0" w:type="dxa"/>
            <w:vMerge w:val="continue"/>
            <w:vAlign w:val="center"/>
          </w:tcPr>
          <w:p>
            <w:pPr>
              <w:pStyle w:val="118"/>
              <w:rPr>
                <w:color w:val="000000" w:themeColor="text1"/>
                <w:highlight w:val="none"/>
                <w14:textFill>
                  <w14:solidFill>
                    <w14:schemeClr w14:val="tx1"/>
                  </w14:solidFill>
                </w14:textFill>
              </w:rPr>
            </w:pPr>
          </w:p>
        </w:tc>
        <w:tc>
          <w:tcPr>
            <w:tcW w:w="725"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是否满足</w:t>
            </w:r>
          </w:p>
        </w:tc>
        <w:tc>
          <w:tcPr>
            <w:tcW w:w="1134"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是</w:t>
            </w:r>
          </w:p>
        </w:tc>
        <w:tc>
          <w:tcPr>
            <w:tcW w:w="708"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是</w:t>
            </w:r>
          </w:p>
        </w:tc>
        <w:tc>
          <w:tcPr>
            <w:tcW w:w="753"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是</w:t>
            </w:r>
          </w:p>
        </w:tc>
        <w:tc>
          <w:tcPr>
            <w:tcW w:w="830"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是</w:t>
            </w:r>
          </w:p>
        </w:tc>
        <w:tc>
          <w:tcPr>
            <w:tcW w:w="830"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是</w:t>
            </w:r>
          </w:p>
        </w:tc>
        <w:tc>
          <w:tcPr>
            <w:tcW w:w="830"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是</w:t>
            </w:r>
          </w:p>
        </w:tc>
        <w:tc>
          <w:tcPr>
            <w:tcW w:w="830"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是</w:t>
            </w:r>
          </w:p>
        </w:tc>
        <w:tc>
          <w:tcPr>
            <w:tcW w:w="830"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00" w:type="dxa"/>
            <w:gridSpan w:val="10"/>
          </w:tcPr>
          <w:p>
            <w:pPr>
              <w:pStyle w:val="118"/>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注：1.标准距离依据《石油天然气工程设计防火规范》GB50183-2004表4.0.4。</w:t>
            </w:r>
          </w:p>
          <w:p>
            <w:pPr>
              <w:pStyle w:val="118"/>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2.“-”表示远大于标准。</w:t>
            </w:r>
          </w:p>
        </w:tc>
      </w:tr>
    </w:tbl>
    <w:p>
      <w:pPr>
        <w:pStyle w:val="96"/>
        <w:spacing w:before="12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2.10</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放空区与周边设施距离一览表（单位：</w:t>
      </w:r>
      <w:r>
        <w:rPr>
          <w:color w:val="000000" w:themeColor="text1"/>
          <w:highlight w:val="none"/>
          <w14:textFill>
            <w14:solidFill>
              <w14:schemeClr w14:val="tx1"/>
            </w14:solidFill>
          </w14:textFill>
        </w:rPr>
        <w:t xml:space="preserve"> m）</w:t>
      </w:r>
    </w:p>
    <w:tbl>
      <w:tblPr>
        <w:tblStyle w:val="4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6"/>
        <w:gridCol w:w="827"/>
        <w:gridCol w:w="1294"/>
        <w:gridCol w:w="808"/>
        <w:gridCol w:w="859"/>
        <w:gridCol w:w="948"/>
        <w:gridCol w:w="948"/>
        <w:gridCol w:w="949"/>
        <w:gridCol w:w="9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555"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站场名称</w:t>
            </w:r>
          </w:p>
        </w:tc>
        <w:tc>
          <w:tcPr>
            <w:tcW w:w="485"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类型</w:t>
            </w:r>
          </w:p>
        </w:tc>
        <w:tc>
          <w:tcPr>
            <w:tcW w:w="759" w:type="pct"/>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100人以上居住区、村镇、公共福利设施</w:t>
            </w:r>
          </w:p>
        </w:tc>
        <w:tc>
          <w:tcPr>
            <w:tcW w:w="474" w:type="pct"/>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100人以下散居房</w:t>
            </w:r>
          </w:p>
        </w:tc>
        <w:tc>
          <w:tcPr>
            <w:tcW w:w="504"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相邻厂矿企业</w:t>
            </w:r>
          </w:p>
        </w:tc>
        <w:tc>
          <w:tcPr>
            <w:tcW w:w="556"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高速公路</w:t>
            </w:r>
          </w:p>
        </w:tc>
        <w:tc>
          <w:tcPr>
            <w:tcW w:w="556"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其他公路</w:t>
            </w:r>
          </w:p>
        </w:tc>
        <w:tc>
          <w:tcPr>
            <w:tcW w:w="556" w:type="pct"/>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架空电炉线路</w:t>
            </w:r>
          </w:p>
        </w:tc>
        <w:tc>
          <w:tcPr>
            <w:tcW w:w="554" w:type="pct"/>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爆炸作业场地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5" w:type="pct"/>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雷页</w:t>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井装置区</w:t>
            </w:r>
          </w:p>
        </w:tc>
        <w:tc>
          <w:tcPr>
            <w:tcW w:w="48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规范要求</w:t>
            </w:r>
          </w:p>
        </w:tc>
        <w:tc>
          <w:tcPr>
            <w:tcW w:w="759"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60</w:t>
            </w:r>
          </w:p>
        </w:tc>
        <w:tc>
          <w:tcPr>
            <w:tcW w:w="47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60</w:t>
            </w:r>
          </w:p>
        </w:tc>
        <w:tc>
          <w:tcPr>
            <w:tcW w:w="50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60</w:t>
            </w:r>
          </w:p>
        </w:tc>
        <w:tc>
          <w:tcPr>
            <w:tcW w:w="55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40</w:t>
            </w:r>
          </w:p>
        </w:tc>
        <w:tc>
          <w:tcPr>
            <w:tcW w:w="55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30</w:t>
            </w:r>
          </w:p>
        </w:tc>
        <w:tc>
          <w:tcPr>
            <w:tcW w:w="55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40</w:t>
            </w:r>
          </w:p>
        </w:tc>
        <w:tc>
          <w:tcPr>
            <w:tcW w:w="55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5" w:type="pct"/>
            <w:vMerge w:val="continue"/>
            <w:vAlign w:val="center"/>
          </w:tcPr>
          <w:p>
            <w:pPr>
              <w:pStyle w:val="118"/>
              <w:rPr>
                <w:color w:val="000000" w:themeColor="text1"/>
                <w:highlight w:val="none"/>
                <w14:textFill>
                  <w14:solidFill>
                    <w14:schemeClr w14:val="tx1"/>
                  </w14:solidFill>
                </w14:textFill>
              </w:rPr>
            </w:pPr>
          </w:p>
        </w:tc>
        <w:tc>
          <w:tcPr>
            <w:tcW w:w="48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现状距离</w:t>
            </w:r>
          </w:p>
        </w:tc>
        <w:tc>
          <w:tcPr>
            <w:tcW w:w="759"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62</w:t>
            </w:r>
          </w:p>
        </w:tc>
        <w:tc>
          <w:tcPr>
            <w:tcW w:w="47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62</w:t>
            </w:r>
          </w:p>
        </w:tc>
        <w:tc>
          <w:tcPr>
            <w:tcW w:w="50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556"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55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102</w:t>
            </w:r>
          </w:p>
        </w:tc>
        <w:tc>
          <w:tcPr>
            <w:tcW w:w="55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197</w:t>
            </w:r>
          </w:p>
        </w:tc>
        <w:tc>
          <w:tcPr>
            <w:tcW w:w="55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5" w:type="pct"/>
            <w:vMerge w:val="continue"/>
            <w:vAlign w:val="center"/>
          </w:tcPr>
          <w:p>
            <w:pPr>
              <w:pStyle w:val="118"/>
              <w:rPr>
                <w:color w:val="000000" w:themeColor="text1"/>
                <w:highlight w:val="none"/>
                <w14:textFill>
                  <w14:solidFill>
                    <w14:schemeClr w14:val="tx1"/>
                  </w14:solidFill>
                </w14:textFill>
              </w:rPr>
            </w:pPr>
          </w:p>
        </w:tc>
        <w:tc>
          <w:tcPr>
            <w:tcW w:w="48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设计距离</w:t>
            </w:r>
          </w:p>
        </w:tc>
        <w:tc>
          <w:tcPr>
            <w:tcW w:w="759"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47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162.3</w:t>
            </w:r>
          </w:p>
        </w:tc>
        <w:tc>
          <w:tcPr>
            <w:tcW w:w="50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556"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55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102</w:t>
            </w:r>
          </w:p>
        </w:tc>
        <w:tc>
          <w:tcPr>
            <w:tcW w:w="55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197</w:t>
            </w:r>
          </w:p>
        </w:tc>
        <w:tc>
          <w:tcPr>
            <w:tcW w:w="55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5" w:type="pct"/>
            <w:vMerge w:val="continue"/>
            <w:vAlign w:val="center"/>
          </w:tcPr>
          <w:p>
            <w:pPr>
              <w:pStyle w:val="118"/>
              <w:rPr>
                <w:color w:val="000000" w:themeColor="text1"/>
                <w:highlight w:val="none"/>
                <w14:textFill>
                  <w14:solidFill>
                    <w14:schemeClr w14:val="tx1"/>
                  </w14:solidFill>
                </w14:textFill>
              </w:rPr>
            </w:pPr>
          </w:p>
        </w:tc>
        <w:tc>
          <w:tcPr>
            <w:tcW w:w="485"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是否满足</w:t>
            </w:r>
          </w:p>
        </w:tc>
        <w:tc>
          <w:tcPr>
            <w:tcW w:w="759"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是</w:t>
            </w:r>
          </w:p>
        </w:tc>
        <w:tc>
          <w:tcPr>
            <w:tcW w:w="47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是</w:t>
            </w:r>
          </w:p>
        </w:tc>
        <w:tc>
          <w:tcPr>
            <w:tcW w:w="50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是</w:t>
            </w:r>
          </w:p>
        </w:tc>
        <w:tc>
          <w:tcPr>
            <w:tcW w:w="556"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是</w:t>
            </w:r>
          </w:p>
        </w:tc>
        <w:tc>
          <w:tcPr>
            <w:tcW w:w="556"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是</w:t>
            </w:r>
          </w:p>
        </w:tc>
        <w:tc>
          <w:tcPr>
            <w:tcW w:w="556"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是</w:t>
            </w:r>
          </w:p>
        </w:tc>
        <w:tc>
          <w:tcPr>
            <w:tcW w:w="55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9"/>
            <w:vAlign w:val="center"/>
          </w:tcPr>
          <w:p>
            <w:pPr>
              <w:pStyle w:val="118"/>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注：1.标准距离依据《石油天然气工程设计防火规范》GB50183-2004表4.0.4。</w:t>
            </w:r>
          </w:p>
          <w:p>
            <w:pPr>
              <w:pStyle w:val="118"/>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2.“-”表示远大于标准。</w:t>
            </w:r>
          </w:p>
        </w:tc>
      </w:tr>
    </w:tbl>
    <w:p>
      <w:pPr>
        <w:tabs>
          <w:tab w:val="left" w:pos="0"/>
        </w:tabs>
        <w:spacing w:before="120" w:beforeLines="5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站场平面布置执行《石油天然气工程设计防火规范》GB50183-2004中五级站场的防火安全距离。</w:t>
      </w:r>
    </w:p>
    <w:p>
      <w:pPr>
        <w:tabs>
          <w:tab w:val="left" w:pos="0"/>
        </w:tabs>
        <w:ind w:firstLine="480"/>
        <w:rPr>
          <w:rFonts w:cs="Times New Roman"/>
          <w:bCs/>
          <w:color w:val="000000" w:themeColor="text1"/>
          <w:szCs w:val="24"/>
          <w:highlight w:val="none"/>
          <w14:textFill>
            <w14:solidFill>
              <w14:schemeClr w14:val="tx1"/>
            </w14:solidFill>
          </w14:textFill>
        </w:rPr>
      </w:pPr>
      <w:r>
        <w:rPr>
          <w:rFonts w:hint="eastAsia"/>
          <w:color w:val="000000" w:themeColor="text1"/>
          <w:highlight w:val="none"/>
          <w14:textFill>
            <w14:solidFill>
              <w14:schemeClr w14:val="tx1"/>
            </w14:solidFill>
          </w14:textFill>
        </w:rPr>
        <w:t>根据地形等因素，将辅助生产区置于站场北侧，靠近站区的主入口处，综合值班室前设置了混凝土场地；工艺装置区设置在站场南侧，放空区独立设置在站场南侧。安全距离均符合石油天然气工程设计防火规范GB 50183-2004的要求</w:t>
      </w:r>
      <w:r>
        <w:rPr>
          <w:rFonts w:hint="eastAsia"/>
          <w:bCs/>
          <w:color w:val="000000" w:themeColor="text1"/>
          <w:highlight w:val="none"/>
          <w14:textFill>
            <w14:solidFill>
              <w14:schemeClr w14:val="tx1"/>
            </w14:solidFill>
          </w14:textFill>
        </w:rPr>
        <w:t>，平面布置合理。</w:t>
      </w:r>
    </w:p>
    <w:bookmarkEnd w:id="111"/>
    <w:p>
      <w:pPr>
        <w:tabs>
          <w:tab w:val="left" w:pos="0"/>
        </w:tabs>
        <w:spacing w:before="120" w:beforeLines="50"/>
        <w:ind w:firstLine="480"/>
        <w:rPr>
          <w:rFonts w:cs="Times New Roman"/>
          <w:bCs/>
          <w:color w:val="000000" w:themeColor="text1"/>
          <w:szCs w:val="24"/>
          <w:highlight w:val="none"/>
          <w14:textFill>
            <w14:solidFill>
              <w14:schemeClr w14:val="tx1"/>
            </w14:solidFill>
          </w14:textFill>
        </w:rPr>
      </w:pPr>
    </w:p>
    <w:p>
      <w:pPr>
        <w:ind w:firstLine="480"/>
        <w:rPr>
          <w:rFonts w:cs="Times New Roman"/>
          <w:color w:val="000000" w:themeColor="text1"/>
          <w:highlight w:val="none"/>
          <w14:textFill>
            <w14:solidFill>
              <w14:schemeClr w14:val="tx1"/>
            </w14:solidFill>
          </w14:textFill>
        </w:rPr>
        <w:sectPr>
          <w:pgSz w:w="11910" w:h="16840"/>
          <w:pgMar w:top="1440" w:right="1800" w:bottom="1440" w:left="1800" w:header="964" w:footer="964" w:gutter="0"/>
          <w:cols w:space="720" w:num="1"/>
          <w:docGrid w:linePitch="326" w:charSpace="0"/>
        </w:sectPr>
      </w:pPr>
    </w:p>
    <w:p>
      <w:pPr>
        <w:pStyle w:val="3"/>
        <w:rPr>
          <w:b/>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工程分析</w:t>
      </w:r>
    </w:p>
    <w:p>
      <w:pPr>
        <w:pStyle w:val="4"/>
        <w:spacing w:before="120"/>
        <w:rPr>
          <w:color w:val="000000" w:themeColor="text1"/>
          <w:szCs w:val="24"/>
          <w:highlight w:val="none"/>
          <w:lang w:eastAsia="zh-CN"/>
          <w14:textFill>
            <w14:solidFill>
              <w14:schemeClr w14:val="tx1"/>
            </w14:solidFill>
          </w14:textFill>
        </w:rPr>
      </w:pPr>
      <w:bookmarkStart w:id="112" w:name="_Toc12386"/>
      <w:r>
        <w:rPr>
          <w:rFonts w:hint="eastAsia"/>
          <w:color w:val="000000" w:themeColor="text1"/>
          <w:szCs w:val="24"/>
          <w:highlight w:val="none"/>
          <w:lang w:eastAsia="zh-CN"/>
          <w14:textFill>
            <w14:solidFill>
              <w14:schemeClr w14:val="tx1"/>
            </w14:solidFill>
          </w14:textFill>
        </w:rPr>
        <w:t>已建工程和相关</w:t>
      </w:r>
      <w:r>
        <w:rPr>
          <w:color w:val="000000" w:themeColor="text1"/>
          <w:szCs w:val="24"/>
          <w:highlight w:val="none"/>
          <w:lang w:eastAsia="zh-CN"/>
          <w14:textFill>
            <w14:solidFill>
              <w14:schemeClr w14:val="tx1"/>
            </w14:solidFill>
          </w14:textFill>
        </w:rPr>
        <w:t>工程建设情况</w:t>
      </w:r>
      <w:bookmarkEnd w:id="112"/>
    </w:p>
    <w:p>
      <w:pPr>
        <w:spacing w:before="120" w:beforeLines="50"/>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本项目与</w:t>
      </w:r>
      <w:r>
        <w:rPr>
          <w:rFonts w:hint="eastAsia"/>
          <w:color w:val="000000" w:themeColor="text1"/>
          <w:szCs w:val="24"/>
          <w:highlight w:val="none"/>
          <w14:textFill>
            <w14:solidFill>
              <w14:schemeClr w14:val="tx1"/>
            </w14:solidFill>
          </w14:textFill>
        </w:rPr>
        <w:t>已建工程和相关工程</w:t>
      </w:r>
      <w:r>
        <w:rPr>
          <w:color w:val="000000" w:themeColor="text1"/>
          <w:szCs w:val="24"/>
          <w:highlight w:val="none"/>
          <w14:textFill>
            <w14:solidFill>
              <w14:schemeClr w14:val="tx1"/>
            </w14:solidFill>
          </w14:textFill>
        </w:rPr>
        <w:t>位置关系如下图所示。</w:t>
      </w:r>
    </w:p>
    <w:p>
      <w:pPr>
        <w:pStyle w:val="19"/>
        <w:tabs>
          <w:tab w:val="left" w:pos="863"/>
        </w:tabs>
        <w:spacing w:before="0"/>
        <w:ind w:left="0" w:firstLine="210"/>
        <w:jc w:val="center"/>
        <w:rPr>
          <w:rFonts w:hint="eastAsia" w:eastAsia="黑体" w:cs="Times New Roman"/>
          <w:color w:val="000000" w:themeColor="text1"/>
          <w:highlight w:val="none"/>
          <w:lang w:val="en-US" w:eastAsia="zh-CN"/>
          <w14:textFill>
            <w14:solidFill>
              <w14:schemeClr w14:val="tx1"/>
            </w14:solidFill>
          </w14:textFill>
        </w:rPr>
      </w:pPr>
      <w:r>
        <w:rPr>
          <w:rFonts w:hint="eastAsia" w:eastAsia="黑体" w:cs="Times New Roman"/>
          <w:color w:val="000000" w:themeColor="text1"/>
          <w:highlight w:val="none"/>
          <w:lang w:val="en-US" w:eastAsia="zh-CN"/>
          <w14:textFill>
            <w14:solidFill>
              <w14:schemeClr w14:val="tx1"/>
            </w14:solidFill>
          </w14:textFill>
        </w:rPr>
        <w:t>**</w:t>
      </w:r>
    </w:p>
    <w:p>
      <w:pPr>
        <w:pStyle w:val="19"/>
        <w:tabs>
          <w:tab w:val="left" w:pos="863"/>
        </w:tabs>
        <w:spacing w:before="0"/>
        <w:ind w:left="0" w:firstLine="210"/>
        <w:jc w:val="center"/>
        <w:rPr>
          <w:rFonts w:ascii="Times New Roman" w:hAnsi="Times New Roman" w:eastAsia="黑体"/>
          <w:color w:val="000000" w:themeColor="text1"/>
          <w:sz w:val="21"/>
          <w:szCs w:val="21"/>
          <w:highlight w:val="none"/>
          <w:lang w:eastAsia="zh-CN"/>
          <w14:textFill>
            <w14:solidFill>
              <w14:schemeClr w14:val="tx1"/>
            </w14:solidFill>
          </w14:textFill>
        </w:rPr>
      </w:pPr>
      <w:r>
        <w:rPr>
          <w:rFonts w:ascii="Times New Roman" w:hAnsi="Times New Roman" w:eastAsia="黑体"/>
          <w:color w:val="000000" w:themeColor="text1"/>
          <w:sz w:val="21"/>
          <w:szCs w:val="21"/>
          <w:highlight w:val="none"/>
          <w:lang w:eastAsia="zh-CN"/>
          <w14:textFill>
            <w14:solidFill>
              <w14:schemeClr w14:val="tx1"/>
            </w14:solidFill>
          </w14:textFill>
        </w:rPr>
        <w:t>图3.1-1  本项目与</w:t>
      </w:r>
      <w:r>
        <w:rPr>
          <w:rFonts w:hint="eastAsia" w:ascii="Times New Roman" w:hAnsi="Times New Roman" w:eastAsia="黑体"/>
          <w:color w:val="000000" w:themeColor="text1"/>
          <w:sz w:val="21"/>
          <w:szCs w:val="21"/>
          <w:highlight w:val="none"/>
          <w:lang w:eastAsia="zh-CN"/>
          <w14:textFill>
            <w14:solidFill>
              <w14:schemeClr w14:val="tx1"/>
            </w14:solidFill>
          </w14:textFill>
        </w:rPr>
        <w:t>已建和</w:t>
      </w:r>
      <w:r>
        <w:rPr>
          <w:rFonts w:ascii="Times New Roman" w:hAnsi="Times New Roman" w:eastAsia="黑体"/>
          <w:color w:val="000000" w:themeColor="text1"/>
          <w:sz w:val="21"/>
          <w:szCs w:val="21"/>
          <w:highlight w:val="none"/>
          <w:lang w:eastAsia="zh-CN"/>
          <w14:textFill>
            <w14:solidFill>
              <w14:schemeClr w14:val="tx1"/>
            </w14:solidFill>
          </w14:textFill>
        </w:rPr>
        <w:t>相关工程位置关系</w:t>
      </w:r>
      <w:r>
        <w:rPr>
          <w:rFonts w:hint="eastAsia" w:ascii="Times New Roman" w:hAnsi="Times New Roman" w:eastAsia="黑体"/>
          <w:color w:val="000000" w:themeColor="text1"/>
          <w:sz w:val="21"/>
          <w:szCs w:val="21"/>
          <w:highlight w:val="none"/>
          <w:lang w:eastAsia="zh-CN"/>
          <w14:textFill>
            <w14:solidFill>
              <w14:schemeClr w14:val="tx1"/>
            </w14:solidFill>
          </w14:textFill>
        </w:rPr>
        <w:t>图</w:t>
      </w:r>
    </w:p>
    <w:p>
      <w:pPr>
        <w:pStyle w:val="5"/>
        <w:spacing w:before="120"/>
        <w:ind w:firstLine="480"/>
        <w:rPr>
          <w:color w:val="000000" w:themeColor="text1"/>
          <w:highlight w:val="none"/>
          <w:lang w:eastAsia="zh-CN"/>
          <w14:textFill>
            <w14:solidFill>
              <w14:schemeClr w14:val="tx1"/>
            </w14:solidFill>
          </w14:textFill>
        </w:rPr>
      </w:pPr>
      <w:r>
        <w:rPr>
          <w:color w:val="000000" w:themeColor="text1"/>
          <w:highlight w:val="none"/>
          <w:lang w:eastAsia="zh-CN"/>
          <w14:textFill>
            <w14:solidFill>
              <w14:schemeClr w14:val="tx1"/>
            </w14:solidFill>
          </w14:textFill>
        </w:rPr>
        <w:t>已建雷页1井</w:t>
      </w:r>
      <w:r>
        <w:rPr>
          <w:rFonts w:hint="eastAsia"/>
          <w:color w:val="000000" w:themeColor="text1"/>
          <w:highlight w:val="none"/>
          <w:lang w:eastAsia="zh-CN"/>
          <w14:textFill>
            <w14:solidFill>
              <w14:schemeClr w14:val="tx1"/>
            </w14:solidFill>
          </w14:textFill>
        </w:rPr>
        <w:t>和雷页1天然气回收工程</w:t>
      </w:r>
      <w:r>
        <w:rPr>
          <w:color w:val="000000" w:themeColor="text1"/>
          <w:highlight w:val="none"/>
          <w:lang w:eastAsia="zh-CN"/>
          <w14:textFill>
            <w14:solidFill>
              <w14:schemeClr w14:val="tx1"/>
            </w14:solidFill>
          </w14:textFill>
        </w:rPr>
        <w:t>情况</w:t>
      </w:r>
    </w:p>
    <w:p>
      <w:pPr>
        <w:pStyle w:val="6"/>
        <w:spacing w:before="120"/>
        <w:rPr>
          <w:color w:val="000000" w:themeColor="text1"/>
          <w:highlight w:val="none"/>
          <w14:textFill>
            <w14:solidFill>
              <w14:schemeClr w14:val="tx1"/>
            </w14:solidFill>
          </w14:textFill>
        </w:rPr>
      </w:pPr>
      <w:bookmarkStart w:id="113" w:name="_Toc155259261"/>
      <w:bookmarkStart w:id="114" w:name="_Toc148467234"/>
      <w:r>
        <w:rPr>
          <w:color w:val="000000" w:themeColor="text1"/>
          <w:highlight w:val="none"/>
          <w14:textFill>
            <w14:solidFill>
              <w14:schemeClr w14:val="tx1"/>
            </w14:solidFill>
          </w14:textFill>
        </w:rPr>
        <w:t>环保手续履行情况</w:t>
      </w:r>
      <w:bookmarkEnd w:id="113"/>
      <w:bookmarkEnd w:id="114"/>
    </w:p>
    <w:p>
      <w:pPr>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本项目在原雷页1井井场</w:t>
      </w:r>
      <w:r>
        <w:rPr>
          <w:rFonts w:hint="eastAsia"/>
          <w:color w:val="000000" w:themeColor="text1"/>
          <w:szCs w:val="24"/>
          <w:highlight w:val="none"/>
          <w14:textFill>
            <w14:solidFill>
              <w14:schemeClr w14:val="tx1"/>
            </w14:solidFill>
          </w14:textFill>
        </w:rPr>
        <w:t>西侧</w:t>
      </w:r>
      <w:r>
        <w:rPr>
          <w:color w:val="000000" w:themeColor="text1"/>
          <w:szCs w:val="24"/>
          <w:highlight w:val="none"/>
          <w14:textFill>
            <w14:solidFill>
              <w14:schemeClr w14:val="tx1"/>
            </w14:solidFill>
          </w14:textFill>
        </w:rPr>
        <w:t>建设</w:t>
      </w:r>
      <w:r>
        <w:rPr>
          <w:rFonts w:hint="eastAsia"/>
          <w:color w:val="000000" w:themeColor="text1"/>
          <w:szCs w:val="24"/>
          <w:highlight w:val="none"/>
          <w14:textFill>
            <w14:solidFill>
              <w14:schemeClr w14:val="tx1"/>
            </w14:solidFill>
          </w14:textFill>
        </w:rPr>
        <w:t>，建成后将对雷页1井进行试采，在本项目建成前由于雷页1井井场</w:t>
      </w:r>
      <w:r>
        <w:rPr>
          <w:smallCaps/>
          <w:color w:val="000000" w:themeColor="text1"/>
          <w:highlight w:val="none"/>
          <w14:textFill>
            <w14:solidFill>
              <w14:schemeClr w14:val="tx1"/>
            </w14:solidFill>
          </w14:textFill>
        </w:rPr>
        <w:t>周边未配套油气集输设施和管道</w:t>
      </w:r>
      <w:r>
        <w:rPr>
          <w:rFonts w:hint="eastAsia"/>
          <w:smallCaps/>
          <w:color w:val="000000" w:themeColor="text1"/>
          <w:highlight w:val="none"/>
          <w14:textFill>
            <w14:solidFill>
              <w14:schemeClr w14:val="tx1"/>
            </w14:solidFill>
          </w14:textFill>
        </w:rPr>
        <w:t>，</w:t>
      </w:r>
      <w:r>
        <w:rPr>
          <w:color w:val="000000" w:themeColor="text1"/>
          <w:szCs w:val="24"/>
          <w:highlight w:val="none"/>
          <w14:textFill>
            <w14:solidFill>
              <w14:schemeClr w14:val="tx1"/>
            </w14:solidFill>
          </w14:textFill>
        </w:rPr>
        <w:t>中国石油化工股份有限公司中原油田普光分公司</w:t>
      </w:r>
      <w:r>
        <w:rPr>
          <w:rFonts w:hint="eastAsia"/>
          <w:color w:val="000000" w:themeColor="text1"/>
          <w:szCs w:val="24"/>
          <w:highlight w:val="none"/>
          <w14:textFill>
            <w14:solidFill>
              <w14:schemeClr w14:val="tx1"/>
            </w14:solidFill>
          </w14:textFill>
        </w:rPr>
        <w:t>委托</w:t>
      </w:r>
      <w:r>
        <w:rPr>
          <w:color w:val="000000" w:themeColor="text1"/>
          <w:highlight w:val="none"/>
          <w14:textFill>
            <w14:solidFill>
              <w14:schemeClr w14:val="tx1"/>
            </w14:solidFill>
          </w14:textFill>
        </w:rPr>
        <w:t>新星恒业清洁能源有限公司</w:t>
      </w:r>
      <w:r>
        <w:rPr>
          <w:rFonts w:hint="eastAsia"/>
          <w:color w:val="000000" w:themeColor="text1"/>
          <w:highlight w:val="none"/>
          <w14:textFill>
            <w14:solidFill>
              <w14:schemeClr w14:val="tx1"/>
            </w14:solidFill>
          </w14:textFill>
        </w:rPr>
        <w:t>对</w:t>
      </w:r>
      <w:r>
        <w:rPr>
          <w:color w:val="000000" w:themeColor="text1"/>
          <w:szCs w:val="24"/>
          <w:highlight w:val="none"/>
          <w14:textFill>
            <w14:solidFill>
              <w14:schemeClr w14:val="tx1"/>
            </w14:solidFill>
          </w14:textFill>
        </w:rPr>
        <w:t>雷页1井的天然气</w:t>
      </w:r>
      <w:r>
        <w:rPr>
          <w:rFonts w:hint="eastAsia"/>
          <w:color w:val="000000" w:themeColor="text1"/>
          <w:szCs w:val="24"/>
          <w:highlight w:val="none"/>
          <w14:textFill>
            <w14:solidFill>
              <w14:schemeClr w14:val="tx1"/>
            </w14:solidFill>
          </w14:textFill>
        </w:rPr>
        <w:t>采用</w:t>
      </w:r>
      <w:r>
        <w:rPr>
          <w:color w:val="000000" w:themeColor="text1"/>
          <w:szCs w:val="24"/>
          <w:highlight w:val="none"/>
          <w14:textFill>
            <w14:solidFill>
              <w14:schemeClr w14:val="tx1"/>
            </w14:solidFill>
          </w14:textFill>
        </w:rPr>
        <w:t>CNG</w:t>
      </w:r>
      <w:r>
        <w:rPr>
          <w:rFonts w:hint="eastAsia"/>
          <w:color w:val="000000" w:themeColor="text1"/>
          <w:szCs w:val="24"/>
          <w:highlight w:val="none"/>
          <w14:textFill>
            <w14:solidFill>
              <w14:schemeClr w14:val="tx1"/>
            </w14:solidFill>
          </w14:textFill>
        </w:rPr>
        <w:t>槽车罐装拉运模式进行试采</w:t>
      </w:r>
      <w:r>
        <w:rPr>
          <w:color w:val="000000" w:themeColor="text1"/>
          <w:szCs w:val="24"/>
          <w:highlight w:val="none"/>
          <w14:textFill>
            <w14:solidFill>
              <w14:schemeClr w14:val="tx1"/>
            </w14:solidFill>
          </w14:textFill>
        </w:rPr>
        <w:t>回收</w:t>
      </w:r>
      <w:r>
        <w:rPr>
          <w:rFonts w:hint="eastAsia"/>
          <w:smallCaps/>
          <w:color w:val="000000" w:themeColor="text1"/>
          <w:highlight w:val="none"/>
          <w14:textFill>
            <w14:solidFill>
              <w14:schemeClr w14:val="tx1"/>
            </w14:solidFill>
          </w14:textFill>
        </w:rPr>
        <w:t>，</w:t>
      </w:r>
      <w:r>
        <w:rPr>
          <w:color w:val="000000" w:themeColor="text1"/>
          <w:szCs w:val="24"/>
          <w:highlight w:val="none"/>
          <w14:textFill>
            <w14:solidFill>
              <w14:schemeClr w14:val="tx1"/>
            </w14:solidFill>
          </w14:textFill>
        </w:rPr>
        <w:t>该工程在雷页1井井场内建设一套天然气回收装置，对雷页1井进行采气生产，所产天然气采用CNG槽车井场灌装拉运模式运输</w:t>
      </w:r>
      <w:r>
        <w:rPr>
          <w:rFonts w:hint="eastAsia"/>
          <w:color w:val="000000" w:themeColor="text1"/>
          <w:szCs w:val="24"/>
          <w:highlight w:val="none"/>
          <w14:textFill>
            <w14:solidFill>
              <w14:schemeClr w14:val="tx1"/>
            </w14:solidFill>
          </w14:textFill>
        </w:rPr>
        <w:t>。本项目建成后，雷页1天然气回收工程将终止，由本项目继续完成试采任务。雷页1</w:t>
      </w:r>
      <w:r>
        <w:rPr>
          <w:color w:val="000000" w:themeColor="text1"/>
          <w:szCs w:val="24"/>
          <w:highlight w:val="none"/>
          <w14:textFill>
            <w14:solidFill>
              <w14:schemeClr w14:val="tx1"/>
            </w14:solidFill>
          </w14:textFill>
        </w:rPr>
        <w:t>井</w:t>
      </w:r>
      <w:r>
        <w:rPr>
          <w:rFonts w:hint="eastAsia"/>
          <w:color w:val="000000" w:themeColor="text1"/>
          <w:szCs w:val="24"/>
          <w:highlight w:val="none"/>
          <w14:textFill>
            <w14:solidFill>
              <w14:schemeClr w14:val="tx1"/>
            </w14:solidFill>
          </w14:textFill>
        </w:rPr>
        <w:t>钻探工程</w:t>
      </w:r>
      <w:r>
        <w:rPr>
          <w:color w:val="000000" w:themeColor="text1"/>
          <w:szCs w:val="24"/>
          <w:highlight w:val="none"/>
          <w14:textFill>
            <w14:solidFill>
              <w14:schemeClr w14:val="tx1"/>
            </w14:solidFill>
          </w14:textFill>
        </w:rPr>
        <w:t>的环评、竣工环境保护验收</w:t>
      </w:r>
      <w:r>
        <w:rPr>
          <w:rFonts w:hint="eastAsia"/>
          <w:color w:val="000000" w:themeColor="text1"/>
          <w:szCs w:val="24"/>
          <w:highlight w:val="none"/>
          <w14:textFill>
            <w14:solidFill>
              <w14:schemeClr w14:val="tx1"/>
            </w14:solidFill>
          </w14:textFill>
        </w:rPr>
        <w:t>以及</w:t>
      </w:r>
      <w:r>
        <w:rPr>
          <w:rFonts w:hint="eastAsia"/>
          <w:color w:val="000000" w:themeColor="text1"/>
          <w:highlight w:val="none"/>
          <w14:textFill>
            <w14:solidFill>
              <w14:schemeClr w14:val="tx1"/>
            </w14:solidFill>
          </w14:textFill>
        </w:rPr>
        <w:t>雷页1天然气回收工程环保手续</w:t>
      </w:r>
      <w:r>
        <w:rPr>
          <w:color w:val="000000" w:themeColor="text1"/>
          <w:szCs w:val="24"/>
          <w:highlight w:val="none"/>
          <w14:textFill>
            <w14:solidFill>
              <w14:schemeClr w14:val="tx1"/>
            </w14:solidFill>
          </w14:textFill>
        </w:rPr>
        <w:t>履行情况见表3.1-1。</w:t>
      </w:r>
    </w:p>
    <w:p>
      <w:pPr>
        <w:pStyle w:val="19"/>
        <w:tabs>
          <w:tab w:val="left" w:pos="863"/>
        </w:tabs>
        <w:spacing w:before="0"/>
        <w:ind w:left="0" w:firstLine="210"/>
        <w:jc w:val="center"/>
        <w:rPr>
          <w:rFonts w:ascii="Times New Roman" w:hAnsi="Times New Roman" w:eastAsia="黑体"/>
          <w:color w:val="000000" w:themeColor="text1"/>
          <w:sz w:val="21"/>
          <w:szCs w:val="21"/>
          <w:highlight w:val="none"/>
          <w:lang w:eastAsia="zh-CN"/>
          <w14:textFill>
            <w14:solidFill>
              <w14:schemeClr w14:val="tx1"/>
            </w14:solidFill>
          </w14:textFill>
        </w:rPr>
      </w:pPr>
      <w:r>
        <w:rPr>
          <w:rFonts w:ascii="Times New Roman" w:hAnsi="Times New Roman" w:eastAsia="黑体"/>
          <w:color w:val="000000" w:themeColor="text1"/>
          <w:sz w:val="21"/>
          <w:szCs w:val="21"/>
          <w:highlight w:val="none"/>
          <w:lang w:eastAsia="zh-CN"/>
          <w14:textFill>
            <w14:solidFill>
              <w14:schemeClr w14:val="tx1"/>
            </w14:solidFill>
          </w14:textFill>
        </w:rPr>
        <w:t xml:space="preserve">表3.1-1  </w:t>
      </w:r>
      <w:r>
        <w:rPr>
          <w:rFonts w:hint="eastAsia" w:ascii="Times New Roman" w:hAnsi="Times New Roman" w:eastAsia="黑体"/>
          <w:color w:val="000000" w:themeColor="text1"/>
          <w:sz w:val="21"/>
          <w:szCs w:val="21"/>
          <w:highlight w:val="none"/>
          <w:lang w:eastAsia="zh-CN"/>
          <w14:textFill>
            <w14:solidFill>
              <w14:schemeClr w14:val="tx1"/>
            </w14:solidFill>
          </w14:textFill>
        </w:rPr>
        <w:t>已建</w:t>
      </w:r>
      <w:r>
        <w:rPr>
          <w:rFonts w:ascii="Times New Roman" w:hAnsi="Times New Roman" w:eastAsia="黑体"/>
          <w:color w:val="000000" w:themeColor="text1"/>
          <w:sz w:val="21"/>
          <w:szCs w:val="21"/>
          <w:highlight w:val="none"/>
          <w:lang w:eastAsia="zh-CN"/>
          <w14:textFill>
            <w14:solidFill>
              <w14:schemeClr w14:val="tx1"/>
            </w14:solidFill>
          </w14:textFill>
        </w:rPr>
        <w:t>工程环境保护手续履行情况一览表</w:t>
      </w:r>
    </w:p>
    <w:tbl>
      <w:tblPr>
        <w:tblStyle w:val="37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97"/>
        <w:gridCol w:w="2038"/>
        <w:gridCol w:w="2703"/>
        <w:gridCol w:w="21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7" w:type="pct"/>
            <w:vAlign w:val="center"/>
          </w:tcPr>
          <w:p>
            <w:pPr>
              <w:pStyle w:val="220"/>
              <w:rPr>
                <w:rFonts w:ascii="宋体" w:hAnsi="宋体" w:eastAsia="宋体" w:cs="Times New Roman"/>
                <w:color w:val="000000" w:themeColor="text1"/>
                <w:kern w:val="2"/>
                <w:highlight w:val="none"/>
                <w14:textFill>
                  <w14:solidFill>
                    <w14:schemeClr w14:val="tx1"/>
                  </w14:solidFill>
                </w14:textFill>
              </w:rPr>
            </w:pPr>
            <w:r>
              <w:rPr>
                <w:rFonts w:hint="eastAsia" w:ascii="宋体" w:hAnsi="宋体" w:eastAsia="宋体" w:cs="Times New Roman"/>
                <w:color w:val="000000" w:themeColor="text1"/>
                <w:kern w:val="2"/>
                <w:highlight w:val="none"/>
                <w14:textFill>
                  <w14:solidFill>
                    <w14:schemeClr w14:val="tx1"/>
                  </w14:solidFill>
                </w14:textFill>
              </w:rPr>
              <w:t>已建</w:t>
            </w:r>
            <w:r>
              <w:rPr>
                <w:rFonts w:ascii="宋体" w:hAnsi="宋体" w:eastAsia="宋体" w:cs="Times New Roman"/>
                <w:color w:val="000000" w:themeColor="text1"/>
                <w:kern w:val="2"/>
                <w:highlight w:val="none"/>
                <w14:textFill>
                  <w14:solidFill>
                    <w14:schemeClr w14:val="tx1"/>
                  </w14:solidFill>
                </w14:textFill>
              </w:rPr>
              <w:t>工程</w:t>
            </w:r>
          </w:p>
        </w:tc>
        <w:tc>
          <w:tcPr>
            <w:tcW w:w="1195" w:type="pct"/>
            <w:vAlign w:val="center"/>
          </w:tcPr>
          <w:p>
            <w:pPr>
              <w:pStyle w:val="220"/>
              <w:rPr>
                <w:rFonts w:ascii="宋体" w:hAnsi="宋体" w:eastAsia="宋体" w:cs="Times New Roman"/>
                <w:color w:val="000000" w:themeColor="text1"/>
                <w:kern w:val="2"/>
                <w:highlight w:val="none"/>
                <w14:textFill>
                  <w14:solidFill>
                    <w14:schemeClr w14:val="tx1"/>
                  </w14:solidFill>
                </w14:textFill>
              </w:rPr>
            </w:pPr>
            <w:r>
              <w:rPr>
                <w:rFonts w:ascii="宋体" w:hAnsi="宋体" w:eastAsia="宋体" w:cs="Times New Roman"/>
                <w:color w:val="000000" w:themeColor="text1"/>
                <w:kern w:val="2"/>
                <w:highlight w:val="none"/>
                <w14:textFill>
                  <w14:solidFill>
                    <w14:schemeClr w14:val="tx1"/>
                  </w14:solidFill>
                </w14:textFill>
              </w:rPr>
              <w:t>类别</w:t>
            </w:r>
          </w:p>
        </w:tc>
        <w:tc>
          <w:tcPr>
            <w:tcW w:w="1585" w:type="pct"/>
            <w:vAlign w:val="center"/>
          </w:tcPr>
          <w:p>
            <w:pPr>
              <w:pStyle w:val="220"/>
              <w:rPr>
                <w:rFonts w:ascii="宋体" w:hAnsi="宋体" w:eastAsia="宋体" w:cs="Times New Roman"/>
                <w:color w:val="000000" w:themeColor="text1"/>
                <w:kern w:val="2"/>
                <w:highlight w:val="none"/>
                <w14:textFill>
                  <w14:solidFill>
                    <w14:schemeClr w14:val="tx1"/>
                  </w14:solidFill>
                </w14:textFill>
              </w:rPr>
            </w:pPr>
            <w:r>
              <w:rPr>
                <w:rFonts w:ascii="宋体" w:hAnsi="宋体" w:eastAsia="宋体" w:cs="Times New Roman"/>
                <w:color w:val="000000" w:themeColor="text1"/>
                <w:kern w:val="2"/>
                <w:highlight w:val="none"/>
                <w14:textFill>
                  <w14:solidFill>
                    <w14:schemeClr w14:val="tx1"/>
                  </w14:solidFill>
                </w14:textFill>
              </w:rPr>
              <w:t>环评及验收批复</w:t>
            </w:r>
          </w:p>
        </w:tc>
        <w:tc>
          <w:tcPr>
            <w:tcW w:w="1283" w:type="pct"/>
            <w:vAlign w:val="center"/>
          </w:tcPr>
          <w:p>
            <w:pPr>
              <w:pStyle w:val="220"/>
              <w:rPr>
                <w:rFonts w:ascii="宋体" w:hAnsi="宋体" w:eastAsia="宋体" w:cs="Times New Roman"/>
                <w:color w:val="000000" w:themeColor="text1"/>
                <w:kern w:val="2"/>
                <w:highlight w:val="none"/>
                <w14:textFill>
                  <w14:solidFill>
                    <w14:schemeClr w14:val="tx1"/>
                  </w14:solidFill>
                </w14:textFill>
              </w:rPr>
            </w:pPr>
            <w:r>
              <w:rPr>
                <w:rFonts w:ascii="宋体" w:hAnsi="宋体" w:eastAsia="宋体" w:cs="Times New Roman"/>
                <w:color w:val="000000" w:themeColor="text1"/>
                <w:kern w:val="2"/>
                <w:highlight w:val="none"/>
                <w14:textFill>
                  <w14:solidFill>
                    <w14:schemeClr w14:val="tx1"/>
                  </w14:solidFill>
                </w14:textFill>
              </w:rPr>
              <w:t>批复及时间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7" w:type="pct"/>
            <w:vMerge w:val="restart"/>
            <w:vAlign w:val="center"/>
          </w:tcPr>
          <w:p>
            <w:pPr>
              <w:pStyle w:val="202"/>
              <w:rPr>
                <w:rFonts w:cs="Times New Roman"/>
                <w:color w:val="000000" w:themeColor="text1"/>
                <w:kern w:val="2"/>
                <w:highlight w:val="none"/>
                <w14:textFill>
                  <w14:solidFill>
                    <w14:schemeClr w14:val="tx1"/>
                  </w14:solidFill>
                </w14:textFill>
              </w:rPr>
            </w:pPr>
            <w:r>
              <w:rPr>
                <w:rFonts w:cs="Times New Roman"/>
                <w:color w:val="000000" w:themeColor="text1"/>
                <w:kern w:val="2"/>
                <w:highlight w:val="none"/>
                <w14:textFill>
                  <w14:solidFill>
                    <w14:schemeClr w14:val="tx1"/>
                  </w14:solidFill>
                </w14:textFill>
              </w:rPr>
              <w:t>雷页1井钻探工程</w:t>
            </w:r>
          </w:p>
        </w:tc>
        <w:tc>
          <w:tcPr>
            <w:tcW w:w="1195" w:type="pct"/>
            <w:vAlign w:val="center"/>
          </w:tcPr>
          <w:p>
            <w:pPr>
              <w:pStyle w:val="202"/>
              <w:rPr>
                <w:rFonts w:cs="Times New Roman"/>
                <w:color w:val="000000" w:themeColor="text1"/>
                <w:kern w:val="2"/>
                <w:highlight w:val="none"/>
                <w14:textFill>
                  <w14:solidFill>
                    <w14:schemeClr w14:val="tx1"/>
                  </w14:solidFill>
                </w14:textFill>
              </w:rPr>
            </w:pPr>
            <w:r>
              <w:rPr>
                <w:rFonts w:cs="Times New Roman"/>
                <w:color w:val="000000" w:themeColor="text1"/>
                <w:kern w:val="2"/>
                <w:highlight w:val="none"/>
                <w14:textFill>
                  <w14:solidFill>
                    <w14:schemeClr w14:val="tx1"/>
                  </w14:solidFill>
                </w14:textFill>
              </w:rPr>
              <w:t>环境影响评价</w:t>
            </w:r>
          </w:p>
        </w:tc>
        <w:tc>
          <w:tcPr>
            <w:tcW w:w="1585" w:type="pct"/>
            <w:vAlign w:val="center"/>
          </w:tcPr>
          <w:p>
            <w:pPr>
              <w:pStyle w:val="202"/>
              <w:rPr>
                <w:rFonts w:cs="Times New Roman"/>
                <w:color w:val="000000" w:themeColor="text1"/>
                <w:kern w:val="2"/>
                <w:highlight w:val="none"/>
                <w14:textFill>
                  <w14:solidFill>
                    <w14:schemeClr w14:val="tx1"/>
                  </w14:solidFill>
                </w14:textFill>
              </w:rPr>
            </w:pPr>
            <w:r>
              <w:rPr>
                <w:rFonts w:cs="Times New Roman"/>
                <w:color w:val="000000" w:themeColor="text1"/>
                <w:kern w:val="2"/>
                <w:highlight w:val="none"/>
                <w14:textFill>
                  <w14:solidFill>
                    <w14:schemeClr w14:val="tx1"/>
                  </w14:solidFill>
                </w14:textFill>
              </w:rPr>
              <w:t>宣环函〔2021〕15号</w:t>
            </w:r>
          </w:p>
        </w:tc>
        <w:tc>
          <w:tcPr>
            <w:tcW w:w="1283" w:type="pct"/>
            <w:vAlign w:val="center"/>
          </w:tcPr>
          <w:p>
            <w:pPr>
              <w:pStyle w:val="202"/>
              <w:rPr>
                <w:rFonts w:cs="Times New Roman"/>
                <w:color w:val="000000" w:themeColor="text1"/>
                <w:kern w:val="2"/>
                <w:highlight w:val="none"/>
                <w14:textFill>
                  <w14:solidFill>
                    <w14:schemeClr w14:val="tx1"/>
                  </w14:solidFill>
                </w14:textFill>
              </w:rPr>
            </w:pPr>
            <w:r>
              <w:rPr>
                <w:rFonts w:cs="Times New Roman"/>
                <w:color w:val="000000" w:themeColor="text1"/>
                <w:kern w:val="2"/>
                <w:highlight w:val="none"/>
                <w14:textFill>
                  <w14:solidFill>
                    <w14:schemeClr w14:val="tx1"/>
                  </w14:solidFill>
                </w14:textFill>
              </w:rPr>
              <w:t>2021年4月16日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7" w:type="pct"/>
            <w:vMerge w:val="continue"/>
            <w:vAlign w:val="center"/>
          </w:tcPr>
          <w:p>
            <w:pPr>
              <w:pStyle w:val="202"/>
              <w:rPr>
                <w:rFonts w:cs="Times New Roman"/>
                <w:color w:val="000000" w:themeColor="text1"/>
                <w:kern w:val="2"/>
                <w:highlight w:val="none"/>
                <w14:textFill>
                  <w14:solidFill>
                    <w14:schemeClr w14:val="tx1"/>
                  </w14:solidFill>
                </w14:textFill>
              </w:rPr>
            </w:pPr>
          </w:p>
        </w:tc>
        <w:tc>
          <w:tcPr>
            <w:tcW w:w="1195" w:type="pct"/>
            <w:vAlign w:val="center"/>
          </w:tcPr>
          <w:p>
            <w:pPr>
              <w:pStyle w:val="202"/>
              <w:rPr>
                <w:rFonts w:cs="Times New Roman"/>
                <w:color w:val="000000" w:themeColor="text1"/>
                <w:kern w:val="2"/>
                <w:highlight w:val="none"/>
                <w14:textFill>
                  <w14:solidFill>
                    <w14:schemeClr w14:val="tx1"/>
                  </w14:solidFill>
                </w14:textFill>
              </w:rPr>
            </w:pPr>
            <w:r>
              <w:rPr>
                <w:rFonts w:cs="Times New Roman"/>
                <w:color w:val="000000" w:themeColor="text1"/>
                <w:kern w:val="2"/>
                <w:highlight w:val="none"/>
                <w14:textFill>
                  <w14:solidFill>
                    <w14:schemeClr w14:val="tx1"/>
                  </w14:solidFill>
                </w14:textFill>
              </w:rPr>
              <w:t>竣工环保验收</w:t>
            </w:r>
          </w:p>
        </w:tc>
        <w:tc>
          <w:tcPr>
            <w:tcW w:w="1585" w:type="pct"/>
            <w:vAlign w:val="center"/>
          </w:tcPr>
          <w:p>
            <w:pPr>
              <w:pStyle w:val="202"/>
              <w:rPr>
                <w:rFonts w:cs="Times New Roman"/>
                <w:color w:val="000000" w:themeColor="text1"/>
                <w:kern w:val="2"/>
                <w:highlight w:val="none"/>
                <w14:textFill>
                  <w14:solidFill>
                    <w14:schemeClr w14:val="tx1"/>
                  </w14:solidFill>
                </w14:textFill>
              </w:rPr>
            </w:pPr>
            <w:r>
              <w:rPr>
                <w:rFonts w:cs="Times New Roman"/>
                <w:color w:val="000000" w:themeColor="text1"/>
                <w:kern w:val="2"/>
                <w:highlight w:val="none"/>
                <w14:textFill>
                  <w14:solidFill>
                    <w14:schemeClr w14:val="tx1"/>
                  </w14:solidFill>
                </w14:textFill>
              </w:rPr>
              <w:t>勘探元坝〔2023〕28号</w:t>
            </w:r>
          </w:p>
        </w:tc>
        <w:tc>
          <w:tcPr>
            <w:tcW w:w="1283" w:type="pct"/>
            <w:vAlign w:val="center"/>
          </w:tcPr>
          <w:p>
            <w:pPr>
              <w:pStyle w:val="202"/>
              <w:rPr>
                <w:rFonts w:cs="Times New Roman"/>
                <w:color w:val="000000" w:themeColor="text1"/>
                <w:kern w:val="2"/>
                <w:highlight w:val="none"/>
                <w14:textFill>
                  <w14:solidFill>
                    <w14:schemeClr w14:val="tx1"/>
                  </w14:solidFill>
                </w14:textFill>
              </w:rPr>
            </w:pPr>
            <w:r>
              <w:rPr>
                <w:rFonts w:cs="Times New Roman"/>
                <w:color w:val="000000" w:themeColor="text1"/>
                <w:kern w:val="2"/>
                <w:highlight w:val="none"/>
                <w14:textFill>
                  <w14:solidFill>
                    <w14:schemeClr w14:val="tx1"/>
                  </w14:solidFill>
                </w14:textFill>
              </w:rPr>
              <w:t>2023年8月7日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7" w:type="pct"/>
            <w:vAlign w:val="center"/>
          </w:tcPr>
          <w:p>
            <w:pPr>
              <w:pStyle w:val="202"/>
              <w:rPr>
                <w:rFonts w:cs="Times New Roman"/>
                <w:color w:val="000000" w:themeColor="text1"/>
                <w:kern w:val="2"/>
                <w:highlight w:val="none"/>
                <w14:textFill>
                  <w14:solidFill>
                    <w14:schemeClr w14:val="tx1"/>
                  </w14:solidFill>
                </w14:textFill>
              </w:rPr>
            </w:pPr>
            <w:r>
              <w:rPr>
                <w:rFonts w:hint="eastAsia"/>
                <w:color w:val="000000" w:themeColor="text1"/>
                <w:kern w:val="2"/>
                <w:highlight w:val="none"/>
                <w14:textFill>
                  <w14:solidFill>
                    <w14:schemeClr w14:val="tx1"/>
                  </w14:solidFill>
                </w14:textFill>
              </w:rPr>
              <w:t>雷页1天然气回收工程</w:t>
            </w:r>
          </w:p>
        </w:tc>
        <w:tc>
          <w:tcPr>
            <w:tcW w:w="1195" w:type="pct"/>
            <w:vAlign w:val="center"/>
          </w:tcPr>
          <w:p>
            <w:pPr>
              <w:pStyle w:val="202"/>
              <w:rPr>
                <w:rFonts w:cs="Times New Roman"/>
                <w:color w:val="000000" w:themeColor="text1"/>
                <w:kern w:val="2"/>
                <w:highlight w:val="none"/>
                <w14:textFill>
                  <w14:solidFill>
                    <w14:schemeClr w14:val="tx1"/>
                  </w14:solidFill>
                </w14:textFill>
              </w:rPr>
            </w:pPr>
            <w:r>
              <w:rPr>
                <w:rFonts w:cs="Times New Roman"/>
                <w:color w:val="000000" w:themeColor="text1"/>
                <w:kern w:val="2"/>
                <w:highlight w:val="none"/>
                <w14:textFill>
                  <w14:solidFill>
                    <w14:schemeClr w14:val="tx1"/>
                  </w14:solidFill>
                </w14:textFill>
              </w:rPr>
              <w:t>环境影响评价</w:t>
            </w:r>
          </w:p>
        </w:tc>
        <w:tc>
          <w:tcPr>
            <w:tcW w:w="1585" w:type="pct"/>
            <w:vAlign w:val="center"/>
          </w:tcPr>
          <w:p>
            <w:pPr>
              <w:pStyle w:val="202"/>
              <w:rPr>
                <w:rFonts w:cs="Times New Roman"/>
                <w:color w:val="000000" w:themeColor="text1"/>
                <w:kern w:val="2"/>
                <w:highlight w:val="none"/>
                <w14:textFill>
                  <w14:solidFill>
                    <w14:schemeClr w14:val="tx1"/>
                  </w14:solidFill>
                </w14:textFill>
              </w:rPr>
            </w:pPr>
            <w:r>
              <w:rPr>
                <w:rFonts w:cs="Times New Roman"/>
                <w:color w:val="000000" w:themeColor="text1"/>
                <w:kern w:val="2"/>
                <w:highlight w:val="none"/>
                <w14:textFill>
                  <w14:solidFill>
                    <w14:schemeClr w14:val="tx1"/>
                  </w14:solidFill>
                </w14:textFill>
              </w:rPr>
              <w:t>宣环</w:t>
            </w:r>
            <w:r>
              <w:rPr>
                <w:rFonts w:hint="eastAsia" w:cs="Times New Roman"/>
                <w:color w:val="000000" w:themeColor="text1"/>
                <w:kern w:val="2"/>
                <w:highlight w:val="none"/>
                <w14:textFill>
                  <w14:solidFill>
                    <w14:schemeClr w14:val="tx1"/>
                  </w14:solidFill>
                </w14:textFill>
              </w:rPr>
              <w:t>审</w:t>
            </w:r>
            <w:r>
              <w:rPr>
                <w:rFonts w:cs="Times New Roman"/>
                <w:color w:val="000000" w:themeColor="text1"/>
                <w:kern w:val="2"/>
                <w:highlight w:val="none"/>
                <w14:textFill>
                  <w14:solidFill>
                    <w14:schemeClr w14:val="tx1"/>
                  </w14:solidFill>
                </w14:textFill>
              </w:rPr>
              <w:t>〔202</w:t>
            </w:r>
            <w:r>
              <w:rPr>
                <w:rFonts w:hint="eastAsia" w:cs="Times New Roman"/>
                <w:color w:val="000000" w:themeColor="text1"/>
                <w:kern w:val="2"/>
                <w:highlight w:val="none"/>
                <w14:textFill>
                  <w14:solidFill>
                    <w14:schemeClr w14:val="tx1"/>
                  </w14:solidFill>
                </w14:textFill>
              </w:rPr>
              <w:t>4</w:t>
            </w:r>
            <w:r>
              <w:rPr>
                <w:rFonts w:cs="Times New Roman"/>
                <w:color w:val="000000" w:themeColor="text1"/>
                <w:kern w:val="2"/>
                <w:highlight w:val="none"/>
                <w14:textFill>
                  <w14:solidFill>
                    <w14:schemeClr w14:val="tx1"/>
                  </w14:solidFill>
                </w14:textFill>
              </w:rPr>
              <w:t>〕</w:t>
            </w:r>
            <w:r>
              <w:rPr>
                <w:rFonts w:hint="eastAsia" w:cs="Times New Roman"/>
                <w:color w:val="000000" w:themeColor="text1"/>
                <w:kern w:val="2"/>
                <w:highlight w:val="none"/>
                <w14:textFill>
                  <w14:solidFill>
                    <w14:schemeClr w14:val="tx1"/>
                  </w14:solidFill>
                </w14:textFill>
              </w:rPr>
              <w:t>7</w:t>
            </w:r>
            <w:r>
              <w:rPr>
                <w:rFonts w:cs="Times New Roman"/>
                <w:color w:val="000000" w:themeColor="text1"/>
                <w:kern w:val="2"/>
                <w:highlight w:val="none"/>
                <w14:textFill>
                  <w14:solidFill>
                    <w14:schemeClr w14:val="tx1"/>
                  </w14:solidFill>
                </w14:textFill>
              </w:rPr>
              <w:t>号</w:t>
            </w:r>
          </w:p>
        </w:tc>
        <w:tc>
          <w:tcPr>
            <w:tcW w:w="1283" w:type="pct"/>
            <w:vAlign w:val="center"/>
          </w:tcPr>
          <w:p>
            <w:pPr>
              <w:pStyle w:val="202"/>
              <w:rPr>
                <w:rFonts w:cs="Times New Roman"/>
                <w:color w:val="000000" w:themeColor="text1"/>
                <w:kern w:val="2"/>
                <w:highlight w:val="none"/>
                <w14:textFill>
                  <w14:solidFill>
                    <w14:schemeClr w14:val="tx1"/>
                  </w14:solidFill>
                </w14:textFill>
              </w:rPr>
            </w:pPr>
            <w:r>
              <w:rPr>
                <w:rFonts w:cs="Times New Roman"/>
                <w:color w:val="000000" w:themeColor="text1"/>
                <w:kern w:val="2"/>
                <w:highlight w:val="none"/>
                <w14:textFill>
                  <w14:solidFill>
                    <w14:schemeClr w14:val="tx1"/>
                  </w14:solidFill>
                </w14:textFill>
              </w:rPr>
              <w:t>202</w:t>
            </w:r>
            <w:r>
              <w:rPr>
                <w:rFonts w:hint="eastAsia" w:cs="Times New Roman"/>
                <w:color w:val="000000" w:themeColor="text1"/>
                <w:kern w:val="2"/>
                <w:highlight w:val="none"/>
                <w14:textFill>
                  <w14:solidFill>
                    <w14:schemeClr w14:val="tx1"/>
                  </w14:solidFill>
                </w14:textFill>
              </w:rPr>
              <w:t>4</w:t>
            </w:r>
            <w:r>
              <w:rPr>
                <w:rFonts w:cs="Times New Roman"/>
                <w:color w:val="000000" w:themeColor="text1"/>
                <w:kern w:val="2"/>
                <w:highlight w:val="none"/>
                <w14:textFill>
                  <w14:solidFill>
                    <w14:schemeClr w14:val="tx1"/>
                  </w14:solidFill>
                </w14:textFill>
              </w:rPr>
              <w:t>年</w:t>
            </w:r>
            <w:r>
              <w:rPr>
                <w:rFonts w:hint="eastAsia" w:cs="Times New Roman"/>
                <w:color w:val="000000" w:themeColor="text1"/>
                <w:kern w:val="2"/>
                <w:highlight w:val="none"/>
                <w14:textFill>
                  <w14:solidFill>
                    <w14:schemeClr w14:val="tx1"/>
                  </w14:solidFill>
                </w14:textFill>
              </w:rPr>
              <w:t>1</w:t>
            </w:r>
            <w:r>
              <w:rPr>
                <w:rFonts w:cs="Times New Roman"/>
                <w:color w:val="000000" w:themeColor="text1"/>
                <w:kern w:val="2"/>
                <w:highlight w:val="none"/>
                <w14:textFill>
                  <w14:solidFill>
                    <w14:schemeClr w14:val="tx1"/>
                  </w14:solidFill>
                </w14:textFill>
              </w:rPr>
              <w:t>月</w:t>
            </w:r>
            <w:r>
              <w:rPr>
                <w:rFonts w:hint="eastAsia" w:cs="Times New Roman"/>
                <w:color w:val="000000" w:themeColor="text1"/>
                <w:kern w:val="2"/>
                <w:highlight w:val="none"/>
                <w14:textFill>
                  <w14:solidFill>
                    <w14:schemeClr w14:val="tx1"/>
                  </w14:solidFill>
                </w14:textFill>
              </w:rPr>
              <w:t>29</w:t>
            </w:r>
            <w:r>
              <w:rPr>
                <w:rFonts w:cs="Times New Roman"/>
                <w:color w:val="000000" w:themeColor="text1"/>
                <w:kern w:val="2"/>
                <w:highlight w:val="none"/>
                <w14:textFill>
                  <w14:solidFill>
                    <w14:schemeClr w14:val="tx1"/>
                  </w14:solidFill>
                </w14:textFill>
              </w:rPr>
              <w:t>日</w:t>
            </w:r>
          </w:p>
        </w:tc>
      </w:tr>
    </w:tbl>
    <w:p>
      <w:pPr>
        <w:pStyle w:val="6"/>
        <w:spacing w:before="120"/>
        <w:rPr>
          <w:color w:val="000000" w:themeColor="text1"/>
          <w:highlight w:val="none"/>
          <w14:textFill>
            <w14:solidFill>
              <w14:schemeClr w14:val="tx1"/>
            </w14:solidFill>
          </w14:textFill>
        </w:rPr>
      </w:pPr>
      <w:bookmarkStart w:id="115" w:name="_Toc155259262"/>
      <w:bookmarkStart w:id="116" w:name="_Toc148467235"/>
      <w:r>
        <w:rPr>
          <w:color w:val="000000" w:themeColor="text1"/>
          <w:highlight w:val="none"/>
          <w14:textFill>
            <w14:solidFill>
              <w14:schemeClr w14:val="tx1"/>
            </w14:solidFill>
          </w14:textFill>
        </w:rPr>
        <w:t>项目现状</w:t>
      </w:r>
      <w:bookmarkEnd w:id="115"/>
      <w:bookmarkEnd w:id="116"/>
    </w:p>
    <w:p>
      <w:pPr>
        <w:tabs>
          <w:tab w:val="left" w:pos="0"/>
        </w:tabs>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雷页1井井场内现有雷页1井，已经完钻试气</w:t>
      </w:r>
      <w:r>
        <w:rPr>
          <w:rFonts w:hint="eastAsia"/>
          <w:color w:val="000000" w:themeColor="text1"/>
          <w:szCs w:val="24"/>
          <w:highlight w:val="none"/>
          <w14:textFill>
            <w14:solidFill>
              <w14:schemeClr w14:val="tx1"/>
            </w14:solidFill>
          </w14:textFill>
        </w:rPr>
        <w:t>并于2023年8月通过自主验收。</w:t>
      </w:r>
      <w:r>
        <w:rPr>
          <w:rFonts w:hint="eastAsia"/>
          <w:color w:val="000000" w:themeColor="text1"/>
          <w:highlight w:val="none"/>
          <w14:textFill>
            <w14:solidFill>
              <w14:schemeClr w14:val="tx1"/>
            </w14:solidFill>
          </w14:textFill>
        </w:rPr>
        <w:t>雷页1天然气回收工程于2024年1月取得环评批复，</w:t>
      </w:r>
      <w:r>
        <w:rPr>
          <w:rFonts w:hint="eastAsia"/>
          <w:color w:val="000000" w:themeColor="text1"/>
          <w:szCs w:val="24"/>
          <w:highlight w:val="none"/>
          <w14:textFill>
            <w14:solidFill>
              <w14:schemeClr w14:val="tx1"/>
            </w14:solidFill>
          </w14:textFill>
        </w:rPr>
        <w:t>目前</w:t>
      </w:r>
      <w:r>
        <w:rPr>
          <w:rFonts w:hint="eastAsia"/>
          <w:color w:val="000000" w:themeColor="text1"/>
          <w:highlight w:val="none"/>
          <w14:textFill>
            <w14:solidFill>
              <w14:schemeClr w14:val="tx1"/>
            </w14:solidFill>
          </w14:textFill>
        </w:rPr>
        <w:t>雷页1井天然气试采回收工程处于试运营期，暂未完成验收</w:t>
      </w:r>
      <w:r>
        <w:rPr>
          <w:color w:val="000000" w:themeColor="text1"/>
          <w:szCs w:val="24"/>
          <w:highlight w:val="none"/>
          <w14:textFill>
            <w14:solidFill>
              <w14:schemeClr w14:val="tx1"/>
            </w14:solidFill>
          </w14:textFill>
        </w:rPr>
        <w:t>。</w:t>
      </w:r>
    </w:p>
    <w:p>
      <w:pPr>
        <w:pStyle w:val="6"/>
        <w:spacing w:before="120"/>
        <w:rPr>
          <w:color w:val="000000" w:themeColor="text1"/>
          <w:highlight w:val="none"/>
          <w14:textFill>
            <w14:solidFill>
              <w14:schemeClr w14:val="tx1"/>
            </w14:solidFill>
          </w14:textFill>
        </w:rPr>
      </w:pPr>
      <w:bookmarkStart w:id="117" w:name="_Toc155259263"/>
      <w:bookmarkStart w:id="118" w:name="_Toc148467236"/>
      <w:r>
        <w:rPr>
          <w:color w:val="000000" w:themeColor="text1"/>
          <w:highlight w:val="none"/>
          <w14:textFill>
            <w14:solidFill>
              <w14:schemeClr w14:val="tx1"/>
            </w14:solidFill>
          </w14:textFill>
        </w:rPr>
        <w:t>现有工程污染防治措施及排放情况</w:t>
      </w:r>
      <w:bookmarkEnd w:id="117"/>
      <w:bookmarkEnd w:id="118"/>
    </w:p>
    <w:p>
      <w:pPr>
        <w:tabs>
          <w:tab w:val="left" w:pos="0"/>
        </w:tabs>
        <w:ind w:firstLine="482"/>
        <w:rPr>
          <w:b/>
          <w:color w:val="000000" w:themeColor="text1"/>
          <w:szCs w:val="24"/>
          <w:highlight w:val="none"/>
          <w14:textFill>
            <w14:solidFill>
              <w14:schemeClr w14:val="tx1"/>
            </w14:solidFill>
          </w14:textFill>
        </w:rPr>
      </w:pPr>
      <w:r>
        <w:rPr>
          <w:rFonts w:hint="eastAsia"/>
          <w:b/>
          <w:color w:val="000000" w:themeColor="text1"/>
          <w:szCs w:val="24"/>
          <w:highlight w:val="none"/>
          <w14:textFill>
            <w14:solidFill>
              <w14:schemeClr w14:val="tx1"/>
            </w14:solidFill>
          </w14:textFill>
        </w:rPr>
        <w:t>（1）雷页1井钻探工程：</w:t>
      </w:r>
    </w:p>
    <w:p>
      <w:pPr>
        <w:tabs>
          <w:tab w:val="left" w:pos="0"/>
        </w:tabs>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通过调查可知，雷页1井钻井工程实施过程中，其主要污染物防治情况如下：</w:t>
      </w:r>
    </w:p>
    <w:p>
      <w:pPr>
        <w:tabs>
          <w:tab w:val="left" w:pos="0"/>
        </w:tabs>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废水处置措施：剩余的钻井废水、作业废水暂存于雷页1井污水池，用罐车拉运至普光3井回注站回注；生活污水收集后用于农肥。</w:t>
      </w:r>
    </w:p>
    <w:p>
      <w:pPr>
        <w:tabs>
          <w:tab w:val="left" w:pos="0"/>
        </w:tabs>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废气处理措施：针对钻井过程中使用气体钻时产生的粉尘，在气体钻的排屑管上安装了湿式除尘装置。</w:t>
      </w:r>
    </w:p>
    <w:p>
      <w:pPr>
        <w:tabs>
          <w:tab w:val="left" w:pos="0"/>
        </w:tabs>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固废处置措施：生活垃圾按环评要求进行了处理，空气钻岩屑用作井场填筑，水基钻井岩屑和钻井泥浆固化后运至宣汉县水泥厂烧结制水泥辅料，油基钻井废泥浆及岩屑由危废暂存间暂存，定期交由资质单位处置。</w:t>
      </w:r>
    </w:p>
    <w:p>
      <w:pPr>
        <w:tabs>
          <w:tab w:val="left" w:pos="0"/>
        </w:tabs>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噪声治理措施：采取选用低噪设备和消声、减振等降噪措施。</w:t>
      </w:r>
    </w:p>
    <w:p>
      <w:pPr>
        <w:tabs>
          <w:tab w:val="left" w:pos="0"/>
        </w:tabs>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生态保护措施：基本落实了井场的生态恢复、水土保持措施。</w:t>
      </w:r>
    </w:p>
    <w:p>
      <w:pPr>
        <w:tabs>
          <w:tab w:val="left" w:pos="0"/>
        </w:tabs>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地下水保护措施：项目污水池、岩屑池设置有防雨棚，污水池采取了防渗措施，防渗工程通过了工程质量验收。</w:t>
      </w:r>
    </w:p>
    <w:p>
      <w:pPr>
        <w:tabs>
          <w:tab w:val="left" w:pos="0"/>
        </w:tabs>
        <w:ind w:firstLine="482"/>
        <w:rPr>
          <w:b/>
          <w:bCs/>
          <w:color w:val="000000" w:themeColor="text1"/>
          <w:szCs w:val="24"/>
          <w:highlight w:val="none"/>
          <w14:textFill>
            <w14:solidFill>
              <w14:schemeClr w14:val="tx1"/>
            </w14:solidFill>
          </w14:textFill>
        </w:rPr>
      </w:pPr>
      <w:r>
        <w:rPr>
          <w:rFonts w:hint="eastAsia"/>
          <w:b/>
          <w:bCs/>
          <w:color w:val="000000" w:themeColor="text1"/>
          <w:highlight w:val="none"/>
          <w14:textFill>
            <w14:solidFill>
              <w14:schemeClr w14:val="tx1"/>
            </w14:solidFill>
          </w14:textFill>
        </w:rPr>
        <w:t>（2）雷页1天然气回收工程</w:t>
      </w:r>
      <w:r>
        <w:rPr>
          <w:rFonts w:hint="eastAsia"/>
          <w:b/>
          <w:bCs/>
          <w:color w:val="000000" w:themeColor="text1"/>
          <w:szCs w:val="24"/>
          <w:highlight w:val="none"/>
          <w14:textFill>
            <w14:solidFill>
              <w14:schemeClr w14:val="tx1"/>
            </w14:solidFill>
          </w14:textFill>
        </w:rPr>
        <w:t>：</w:t>
      </w:r>
    </w:p>
    <w:p>
      <w:pPr>
        <w:tabs>
          <w:tab w:val="left" w:pos="0"/>
        </w:tabs>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通过调查可知，雷页1井</w:t>
      </w:r>
      <w:r>
        <w:rPr>
          <w:rFonts w:hint="eastAsia"/>
          <w:bCs/>
          <w:color w:val="000000" w:themeColor="text1"/>
          <w:szCs w:val="24"/>
          <w:highlight w:val="none"/>
          <w14:textFill>
            <w14:solidFill>
              <w14:schemeClr w14:val="tx1"/>
            </w14:solidFill>
          </w14:textFill>
        </w:rPr>
        <w:t>天然气回收</w:t>
      </w:r>
      <w:r>
        <w:rPr>
          <w:bCs/>
          <w:color w:val="000000" w:themeColor="text1"/>
          <w:szCs w:val="24"/>
          <w:highlight w:val="none"/>
          <w14:textFill>
            <w14:solidFill>
              <w14:schemeClr w14:val="tx1"/>
            </w14:solidFill>
          </w14:textFill>
        </w:rPr>
        <w:t>工程实施过程中，其主要污染物防治情况如下：</w:t>
      </w:r>
    </w:p>
    <w:p>
      <w:pPr>
        <w:tabs>
          <w:tab w:val="left" w:pos="0"/>
        </w:tabs>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废水处置措施：</w:t>
      </w:r>
      <w:r>
        <w:rPr>
          <w:rFonts w:hint="eastAsia"/>
          <w:bCs/>
          <w:color w:val="000000" w:themeColor="text1"/>
          <w:szCs w:val="24"/>
          <w:highlight w:val="none"/>
          <w14:textFill>
            <w14:solidFill>
              <w14:schemeClr w14:val="tx1"/>
            </w14:solidFill>
          </w14:textFill>
        </w:rPr>
        <w:t>施工期施工废水经隔油沉淀处理后回用于洒水降尘，不外排；施工人员的生活污水经生态厕所（原井场已建设）收集后定期由密闭罐车拉运至周边生活污水处理厂处理。开采期气田水进入雷页1井场的污水池暂存，暂存一定量后用密闭罐车拉运至赵家坝污水处理站处理达到《气田水回注方法》（SY/T6596-2016）中注入水基本要求后管输至普光</w:t>
      </w:r>
      <w:r>
        <w:rPr>
          <w:bCs/>
          <w:color w:val="000000" w:themeColor="text1"/>
          <w:szCs w:val="24"/>
          <w:highlight w:val="none"/>
          <w14:textFill>
            <w14:solidFill>
              <w14:schemeClr w14:val="tx1"/>
            </w14:solidFill>
          </w14:textFill>
        </w:rPr>
        <w:t>3</w:t>
      </w:r>
      <w:r>
        <w:rPr>
          <w:rFonts w:hint="eastAsia"/>
          <w:bCs/>
          <w:color w:val="000000" w:themeColor="text1"/>
          <w:szCs w:val="24"/>
          <w:highlight w:val="none"/>
          <w14:textFill>
            <w14:solidFill>
              <w14:schemeClr w14:val="tx1"/>
            </w14:solidFill>
          </w14:textFill>
        </w:rPr>
        <w:t>井回注站回注处理，不外排；值守人员生活污水经生态厕所（原井场已建设）收集后定期由密闭罐车拉运至周边生活污水处理厂处理</w:t>
      </w:r>
      <w:r>
        <w:rPr>
          <w:bCs/>
          <w:color w:val="000000" w:themeColor="text1"/>
          <w:szCs w:val="24"/>
          <w:highlight w:val="none"/>
          <w14:textFill>
            <w14:solidFill>
              <w14:schemeClr w14:val="tx1"/>
            </w14:solidFill>
          </w14:textFill>
        </w:rPr>
        <w:t>。</w:t>
      </w:r>
    </w:p>
    <w:p>
      <w:pPr>
        <w:tabs>
          <w:tab w:val="left" w:pos="0"/>
        </w:tabs>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废气处理措施：</w:t>
      </w:r>
      <w:r>
        <w:rPr>
          <w:rFonts w:hint="eastAsia"/>
          <w:bCs/>
          <w:color w:val="000000" w:themeColor="text1"/>
          <w:szCs w:val="24"/>
          <w:highlight w:val="none"/>
          <w14:textFill>
            <w14:solidFill>
              <w14:schemeClr w14:val="tx1"/>
            </w14:solidFill>
          </w14:textFill>
        </w:rPr>
        <w:t>施工期通过洒水抑尘、施工现场设置围栏或部分围栏等措施对扬尘进行控制；混凝土搅拌设施必须采取防尘措施，严格按照“六必须、六不准”要求进行施工。开采期燃气发电机组废气燃烧后产生的废气通过8m高排气筒排放；非正常工况放空废气通过管线引至放喷池处点火燃烧</w:t>
      </w:r>
      <w:r>
        <w:rPr>
          <w:bCs/>
          <w:color w:val="000000" w:themeColor="text1"/>
          <w:szCs w:val="24"/>
          <w:highlight w:val="none"/>
          <w14:textFill>
            <w14:solidFill>
              <w14:schemeClr w14:val="tx1"/>
            </w14:solidFill>
          </w14:textFill>
        </w:rPr>
        <w:t>。</w:t>
      </w:r>
    </w:p>
    <w:p>
      <w:pPr>
        <w:tabs>
          <w:tab w:val="left" w:pos="0"/>
        </w:tabs>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固废处置措施：</w:t>
      </w:r>
      <w:r>
        <w:rPr>
          <w:rFonts w:hint="eastAsia"/>
          <w:bCs/>
          <w:color w:val="000000" w:themeColor="text1"/>
          <w:szCs w:val="24"/>
          <w:highlight w:val="none"/>
          <w14:textFill>
            <w14:solidFill>
              <w14:schemeClr w14:val="tx1"/>
            </w14:solidFill>
          </w14:textFill>
        </w:rPr>
        <w:t>施工期建筑垃圾由施工队伍统一收集清运至政府指定地方；废包装材料集中收集后定期运至就近的废品回收站进行处理；施工人员生活垃圾利用附近农户现有的设施进行收集处置。开采期分离器除砂分离过程产生的废渣、废分子筛收集后定期交由当地具备处理工业废物能力的单位处置，废分子筛若厂家可回收则交由厂家回收；废油及其他含油固废、含油抹布、手套由废油桶收集，暂存于站区设置的危废暂存间，定期交由有危废处理资质单位处置；生活垃圾集中收集后交由市政环卫统一清运</w:t>
      </w:r>
      <w:r>
        <w:rPr>
          <w:bCs/>
          <w:color w:val="000000" w:themeColor="text1"/>
          <w:szCs w:val="24"/>
          <w:highlight w:val="none"/>
          <w14:textFill>
            <w14:solidFill>
              <w14:schemeClr w14:val="tx1"/>
            </w14:solidFill>
          </w14:textFill>
        </w:rPr>
        <w:t>。</w:t>
      </w:r>
    </w:p>
    <w:p>
      <w:pPr>
        <w:tabs>
          <w:tab w:val="left" w:pos="0"/>
        </w:tabs>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噪声治理措施：采取选用低噪设备和消声、减振等降噪措施。</w:t>
      </w:r>
    </w:p>
    <w:p>
      <w:pPr>
        <w:tabs>
          <w:tab w:val="left" w:pos="0"/>
        </w:tabs>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生态保护措施：基本落实了</w:t>
      </w:r>
      <w:r>
        <w:rPr>
          <w:rFonts w:hint="eastAsia"/>
          <w:bCs/>
          <w:color w:val="000000" w:themeColor="text1"/>
          <w:szCs w:val="24"/>
          <w:highlight w:val="none"/>
          <w14:textFill>
            <w14:solidFill>
              <w14:schemeClr w14:val="tx1"/>
            </w14:solidFill>
          </w14:textFill>
        </w:rPr>
        <w:t>施工迹地</w:t>
      </w:r>
      <w:r>
        <w:rPr>
          <w:bCs/>
          <w:color w:val="000000" w:themeColor="text1"/>
          <w:szCs w:val="24"/>
          <w:highlight w:val="none"/>
          <w14:textFill>
            <w14:solidFill>
              <w14:schemeClr w14:val="tx1"/>
            </w14:solidFill>
          </w14:textFill>
        </w:rPr>
        <w:t>的生态恢复、水土保持措施。</w:t>
      </w:r>
    </w:p>
    <w:p>
      <w:pPr>
        <w:tabs>
          <w:tab w:val="left" w:pos="0"/>
        </w:tabs>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地下水保护措施：项目</w:t>
      </w:r>
      <w:r>
        <w:rPr>
          <w:rFonts w:hint="eastAsia"/>
          <w:bCs/>
          <w:color w:val="000000" w:themeColor="text1"/>
          <w:szCs w:val="24"/>
          <w:highlight w:val="none"/>
          <w14:textFill>
            <w14:solidFill>
              <w14:schemeClr w14:val="tx1"/>
            </w14:solidFill>
          </w14:textFill>
        </w:rPr>
        <w:t>依托原雷页1井</w:t>
      </w:r>
      <w:r>
        <w:rPr>
          <w:bCs/>
          <w:color w:val="000000" w:themeColor="text1"/>
          <w:szCs w:val="24"/>
          <w:highlight w:val="none"/>
          <w14:textFill>
            <w14:solidFill>
              <w14:schemeClr w14:val="tx1"/>
            </w14:solidFill>
          </w14:textFill>
        </w:rPr>
        <w:t>污水池</w:t>
      </w:r>
      <w:r>
        <w:rPr>
          <w:rFonts w:hint="eastAsia"/>
          <w:bCs/>
          <w:color w:val="000000" w:themeColor="text1"/>
          <w:szCs w:val="24"/>
          <w:highlight w:val="none"/>
          <w14:textFill>
            <w14:solidFill>
              <w14:schemeClr w14:val="tx1"/>
            </w14:solidFill>
          </w14:textFill>
        </w:rPr>
        <w:t>，</w:t>
      </w:r>
      <w:r>
        <w:rPr>
          <w:bCs/>
          <w:color w:val="000000" w:themeColor="text1"/>
          <w:szCs w:val="24"/>
          <w:highlight w:val="none"/>
          <w14:textFill>
            <w14:solidFill>
              <w14:schemeClr w14:val="tx1"/>
            </w14:solidFill>
          </w14:textFill>
        </w:rPr>
        <w:t>污水池采取了防渗措施，防渗工程通过了工程质量验收，废水定期转运</w:t>
      </w:r>
      <w:r>
        <w:rPr>
          <w:rFonts w:hint="eastAsia"/>
          <w:bCs/>
          <w:color w:val="000000" w:themeColor="text1"/>
          <w:szCs w:val="24"/>
          <w:highlight w:val="none"/>
          <w14:textFill>
            <w14:solidFill>
              <w14:schemeClr w14:val="tx1"/>
            </w14:solidFill>
          </w14:textFill>
        </w:rPr>
        <w:t>，未发生污染情况</w:t>
      </w:r>
      <w:r>
        <w:rPr>
          <w:bCs/>
          <w:color w:val="000000" w:themeColor="text1"/>
          <w:szCs w:val="24"/>
          <w:highlight w:val="none"/>
          <w14:textFill>
            <w14:solidFill>
              <w14:schemeClr w14:val="tx1"/>
            </w14:solidFill>
          </w14:textFill>
        </w:rPr>
        <w:t>。</w:t>
      </w:r>
    </w:p>
    <w:p>
      <w:pPr>
        <w:pStyle w:val="6"/>
        <w:spacing w:before="120"/>
        <w:rPr>
          <w:color w:val="000000" w:themeColor="text1"/>
          <w:highlight w:val="none"/>
          <w14:textFill>
            <w14:solidFill>
              <w14:schemeClr w14:val="tx1"/>
            </w14:solidFill>
          </w14:textFill>
        </w:rPr>
      </w:pPr>
      <w:bookmarkStart w:id="119" w:name="_Toc148467237"/>
      <w:bookmarkStart w:id="120" w:name="_Toc155259264"/>
      <w:r>
        <w:rPr>
          <w:color w:val="000000" w:themeColor="text1"/>
          <w:highlight w:val="none"/>
          <w14:textFill>
            <w14:solidFill>
              <w14:schemeClr w14:val="tx1"/>
            </w14:solidFill>
          </w14:textFill>
        </w:rPr>
        <w:t>项目存在的主要环境问题及整改措施</w:t>
      </w:r>
      <w:bookmarkEnd w:id="119"/>
      <w:bookmarkEnd w:id="120"/>
    </w:p>
    <w:p>
      <w:pPr>
        <w:ind w:firstLine="480"/>
        <w:rPr>
          <w:bCs/>
          <w:color w:val="000000" w:themeColor="text1"/>
          <w:highlight w:val="none"/>
          <w14:textFill>
            <w14:solidFill>
              <w14:schemeClr w14:val="tx1"/>
            </w14:solidFill>
          </w14:textFill>
        </w:rPr>
      </w:pPr>
      <w:r>
        <w:rPr>
          <w:color w:val="000000" w:themeColor="text1"/>
          <w:szCs w:val="24"/>
          <w:highlight w:val="none"/>
          <w14:textFill>
            <w14:solidFill>
              <w14:schemeClr w14:val="tx1"/>
            </w14:solidFill>
          </w14:textFill>
        </w:rPr>
        <w:t>根据现场调查，</w:t>
      </w:r>
      <w:r>
        <w:rPr>
          <w:bCs/>
          <w:color w:val="000000" w:themeColor="text1"/>
          <w:szCs w:val="24"/>
          <w:highlight w:val="none"/>
          <w14:textFill>
            <w14:solidFill>
              <w14:schemeClr w14:val="tx1"/>
            </w14:solidFill>
          </w14:textFill>
        </w:rPr>
        <w:t>原有雷页1井</w:t>
      </w:r>
      <w:r>
        <w:rPr>
          <w:color w:val="000000" w:themeColor="text1"/>
          <w:szCs w:val="24"/>
          <w:highlight w:val="none"/>
          <w14:textFill>
            <w14:solidFill>
              <w14:schemeClr w14:val="tx1"/>
            </w14:solidFill>
          </w14:textFill>
        </w:rPr>
        <w:t>钻井施工期产生的各类污染物均已得到妥善</w:t>
      </w:r>
      <w:r>
        <w:rPr>
          <w:rFonts w:hint="eastAsia"/>
          <w:color w:val="000000" w:themeColor="text1"/>
          <w:szCs w:val="24"/>
          <w:highlight w:val="none"/>
          <w14:textFill>
            <w14:solidFill>
              <w14:schemeClr w14:val="tx1"/>
            </w14:solidFill>
          </w14:textFill>
        </w:rPr>
        <w:t>的</w:t>
      </w:r>
      <w:r>
        <w:rPr>
          <w:color w:val="000000" w:themeColor="text1"/>
          <w:szCs w:val="24"/>
          <w:highlight w:val="none"/>
          <w14:textFill>
            <w14:solidFill>
              <w14:schemeClr w14:val="tx1"/>
            </w14:solidFill>
          </w14:textFill>
        </w:rPr>
        <w:t>处置，现场无遗留，</w:t>
      </w:r>
      <w:r>
        <w:rPr>
          <w:rFonts w:hint="eastAsia"/>
          <w:color w:val="000000" w:themeColor="text1"/>
          <w:szCs w:val="24"/>
          <w:highlight w:val="none"/>
          <w14:textFill>
            <w14:solidFill>
              <w14:schemeClr w14:val="tx1"/>
            </w14:solidFill>
          </w14:textFill>
        </w:rPr>
        <w:t>目前</w:t>
      </w:r>
      <w:r>
        <w:rPr>
          <w:color w:val="000000" w:themeColor="text1"/>
          <w:szCs w:val="24"/>
          <w:highlight w:val="none"/>
          <w14:textFill>
            <w14:solidFill>
              <w14:schemeClr w14:val="tx1"/>
            </w14:solidFill>
          </w14:textFill>
        </w:rPr>
        <w:t>雷页1井的天然气</w:t>
      </w:r>
      <w:r>
        <w:rPr>
          <w:rFonts w:hint="eastAsia"/>
          <w:color w:val="000000" w:themeColor="text1"/>
          <w:szCs w:val="24"/>
          <w:highlight w:val="none"/>
          <w14:textFill>
            <w14:solidFill>
              <w14:schemeClr w14:val="tx1"/>
            </w14:solidFill>
          </w14:textFill>
        </w:rPr>
        <w:t>采用</w:t>
      </w:r>
      <w:r>
        <w:rPr>
          <w:color w:val="000000" w:themeColor="text1"/>
          <w:szCs w:val="24"/>
          <w:highlight w:val="none"/>
          <w14:textFill>
            <w14:solidFill>
              <w14:schemeClr w14:val="tx1"/>
            </w14:solidFill>
          </w14:textFill>
        </w:rPr>
        <w:t>CNG</w:t>
      </w:r>
      <w:r>
        <w:rPr>
          <w:rFonts w:hint="eastAsia"/>
          <w:color w:val="000000" w:themeColor="text1"/>
          <w:szCs w:val="24"/>
          <w:highlight w:val="none"/>
          <w14:textFill>
            <w14:solidFill>
              <w14:schemeClr w14:val="tx1"/>
            </w14:solidFill>
          </w14:textFill>
        </w:rPr>
        <w:t>方式进行试采</w:t>
      </w:r>
      <w:r>
        <w:rPr>
          <w:color w:val="000000" w:themeColor="text1"/>
          <w:szCs w:val="24"/>
          <w:highlight w:val="none"/>
          <w14:textFill>
            <w14:solidFill>
              <w14:schemeClr w14:val="tx1"/>
            </w14:solidFill>
          </w14:textFill>
        </w:rPr>
        <w:t>回收，原有井场、进场道路、放喷池、污水池、放</w:t>
      </w:r>
      <w:r>
        <w:rPr>
          <w:rFonts w:hint="eastAsia"/>
          <w:color w:val="000000" w:themeColor="text1"/>
          <w:szCs w:val="24"/>
          <w:highlight w:val="none"/>
          <w14:textFill>
            <w14:solidFill>
              <w14:schemeClr w14:val="tx1"/>
            </w14:solidFill>
          </w14:textFill>
        </w:rPr>
        <w:t>空</w:t>
      </w:r>
      <w:r>
        <w:rPr>
          <w:color w:val="000000" w:themeColor="text1"/>
          <w:szCs w:val="24"/>
          <w:highlight w:val="none"/>
          <w14:textFill>
            <w14:solidFill>
              <w14:schemeClr w14:val="tx1"/>
            </w14:solidFill>
          </w14:textFill>
        </w:rPr>
        <w:t>区、岩屑池、清水池等设施均保留，以待下一步开发利用。</w:t>
      </w:r>
      <w:bookmarkStart w:id="121" w:name="_Hlk112141388"/>
      <w:r>
        <w:rPr>
          <w:color w:val="000000" w:themeColor="text1"/>
          <w:szCs w:val="24"/>
          <w:highlight w:val="none"/>
          <w14:textFill>
            <w14:solidFill>
              <w14:schemeClr w14:val="tx1"/>
            </w14:solidFill>
          </w14:textFill>
        </w:rPr>
        <w:t>根据本次在污水池、放喷池、平台地下水流向下游设置的土壤柱状样监测点可知项目建设至今未对区域土壤造成污染影响，根据本次在污水池地下水流向上下游设置的2个包气带现状监测可知区域包气带未受到污染影响。</w:t>
      </w:r>
      <w:bookmarkEnd w:id="121"/>
      <w:r>
        <w:rPr>
          <w:color w:val="000000" w:themeColor="text1"/>
          <w:szCs w:val="24"/>
          <w:highlight w:val="none"/>
          <w14:textFill>
            <w14:solidFill>
              <w14:schemeClr w14:val="tx1"/>
            </w14:solidFill>
          </w14:textFill>
        </w:rPr>
        <w:t>厂界噪声满足相关标准要求。厂界内的非甲烷总烃均满足相关环境质量标准</w:t>
      </w:r>
      <w:r>
        <w:rPr>
          <w:bCs/>
          <w:color w:val="000000" w:themeColor="text1"/>
          <w:highlight w:val="none"/>
          <w14:textFill>
            <w14:solidFill>
              <w14:schemeClr w14:val="tx1"/>
            </w14:solidFill>
          </w14:textFill>
        </w:rPr>
        <w:t>。</w:t>
      </w:r>
    </w:p>
    <w:p>
      <w:pPr>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经走访调查及咨询，</w:t>
      </w:r>
      <w:r>
        <w:rPr>
          <w:bCs/>
          <w:color w:val="000000" w:themeColor="text1"/>
          <w:szCs w:val="24"/>
          <w:highlight w:val="none"/>
          <w14:textFill>
            <w14:solidFill>
              <w14:schemeClr w14:val="tx1"/>
            </w14:solidFill>
          </w14:textFill>
        </w:rPr>
        <w:t>原有雷页1井</w:t>
      </w:r>
      <w:r>
        <w:rPr>
          <w:rFonts w:hint="eastAsia"/>
          <w:bCs/>
          <w:color w:val="000000" w:themeColor="text1"/>
          <w:szCs w:val="24"/>
          <w:highlight w:val="none"/>
          <w14:textFill>
            <w14:solidFill>
              <w14:schemeClr w14:val="tx1"/>
            </w14:solidFill>
          </w14:textFill>
        </w:rPr>
        <w:t>钻井和回收工程</w:t>
      </w:r>
      <w:r>
        <w:rPr>
          <w:color w:val="000000" w:themeColor="text1"/>
          <w:szCs w:val="24"/>
          <w:highlight w:val="none"/>
          <w14:textFill>
            <w14:solidFill>
              <w14:schemeClr w14:val="tx1"/>
            </w14:solidFill>
          </w14:textFill>
        </w:rPr>
        <w:t>未发生污染事故及投诉事件。建设单位应进一步核实后续开发计划，若无后续开发计划或井场东南侧放喷池等其他建构筑物后期确定不使用，则应及时对无使用价值的其他建构筑物进行拆除并复垦。</w:t>
      </w:r>
    </w:p>
    <w:p>
      <w:pPr>
        <w:pStyle w:val="5"/>
        <w:spacing w:before="120"/>
        <w:ind w:firstLine="480"/>
        <w:rPr>
          <w:color w:val="000000" w:themeColor="text1"/>
          <w:highlight w:val="none"/>
          <w14:textFill>
            <w14:solidFill>
              <w14:schemeClr w14:val="tx1"/>
            </w14:solidFill>
          </w14:textFill>
        </w:rPr>
      </w:pPr>
      <w:bookmarkStart w:id="122" w:name="_Toc120173097"/>
      <w:r>
        <w:rPr>
          <w:color w:val="000000" w:themeColor="text1"/>
          <w:highlight w:val="none"/>
          <w14:textFill>
            <w14:solidFill>
              <w14:schemeClr w14:val="tx1"/>
            </w14:solidFill>
          </w14:textFill>
        </w:rPr>
        <w:t>设施依托可行性</w:t>
      </w:r>
      <w:bookmarkEnd w:id="122"/>
    </w:p>
    <w:p>
      <w:pPr>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w:t>
      </w:r>
      <w:r>
        <w:rPr>
          <w:rFonts w:hint="eastAsia"/>
          <w:color w:val="000000" w:themeColor="text1"/>
          <w:szCs w:val="24"/>
          <w:highlight w:val="none"/>
          <w14:textFill>
            <w14:solidFill>
              <w14:schemeClr w14:val="tx1"/>
            </w14:solidFill>
          </w14:textFill>
        </w:rPr>
        <w:t>1</w:t>
      </w:r>
      <w:r>
        <w:rPr>
          <w:color w:val="000000" w:themeColor="text1"/>
          <w:szCs w:val="24"/>
          <w:highlight w:val="none"/>
          <w14:textFill>
            <w14:solidFill>
              <w14:schemeClr w14:val="tx1"/>
            </w14:solidFill>
          </w14:textFill>
        </w:rPr>
        <w:t>）进场道路</w:t>
      </w:r>
    </w:p>
    <w:p>
      <w:pPr>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本项目将依托的原雷页1井井场进场道路长约1</w:t>
      </w:r>
      <w:r>
        <w:rPr>
          <w:rFonts w:hint="eastAsia"/>
          <w:color w:val="000000" w:themeColor="text1"/>
          <w:szCs w:val="24"/>
          <w:highlight w:val="none"/>
          <w14:textFill>
            <w14:solidFill>
              <w14:schemeClr w14:val="tx1"/>
            </w14:solidFill>
          </w14:textFill>
        </w:rPr>
        <w:t>0</w:t>
      </w:r>
      <w:r>
        <w:rPr>
          <w:color w:val="000000" w:themeColor="text1"/>
          <w:szCs w:val="24"/>
          <w:highlight w:val="none"/>
          <w14:textFill>
            <w14:solidFill>
              <w14:schemeClr w14:val="tx1"/>
            </w14:solidFill>
          </w14:textFill>
        </w:rPr>
        <w:t>0m，路基宽度约4.5m，为水泥混凝土结构，其道路条件能够满足本项目的接入需求，依托可行。</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（2）魏兴交接计量站</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p>
      <w:pPr>
        <w:pStyle w:val="60"/>
        <w:keepNex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p>
      <w:pPr>
        <w:pStyle w:val="188"/>
        <w:keepLines w:val="0"/>
        <w:pageBreakBefore w:val="0"/>
        <w:widowControl w:val="0"/>
        <w:kinsoku/>
        <w:wordWrap/>
        <w:overflowPunct/>
        <w:topLinePunct w:val="0"/>
        <w:autoSpaceDE/>
        <w:autoSpaceDN/>
        <w:bidi w:val="0"/>
        <w:adjustRightInd w:val="0"/>
        <w:snapToGrid w:val="0"/>
        <w:textAlignment w:val="auto"/>
        <w:outlineLvl w:val="9"/>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魏兴交接计量站现状</w:t>
      </w:r>
    </w:p>
    <w:p>
      <w:pPr>
        <w:keepLines w:val="0"/>
        <w:pageBreakBefore w:val="0"/>
        <w:widowControl w:val="0"/>
        <w:kinsoku/>
        <w:wordWrap/>
        <w:overflowPunct/>
        <w:topLinePunct w:val="0"/>
        <w:autoSpaceDE/>
        <w:autoSpaceDN/>
        <w:bidi w:val="0"/>
        <w:adjustRightInd w:val="0"/>
        <w:snapToGrid w:val="0"/>
        <w:ind w:firstLine="480"/>
        <w:textAlignment w:val="auto"/>
        <w:outlineLvl w:val="9"/>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外输管线</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本项目试采天然气通过外输管线输送至毛达线魏兴交接计量站后，将依托毛达线外输。毛达线起点为</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1井，终点为位于达州南侧的杨柳垭配气站（中石油管辖）。该管线设计压力8MPa，长度约69km，采用D219×8L360QB无缝钢管，约在2006年左右建成。目前毛达线主要为沿线乡镇供气，因向地方供气新建的阀室及管线设计压力4MPa，**。</w:t>
      </w:r>
    </w:p>
    <w:p>
      <w:pPr>
        <w:ind w:firstLine="480"/>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p>
      <w:pPr>
        <w:pStyle w:val="5"/>
        <w:spacing w:before="120"/>
        <w:ind w:firstLine="480"/>
        <w:rPr>
          <w:color w:val="000000" w:themeColor="text1"/>
          <w:highlight w:val="none"/>
          <w:lang w:eastAsia="zh-CN"/>
          <w14:textFill>
            <w14:solidFill>
              <w14:schemeClr w14:val="tx1"/>
            </w14:solidFill>
          </w14:textFill>
        </w:rPr>
      </w:pPr>
      <w:r>
        <w:rPr>
          <w:color w:val="000000" w:themeColor="text1"/>
          <w:highlight w:val="none"/>
          <w:lang w:eastAsia="zh-CN"/>
          <w14:textFill>
            <w14:solidFill>
              <w14:schemeClr w14:val="tx1"/>
            </w14:solidFill>
          </w14:textFill>
        </w:rPr>
        <w:t>现有环保工程依托可行性</w:t>
      </w:r>
    </w:p>
    <w:p>
      <w:pPr>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（1）依托工程简介</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本项目试采期在</w:t>
      </w:r>
      <w:r>
        <w:rPr>
          <w:rFonts w:hint="eastAsia"/>
          <w:color w:val="000000" w:themeColor="text1"/>
          <w:highlight w:val="none"/>
          <w14:textFill>
            <w14:solidFill>
              <w14:schemeClr w14:val="tx1"/>
            </w14:solidFill>
          </w14:textFill>
        </w:rPr>
        <w:t>试采</w:t>
      </w:r>
      <w:r>
        <w:rPr>
          <w:color w:val="000000" w:themeColor="text1"/>
          <w:highlight w:val="none"/>
          <w14:textFill>
            <w14:solidFill>
              <w14:schemeClr w14:val="tx1"/>
            </w14:solidFill>
          </w14:textFill>
        </w:rPr>
        <w:t>站经分离器产生的气田水由</w:t>
      </w:r>
      <w:r>
        <w:rPr>
          <w:rFonts w:hint="eastAsia"/>
          <w:color w:val="000000" w:themeColor="text1"/>
          <w:highlight w:val="none"/>
          <w14:textFill>
            <w14:solidFill>
              <w14:schemeClr w14:val="tx1"/>
            </w14:solidFill>
          </w14:textFill>
        </w:rPr>
        <w:t>密闭罐车拉运至赵家坝污水处理站处理达到《气田水回注方法》（SY/T 6596-2016）中注入水基本要求后管输至普光3井回注站回注处理，不外排</w:t>
      </w:r>
      <w:r>
        <w:rPr>
          <w:color w:val="000000" w:themeColor="text1"/>
          <w:highlight w:val="none"/>
          <w14:textFill>
            <w14:solidFill>
              <w14:schemeClr w14:val="tx1"/>
            </w14:solidFill>
          </w14:textFill>
        </w:rPr>
        <w:t>。</w:t>
      </w:r>
    </w:p>
    <w:p>
      <w:pPr>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（2）依托工程“三同时”情况</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依托工程“三同时”情况详见</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REF _Ref496034542 \h  \* MERGEFORMAT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bookmarkStart w:id="123" w:name="_Ref496034542"/>
      <w:r>
        <w:rPr>
          <w:color w:val="000000" w:themeColor="text1"/>
          <w:highlight w:val="none"/>
          <w14:textFill>
            <w14:solidFill>
              <w14:schemeClr w14:val="tx1"/>
            </w14:solidFill>
          </w14:textFill>
        </w:rPr>
        <w:t>表</w:t>
      </w:r>
      <w:bookmarkEnd w:id="123"/>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依托工程“三同时”情况一览表</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853"/>
        <w:gridCol w:w="1571"/>
        <w:gridCol w:w="1573"/>
        <w:gridCol w:w="2242"/>
        <w:gridCol w:w="21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4" w:hRule="atLeast"/>
          <w:tblHeader/>
          <w:jc w:val="center"/>
        </w:trPr>
        <w:tc>
          <w:tcPr>
            <w:tcW w:w="510" w:type="pct"/>
            <w:vAlign w:val="center"/>
          </w:tcPr>
          <w:p>
            <w:pPr>
              <w:widowControl/>
              <w:spacing w:line="240" w:lineRule="auto"/>
              <w:ind w:firstLine="0" w:firstLineChars="0"/>
              <w:jc w:val="center"/>
              <w:textAlignment w:val="baseline"/>
              <w:rPr>
                <w:rFonts w:cs="Times New Roman"/>
                <w:b/>
                <w:bCs/>
                <w:color w:val="000000" w:themeColor="text1"/>
                <w:sz w:val="21"/>
                <w:szCs w:val="20"/>
                <w:highlight w:val="none"/>
                <w14:textFill>
                  <w14:solidFill>
                    <w14:schemeClr w14:val="tx1"/>
                  </w14:solidFill>
                </w14:textFill>
              </w:rPr>
            </w:pPr>
            <w:r>
              <w:rPr>
                <w:rFonts w:cs="Times New Roman"/>
                <w:b/>
                <w:bCs/>
                <w:color w:val="000000" w:themeColor="text1"/>
                <w:sz w:val="21"/>
                <w:szCs w:val="20"/>
                <w:highlight w:val="none"/>
                <w14:textFill>
                  <w14:solidFill>
                    <w14:schemeClr w14:val="tx1"/>
                  </w14:solidFill>
                </w14:textFill>
              </w:rPr>
              <w:t>序号</w:t>
            </w:r>
          </w:p>
        </w:tc>
        <w:tc>
          <w:tcPr>
            <w:tcW w:w="939" w:type="pct"/>
            <w:vAlign w:val="center"/>
          </w:tcPr>
          <w:p>
            <w:pPr>
              <w:widowControl/>
              <w:spacing w:line="240" w:lineRule="auto"/>
              <w:ind w:firstLine="0" w:firstLineChars="0"/>
              <w:jc w:val="center"/>
              <w:textAlignment w:val="baseline"/>
              <w:rPr>
                <w:rFonts w:cs="Times New Roman"/>
                <w:b/>
                <w:bCs/>
                <w:color w:val="000000" w:themeColor="text1"/>
                <w:sz w:val="21"/>
                <w:szCs w:val="20"/>
                <w:highlight w:val="none"/>
                <w14:textFill>
                  <w14:solidFill>
                    <w14:schemeClr w14:val="tx1"/>
                  </w14:solidFill>
                </w14:textFill>
              </w:rPr>
            </w:pPr>
            <w:r>
              <w:rPr>
                <w:rFonts w:cs="Times New Roman"/>
                <w:b/>
                <w:bCs/>
                <w:color w:val="000000" w:themeColor="text1"/>
                <w:sz w:val="21"/>
                <w:szCs w:val="20"/>
                <w:highlight w:val="none"/>
                <w14:textFill>
                  <w14:solidFill>
                    <w14:schemeClr w14:val="tx1"/>
                  </w14:solidFill>
                </w14:textFill>
              </w:rPr>
              <w:t>项目名称</w:t>
            </w:r>
          </w:p>
        </w:tc>
        <w:tc>
          <w:tcPr>
            <w:tcW w:w="940" w:type="pct"/>
            <w:vAlign w:val="center"/>
          </w:tcPr>
          <w:p>
            <w:pPr>
              <w:widowControl/>
              <w:spacing w:line="240" w:lineRule="auto"/>
              <w:ind w:firstLine="0" w:firstLineChars="0"/>
              <w:jc w:val="center"/>
              <w:textAlignment w:val="baseline"/>
              <w:rPr>
                <w:rFonts w:cs="Times New Roman"/>
                <w:b/>
                <w:bCs/>
                <w:color w:val="000000" w:themeColor="text1"/>
                <w:sz w:val="21"/>
                <w:szCs w:val="20"/>
                <w:highlight w:val="none"/>
                <w14:textFill>
                  <w14:solidFill>
                    <w14:schemeClr w14:val="tx1"/>
                  </w14:solidFill>
                </w14:textFill>
              </w:rPr>
            </w:pPr>
            <w:r>
              <w:rPr>
                <w:rFonts w:cs="Times New Roman"/>
                <w:b/>
                <w:bCs/>
                <w:color w:val="000000" w:themeColor="text1"/>
                <w:sz w:val="21"/>
                <w:szCs w:val="20"/>
                <w:highlight w:val="none"/>
                <w14:textFill>
                  <w14:solidFill>
                    <w14:schemeClr w14:val="tx1"/>
                  </w14:solidFill>
                </w14:textFill>
              </w:rPr>
              <w:t>工程内容</w:t>
            </w:r>
          </w:p>
        </w:tc>
        <w:tc>
          <w:tcPr>
            <w:tcW w:w="1340" w:type="pct"/>
            <w:vAlign w:val="center"/>
          </w:tcPr>
          <w:p>
            <w:pPr>
              <w:widowControl/>
              <w:spacing w:line="240" w:lineRule="auto"/>
              <w:ind w:firstLine="0" w:firstLineChars="0"/>
              <w:jc w:val="center"/>
              <w:textAlignment w:val="baseline"/>
              <w:rPr>
                <w:rFonts w:cs="Times New Roman"/>
                <w:b/>
                <w:bCs/>
                <w:color w:val="000000" w:themeColor="text1"/>
                <w:sz w:val="21"/>
                <w:szCs w:val="20"/>
                <w:highlight w:val="none"/>
                <w14:textFill>
                  <w14:solidFill>
                    <w14:schemeClr w14:val="tx1"/>
                  </w14:solidFill>
                </w14:textFill>
              </w:rPr>
            </w:pPr>
            <w:r>
              <w:rPr>
                <w:rFonts w:cs="Times New Roman"/>
                <w:b/>
                <w:bCs/>
                <w:color w:val="000000" w:themeColor="text1"/>
                <w:sz w:val="21"/>
                <w:szCs w:val="20"/>
                <w:highlight w:val="none"/>
                <w14:textFill>
                  <w14:solidFill>
                    <w14:schemeClr w14:val="tx1"/>
                  </w14:solidFill>
                </w14:textFill>
              </w:rPr>
              <w:t>环评批复时间、文号及批复部门</w:t>
            </w:r>
          </w:p>
        </w:tc>
        <w:tc>
          <w:tcPr>
            <w:tcW w:w="1272" w:type="pct"/>
            <w:vAlign w:val="center"/>
          </w:tcPr>
          <w:p>
            <w:pPr>
              <w:widowControl/>
              <w:spacing w:line="240" w:lineRule="auto"/>
              <w:ind w:firstLine="0" w:firstLineChars="0"/>
              <w:jc w:val="center"/>
              <w:textAlignment w:val="baseline"/>
              <w:rPr>
                <w:rFonts w:cs="Times New Roman"/>
                <w:b/>
                <w:bCs/>
                <w:color w:val="000000" w:themeColor="text1"/>
                <w:sz w:val="21"/>
                <w:szCs w:val="20"/>
                <w:highlight w:val="none"/>
                <w14:textFill>
                  <w14:solidFill>
                    <w14:schemeClr w14:val="tx1"/>
                  </w14:solidFill>
                </w14:textFill>
              </w:rPr>
            </w:pPr>
            <w:r>
              <w:rPr>
                <w:rFonts w:cs="Times New Roman"/>
                <w:b/>
                <w:bCs/>
                <w:color w:val="000000" w:themeColor="text1"/>
                <w:sz w:val="21"/>
                <w:szCs w:val="20"/>
                <w:highlight w:val="none"/>
                <w14:textFill>
                  <w14:solidFill>
                    <w14:schemeClr w14:val="tx1"/>
                  </w14:solidFill>
                </w14:textFill>
              </w:rPr>
              <w:t>竣工环保验收时间、文号及验收部门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5" w:hRule="atLeast"/>
          <w:jc w:val="center"/>
        </w:trPr>
        <w:tc>
          <w:tcPr>
            <w:tcW w:w="510" w:type="pct"/>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1</w:t>
            </w:r>
          </w:p>
        </w:tc>
        <w:tc>
          <w:tcPr>
            <w:tcW w:w="939" w:type="pct"/>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4"/>
                <w:highlight w:val="none"/>
                <w14:textFill>
                  <w14:solidFill>
                    <w14:schemeClr w14:val="tx1"/>
                  </w14:solidFill>
                </w14:textFill>
              </w:rPr>
              <w:t>赵家坝污水处理站</w:t>
            </w:r>
          </w:p>
        </w:tc>
        <w:tc>
          <w:tcPr>
            <w:tcW w:w="940" w:type="pct"/>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赵家坝污水处理站（1号气田水处理站）</w:t>
            </w:r>
          </w:p>
        </w:tc>
        <w:tc>
          <w:tcPr>
            <w:tcW w:w="1340" w:type="pct"/>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201</w:t>
            </w:r>
            <w:r>
              <w:rPr>
                <w:rFonts w:hint="eastAsia" w:cs="Times New Roman"/>
                <w:color w:val="000000" w:themeColor="text1"/>
                <w:sz w:val="21"/>
                <w:szCs w:val="20"/>
                <w:highlight w:val="none"/>
                <w14:textFill>
                  <w14:solidFill>
                    <w14:schemeClr w14:val="tx1"/>
                  </w14:solidFill>
                </w14:textFill>
              </w:rPr>
              <w:t>5</w:t>
            </w:r>
            <w:r>
              <w:rPr>
                <w:rFonts w:cs="Times New Roman"/>
                <w:color w:val="000000" w:themeColor="text1"/>
                <w:sz w:val="21"/>
                <w:szCs w:val="20"/>
                <w:highlight w:val="none"/>
                <w14:textFill>
                  <w14:solidFill>
                    <w14:schemeClr w14:val="tx1"/>
                  </w14:solidFill>
                </w14:textFill>
              </w:rPr>
              <w:t>年</w:t>
            </w:r>
            <w:r>
              <w:rPr>
                <w:rFonts w:hint="eastAsia" w:cs="Times New Roman"/>
                <w:color w:val="000000" w:themeColor="text1"/>
                <w:sz w:val="21"/>
                <w:szCs w:val="20"/>
                <w:highlight w:val="none"/>
                <w14:textFill>
                  <w14:solidFill>
                    <w14:schemeClr w14:val="tx1"/>
                  </w14:solidFill>
                </w14:textFill>
              </w:rPr>
              <w:t>4</w:t>
            </w:r>
            <w:r>
              <w:rPr>
                <w:rFonts w:cs="Times New Roman"/>
                <w:color w:val="000000" w:themeColor="text1"/>
                <w:sz w:val="21"/>
                <w:szCs w:val="20"/>
                <w:highlight w:val="none"/>
                <w14:textFill>
                  <w14:solidFill>
                    <w14:schemeClr w14:val="tx1"/>
                  </w14:solidFill>
                </w14:textFill>
              </w:rPr>
              <w:t>月</w:t>
            </w:r>
            <w:r>
              <w:rPr>
                <w:rFonts w:hint="eastAsia" w:cs="Times New Roman"/>
                <w:color w:val="000000" w:themeColor="text1"/>
                <w:sz w:val="21"/>
                <w:szCs w:val="20"/>
                <w:highlight w:val="none"/>
                <w14:textFill>
                  <w14:solidFill>
                    <w14:schemeClr w14:val="tx1"/>
                  </w14:solidFill>
                </w14:textFill>
              </w:rPr>
              <w:t>20</w:t>
            </w:r>
            <w:r>
              <w:rPr>
                <w:rFonts w:cs="Times New Roman"/>
                <w:color w:val="000000" w:themeColor="text1"/>
                <w:sz w:val="21"/>
                <w:szCs w:val="20"/>
                <w:highlight w:val="none"/>
                <w14:textFill>
                  <w14:solidFill>
                    <w14:schemeClr w14:val="tx1"/>
                  </w14:solidFill>
                </w14:textFill>
              </w:rPr>
              <w:t>日，</w:t>
            </w:r>
            <w:r>
              <w:rPr>
                <w:rFonts w:hint="eastAsia" w:cs="Times New Roman"/>
                <w:color w:val="000000" w:themeColor="text1"/>
                <w:sz w:val="21"/>
                <w:szCs w:val="20"/>
                <w:highlight w:val="none"/>
                <w14:textFill>
                  <w14:solidFill>
                    <w14:schemeClr w14:val="tx1"/>
                  </w14:solidFill>
                </w14:textFill>
              </w:rPr>
              <w:t>宣汉县环境保护局，宣环审〔</w:t>
            </w:r>
            <w:r>
              <w:rPr>
                <w:rFonts w:cs="Times New Roman"/>
                <w:color w:val="000000" w:themeColor="text1"/>
                <w:sz w:val="21"/>
                <w:szCs w:val="20"/>
                <w:highlight w:val="none"/>
                <w14:textFill>
                  <w14:solidFill>
                    <w14:schemeClr w14:val="tx1"/>
                  </w14:solidFill>
                </w14:textFill>
              </w:rPr>
              <w:t>20</w:t>
            </w:r>
            <w:r>
              <w:rPr>
                <w:rFonts w:hint="eastAsia" w:cs="Times New Roman"/>
                <w:color w:val="000000" w:themeColor="text1"/>
                <w:sz w:val="21"/>
                <w:szCs w:val="20"/>
                <w:highlight w:val="none"/>
                <w14:textFill>
                  <w14:solidFill>
                    <w14:schemeClr w14:val="tx1"/>
                  </w14:solidFill>
                </w14:textFill>
              </w:rPr>
              <w:t>15</w:t>
            </w:r>
            <w:r>
              <w:rPr>
                <w:rFonts w:cs="Times New Roman"/>
                <w:color w:val="000000" w:themeColor="text1"/>
                <w:sz w:val="21"/>
                <w:szCs w:val="20"/>
                <w:highlight w:val="none"/>
                <w14:textFill>
                  <w14:solidFill>
                    <w14:schemeClr w14:val="tx1"/>
                  </w14:solidFill>
                </w14:textFill>
              </w:rPr>
              <w:t>〕</w:t>
            </w:r>
            <w:r>
              <w:rPr>
                <w:rFonts w:hint="eastAsia" w:cs="Times New Roman"/>
                <w:color w:val="000000" w:themeColor="text1"/>
                <w:sz w:val="21"/>
                <w:szCs w:val="20"/>
                <w:highlight w:val="none"/>
                <w14:textFill>
                  <w14:solidFill>
                    <w14:schemeClr w14:val="tx1"/>
                  </w14:solidFill>
                </w14:textFill>
              </w:rPr>
              <w:t>33号；</w:t>
            </w:r>
          </w:p>
        </w:tc>
        <w:tc>
          <w:tcPr>
            <w:tcW w:w="1272" w:type="pct"/>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201</w:t>
            </w:r>
            <w:r>
              <w:rPr>
                <w:rFonts w:hint="eastAsia" w:cs="Times New Roman"/>
                <w:color w:val="000000" w:themeColor="text1"/>
                <w:sz w:val="21"/>
                <w:szCs w:val="20"/>
                <w:highlight w:val="none"/>
                <w14:textFill>
                  <w14:solidFill>
                    <w14:schemeClr w14:val="tx1"/>
                  </w14:solidFill>
                </w14:textFill>
              </w:rPr>
              <w:t>6</w:t>
            </w:r>
            <w:r>
              <w:rPr>
                <w:rFonts w:cs="Times New Roman"/>
                <w:color w:val="000000" w:themeColor="text1"/>
                <w:sz w:val="21"/>
                <w:szCs w:val="20"/>
                <w:highlight w:val="none"/>
                <w14:textFill>
                  <w14:solidFill>
                    <w14:schemeClr w14:val="tx1"/>
                  </w14:solidFill>
                </w14:textFill>
              </w:rPr>
              <w:t>年</w:t>
            </w:r>
            <w:r>
              <w:rPr>
                <w:rFonts w:hint="eastAsia" w:cs="Times New Roman"/>
                <w:color w:val="000000" w:themeColor="text1"/>
                <w:sz w:val="21"/>
                <w:szCs w:val="20"/>
                <w:highlight w:val="none"/>
                <w14:textFill>
                  <w14:solidFill>
                    <w14:schemeClr w14:val="tx1"/>
                  </w14:solidFill>
                </w14:textFill>
              </w:rPr>
              <w:t>3</w:t>
            </w:r>
            <w:r>
              <w:rPr>
                <w:rFonts w:cs="Times New Roman"/>
                <w:color w:val="000000" w:themeColor="text1"/>
                <w:sz w:val="21"/>
                <w:szCs w:val="20"/>
                <w:highlight w:val="none"/>
                <w14:textFill>
                  <w14:solidFill>
                    <w14:schemeClr w14:val="tx1"/>
                  </w14:solidFill>
                </w14:textFill>
              </w:rPr>
              <w:t>月</w:t>
            </w:r>
            <w:r>
              <w:rPr>
                <w:rFonts w:hint="eastAsia" w:cs="Times New Roman"/>
                <w:color w:val="000000" w:themeColor="text1"/>
                <w:sz w:val="21"/>
                <w:szCs w:val="20"/>
                <w:highlight w:val="none"/>
                <w14:textFill>
                  <w14:solidFill>
                    <w14:schemeClr w14:val="tx1"/>
                  </w14:solidFill>
                </w14:textFill>
              </w:rPr>
              <w:t>4</w:t>
            </w:r>
            <w:r>
              <w:rPr>
                <w:rFonts w:cs="Times New Roman"/>
                <w:color w:val="000000" w:themeColor="text1"/>
                <w:sz w:val="21"/>
                <w:szCs w:val="20"/>
                <w:highlight w:val="none"/>
                <w14:textFill>
                  <w14:solidFill>
                    <w14:schemeClr w14:val="tx1"/>
                  </w14:solidFill>
                </w14:textFill>
              </w:rPr>
              <w:t>日，</w:t>
            </w:r>
            <w:r>
              <w:rPr>
                <w:rFonts w:hint="eastAsia" w:cs="Times New Roman"/>
                <w:color w:val="000000" w:themeColor="text1"/>
                <w:sz w:val="21"/>
                <w:szCs w:val="20"/>
                <w:highlight w:val="none"/>
                <w14:textFill>
                  <w14:solidFill>
                    <w14:schemeClr w14:val="tx1"/>
                  </w14:solidFill>
                </w14:textFill>
              </w:rPr>
              <w:t>宣汉县环境保护局，宣环验〔</w:t>
            </w:r>
            <w:r>
              <w:rPr>
                <w:rFonts w:cs="Times New Roman"/>
                <w:color w:val="000000" w:themeColor="text1"/>
                <w:sz w:val="21"/>
                <w:szCs w:val="20"/>
                <w:highlight w:val="none"/>
                <w14:textFill>
                  <w14:solidFill>
                    <w14:schemeClr w14:val="tx1"/>
                  </w14:solidFill>
                </w14:textFill>
              </w:rPr>
              <w:t>20</w:t>
            </w:r>
            <w:r>
              <w:rPr>
                <w:rFonts w:hint="eastAsia" w:cs="Times New Roman"/>
                <w:color w:val="000000" w:themeColor="text1"/>
                <w:sz w:val="21"/>
                <w:szCs w:val="20"/>
                <w:highlight w:val="none"/>
                <w14:textFill>
                  <w14:solidFill>
                    <w14:schemeClr w14:val="tx1"/>
                  </w14:solidFill>
                </w14:textFill>
              </w:rPr>
              <w:t>16</w:t>
            </w:r>
            <w:r>
              <w:rPr>
                <w:rFonts w:cs="Times New Roman"/>
                <w:color w:val="000000" w:themeColor="text1"/>
                <w:sz w:val="21"/>
                <w:szCs w:val="20"/>
                <w:highlight w:val="none"/>
                <w14:textFill>
                  <w14:solidFill>
                    <w14:schemeClr w14:val="tx1"/>
                  </w14:solidFill>
                </w14:textFill>
              </w:rPr>
              <w:t>〕</w:t>
            </w:r>
            <w:r>
              <w:rPr>
                <w:rFonts w:hint="eastAsia" w:cs="Times New Roman"/>
                <w:color w:val="000000" w:themeColor="text1"/>
                <w:sz w:val="21"/>
                <w:szCs w:val="20"/>
                <w:highlight w:val="none"/>
                <w14:textFill>
                  <w14:solidFill>
                    <w14:schemeClr w14:val="tx1"/>
                  </w14:solidFill>
                </w14:textFill>
              </w:rPr>
              <w:t>1号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5" w:hRule="atLeast"/>
          <w:jc w:val="center"/>
        </w:trPr>
        <w:tc>
          <w:tcPr>
            <w:tcW w:w="510" w:type="pct"/>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2</w:t>
            </w:r>
          </w:p>
        </w:tc>
        <w:tc>
          <w:tcPr>
            <w:tcW w:w="939" w:type="pct"/>
            <w:vAlign w:val="center"/>
          </w:tcPr>
          <w:p>
            <w:pPr>
              <w:widowControl/>
              <w:spacing w:line="240" w:lineRule="auto"/>
              <w:ind w:firstLine="0" w:firstLineChars="0"/>
              <w:jc w:val="center"/>
              <w:textAlignment w:val="baseline"/>
              <w:rPr>
                <w:rFonts w:cs="Times New Roman"/>
                <w:color w:val="000000" w:themeColor="text1"/>
                <w:sz w:val="21"/>
                <w:szCs w:val="24"/>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普光3井回注站</w:t>
            </w:r>
          </w:p>
        </w:tc>
        <w:tc>
          <w:tcPr>
            <w:tcW w:w="940" w:type="pct"/>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普光3井回注站</w:t>
            </w:r>
            <w:r>
              <w:rPr>
                <w:rFonts w:hint="eastAsia" w:cs="Times New Roman"/>
                <w:color w:val="000000" w:themeColor="text1"/>
                <w:sz w:val="21"/>
                <w:szCs w:val="20"/>
                <w:highlight w:val="none"/>
                <w14:textFill>
                  <w14:solidFill>
                    <w14:schemeClr w14:val="tx1"/>
                  </w14:solidFill>
                </w14:textFill>
              </w:rPr>
              <w:t>及管线</w:t>
            </w:r>
          </w:p>
        </w:tc>
        <w:tc>
          <w:tcPr>
            <w:tcW w:w="1340" w:type="pct"/>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2013年10月24日，</w:t>
            </w:r>
            <w:r>
              <w:rPr>
                <w:rFonts w:hint="eastAsia" w:cs="Times New Roman"/>
                <w:color w:val="000000" w:themeColor="text1"/>
                <w:sz w:val="21"/>
                <w:szCs w:val="20"/>
                <w:highlight w:val="none"/>
                <w14:textFill>
                  <w14:solidFill>
                    <w14:schemeClr w14:val="tx1"/>
                  </w14:solidFill>
                </w14:textFill>
              </w:rPr>
              <w:t>四川省环境保护厅，川环审批〔</w:t>
            </w:r>
            <w:r>
              <w:rPr>
                <w:rFonts w:cs="Times New Roman"/>
                <w:color w:val="000000" w:themeColor="text1"/>
                <w:sz w:val="21"/>
                <w:szCs w:val="20"/>
                <w:highlight w:val="none"/>
                <w14:textFill>
                  <w14:solidFill>
                    <w14:schemeClr w14:val="tx1"/>
                  </w14:solidFill>
                </w14:textFill>
              </w:rPr>
              <w:t>2013〕634</w:t>
            </w:r>
            <w:r>
              <w:rPr>
                <w:rFonts w:hint="eastAsia" w:cs="Times New Roman"/>
                <w:color w:val="000000" w:themeColor="text1"/>
                <w:sz w:val="21"/>
                <w:szCs w:val="20"/>
                <w:highlight w:val="none"/>
                <w14:textFill>
                  <w14:solidFill>
                    <w14:schemeClr w14:val="tx1"/>
                  </w14:solidFill>
                </w14:textFill>
              </w:rPr>
              <w:t>号</w:t>
            </w:r>
          </w:p>
        </w:tc>
        <w:tc>
          <w:tcPr>
            <w:tcW w:w="1272" w:type="pct"/>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2015年9月</w:t>
            </w:r>
            <w:r>
              <w:rPr>
                <w:rFonts w:hint="eastAsia" w:cs="Times New Roman"/>
                <w:color w:val="000000" w:themeColor="text1"/>
                <w:sz w:val="21"/>
                <w:szCs w:val="20"/>
                <w:highlight w:val="none"/>
                <w14:textFill>
                  <w14:solidFill>
                    <w14:schemeClr w14:val="tx1"/>
                  </w14:solidFill>
                </w14:textFill>
              </w:rPr>
              <w:t>1</w:t>
            </w:r>
            <w:r>
              <w:rPr>
                <w:rFonts w:cs="Times New Roman"/>
                <w:color w:val="000000" w:themeColor="text1"/>
                <w:sz w:val="21"/>
                <w:szCs w:val="20"/>
                <w:highlight w:val="none"/>
                <w14:textFill>
                  <w14:solidFill>
                    <w14:schemeClr w14:val="tx1"/>
                  </w14:solidFill>
                </w14:textFill>
              </w:rPr>
              <w:t>5日，</w:t>
            </w:r>
            <w:r>
              <w:rPr>
                <w:rFonts w:hint="eastAsia" w:cs="Times New Roman"/>
                <w:color w:val="000000" w:themeColor="text1"/>
                <w:sz w:val="21"/>
                <w:szCs w:val="20"/>
                <w:highlight w:val="none"/>
                <w14:textFill>
                  <w14:solidFill>
                    <w14:schemeClr w14:val="tx1"/>
                  </w14:solidFill>
                </w14:textFill>
              </w:rPr>
              <w:t>四川省环境保护厅，川环验〔</w:t>
            </w:r>
            <w:r>
              <w:rPr>
                <w:rFonts w:cs="Times New Roman"/>
                <w:color w:val="000000" w:themeColor="text1"/>
                <w:sz w:val="21"/>
                <w:szCs w:val="20"/>
                <w:highlight w:val="none"/>
                <w14:textFill>
                  <w14:solidFill>
                    <w14:schemeClr w14:val="tx1"/>
                  </w14:solidFill>
                </w14:textFill>
              </w:rPr>
              <w:t>2015〕195</w:t>
            </w:r>
            <w:r>
              <w:rPr>
                <w:rFonts w:hint="eastAsia" w:cs="Times New Roman"/>
                <w:color w:val="000000" w:themeColor="text1"/>
                <w:sz w:val="21"/>
                <w:szCs w:val="20"/>
                <w:highlight w:val="none"/>
                <w14:textFill>
                  <w14:solidFill>
                    <w14:schemeClr w14:val="tx1"/>
                  </w14:solidFill>
                </w14:textFill>
              </w:rPr>
              <w:t>号</w:t>
            </w:r>
          </w:p>
        </w:tc>
      </w:tr>
    </w:tbl>
    <w:p>
      <w:pPr>
        <w:spacing w:before="120" w:beforeLines="50"/>
        <w:ind w:firstLine="482"/>
        <w:rPr>
          <w:b/>
          <w:color w:val="000000" w:themeColor="text1"/>
          <w:szCs w:val="24"/>
          <w:highlight w:val="none"/>
          <w14:textFill>
            <w14:solidFill>
              <w14:schemeClr w14:val="tx1"/>
            </w14:solidFill>
          </w14:textFill>
        </w:rPr>
      </w:pPr>
      <w:r>
        <w:rPr>
          <w:b/>
          <w:bCs/>
          <w:color w:val="000000" w:themeColor="text1"/>
          <w:highlight w:val="none"/>
          <w14:textFill>
            <w14:solidFill>
              <w14:schemeClr w14:val="tx1"/>
            </w14:solidFill>
          </w14:textFill>
        </w:rPr>
        <w:t>（3）</w:t>
      </w:r>
      <w:r>
        <w:rPr>
          <w:rFonts w:hint="eastAsia"/>
          <w:b/>
          <w:color w:val="000000" w:themeColor="text1"/>
          <w:szCs w:val="24"/>
          <w:highlight w:val="none"/>
          <w14:textFill>
            <w14:solidFill>
              <w14:schemeClr w14:val="tx1"/>
            </w14:solidFill>
          </w14:textFill>
        </w:rPr>
        <w:t>赵家坝污水处理站</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赵家坝污水处理站位于天然气净化厂内，属于普光主体工程，赵家坝污水处理站设计处理能力800m</w:t>
      </w:r>
      <w:r>
        <w:rPr>
          <w:rFonts w:hint="eastAsia" w:cs="Times New Roman"/>
          <w:bCs/>
          <w:color w:val="000000" w:themeColor="text1"/>
          <w:szCs w:val="24"/>
          <w:highlight w:val="none"/>
          <w:vertAlign w:val="superscript"/>
          <w14:textFill>
            <w14:solidFill>
              <w14:schemeClr w14:val="tx1"/>
            </w14:solidFill>
          </w14:textFill>
        </w:rPr>
        <w:t>3</w:t>
      </w:r>
      <w:r>
        <w:rPr>
          <w:rFonts w:hint="eastAsia" w:cs="Times New Roman"/>
          <w:bCs/>
          <w:color w:val="000000" w:themeColor="text1"/>
          <w:szCs w:val="24"/>
          <w:highlight w:val="none"/>
          <w14:textFill>
            <w14:solidFill>
              <w14:schemeClr w14:val="tx1"/>
            </w14:solidFill>
          </w14:textFill>
        </w:rPr>
        <w:t>/d，目前实际处理污水量为350m</w:t>
      </w:r>
      <w:r>
        <w:rPr>
          <w:rFonts w:hint="eastAsia" w:cs="Times New Roman"/>
          <w:bCs/>
          <w:color w:val="000000" w:themeColor="text1"/>
          <w:szCs w:val="24"/>
          <w:highlight w:val="none"/>
          <w:vertAlign w:val="superscript"/>
          <w14:textFill>
            <w14:solidFill>
              <w14:schemeClr w14:val="tx1"/>
            </w14:solidFill>
          </w14:textFill>
        </w:rPr>
        <w:t>3</w:t>
      </w:r>
      <w:r>
        <w:rPr>
          <w:rFonts w:hint="eastAsia" w:cs="Times New Roman"/>
          <w:bCs/>
          <w:color w:val="000000" w:themeColor="text1"/>
          <w:szCs w:val="24"/>
          <w:highlight w:val="none"/>
          <w14:textFill>
            <w14:solidFill>
              <w14:schemeClr w14:val="tx1"/>
            </w14:solidFill>
          </w14:textFill>
        </w:rPr>
        <w:t>/d，处理后的污水进入普光</w:t>
      </w:r>
      <w:r>
        <w:rPr>
          <w:rFonts w:cs="Times New Roman"/>
          <w:bCs/>
          <w:color w:val="000000" w:themeColor="text1"/>
          <w:szCs w:val="24"/>
          <w:highlight w:val="none"/>
          <w14:textFill>
            <w14:solidFill>
              <w14:schemeClr w14:val="tx1"/>
            </w14:solidFill>
          </w14:textFill>
        </w:rPr>
        <w:t>3</w:t>
      </w:r>
      <w:r>
        <w:rPr>
          <w:rFonts w:hint="eastAsia" w:cs="Times New Roman"/>
          <w:bCs/>
          <w:color w:val="000000" w:themeColor="text1"/>
          <w:szCs w:val="24"/>
          <w:highlight w:val="none"/>
          <w14:textFill>
            <w14:solidFill>
              <w14:schemeClr w14:val="tx1"/>
            </w14:solidFill>
          </w14:textFill>
        </w:rPr>
        <w:t>井回注，污水处理系统采用“氧化除硫+混凝沉降+过滤”工艺，出水水质能够满足《气田水回注方法》（SY/T6596-2004）表1中标准。</w:t>
      </w:r>
    </w:p>
    <w:p>
      <w:pPr>
        <w:ind w:firstLine="480"/>
        <w:rPr>
          <w:color w:val="000000" w:themeColor="text1"/>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赵家坝污水处理站目前剩余处理能力为450m</w:t>
      </w:r>
      <w:r>
        <w:rPr>
          <w:rFonts w:hint="eastAsia" w:cs="Times New Roman"/>
          <w:bCs/>
          <w:color w:val="000000" w:themeColor="text1"/>
          <w:szCs w:val="24"/>
          <w:highlight w:val="none"/>
          <w:vertAlign w:val="superscript"/>
          <w14:textFill>
            <w14:solidFill>
              <w14:schemeClr w14:val="tx1"/>
            </w14:solidFill>
          </w14:textFill>
        </w:rPr>
        <w:t>3</w:t>
      </w:r>
      <w:r>
        <w:rPr>
          <w:rFonts w:hint="eastAsia" w:cs="Times New Roman"/>
          <w:bCs/>
          <w:color w:val="000000" w:themeColor="text1"/>
          <w:szCs w:val="24"/>
          <w:highlight w:val="none"/>
          <w14:textFill>
            <w14:solidFill>
              <w14:schemeClr w14:val="tx1"/>
            </w14:solidFill>
          </w14:textFill>
        </w:rPr>
        <w:t>/d，根据周边站场采气期气田水产生情况，本项目试采期日产水量约为20m</w:t>
      </w:r>
      <w:r>
        <w:rPr>
          <w:rFonts w:hint="eastAsia" w:cs="Times New Roman"/>
          <w:bCs/>
          <w:color w:val="000000" w:themeColor="text1"/>
          <w:szCs w:val="24"/>
          <w:highlight w:val="none"/>
          <w:vertAlign w:val="superscript"/>
          <w14:textFill>
            <w14:solidFill>
              <w14:schemeClr w14:val="tx1"/>
            </w14:solidFill>
          </w14:textFill>
        </w:rPr>
        <w:t>3</w:t>
      </w:r>
      <w:r>
        <w:rPr>
          <w:rFonts w:hint="eastAsia" w:cs="Times New Roman"/>
          <w:bCs/>
          <w:color w:val="000000" w:themeColor="text1"/>
          <w:szCs w:val="24"/>
          <w:highlight w:val="none"/>
          <w14:textFill>
            <w14:solidFill>
              <w14:schemeClr w14:val="tx1"/>
            </w14:solidFill>
          </w14:textFill>
        </w:rPr>
        <w:t>/d（最大量，将随着开采逐渐减少），故赵家坝污水处理站也完全有能力处理本项目试采期产生的气田水</w:t>
      </w:r>
      <w:r>
        <w:rPr>
          <w:color w:val="000000" w:themeColor="text1"/>
          <w:highlight w:val="none"/>
          <w14:textFill>
            <w14:solidFill>
              <w14:schemeClr w14:val="tx1"/>
            </w14:solidFill>
          </w14:textFill>
        </w:rPr>
        <w:t>。</w:t>
      </w:r>
    </w:p>
    <w:p>
      <w:pPr>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（4）</w:t>
      </w:r>
      <w:r>
        <w:rPr>
          <w:rFonts w:hint="eastAsia"/>
          <w:b/>
          <w:bCs/>
          <w:color w:val="000000" w:themeColor="text1"/>
          <w:szCs w:val="24"/>
          <w:highlight w:val="none"/>
          <w14:textFill>
            <w14:solidFill>
              <w14:schemeClr w14:val="tx1"/>
            </w14:solidFill>
          </w14:textFill>
        </w:rPr>
        <w:t>普光3井回注站</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本项目经赵家坝污水处理站处理后的作业废水经处理达标后均通过普光3井回注地层。普光3井回注站位于达州市宣汉县黄金镇斑竹村3组，该站场回注层位为</w:t>
      </w:r>
      <w:r>
        <w:rPr>
          <w:rFonts w:hint="eastAsia" w:cs="Times New Roman"/>
          <w:bCs/>
          <w:color w:val="000000" w:themeColor="text1"/>
          <w:szCs w:val="24"/>
          <w:highlight w:val="none"/>
          <w:lang w:eastAsia="zh-CN"/>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段</w:t>
      </w:r>
      <w:r>
        <w:rPr>
          <w:rFonts w:hint="eastAsia" w:cs="Times New Roman"/>
          <w:bCs/>
          <w:color w:val="000000" w:themeColor="text1"/>
          <w:szCs w:val="24"/>
          <w:highlight w:val="none"/>
          <w:lang w:eastAsia="zh-CN"/>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段、</w:t>
      </w:r>
      <w:r>
        <w:rPr>
          <w:rFonts w:hint="eastAsia" w:cs="Times New Roman"/>
          <w:bCs/>
          <w:color w:val="000000" w:themeColor="text1"/>
          <w:szCs w:val="24"/>
          <w:highlight w:val="none"/>
          <w:lang w:eastAsia="zh-CN"/>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段</w:t>
      </w:r>
      <w:r>
        <w:rPr>
          <w:rFonts w:hint="eastAsia" w:cs="Times New Roman"/>
          <w:bCs/>
          <w:color w:val="000000" w:themeColor="text1"/>
          <w:szCs w:val="24"/>
          <w:highlight w:val="none"/>
          <w:lang w:eastAsia="zh-CN"/>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段，注水深度为</w:t>
      </w:r>
      <w:r>
        <w:rPr>
          <w:rFonts w:hint="eastAsia" w:cs="Times New Roman"/>
          <w:bCs/>
          <w:color w:val="000000" w:themeColor="text1"/>
          <w:szCs w:val="24"/>
          <w:highlight w:val="none"/>
          <w:lang w:eastAsia="zh-CN"/>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m，回注储集空间**，本项目试采期间普光3井有足够的回注能力及空间接纳本项目废水。因此，本项目未能回用完的作业废水可由赵家坝污水处理站通过氧化除硫+混凝沉降+过滤工艺处理本项目废水，处理后能够满足《气田水回注方法》（SY/T6596-2004）表1中标准，并通过普光3井回注地层。同时普光3井已稳定运行多年，地下空间结构稳定，运行期间未检测到地下空间发生结构变化，剩余总回注量远大于本项目试采废水产生量，剩余储集空间较大，满足回注要求</w:t>
      </w:r>
      <w:r>
        <w:rPr>
          <w:rFonts w:cs="Times New Roman"/>
          <w:bCs/>
          <w:color w:val="000000" w:themeColor="text1"/>
          <w:szCs w:val="24"/>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本项目污水处理站及回注站依托工程可行性见表3.1-3。</w:t>
      </w:r>
    </w:p>
    <w:p>
      <w:pPr>
        <w:pStyle w:val="96"/>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表3.1-3本项目污水处理站及回注站依托可行性</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29"/>
        <w:gridCol w:w="1398"/>
        <w:gridCol w:w="1526"/>
        <w:gridCol w:w="1407"/>
        <w:gridCol w:w="1083"/>
        <w:gridCol w:w="10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blHeader/>
          <w:jc w:val="center"/>
        </w:trPr>
        <w:tc>
          <w:tcPr>
            <w:tcW w:w="1190"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依托工程名称</w:t>
            </w:r>
          </w:p>
        </w:tc>
        <w:tc>
          <w:tcPr>
            <w:tcW w:w="820"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设计规模（m</w:t>
            </w:r>
            <w:r>
              <w:rPr>
                <w:b/>
                <w:bCs/>
                <w:color w:val="000000" w:themeColor="text1"/>
                <w:highlight w:val="none"/>
                <w:vertAlign w:val="superscript"/>
                <w14:textFill>
                  <w14:solidFill>
                    <w14:schemeClr w14:val="tx1"/>
                  </w14:solidFill>
                </w14:textFill>
              </w:rPr>
              <w:t>3</w:t>
            </w:r>
            <w:r>
              <w:rPr>
                <w:b/>
                <w:bCs/>
                <w:color w:val="000000" w:themeColor="text1"/>
                <w:highlight w:val="none"/>
                <w14:textFill>
                  <w14:solidFill>
                    <w14:schemeClr w14:val="tx1"/>
                  </w14:solidFill>
                </w14:textFill>
              </w:rPr>
              <w:t>/d）</w:t>
            </w:r>
          </w:p>
        </w:tc>
        <w:tc>
          <w:tcPr>
            <w:tcW w:w="895"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现处理规模</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（m</w:t>
            </w:r>
            <w:r>
              <w:rPr>
                <w:b/>
                <w:bCs/>
                <w:color w:val="000000" w:themeColor="text1"/>
                <w:highlight w:val="none"/>
                <w:vertAlign w:val="superscript"/>
                <w14:textFill>
                  <w14:solidFill>
                    <w14:schemeClr w14:val="tx1"/>
                  </w14:solidFill>
                </w14:textFill>
              </w:rPr>
              <w:t>3</w:t>
            </w:r>
            <w:r>
              <w:rPr>
                <w:b/>
                <w:bCs/>
                <w:color w:val="000000" w:themeColor="text1"/>
                <w:highlight w:val="none"/>
                <w14:textFill>
                  <w14:solidFill>
                    <w14:schemeClr w14:val="tx1"/>
                  </w14:solidFill>
                </w14:textFill>
              </w:rPr>
              <w:t>/d）</w:t>
            </w:r>
          </w:p>
        </w:tc>
        <w:tc>
          <w:tcPr>
            <w:tcW w:w="825"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富余能力</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（m</w:t>
            </w:r>
            <w:r>
              <w:rPr>
                <w:b/>
                <w:bCs/>
                <w:color w:val="000000" w:themeColor="text1"/>
                <w:highlight w:val="none"/>
                <w:vertAlign w:val="superscript"/>
                <w14:textFill>
                  <w14:solidFill>
                    <w14:schemeClr w14:val="tx1"/>
                  </w14:solidFill>
                </w14:textFill>
              </w:rPr>
              <w:t>3</w:t>
            </w:r>
            <w:r>
              <w:rPr>
                <w:b/>
                <w:bCs/>
                <w:color w:val="000000" w:themeColor="text1"/>
                <w:highlight w:val="none"/>
                <w14:textFill>
                  <w14:solidFill>
                    <w14:schemeClr w14:val="tx1"/>
                  </w14:solidFill>
                </w14:textFill>
              </w:rPr>
              <w:t>/d）</w:t>
            </w:r>
          </w:p>
        </w:tc>
        <w:tc>
          <w:tcPr>
            <w:tcW w:w="635" w:type="pct"/>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本项目产生量（m</w:t>
            </w:r>
            <w:r>
              <w:rPr>
                <w:rFonts w:hint="eastAsia"/>
                <w:b/>
                <w:bCs/>
                <w:color w:val="000000" w:themeColor="text1"/>
                <w:highlight w:val="none"/>
                <w:vertAlign w:val="superscript"/>
                <w14:textFill>
                  <w14:solidFill>
                    <w14:schemeClr w14:val="tx1"/>
                  </w14:solidFill>
                </w14:textFill>
              </w:rPr>
              <w:t>3</w:t>
            </w:r>
            <w:r>
              <w:rPr>
                <w:rFonts w:hint="eastAsia"/>
                <w:b/>
                <w:bCs/>
                <w:color w:val="000000" w:themeColor="text1"/>
                <w:highlight w:val="none"/>
                <w14:textFill>
                  <w14:solidFill>
                    <w14:schemeClr w14:val="tx1"/>
                  </w14:solidFill>
                </w14:textFill>
              </w:rPr>
              <w:t>/d）</w:t>
            </w:r>
          </w:p>
        </w:tc>
        <w:tc>
          <w:tcPr>
            <w:tcW w:w="635"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是否可行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1190"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赵家坝污水处理站</w:t>
            </w:r>
          </w:p>
        </w:tc>
        <w:tc>
          <w:tcPr>
            <w:tcW w:w="820" w:type="pct"/>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895" w:type="pct"/>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825" w:type="pct"/>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635" w:type="pct"/>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63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1190"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普光3井污水回注站</w:t>
            </w:r>
          </w:p>
        </w:tc>
        <w:tc>
          <w:tcPr>
            <w:tcW w:w="820" w:type="pct"/>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895" w:type="pct"/>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825" w:type="pct"/>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635" w:type="pct"/>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63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可行</w:t>
            </w:r>
          </w:p>
        </w:tc>
      </w:tr>
    </w:tbl>
    <w:p>
      <w:pPr>
        <w:pStyle w:val="5"/>
        <w:numPr>
          <w:ilvl w:val="2"/>
          <w:numId w:val="0"/>
        </w:numPr>
        <w:spacing w:before="120"/>
        <w:ind w:leftChars="200"/>
        <w:rPr>
          <w:b/>
          <w:color w:val="000000" w:themeColor="text1"/>
          <w:szCs w:val="24"/>
          <w:highlight w:val="none"/>
          <w:lang w:eastAsia="zh-CN"/>
          <w14:textFill>
            <w14:solidFill>
              <w14:schemeClr w14:val="tx1"/>
            </w14:solidFill>
          </w14:textFill>
        </w:rPr>
      </w:pPr>
      <w:r>
        <w:rPr>
          <w:rFonts w:hint="eastAsia"/>
          <w:color w:val="000000" w:themeColor="text1"/>
          <w:szCs w:val="24"/>
          <w:highlight w:val="none"/>
          <w:lang w:val="en-US" w:eastAsia="zh-CN"/>
          <w14:textFill>
            <w14:solidFill>
              <w14:schemeClr w14:val="tx1"/>
            </w14:solidFill>
          </w14:textFill>
        </w:rPr>
        <w:t>3.1.4</w:t>
      </w:r>
      <w:r>
        <w:rPr>
          <w:rFonts w:hint="eastAsia"/>
          <w:color w:val="000000" w:themeColor="text1"/>
          <w:szCs w:val="24"/>
          <w:highlight w:val="none"/>
          <w:lang w:eastAsia="zh-CN"/>
          <w14:textFill>
            <w14:solidFill>
              <w14:schemeClr w14:val="tx1"/>
            </w14:solidFill>
          </w14:textFill>
        </w:rPr>
        <w:t>相关</w:t>
      </w:r>
      <w:r>
        <w:rPr>
          <w:color w:val="000000" w:themeColor="text1"/>
          <w:szCs w:val="24"/>
          <w:highlight w:val="none"/>
          <w:lang w:eastAsia="zh-CN"/>
          <w14:textFill>
            <w14:solidFill>
              <w14:schemeClr w14:val="tx1"/>
            </w14:solidFill>
          </w14:textFill>
        </w:rPr>
        <w:t>工程情况介绍（雷茅页1HF井和雷页1-1HF井钻探工程）</w:t>
      </w:r>
    </w:p>
    <w:p>
      <w:pPr>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本项目</w:t>
      </w:r>
      <w:r>
        <w:rPr>
          <w:rFonts w:hint="eastAsia"/>
          <w:color w:val="000000" w:themeColor="text1"/>
          <w:szCs w:val="24"/>
          <w:highlight w:val="none"/>
          <w14:textFill>
            <w14:solidFill>
              <w14:schemeClr w14:val="tx1"/>
            </w14:solidFill>
          </w14:textFill>
        </w:rPr>
        <w:t>东侧雷页1井</w:t>
      </w:r>
      <w:r>
        <w:rPr>
          <w:color w:val="000000" w:themeColor="text1"/>
          <w:szCs w:val="24"/>
          <w:highlight w:val="none"/>
          <w14:textFill>
            <w14:solidFill>
              <w14:schemeClr w14:val="tx1"/>
            </w14:solidFill>
          </w14:textFill>
        </w:rPr>
        <w:t>井场还将实施2口探井工程（即雷茅页1HF井和雷页1-1HF井钻探工程），目前该工程</w:t>
      </w:r>
      <w:r>
        <w:rPr>
          <w:rFonts w:hint="eastAsia"/>
          <w:color w:val="000000" w:themeColor="text1"/>
          <w:szCs w:val="24"/>
          <w:highlight w:val="none"/>
          <w14:textFill>
            <w14:solidFill>
              <w14:schemeClr w14:val="tx1"/>
            </w14:solidFill>
          </w14:textFill>
        </w:rPr>
        <w:t>已取得环评批复</w:t>
      </w:r>
      <w:r>
        <w:rPr>
          <w:color w:val="000000" w:themeColor="text1"/>
          <w:szCs w:val="24"/>
          <w:highlight w:val="none"/>
          <w14:textFill>
            <w14:solidFill>
              <w14:schemeClr w14:val="tx1"/>
            </w14:solidFill>
          </w14:textFill>
        </w:rPr>
        <w:t>。根据建设单位提供的《雷茅页1HF井和雷页1-1HF井钻探工程环境影响报告表》（四川中环立新环保工程咨询有限公司，2023年12月），该项目与</w:t>
      </w:r>
      <w:r>
        <w:rPr>
          <w:rFonts w:hint="eastAsia"/>
          <w:color w:val="000000" w:themeColor="text1"/>
          <w:szCs w:val="24"/>
          <w:highlight w:val="none"/>
          <w14:textFill>
            <w14:solidFill>
              <w14:schemeClr w14:val="tx1"/>
            </w14:solidFill>
          </w14:textFill>
        </w:rPr>
        <w:t>雷页1井</w:t>
      </w:r>
      <w:r>
        <w:rPr>
          <w:color w:val="000000" w:themeColor="text1"/>
          <w:szCs w:val="24"/>
          <w:highlight w:val="none"/>
          <w14:textFill>
            <w14:solidFill>
              <w14:schemeClr w14:val="tx1"/>
            </w14:solidFill>
          </w14:textFill>
        </w:rPr>
        <w:t>处于同一井场，该项目为双井口，利用雷页1井原有部分井场修建雷茅页1HF、雷页1-1HF井井组，沿原雷页1井长轴向前场方向移动5m、往右场方向移15m（井场左、右方向的描述，依据人站在前场外侧、面向井架确定），井场有效尺寸为长135m（以雷页1-1HF井为中心，井口前55m，井口后80m），前场宽60m，后场宽75m，距离雷页1井井口15.81m设置雷页1-1HF井井口，沿雷页1-1HF井场主轴方向再向前场方向10m设置雷茅页1井井口。利用原污水池（与应急池合建）容积为2</w:t>
      </w:r>
      <w:r>
        <w:rPr>
          <w:rFonts w:hint="eastAsia"/>
          <w:color w:val="000000" w:themeColor="text1"/>
          <w:szCs w:val="24"/>
          <w:highlight w:val="none"/>
          <w14:textFill>
            <w14:solidFill>
              <w14:schemeClr w14:val="tx1"/>
            </w14:solidFill>
          </w14:textFill>
        </w:rPr>
        <w:t>70</w:t>
      </w:r>
      <w:r>
        <w:rPr>
          <w:color w:val="000000" w:themeColor="text1"/>
          <w:szCs w:val="24"/>
          <w:highlight w:val="none"/>
          <w14:textFill>
            <w14:solidFill>
              <w14:schemeClr w14:val="tx1"/>
            </w14:solidFill>
          </w14:textFill>
        </w:rPr>
        <w:t>9m</w:t>
      </w:r>
      <w:r>
        <w:rPr>
          <w:color w:val="000000" w:themeColor="text1"/>
          <w:szCs w:val="24"/>
          <w:highlight w:val="none"/>
          <w:vertAlign w:val="superscript"/>
          <w14:textFill>
            <w14:solidFill>
              <w14:schemeClr w14:val="tx1"/>
            </w14:solidFill>
          </w14:textFill>
        </w:rPr>
        <w:t>3</w:t>
      </w:r>
      <w:r>
        <w:rPr>
          <w:color w:val="000000" w:themeColor="text1"/>
          <w:szCs w:val="24"/>
          <w:highlight w:val="none"/>
          <w14:textFill>
            <w14:solidFill>
              <w14:schemeClr w14:val="tx1"/>
            </w14:solidFill>
          </w14:textFill>
        </w:rPr>
        <w:t>，新建清水池容积2500m</w:t>
      </w:r>
      <w:r>
        <w:rPr>
          <w:color w:val="000000" w:themeColor="text1"/>
          <w:szCs w:val="24"/>
          <w:highlight w:val="none"/>
          <w:vertAlign w:val="superscript"/>
          <w14:textFill>
            <w14:solidFill>
              <w14:schemeClr w14:val="tx1"/>
            </w14:solidFill>
          </w14:textFill>
        </w:rPr>
        <w:t>3</w:t>
      </w:r>
      <w:r>
        <w:rPr>
          <w:color w:val="000000" w:themeColor="text1"/>
          <w:szCs w:val="24"/>
          <w:highlight w:val="none"/>
          <w14:textFill>
            <w14:solidFill>
              <w14:schemeClr w14:val="tx1"/>
            </w14:solidFill>
          </w14:textFill>
        </w:rPr>
        <w:t>，利用原井场南侧主放喷池，容积300m</w:t>
      </w:r>
      <w:r>
        <w:rPr>
          <w:color w:val="000000" w:themeColor="text1"/>
          <w:szCs w:val="24"/>
          <w:highlight w:val="none"/>
          <w:vertAlign w:val="superscript"/>
          <w14:textFill>
            <w14:solidFill>
              <w14:schemeClr w14:val="tx1"/>
            </w14:solidFill>
          </w14:textFill>
        </w:rPr>
        <w:t>3</w:t>
      </w:r>
      <w:r>
        <w:rPr>
          <w:color w:val="000000" w:themeColor="text1"/>
          <w:szCs w:val="24"/>
          <w:highlight w:val="none"/>
          <w14:textFill>
            <w14:solidFill>
              <w14:schemeClr w14:val="tx1"/>
            </w14:solidFill>
          </w14:textFill>
        </w:rPr>
        <w:t>，在井场东北侧的新建副放喷池，容积300m</w:t>
      </w:r>
      <w:r>
        <w:rPr>
          <w:color w:val="000000" w:themeColor="text1"/>
          <w:szCs w:val="24"/>
          <w:highlight w:val="none"/>
          <w:vertAlign w:val="superscript"/>
          <w14:textFill>
            <w14:solidFill>
              <w14:schemeClr w14:val="tx1"/>
            </w14:solidFill>
          </w14:textFill>
        </w:rPr>
        <w:t>3</w:t>
      </w:r>
      <w:r>
        <w:rPr>
          <w:color w:val="000000" w:themeColor="text1"/>
          <w:szCs w:val="24"/>
          <w:highlight w:val="none"/>
          <w14:textFill>
            <w14:solidFill>
              <w14:schemeClr w14:val="tx1"/>
            </w14:solidFill>
          </w14:textFill>
        </w:rPr>
        <w:t>。拟建工程基本情况</w:t>
      </w:r>
      <w:r>
        <w:rPr>
          <w:rFonts w:hint="eastAsia"/>
          <w:color w:val="000000" w:themeColor="text1"/>
          <w:szCs w:val="24"/>
          <w:highlight w:val="none"/>
          <w14:textFill>
            <w14:solidFill>
              <w14:schemeClr w14:val="tx1"/>
            </w14:solidFill>
          </w14:textFill>
        </w:rPr>
        <w:t>下表</w:t>
      </w:r>
      <w:r>
        <w:rPr>
          <w:color w:val="000000" w:themeColor="text1"/>
          <w:szCs w:val="24"/>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表3.1-1 </w:t>
      </w:r>
      <w:r>
        <w:rPr>
          <w:rFonts w:hint="eastAsia"/>
          <w:color w:val="000000" w:themeColor="text1"/>
          <w:highlight w:val="none"/>
          <w14:textFill>
            <w14:solidFill>
              <w14:schemeClr w14:val="tx1"/>
            </w14:solidFill>
          </w14:textFill>
        </w:rPr>
        <w:t>相关</w:t>
      </w:r>
      <w:r>
        <w:rPr>
          <w:color w:val="000000" w:themeColor="text1"/>
          <w:highlight w:val="none"/>
          <w14:textFill>
            <w14:solidFill>
              <w14:schemeClr w14:val="tx1"/>
            </w14:solidFill>
          </w14:textFill>
        </w:rPr>
        <w:t>工程基本情况一览表</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8"/>
        <w:gridCol w:w="626"/>
        <w:gridCol w:w="962"/>
        <w:gridCol w:w="1029"/>
        <w:gridCol w:w="1454"/>
        <w:gridCol w:w="936"/>
        <w:gridCol w:w="936"/>
        <w:gridCol w:w="936"/>
        <w:gridCol w:w="9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jc w:val="center"/>
        </w:trPr>
        <w:tc>
          <w:tcPr>
            <w:tcW w:w="714"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井号</w:t>
            </w:r>
          </w:p>
        </w:tc>
        <w:tc>
          <w:tcPr>
            <w:tcW w:w="851"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地理位置</w:t>
            </w:r>
          </w:p>
        </w:tc>
        <w:tc>
          <w:tcPr>
            <w:tcW w:w="992"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构造位置</w:t>
            </w:r>
          </w:p>
        </w:tc>
        <w:tc>
          <w:tcPr>
            <w:tcW w:w="1134"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目的层</w:t>
            </w:r>
          </w:p>
        </w:tc>
        <w:tc>
          <w:tcPr>
            <w:tcW w:w="204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设计井深</w:t>
            </w:r>
          </w:p>
        </w:tc>
        <w:tc>
          <w:tcPr>
            <w:tcW w:w="510"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井别</w:t>
            </w:r>
          </w:p>
        </w:tc>
        <w:tc>
          <w:tcPr>
            <w:tcW w:w="432"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井型</w:t>
            </w:r>
          </w:p>
        </w:tc>
        <w:tc>
          <w:tcPr>
            <w:tcW w:w="417"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完井方式</w:t>
            </w:r>
          </w:p>
        </w:tc>
        <w:tc>
          <w:tcPr>
            <w:tcW w:w="1071"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完钻层位及原则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jc w:val="center"/>
        </w:trPr>
        <w:tc>
          <w:tcPr>
            <w:tcW w:w="714"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雷页1-1HF井</w:t>
            </w:r>
          </w:p>
        </w:tc>
        <w:tc>
          <w:tcPr>
            <w:tcW w:w="851"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达州市宣汉县</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石虎村8组</w:t>
            </w:r>
          </w:p>
        </w:tc>
        <w:tc>
          <w:tcPr>
            <w:tcW w:w="992" w:type="dxa"/>
            <w:vMerge w:val="restart"/>
            <w:vAlign w:val="center"/>
          </w:tcPr>
          <w:p>
            <w:pPr>
              <w:ind w:firstLine="480" w:firstLineChars="200"/>
              <w:rPr>
                <w:rFonts w:hint="eastAsia"/>
              </w:rPr>
            </w:pPr>
            <w:r>
              <w:rPr>
                <w:rFonts w:hint="eastAsia"/>
              </w:rPr>
              <w:t>**</w:t>
            </w:r>
          </w:p>
          <w:p>
            <w:pPr>
              <w:ind w:firstLine="480" w:firstLineChars="200"/>
            </w:pPr>
            <w:r>
              <w:rPr>
                <w:rFonts w:hint="eastAsia"/>
              </w:rPr>
              <w:t>**</w:t>
            </w:r>
          </w:p>
        </w:tc>
        <w:tc>
          <w:tcPr>
            <w:tcW w:w="1134" w:type="dxa"/>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2043" w:type="dxa"/>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510" w:type="dxa"/>
            <w:vMerge w:val="restart"/>
            <w:vAlign w:val="center"/>
          </w:tcPr>
          <w:p>
            <w:pPr>
              <w:ind w:firstLine="480" w:firstLineChars="200"/>
              <w:rPr>
                <w:rFonts w:hint="eastAsia"/>
              </w:rPr>
            </w:pPr>
            <w:r>
              <w:rPr>
                <w:rFonts w:hint="eastAsia"/>
              </w:rPr>
              <w:t>**</w:t>
            </w:r>
          </w:p>
          <w:p>
            <w:pPr>
              <w:ind w:firstLine="480" w:firstLineChars="200"/>
            </w:pPr>
            <w:r>
              <w:rPr>
                <w:rFonts w:hint="eastAsia"/>
              </w:rPr>
              <w:t>**</w:t>
            </w:r>
          </w:p>
        </w:tc>
        <w:tc>
          <w:tcPr>
            <w:tcW w:w="432" w:type="dxa"/>
            <w:vMerge w:val="restart"/>
            <w:vAlign w:val="center"/>
          </w:tcPr>
          <w:p>
            <w:pPr>
              <w:ind w:firstLine="480" w:firstLineChars="200"/>
              <w:rPr>
                <w:rFonts w:hint="eastAsia"/>
              </w:rPr>
            </w:pPr>
            <w:r>
              <w:rPr>
                <w:rFonts w:hint="eastAsia"/>
              </w:rPr>
              <w:t>**</w:t>
            </w:r>
          </w:p>
          <w:p>
            <w:pPr>
              <w:ind w:firstLine="480" w:firstLineChars="200"/>
            </w:pPr>
            <w:r>
              <w:rPr>
                <w:rFonts w:hint="eastAsia"/>
              </w:rPr>
              <w:t>**</w:t>
            </w:r>
          </w:p>
        </w:tc>
        <w:tc>
          <w:tcPr>
            <w:tcW w:w="417" w:type="dxa"/>
            <w:vMerge w:val="restart"/>
            <w:vAlign w:val="center"/>
          </w:tcPr>
          <w:p>
            <w:pPr>
              <w:ind w:firstLine="480" w:firstLineChars="200"/>
              <w:rPr>
                <w:rFonts w:hint="eastAsia"/>
              </w:rPr>
            </w:pPr>
            <w:r>
              <w:rPr>
                <w:rFonts w:hint="eastAsia"/>
              </w:rPr>
              <w:t>**</w:t>
            </w:r>
          </w:p>
          <w:p>
            <w:pPr>
              <w:ind w:firstLine="480" w:firstLineChars="200"/>
            </w:pPr>
            <w:r>
              <w:rPr>
                <w:rFonts w:hint="eastAsia"/>
              </w:rPr>
              <w:t>**</w:t>
            </w:r>
          </w:p>
        </w:tc>
        <w:tc>
          <w:tcPr>
            <w:tcW w:w="1071" w:type="dxa"/>
            <w:vAlign w:val="center"/>
          </w:tcPr>
          <w:p>
            <w:pPr>
              <w:ind w:firstLine="480" w:firstLineChars="200"/>
              <w:rPr>
                <w:color w:val="000000" w:themeColor="text1"/>
                <w:highlight w:val="none"/>
                <w14:textFill>
                  <w14:solidFill>
                    <w14:schemeClr w14:val="tx1"/>
                  </w14:solidFill>
                </w14:textFill>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jc w:val="center"/>
        </w:trPr>
        <w:tc>
          <w:tcPr>
            <w:tcW w:w="714"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雷茅页1HF井</w:t>
            </w:r>
          </w:p>
        </w:tc>
        <w:tc>
          <w:tcPr>
            <w:tcW w:w="851" w:type="dxa"/>
            <w:vMerge w:val="continue"/>
            <w:vAlign w:val="center"/>
          </w:tcPr>
          <w:p>
            <w:pPr>
              <w:pStyle w:val="118"/>
              <w:rPr>
                <w:color w:val="000000" w:themeColor="text1"/>
                <w:highlight w:val="none"/>
                <w14:textFill>
                  <w14:solidFill>
                    <w14:schemeClr w14:val="tx1"/>
                  </w14:solidFill>
                </w14:textFill>
              </w:rPr>
            </w:pPr>
          </w:p>
        </w:tc>
        <w:tc>
          <w:tcPr>
            <w:tcW w:w="992" w:type="dxa"/>
            <w:vMerge w:val="continue"/>
            <w:vAlign w:val="center"/>
          </w:tcPr>
          <w:p>
            <w:pPr>
              <w:pStyle w:val="118"/>
              <w:rPr>
                <w:color w:val="000000" w:themeColor="text1"/>
                <w:highlight w:val="none"/>
                <w14:textFill>
                  <w14:solidFill>
                    <w14:schemeClr w14:val="tx1"/>
                  </w14:solidFill>
                </w14:textFill>
              </w:rPr>
            </w:pPr>
          </w:p>
        </w:tc>
        <w:tc>
          <w:tcPr>
            <w:tcW w:w="1134" w:type="dxa"/>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2043" w:type="dxa"/>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510" w:type="dxa"/>
            <w:vMerge w:val="continue"/>
            <w:vAlign w:val="center"/>
          </w:tcPr>
          <w:p>
            <w:pPr>
              <w:pStyle w:val="118"/>
              <w:rPr>
                <w:color w:val="000000" w:themeColor="text1"/>
                <w:highlight w:val="none"/>
                <w14:textFill>
                  <w14:solidFill>
                    <w14:schemeClr w14:val="tx1"/>
                  </w14:solidFill>
                </w14:textFill>
              </w:rPr>
            </w:pPr>
          </w:p>
        </w:tc>
        <w:tc>
          <w:tcPr>
            <w:tcW w:w="432" w:type="dxa"/>
            <w:vMerge w:val="continue"/>
            <w:vAlign w:val="center"/>
          </w:tcPr>
          <w:p>
            <w:pPr>
              <w:pStyle w:val="118"/>
              <w:rPr>
                <w:color w:val="000000" w:themeColor="text1"/>
                <w:highlight w:val="none"/>
                <w14:textFill>
                  <w14:solidFill>
                    <w14:schemeClr w14:val="tx1"/>
                  </w14:solidFill>
                </w14:textFill>
              </w:rPr>
            </w:pPr>
          </w:p>
        </w:tc>
        <w:tc>
          <w:tcPr>
            <w:tcW w:w="417" w:type="dxa"/>
            <w:vMerge w:val="continue"/>
            <w:vAlign w:val="center"/>
          </w:tcPr>
          <w:p>
            <w:pPr>
              <w:pStyle w:val="118"/>
              <w:rPr>
                <w:color w:val="000000" w:themeColor="text1"/>
                <w:highlight w:val="none"/>
                <w14:textFill>
                  <w14:solidFill>
                    <w14:schemeClr w14:val="tx1"/>
                  </w14:solidFill>
                </w14:textFill>
              </w:rPr>
            </w:pPr>
          </w:p>
        </w:tc>
        <w:tc>
          <w:tcPr>
            <w:tcW w:w="1071" w:type="dxa"/>
            <w:vAlign w:val="center"/>
          </w:tcPr>
          <w:p>
            <w:pPr>
              <w:ind w:firstLine="480" w:firstLineChars="200"/>
              <w:rPr>
                <w:color w:val="000000" w:themeColor="text1"/>
                <w:highlight w:val="none"/>
                <w14:textFill>
                  <w14:solidFill>
                    <w14:schemeClr w14:val="tx1"/>
                  </w14:solidFill>
                </w14:textFill>
              </w:rPr>
            </w:pPr>
            <w:r>
              <w:rPr>
                <w:rFonts w:hint="eastAsia"/>
              </w:rPr>
              <w:t>**</w:t>
            </w:r>
          </w:p>
        </w:tc>
      </w:tr>
    </w:tbl>
    <w:p>
      <w:pPr>
        <w:pStyle w:val="4"/>
        <w:spacing w:before="120"/>
        <w:rPr>
          <w:color w:val="000000" w:themeColor="text1"/>
          <w:highlight w:val="none"/>
          <w:lang w:eastAsia="zh-CN"/>
          <w14:textFill>
            <w14:solidFill>
              <w14:schemeClr w14:val="tx1"/>
            </w14:solidFill>
          </w14:textFill>
        </w:rPr>
      </w:pPr>
      <w:bookmarkStart w:id="124" w:name="_Toc25600"/>
      <w:r>
        <w:rPr>
          <w:color w:val="000000" w:themeColor="text1"/>
          <w:highlight w:val="none"/>
          <w:lang w:eastAsia="zh-CN"/>
          <w14:textFill>
            <w14:solidFill>
              <w14:schemeClr w14:val="tx1"/>
            </w14:solidFill>
          </w14:textFill>
        </w:rPr>
        <w:t>项目概况</w:t>
      </w:r>
      <w:bookmarkEnd w:id="124"/>
    </w:p>
    <w:p>
      <w:pPr>
        <w:pStyle w:val="5"/>
        <w:spacing w:before="120"/>
        <w:ind w:firstLine="480"/>
        <w:rPr>
          <w:b/>
          <w:color w:val="000000" w:themeColor="text1"/>
          <w:highlight w:val="none"/>
          <w:lang w:eastAsia="zh-CN"/>
          <w14:textFill>
            <w14:solidFill>
              <w14:schemeClr w14:val="tx1"/>
            </w14:solidFill>
          </w14:textFill>
        </w:rPr>
      </w:pPr>
      <w:bookmarkStart w:id="125" w:name="_Toc120173099"/>
      <w:r>
        <w:rPr>
          <w:color w:val="000000" w:themeColor="text1"/>
          <w:highlight w:val="none"/>
          <w:lang w:eastAsia="zh-CN"/>
          <w14:textFill>
            <w14:solidFill>
              <w14:schemeClr w14:val="tx1"/>
            </w14:solidFill>
          </w14:textFill>
        </w:rPr>
        <w:t>建设项目基本情况</w:t>
      </w:r>
      <w:bookmarkEnd w:id="125"/>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项目名称：</w:t>
      </w:r>
      <w:r>
        <w:rPr>
          <w:rFonts w:hint="eastAsia" w:cs="Times New Roman"/>
          <w:bCs/>
          <w:color w:val="000000" w:themeColor="text1"/>
          <w:szCs w:val="24"/>
          <w:highlight w:val="none"/>
          <w14:textFill>
            <w14:solidFill>
              <w14:schemeClr w14:val="tx1"/>
            </w14:solidFill>
          </w14:textFill>
        </w:rPr>
        <w:t>雷页1井试采地面工程</w:t>
      </w:r>
      <w:r>
        <w:rPr>
          <w:rFonts w:cs="Times New Roman"/>
          <w:bCs/>
          <w:color w:val="000000" w:themeColor="text1"/>
          <w:szCs w:val="24"/>
          <w:highlight w:val="none"/>
          <w14:textFill>
            <w14:solidFill>
              <w14:schemeClr w14:val="tx1"/>
            </w14:solidFill>
          </w14:textFill>
        </w:rPr>
        <w:t>；</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建设单位：中国石油化工股份有限公司中原油田普光分公司；</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建设性质：</w:t>
      </w:r>
      <w:r>
        <w:rPr>
          <w:rFonts w:hint="eastAsia" w:cs="Times New Roman"/>
          <w:bCs/>
          <w:color w:val="000000" w:themeColor="text1"/>
          <w:szCs w:val="24"/>
          <w:highlight w:val="none"/>
          <w14:textFill>
            <w14:solidFill>
              <w14:schemeClr w14:val="tx1"/>
            </w14:solidFill>
          </w14:textFill>
        </w:rPr>
        <w:t>新</w:t>
      </w:r>
      <w:r>
        <w:rPr>
          <w:rFonts w:cs="Times New Roman"/>
          <w:bCs/>
          <w:color w:val="000000" w:themeColor="text1"/>
          <w:szCs w:val="24"/>
          <w:highlight w:val="none"/>
          <w14:textFill>
            <w14:solidFill>
              <w14:schemeClr w14:val="tx1"/>
            </w14:solidFill>
          </w14:textFill>
        </w:rPr>
        <w:t>建；</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建设地点：宣汉县</w:t>
      </w:r>
      <w:r>
        <w:rPr>
          <w:rFonts w:hint="eastAsia" w:cs="Times New Roman"/>
          <w:bCs/>
          <w:color w:val="000000" w:themeColor="text1"/>
          <w:szCs w:val="24"/>
          <w:highlight w:val="none"/>
          <w:lang w:eastAsia="zh-CN"/>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w:t>
      </w:r>
      <w:bookmarkStart w:id="126" w:name="_Hlk164088431"/>
      <w:r>
        <w:rPr>
          <w:rFonts w:hint="eastAsia" w:cs="Times New Roman"/>
          <w:bCs/>
          <w:color w:val="000000" w:themeColor="text1"/>
          <w:szCs w:val="24"/>
          <w:highlight w:val="none"/>
          <w14:textFill>
            <w14:solidFill>
              <w14:schemeClr w14:val="tx1"/>
            </w14:solidFill>
          </w14:textFill>
        </w:rPr>
        <w:t>外输管线涉及</w:t>
      </w:r>
      <w:r>
        <w:rPr>
          <w:rFonts w:cs="Times New Roman"/>
          <w:bCs/>
          <w:color w:val="000000" w:themeColor="text1"/>
          <w:szCs w:val="24"/>
          <w:highlight w:val="none"/>
          <w14:textFill>
            <w14:solidFill>
              <w14:schemeClr w14:val="tx1"/>
            </w14:solidFill>
          </w14:textFill>
        </w:rPr>
        <w:t>宣汉县</w:t>
      </w:r>
      <w:r>
        <w:rPr>
          <w:rFonts w:hint="eastAsia" w:cs="Times New Roman"/>
          <w:bCs/>
          <w:color w:val="000000" w:themeColor="text1"/>
          <w:szCs w:val="24"/>
          <w:highlight w:val="none"/>
          <w:lang w:eastAsia="zh-CN"/>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、红岭镇、通川区魏兴镇</w:t>
      </w:r>
      <w:bookmarkEnd w:id="126"/>
      <w:r>
        <w:rPr>
          <w:rFonts w:cs="Times New Roman"/>
          <w:bCs/>
          <w:color w:val="000000" w:themeColor="text1"/>
          <w:szCs w:val="24"/>
          <w:highlight w:val="none"/>
          <w14:textFill>
            <w14:solidFill>
              <w14:schemeClr w14:val="tx1"/>
            </w14:solidFill>
          </w14:textFill>
        </w:rPr>
        <w:t>；</w:t>
      </w:r>
    </w:p>
    <w:p>
      <w:pPr>
        <w:tabs>
          <w:tab w:val="left" w:pos="0"/>
        </w:tabs>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试采</w:t>
      </w:r>
      <w:r>
        <w:rPr>
          <w:rFonts w:cs="Times New Roman"/>
          <w:color w:val="000000" w:themeColor="text1"/>
          <w:szCs w:val="24"/>
          <w:highlight w:val="none"/>
          <w14:textFill>
            <w14:solidFill>
              <w14:schemeClr w14:val="tx1"/>
            </w14:solidFill>
          </w14:textFill>
        </w:rPr>
        <w:t>规模：</w:t>
      </w:r>
      <w:r>
        <w:rPr>
          <w:rFonts w:hint="eastAsia" w:cs="Times New Roman"/>
          <w:color w:val="000000" w:themeColor="text1"/>
          <w:szCs w:val="24"/>
          <w:highlight w:val="none"/>
          <w14:textFill>
            <w14:solidFill>
              <w14:schemeClr w14:val="tx1"/>
            </w14:solidFill>
          </w14:textFill>
        </w:rPr>
        <w:t>2</w:t>
      </w:r>
      <w:r>
        <w:rPr>
          <w:rFonts w:cs="Times New Roman"/>
          <w:color w:val="000000" w:themeColor="text1"/>
          <w:szCs w:val="24"/>
          <w:highlight w:val="none"/>
          <w14:textFill>
            <w14:solidFill>
              <w14:schemeClr w14:val="tx1"/>
            </w14:solidFill>
          </w14:textFill>
        </w:rPr>
        <w:t>0</w:t>
      </w:r>
      <w:r>
        <w:rPr>
          <w:rFonts w:ascii="宋体" w:hAnsi="宋体"/>
          <w:color w:val="000000" w:themeColor="text1"/>
          <w:szCs w:val="24"/>
          <w:highlight w:val="none"/>
          <w14:textFill>
            <w14:solidFill>
              <w14:schemeClr w14:val="tx1"/>
            </w14:solidFill>
          </w14:textFill>
        </w:rPr>
        <w:t>×</w:t>
      </w:r>
      <w:r>
        <w:rPr>
          <w:color w:val="000000" w:themeColor="text1"/>
          <w:szCs w:val="24"/>
          <w:highlight w:val="none"/>
          <w14:textFill>
            <w14:solidFill>
              <w14:schemeClr w14:val="tx1"/>
            </w14:solidFill>
          </w14:textFill>
        </w:rPr>
        <w:t>10</w:t>
      </w:r>
      <w:r>
        <w:rPr>
          <w:color w:val="000000" w:themeColor="text1"/>
          <w:szCs w:val="24"/>
          <w:highlight w:val="none"/>
          <w:vertAlign w:val="superscript"/>
          <w14:textFill>
            <w14:solidFill>
              <w14:schemeClr w14:val="tx1"/>
            </w14:solidFill>
          </w14:textFill>
        </w:rPr>
        <w:t>4</w:t>
      </w:r>
      <w:r>
        <w:rPr>
          <w:color w:val="000000" w:themeColor="text1"/>
          <w:szCs w:val="24"/>
          <w:highlight w:val="none"/>
          <w14:textFill>
            <w14:solidFill>
              <w14:schemeClr w14:val="tx1"/>
            </w14:solidFill>
          </w14:textFill>
        </w:rPr>
        <w:t>m</w:t>
      </w:r>
      <w:r>
        <w:rPr>
          <w:color w:val="000000" w:themeColor="text1"/>
          <w:szCs w:val="24"/>
          <w:highlight w:val="none"/>
          <w:vertAlign w:val="superscript"/>
          <w14:textFill>
            <w14:solidFill>
              <w14:schemeClr w14:val="tx1"/>
            </w14:solidFill>
          </w14:textFill>
        </w:rPr>
        <w:t>3</w:t>
      </w:r>
      <w:r>
        <w:rPr>
          <w:color w:val="000000" w:themeColor="text1"/>
          <w:szCs w:val="24"/>
          <w:highlight w:val="none"/>
          <w14:textFill>
            <w14:solidFill>
              <w14:schemeClr w14:val="tx1"/>
            </w14:solidFill>
          </w14:textFill>
        </w:rPr>
        <w:t>/d</w:t>
      </w:r>
      <w:r>
        <w:rPr>
          <w:rFonts w:cs="Times New Roman"/>
          <w:color w:val="000000" w:themeColor="text1"/>
          <w:szCs w:val="24"/>
          <w:highlight w:val="none"/>
          <w14:textFill>
            <w14:solidFill>
              <w14:schemeClr w14:val="tx1"/>
            </w14:solidFill>
          </w14:textFill>
        </w:rPr>
        <w:t>；</w:t>
      </w:r>
    </w:p>
    <w:p>
      <w:pPr>
        <w:tabs>
          <w:tab w:val="left" w:pos="5812"/>
        </w:tabs>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试采周期：2年</w:t>
      </w:r>
      <w:r>
        <w:rPr>
          <w:rFonts w:hint="eastAsia"/>
          <w:color w:val="000000" w:themeColor="text1"/>
          <w:highlight w:val="none"/>
          <w14:textFill>
            <w14:solidFill>
              <w14:schemeClr w14:val="tx1"/>
            </w14:solidFill>
          </w14:textFill>
        </w:rPr>
        <w:t>；</w:t>
      </w:r>
    </w:p>
    <w:p>
      <w:pPr>
        <w:tabs>
          <w:tab w:val="left" w:pos="5812"/>
        </w:tabs>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试采对象：雷页1井；</w:t>
      </w:r>
    </w:p>
    <w:p>
      <w:pPr>
        <w:tabs>
          <w:tab w:val="left" w:pos="0"/>
        </w:tabs>
        <w:ind w:firstLine="476"/>
        <w:rPr>
          <w:rFonts w:cs="Times New Roman"/>
          <w:color w:val="000000" w:themeColor="text1"/>
          <w:szCs w:val="24"/>
          <w:highlight w:val="none"/>
          <w14:textFill>
            <w14:solidFill>
              <w14:schemeClr w14:val="tx1"/>
            </w14:solidFill>
          </w14:textFill>
        </w:rPr>
      </w:pPr>
      <w:r>
        <w:rPr>
          <w:rFonts w:hint="eastAsia"/>
          <w:color w:val="000000" w:themeColor="text1"/>
          <w:spacing w:val="-2"/>
          <w:highlight w:val="none"/>
          <w14:textFill>
            <w14:solidFill>
              <w14:schemeClr w14:val="tx1"/>
            </w14:solidFill>
          </w14:textFill>
        </w:rPr>
        <w:t>集输管道设计参数：</w:t>
      </w:r>
      <w:r>
        <w:rPr>
          <w:color w:val="000000" w:themeColor="text1"/>
          <w:spacing w:val="-2"/>
          <w:highlight w:val="none"/>
          <w14:textFill>
            <w14:solidFill>
              <w14:schemeClr w14:val="tx1"/>
            </w14:solidFill>
          </w14:textFill>
        </w:rPr>
        <w:t>11.8</w:t>
      </w:r>
      <w:r>
        <w:rPr>
          <w:rFonts w:hint="eastAsia"/>
          <w:color w:val="000000" w:themeColor="text1"/>
          <w:spacing w:val="-2"/>
          <w:highlight w:val="none"/>
          <w14:textFill>
            <w14:solidFill>
              <w14:schemeClr w14:val="tx1"/>
            </w14:solidFill>
          </w14:textFill>
        </w:rPr>
        <w:t>km，设计压力</w:t>
      </w:r>
      <w:r>
        <w:rPr>
          <w:color w:val="000000" w:themeColor="text1"/>
          <w:spacing w:val="-2"/>
          <w:highlight w:val="none"/>
          <w14:textFill>
            <w14:solidFill>
              <w14:schemeClr w14:val="tx1"/>
            </w14:solidFill>
          </w14:textFill>
        </w:rPr>
        <w:t>6.3</w:t>
      </w:r>
      <w:r>
        <w:rPr>
          <w:rFonts w:hint="eastAsia"/>
          <w:color w:val="000000" w:themeColor="text1"/>
          <w:spacing w:val="-2"/>
          <w:highlight w:val="none"/>
          <w14:textFill>
            <w14:solidFill>
              <w14:schemeClr w14:val="tx1"/>
            </w14:solidFill>
          </w14:textFill>
        </w:rPr>
        <w:t>PMa，设计输气规模</w:t>
      </w:r>
      <w:r>
        <w:rPr>
          <w:color w:val="000000" w:themeColor="text1"/>
          <w:highlight w:val="none"/>
          <w14:textFill>
            <w14:solidFill>
              <w14:schemeClr w14:val="tx1"/>
            </w14:solidFill>
          </w14:textFill>
        </w:rPr>
        <w:t>60×</w:t>
      </w:r>
      <w:r>
        <w:rPr>
          <w:color w:val="000000" w:themeColor="text1"/>
          <w:szCs w:val="24"/>
          <w:highlight w:val="none"/>
          <w14:textFill>
            <w14:solidFill>
              <w14:schemeClr w14:val="tx1"/>
            </w14:solidFill>
          </w14:textFill>
        </w:rPr>
        <w:t>10</w:t>
      </w:r>
      <w:r>
        <w:rPr>
          <w:color w:val="000000" w:themeColor="text1"/>
          <w:szCs w:val="24"/>
          <w:highlight w:val="none"/>
          <w:vertAlign w:val="superscript"/>
          <w14:textFill>
            <w14:solidFill>
              <w14:schemeClr w14:val="tx1"/>
            </w14:solidFill>
          </w14:textFill>
        </w:rPr>
        <w:t>4</w:t>
      </w:r>
      <w:r>
        <w:rPr>
          <w:color w:val="000000" w:themeColor="text1"/>
          <w:szCs w:val="24"/>
          <w:highlight w:val="none"/>
          <w14:textFill>
            <w14:solidFill>
              <w14:schemeClr w14:val="tx1"/>
            </w14:solidFill>
          </w14:textFill>
        </w:rPr>
        <w:t>m</w:t>
      </w:r>
      <w:r>
        <w:rPr>
          <w:color w:val="000000" w:themeColor="text1"/>
          <w:szCs w:val="24"/>
          <w:highlight w:val="none"/>
          <w:vertAlign w:val="superscript"/>
          <w14:textFill>
            <w14:solidFill>
              <w14:schemeClr w14:val="tx1"/>
            </w14:solidFill>
          </w14:textFill>
        </w:rPr>
        <w:t>3</w:t>
      </w:r>
      <w:r>
        <w:rPr>
          <w:color w:val="000000" w:themeColor="text1"/>
          <w:szCs w:val="24"/>
          <w:highlight w:val="none"/>
          <w14:textFill>
            <w14:solidFill>
              <w14:schemeClr w14:val="tx1"/>
            </w14:solidFill>
          </w14:textFill>
        </w:rPr>
        <w:t>/d</w:t>
      </w:r>
      <w:r>
        <w:rPr>
          <w:rFonts w:hint="eastAsia"/>
          <w:color w:val="000000" w:themeColor="text1"/>
          <w:spacing w:val="-2"/>
          <w:highlight w:val="none"/>
          <w14:textFill>
            <w14:solidFill>
              <w14:schemeClr w14:val="tx1"/>
            </w14:solidFill>
          </w14:textFill>
        </w:rPr>
        <w:t>，</w:t>
      </w:r>
      <w:r>
        <w:rPr>
          <w:rFonts w:hint="eastAsia"/>
          <w:color w:val="000000" w:themeColor="text1"/>
          <w:highlight w:val="none"/>
          <w14:textFill>
            <w14:solidFill>
              <w14:schemeClr w14:val="tx1"/>
            </w14:solidFill>
          </w14:textFill>
        </w:rPr>
        <w:t>L245N无缝钢管（D</w:t>
      </w:r>
      <w:r>
        <w:rPr>
          <w:color w:val="000000" w:themeColor="text1"/>
          <w:highlight w:val="none"/>
          <w14:textFill>
            <w14:solidFill>
              <w14:schemeClr w14:val="tx1"/>
            </w14:solidFill>
          </w14:textFill>
        </w:rPr>
        <w:t>200</w:t>
      </w:r>
      <w:r>
        <w:rPr>
          <w:rFonts w:hint="eastAsia"/>
          <w:color w:val="000000" w:themeColor="text1"/>
          <w:highlight w:val="none"/>
          <w14:textFill>
            <w14:solidFill>
              <w14:schemeClr w14:val="tx1"/>
            </w14:solidFill>
          </w14:textFill>
        </w:rPr>
        <w:t>）；</w:t>
      </w:r>
    </w:p>
    <w:p>
      <w:pPr>
        <w:tabs>
          <w:tab w:val="left" w:pos="0"/>
        </w:tabs>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项目投资：</w:t>
      </w:r>
      <w:r>
        <w:rPr>
          <w:rFonts w:hint="eastAsia" w:cs="Times New Roman"/>
          <w:color w:val="000000" w:themeColor="text1"/>
          <w:szCs w:val="24"/>
          <w:highlight w:val="none"/>
          <w:lang w:eastAsia="zh-CN"/>
          <w14:textFill>
            <w14:solidFill>
              <w14:schemeClr w14:val="tx1"/>
            </w14:solidFill>
          </w14:textFill>
        </w:rPr>
        <w:t>**</w:t>
      </w:r>
      <w:r>
        <w:rPr>
          <w:rFonts w:cs="Times New Roman"/>
          <w:color w:val="000000" w:themeColor="text1"/>
          <w:szCs w:val="24"/>
          <w:highlight w:val="none"/>
          <w14:textFill>
            <w14:solidFill>
              <w14:schemeClr w14:val="tx1"/>
            </w14:solidFill>
          </w14:textFill>
        </w:rPr>
        <w:t>万元；</w:t>
      </w:r>
    </w:p>
    <w:p>
      <w:pPr>
        <w:adjustRightInd/>
        <w:ind w:firstLine="476"/>
        <w:rPr>
          <w:color w:val="000000" w:themeColor="text1"/>
          <w:highlight w:val="none"/>
          <w14:textFill>
            <w14:solidFill>
              <w14:schemeClr w14:val="tx1"/>
            </w14:solidFill>
          </w14:textFill>
        </w:rPr>
      </w:pPr>
      <w:bookmarkStart w:id="127" w:name="_Hlk150180873"/>
      <w:r>
        <w:rPr>
          <w:color w:val="000000" w:themeColor="text1"/>
          <w:spacing w:val="-2"/>
          <w:highlight w:val="none"/>
          <w14:textFill>
            <w14:solidFill>
              <w14:schemeClr w14:val="tx1"/>
            </w14:solidFill>
          </w14:textFill>
        </w:rPr>
        <w:t>占地面积：</w:t>
      </w:r>
      <w:r>
        <w:rPr>
          <w:rFonts w:hint="eastAsia"/>
          <w:color w:val="000000" w:themeColor="text1"/>
          <w:spacing w:val="-2"/>
          <w:highlight w:val="none"/>
          <w14:textFill>
            <w14:solidFill>
              <w14:schemeClr w14:val="tx1"/>
            </w14:solidFill>
          </w14:textFill>
        </w:rPr>
        <w:t>试采站占地</w:t>
      </w:r>
      <w:r>
        <w:rPr>
          <w:color w:val="000000" w:themeColor="text1"/>
          <w:highlight w:val="none"/>
          <w14:textFill>
            <w14:solidFill>
              <w14:schemeClr w14:val="tx1"/>
            </w14:solidFill>
          </w14:textFill>
        </w:rPr>
        <w:t>2805</w:t>
      </w:r>
      <w:r>
        <w:rPr>
          <w:rFonts w:hint="eastAsia"/>
          <w:color w:val="000000" w:themeColor="text1"/>
          <w:highlight w:val="none"/>
          <w14:textFill>
            <w14:solidFill>
              <w14:schemeClr w14:val="tx1"/>
            </w14:solidFill>
          </w14:textFill>
        </w:rPr>
        <w:t>m</w:t>
      </w:r>
      <w:r>
        <w:rPr>
          <w:rFonts w:hint="eastAsia"/>
          <w:color w:val="000000" w:themeColor="text1"/>
          <w:highlight w:val="none"/>
          <w:vertAlign w:val="superscript"/>
          <w14:textFill>
            <w14:solidFill>
              <w14:schemeClr w14:val="tx1"/>
            </w14:solidFill>
          </w14:textFill>
        </w:rPr>
        <w:t>2</w:t>
      </w:r>
      <w:r>
        <w:rPr>
          <w:rFonts w:hint="eastAsia"/>
          <w:color w:val="000000" w:themeColor="text1"/>
          <w:highlight w:val="none"/>
          <w14:textFill>
            <w14:solidFill>
              <w14:schemeClr w14:val="tx1"/>
            </w14:solidFill>
          </w14:textFill>
        </w:rPr>
        <w:t>，集输管线临时占地面积为118200m</w:t>
      </w:r>
      <w:r>
        <w:rPr>
          <w:rFonts w:hint="eastAsia"/>
          <w:color w:val="000000" w:themeColor="text1"/>
          <w:highlight w:val="none"/>
          <w:vertAlign w:val="superscript"/>
          <w14:textFill>
            <w14:solidFill>
              <w14:schemeClr w14:val="tx1"/>
            </w14:solidFill>
          </w14:textFill>
        </w:rPr>
        <w:t>2</w:t>
      </w:r>
      <w:r>
        <w:rPr>
          <w:rFonts w:hint="eastAsia"/>
          <w:color w:val="000000" w:themeColor="text1"/>
          <w:highlight w:val="none"/>
          <w14:textFill>
            <w14:solidFill>
              <w14:schemeClr w14:val="tx1"/>
            </w14:solidFill>
          </w14:textFill>
        </w:rPr>
        <w:t>；</w:t>
      </w:r>
    </w:p>
    <w:p>
      <w:pPr>
        <w:tabs>
          <w:tab w:val="left" w:pos="5812"/>
        </w:tabs>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劳动定员：</w:t>
      </w:r>
      <w:r>
        <w:rPr>
          <w:rFonts w:hint="eastAsia"/>
          <w:color w:val="000000" w:themeColor="text1"/>
          <w:highlight w:val="none"/>
          <w14:textFill>
            <w14:solidFill>
              <w14:schemeClr w14:val="tx1"/>
            </w14:solidFill>
          </w14:textFill>
        </w:rPr>
        <w:t>试采期站场定员10人，每班2人，采用五班四倒。</w:t>
      </w:r>
    </w:p>
    <w:p>
      <w:pPr>
        <w:pStyle w:val="5"/>
        <w:spacing w:before="120"/>
        <w:ind w:firstLine="480"/>
        <w:rPr>
          <w:b/>
          <w:color w:val="000000" w:themeColor="text1"/>
          <w:highlight w:val="none"/>
          <w:lang w:eastAsia="zh-CN"/>
          <w14:textFill>
            <w14:solidFill>
              <w14:schemeClr w14:val="tx1"/>
            </w14:solidFill>
          </w14:textFill>
        </w:rPr>
      </w:pPr>
      <w:bookmarkStart w:id="128" w:name="_Toc120173101"/>
      <w:r>
        <w:rPr>
          <w:color w:val="000000" w:themeColor="text1"/>
          <w:highlight w:val="none"/>
          <w:lang w:eastAsia="zh-CN"/>
          <w14:textFill>
            <w14:solidFill>
              <w14:schemeClr w14:val="tx1"/>
            </w14:solidFill>
          </w14:textFill>
        </w:rPr>
        <w:t>项目组成及建设内容</w:t>
      </w:r>
      <w:bookmarkEnd w:id="128"/>
    </w:p>
    <w:p>
      <w:pPr>
        <w:ind w:firstLine="480"/>
        <w:rPr>
          <w:rFonts w:cs="Times New Roman"/>
          <w:bCs/>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本</w:t>
      </w:r>
      <w:r>
        <w:rPr>
          <w:rFonts w:cs="Times New Roman"/>
          <w:color w:val="000000" w:themeColor="text1"/>
          <w:highlight w:val="none"/>
          <w14:textFill>
            <w14:solidFill>
              <w14:schemeClr w14:val="tx1"/>
            </w14:solidFill>
          </w14:textFill>
        </w:rPr>
        <w:t>项目建设内容：</w:t>
      </w:r>
      <w:r>
        <w:rPr>
          <w:rFonts w:hint="eastAsia" w:cs="Times New Roman"/>
          <w:color w:val="000000" w:themeColor="text1"/>
          <w:highlight w:val="none"/>
          <w14:textFill>
            <w14:solidFill>
              <w14:schemeClr w14:val="tx1"/>
            </w14:solidFill>
          </w14:textFill>
        </w:rPr>
        <w:t>（1）新建雷页1井试采站1座，位于原钻井工程井场西侧，设计试采规模为</w:t>
      </w:r>
      <w:r>
        <w:rPr>
          <w:rFonts w:cs="Times New Roman"/>
          <w:color w:val="000000" w:themeColor="text1"/>
          <w:highlight w:val="none"/>
          <w14:textFill>
            <w14:solidFill>
              <w14:schemeClr w14:val="tx1"/>
            </w14:solidFill>
          </w14:textFill>
        </w:rPr>
        <w:t>20×10</w:t>
      </w:r>
      <w:r>
        <w:rPr>
          <w:rFonts w:cs="Times New Roman"/>
          <w:color w:val="000000" w:themeColor="text1"/>
          <w:highlight w:val="none"/>
          <w:vertAlign w:val="superscript"/>
          <w14:textFill>
            <w14:solidFill>
              <w14:schemeClr w14:val="tx1"/>
            </w14:solidFill>
          </w14:textFill>
        </w:rPr>
        <w:t>4</w:t>
      </w:r>
      <w:r>
        <w:rPr>
          <w:rFonts w:cs="Times New Roman"/>
          <w:color w:val="000000" w:themeColor="text1"/>
          <w:highlight w:val="none"/>
          <w14:textFill>
            <w14:solidFill>
              <w14:schemeClr w14:val="tx1"/>
            </w14:solidFill>
          </w14:textFill>
        </w:rPr>
        <w:t>m</w:t>
      </w:r>
      <w:r>
        <w:rPr>
          <w:rFonts w:cs="Times New Roman"/>
          <w:color w:val="000000" w:themeColor="text1"/>
          <w:highlight w:val="none"/>
          <w:vertAlign w:val="superscript"/>
          <w14:textFill>
            <w14:solidFill>
              <w14:schemeClr w14:val="tx1"/>
            </w14:solidFill>
          </w14:textFill>
        </w:rPr>
        <w:t>3</w:t>
      </w:r>
      <w:r>
        <w:rPr>
          <w:rFonts w:cs="Times New Roman"/>
          <w:color w:val="000000" w:themeColor="text1"/>
          <w:highlight w:val="none"/>
          <w14:textFill>
            <w14:solidFill>
              <w14:schemeClr w14:val="tx1"/>
            </w14:solidFill>
          </w14:textFill>
        </w:rPr>
        <w:t>/d</w:t>
      </w:r>
      <w:r>
        <w:rPr>
          <w:rFonts w:hint="eastAsia" w:cs="Times New Roman"/>
          <w:color w:val="000000" w:themeColor="text1"/>
          <w:highlight w:val="none"/>
          <w14:textFill>
            <w14:solidFill>
              <w14:schemeClr w14:val="tx1"/>
            </w14:solidFill>
          </w14:textFill>
        </w:rPr>
        <w:t>（雷页1井试采规模1</w:t>
      </w:r>
      <w:r>
        <w:rPr>
          <w:rFonts w:cs="Times New Roman"/>
          <w:color w:val="000000" w:themeColor="text1"/>
          <w:highlight w:val="none"/>
          <w14:textFill>
            <w14:solidFill>
              <w14:schemeClr w14:val="tx1"/>
            </w14:solidFill>
          </w14:textFill>
        </w:rPr>
        <w:t>0×10</w:t>
      </w:r>
      <w:r>
        <w:rPr>
          <w:rFonts w:cs="Times New Roman"/>
          <w:color w:val="000000" w:themeColor="text1"/>
          <w:highlight w:val="none"/>
          <w:vertAlign w:val="superscript"/>
          <w14:textFill>
            <w14:solidFill>
              <w14:schemeClr w14:val="tx1"/>
            </w14:solidFill>
          </w14:textFill>
        </w:rPr>
        <w:t>4</w:t>
      </w:r>
      <w:r>
        <w:rPr>
          <w:rFonts w:cs="Times New Roman"/>
          <w:color w:val="000000" w:themeColor="text1"/>
          <w:highlight w:val="none"/>
          <w14:textFill>
            <w14:solidFill>
              <w14:schemeClr w14:val="tx1"/>
            </w14:solidFill>
          </w14:textFill>
        </w:rPr>
        <w:t>m</w:t>
      </w:r>
      <w:r>
        <w:rPr>
          <w:rFonts w:cs="Times New Roman"/>
          <w:color w:val="000000" w:themeColor="text1"/>
          <w:highlight w:val="none"/>
          <w:vertAlign w:val="superscript"/>
          <w14:textFill>
            <w14:solidFill>
              <w14:schemeClr w14:val="tx1"/>
            </w14:solidFill>
          </w14:textFill>
        </w:rPr>
        <w:t>3</w:t>
      </w:r>
      <w:r>
        <w:rPr>
          <w:rFonts w:cs="Times New Roman"/>
          <w:color w:val="000000" w:themeColor="text1"/>
          <w:highlight w:val="none"/>
          <w14:textFill>
            <w14:solidFill>
              <w14:schemeClr w14:val="tx1"/>
            </w14:solidFill>
          </w14:textFill>
        </w:rPr>
        <w:t>/d</w:t>
      </w:r>
      <w:r>
        <w:rPr>
          <w:rFonts w:hint="eastAsia" w:cs="Times New Roman"/>
          <w:color w:val="000000" w:themeColor="text1"/>
          <w:highlight w:val="none"/>
          <w14:textFill>
            <w14:solidFill>
              <w14:schemeClr w14:val="tx1"/>
            </w14:solidFill>
          </w14:textFill>
        </w:rPr>
        <w:t>，同时预留一口井1</w:t>
      </w:r>
      <w:r>
        <w:rPr>
          <w:rFonts w:cs="Times New Roman"/>
          <w:color w:val="000000" w:themeColor="text1"/>
          <w:highlight w:val="none"/>
          <w14:textFill>
            <w14:solidFill>
              <w14:schemeClr w14:val="tx1"/>
            </w14:solidFill>
          </w14:textFill>
        </w:rPr>
        <w:t>0×10</w:t>
      </w:r>
      <w:r>
        <w:rPr>
          <w:rFonts w:cs="Times New Roman"/>
          <w:color w:val="000000" w:themeColor="text1"/>
          <w:highlight w:val="none"/>
          <w:vertAlign w:val="superscript"/>
          <w14:textFill>
            <w14:solidFill>
              <w14:schemeClr w14:val="tx1"/>
            </w14:solidFill>
          </w14:textFill>
        </w:rPr>
        <w:t>4</w:t>
      </w:r>
      <w:r>
        <w:rPr>
          <w:rFonts w:cs="Times New Roman"/>
          <w:color w:val="000000" w:themeColor="text1"/>
          <w:highlight w:val="none"/>
          <w14:textFill>
            <w14:solidFill>
              <w14:schemeClr w14:val="tx1"/>
            </w14:solidFill>
          </w14:textFill>
        </w:rPr>
        <w:t>m</w:t>
      </w:r>
      <w:r>
        <w:rPr>
          <w:rFonts w:cs="Times New Roman"/>
          <w:color w:val="000000" w:themeColor="text1"/>
          <w:highlight w:val="none"/>
          <w:vertAlign w:val="superscript"/>
          <w14:textFill>
            <w14:solidFill>
              <w14:schemeClr w14:val="tx1"/>
            </w14:solidFill>
          </w14:textFill>
        </w:rPr>
        <w:t>3</w:t>
      </w:r>
      <w:r>
        <w:rPr>
          <w:rFonts w:cs="Times New Roman"/>
          <w:color w:val="000000" w:themeColor="text1"/>
          <w:highlight w:val="none"/>
          <w14:textFill>
            <w14:solidFill>
              <w14:schemeClr w14:val="tx1"/>
            </w14:solidFill>
          </w14:textFill>
        </w:rPr>
        <w:t>/d</w:t>
      </w:r>
      <w:r>
        <w:rPr>
          <w:rFonts w:hint="eastAsia" w:cs="Times New Roman"/>
          <w:color w:val="000000" w:themeColor="text1"/>
          <w:highlight w:val="none"/>
          <w14:textFill>
            <w14:solidFill>
              <w14:schemeClr w14:val="tx1"/>
            </w14:solidFill>
          </w14:textFill>
        </w:rPr>
        <w:t>的试采能力）</w:t>
      </w:r>
      <w:r>
        <w:rPr>
          <w:rFonts w:cs="Times New Roman"/>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试采站内</w:t>
      </w:r>
      <w:r>
        <w:rPr>
          <w:rFonts w:hint="eastAsia" w:cs="Times New Roman"/>
          <w:color w:val="000000" w:themeColor="text1"/>
          <w:highlight w:val="none"/>
          <w14:textFill>
            <w14:solidFill>
              <w14:schemeClr w14:val="tx1"/>
            </w14:solidFill>
          </w14:textFill>
        </w:rPr>
        <w:t>包括</w:t>
      </w:r>
      <w:r>
        <w:rPr>
          <w:rFonts w:hint="eastAsia" w:cs="Times New Roman"/>
          <w:bCs/>
          <w:color w:val="000000" w:themeColor="text1"/>
          <w:szCs w:val="24"/>
          <w:highlight w:val="none"/>
          <w14:textFill>
            <w14:solidFill>
              <w14:schemeClr w14:val="tx1"/>
            </w14:solidFill>
          </w14:textFill>
        </w:rPr>
        <w:t>设置工艺装置区、污水罐区、辅助生产区和放空区</w:t>
      </w:r>
      <w:r>
        <w:rPr>
          <w:rFonts w:hint="eastAsia" w:cs="Times New Roman"/>
          <w:color w:val="000000" w:themeColor="text1"/>
          <w:highlight w:val="none"/>
          <w14:textFill>
            <w14:solidFill>
              <w14:schemeClr w14:val="tx1"/>
            </w14:solidFill>
          </w14:textFill>
        </w:rPr>
        <w:t>。（2）新建雷页1井试采站～魏兴站集输管线一条，采用L245N无缝钢管（DN200），长度为</w:t>
      </w:r>
      <w:r>
        <w:rPr>
          <w:rFonts w:cs="Times New Roman"/>
          <w:color w:val="000000" w:themeColor="text1"/>
          <w:highlight w:val="none"/>
          <w14:textFill>
            <w14:solidFill>
              <w14:schemeClr w14:val="tx1"/>
            </w14:solidFill>
          </w14:textFill>
        </w:rPr>
        <w:t>11.8</w:t>
      </w:r>
      <w:r>
        <w:rPr>
          <w:rFonts w:hint="eastAsia" w:cs="Times New Roman"/>
          <w:color w:val="000000" w:themeColor="text1"/>
          <w:highlight w:val="none"/>
          <w14:textFill>
            <w14:solidFill>
              <w14:schemeClr w14:val="tx1"/>
            </w14:solidFill>
          </w14:textFill>
        </w:rPr>
        <w:t>km，设计集输规模为</w:t>
      </w:r>
      <w:r>
        <w:rPr>
          <w:rFonts w:cs="Times New Roman"/>
          <w:color w:val="000000" w:themeColor="text1"/>
          <w:highlight w:val="none"/>
          <w14:textFill>
            <w14:solidFill>
              <w14:schemeClr w14:val="tx1"/>
            </w14:solidFill>
          </w14:textFill>
        </w:rPr>
        <w:t>60×10</w:t>
      </w:r>
      <w:r>
        <w:rPr>
          <w:rFonts w:cs="Times New Roman"/>
          <w:color w:val="000000" w:themeColor="text1"/>
          <w:highlight w:val="none"/>
          <w:vertAlign w:val="superscript"/>
          <w14:textFill>
            <w14:solidFill>
              <w14:schemeClr w14:val="tx1"/>
            </w14:solidFill>
          </w14:textFill>
        </w:rPr>
        <w:t>4</w:t>
      </w:r>
      <w:r>
        <w:rPr>
          <w:rFonts w:cs="Times New Roman"/>
          <w:color w:val="000000" w:themeColor="text1"/>
          <w:highlight w:val="none"/>
          <w14:textFill>
            <w14:solidFill>
              <w14:schemeClr w14:val="tx1"/>
            </w14:solidFill>
          </w14:textFill>
        </w:rPr>
        <w:t>m</w:t>
      </w:r>
      <w:r>
        <w:rPr>
          <w:rFonts w:cs="Times New Roman"/>
          <w:color w:val="000000" w:themeColor="text1"/>
          <w:highlight w:val="none"/>
          <w:vertAlign w:val="superscript"/>
          <w14:textFill>
            <w14:solidFill>
              <w14:schemeClr w14:val="tx1"/>
            </w14:solidFill>
          </w14:textFill>
        </w:rPr>
        <w:t>3</w:t>
      </w:r>
      <w:r>
        <w:rPr>
          <w:rFonts w:cs="Times New Roman"/>
          <w:color w:val="000000" w:themeColor="text1"/>
          <w:highlight w:val="none"/>
          <w14:textFill>
            <w14:solidFill>
              <w14:schemeClr w14:val="tx1"/>
            </w14:solidFill>
          </w14:textFill>
        </w:rPr>
        <w:t>/d</w:t>
      </w:r>
      <w:r>
        <w:rPr>
          <w:rFonts w:hint="eastAsia" w:cs="Times New Roman"/>
          <w:color w:val="000000" w:themeColor="text1"/>
          <w:highlight w:val="none"/>
          <w14:textFill>
            <w14:solidFill>
              <w14:schemeClr w14:val="tx1"/>
            </w14:solidFill>
          </w14:textFill>
        </w:rPr>
        <w:t>，设计压力为</w:t>
      </w:r>
      <w:r>
        <w:rPr>
          <w:rFonts w:cs="Times New Roman"/>
          <w:color w:val="000000" w:themeColor="text1"/>
          <w:highlight w:val="none"/>
          <w14:textFill>
            <w14:solidFill>
              <w14:schemeClr w14:val="tx1"/>
            </w14:solidFill>
          </w14:textFill>
        </w:rPr>
        <w:t>6.3</w:t>
      </w:r>
      <w:r>
        <w:rPr>
          <w:rFonts w:hint="eastAsia" w:cs="Times New Roman"/>
          <w:color w:val="000000" w:themeColor="text1"/>
          <w:highlight w:val="none"/>
          <w14:textFill>
            <w14:solidFill>
              <w14:schemeClr w14:val="tx1"/>
            </w14:solidFill>
          </w14:textFill>
        </w:rPr>
        <w:t>MPa</w:t>
      </w:r>
      <w:r>
        <w:rPr>
          <w:rFonts w:cs="Times New Roman"/>
          <w:bCs/>
          <w:color w:val="000000" w:themeColor="text1"/>
          <w:highlight w:val="none"/>
          <w14:textFill>
            <w14:solidFill>
              <w14:schemeClr w14:val="tx1"/>
            </w14:solidFill>
          </w14:textFill>
        </w:rPr>
        <w:t>。</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本项目组成见</w:t>
      </w:r>
      <w:r>
        <w:rPr>
          <w:rFonts w:hint="eastAsia" w:cs="Times New Roman"/>
          <w:color w:val="000000" w:themeColor="text1"/>
          <w:szCs w:val="24"/>
          <w:highlight w:val="none"/>
          <w14:textFill>
            <w14:solidFill>
              <w14:schemeClr w14:val="tx1"/>
            </w14:solidFill>
          </w14:textFill>
        </w:rPr>
        <w:t>下表</w:t>
      </w:r>
      <w:r>
        <w:rPr>
          <w:rFonts w:cs="Times New Roman"/>
          <w:color w:val="000000" w:themeColor="text1"/>
          <w:szCs w:val="24"/>
          <w:highlight w:val="none"/>
          <w14:textFill>
            <w14:solidFill>
              <w14:schemeClr w14:val="tx1"/>
            </w14:solidFill>
          </w14:textFill>
        </w:rPr>
        <w:t>。</w:t>
      </w:r>
    </w:p>
    <w:p>
      <w:pPr>
        <w:pStyle w:val="96"/>
        <w:spacing w:before="12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本项目组成及主要环境影响一览表</w:t>
      </w:r>
    </w:p>
    <w:tbl>
      <w:tblPr>
        <w:tblStyle w:val="209"/>
        <w:tblW w:w="830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6"/>
        <w:gridCol w:w="970"/>
        <w:gridCol w:w="3846"/>
        <w:gridCol w:w="975"/>
        <w:gridCol w:w="974"/>
        <w:gridCol w:w="7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796" w:type="dxa"/>
            <w:vMerge w:val="restart"/>
            <w:shd w:val="clear" w:color="auto" w:fill="auto"/>
            <w:vAlign w:val="center"/>
          </w:tcPr>
          <w:p>
            <w:pPr>
              <w:pStyle w:val="118"/>
              <w:rPr>
                <w:rFonts w:ascii="Calibri" w:hAnsi="Calibri" w:eastAsia="Times New Roman"/>
                <w:b/>
                <w:bCs/>
                <w:color w:val="000000" w:themeColor="text1"/>
                <w:highlight w:val="none"/>
                <w:lang w:eastAsia="en-US"/>
                <w14:textFill>
                  <w14:solidFill>
                    <w14:schemeClr w14:val="tx1"/>
                  </w14:solidFill>
                </w14:textFill>
              </w:rPr>
            </w:pPr>
            <w:r>
              <w:rPr>
                <w:rFonts w:ascii="Calibri" w:hAnsi="Calibri" w:eastAsia="Times New Roman"/>
                <w:b/>
                <w:bCs/>
                <w:color w:val="000000" w:themeColor="text1"/>
                <w:highlight w:val="none"/>
                <w:lang w:eastAsia="en-US"/>
                <w14:textFill>
                  <w14:solidFill>
                    <w14:schemeClr w14:val="tx1"/>
                  </w14:solidFill>
                </w14:textFill>
              </w:rPr>
              <w:t>类别</w:t>
            </w:r>
          </w:p>
        </w:tc>
        <w:tc>
          <w:tcPr>
            <w:tcW w:w="970" w:type="dxa"/>
            <w:vMerge w:val="restart"/>
            <w:shd w:val="clear" w:color="auto" w:fill="auto"/>
            <w:vAlign w:val="center"/>
          </w:tcPr>
          <w:p>
            <w:pPr>
              <w:pStyle w:val="118"/>
              <w:rPr>
                <w:rFonts w:ascii="Calibri" w:hAnsi="Calibri" w:eastAsia="Times New Roman"/>
                <w:b/>
                <w:bCs/>
                <w:color w:val="000000" w:themeColor="text1"/>
                <w:highlight w:val="none"/>
                <w:lang w:eastAsia="en-US"/>
                <w14:textFill>
                  <w14:solidFill>
                    <w14:schemeClr w14:val="tx1"/>
                  </w14:solidFill>
                </w14:textFill>
              </w:rPr>
            </w:pPr>
            <w:r>
              <w:rPr>
                <w:rFonts w:ascii="Calibri" w:hAnsi="Calibri" w:eastAsia="Times New Roman"/>
                <w:b/>
                <w:bCs/>
                <w:color w:val="000000" w:themeColor="text1"/>
                <w:highlight w:val="none"/>
                <w:lang w:eastAsia="en-US"/>
                <w14:textFill>
                  <w14:solidFill>
                    <w14:schemeClr w14:val="tx1"/>
                  </w14:solidFill>
                </w14:textFill>
              </w:rPr>
              <w:t>工程名称</w:t>
            </w:r>
          </w:p>
        </w:tc>
        <w:tc>
          <w:tcPr>
            <w:tcW w:w="3846" w:type="dxa"/>
            <w:vMerge w:val="restart"/>
            <w:shd w:val="clear" w:color="auto" w:fill="auto"/>
            <w:vAlign w:val="center"/>
          </w:tcPr>
          <w:p>
            <w:pPr>
              <w:pStyle w:val="118"/>
              <w:rPr>
                <w:rFonts w:ascii="Calibri" w:hAnsi="Calibri" w:eastAsia="Times New Roman"/>
                <w:b/>
                <w:bCs/>
                <w:color w:val="000000" w:themeColor="text1"/>
                <w:highlight w:val="none"/>
                <w:lang w:eastAsia="en-US"/>
                <w14:textFill>
                  <w14:solidFill>
                    <w14:schemeClr w14:val="tx1"/>
                  </w14:solidFill>
                </w14:textFill>
              </w:rPr>
            </w:pPr>
            <w:r>
              <w:rPr>
                <w:rFonts w:ascii="Calibri" w:hAnsi="Calibri" w:eastAsia="Times New Roman"/>
                <w:b/>
                <w:bCs/>
                <w:color w:val="000000" w:themeColor="text1"/>
                <w:highlight w:val="none"/>
                <w:lang w:eastAsia="en-US"/>
                <w14:textFill>
                  <w14:solidFill>
                    <w14:schemeClr w14:val="tx1"/>
                  </w14:solidFill>
                </w14:textFill>
              </w:rPr>
              <w:t>主要建设内容及规模</w:t>
            </w:r>
          </w:p>
        </w:tc>
        <w:tc>
          <w:tcPr>
            <w:tcW w:w="1949" w:type="dxa"/>
            <w:gridSpan w:val="2"/>
            <w:shd w:val="clear" w:color="auto" w:fill="auto"/>
            <w:vAlign w:val="center"/>
          </w:tcPr>
          <w:p>
            <w:pPr>
              <w:pStyle w:val="118"/>
              <w:rPr>
                <w:rFonts w:ascii="Calibri" w:hAnsi="Calibri" w:eastAsia="Times New Roman"/>
                <w:b/>
                <w:bCs/>
                <w:color w:val="000000" w:themeColor="text1"/>
                <w:highlight w:val="none"/>
                <w:lang w:eastAsia="en-US"/>
                <w14:textFill>
                  <w14:solidFill>
                    <w14:schemeClr w14:val="tx1"/>
                  </w14:solidFill>
                </w14:textFill>
              </w:rPr>
            </w:pPr>
            <w:r>
              <w:rPr>
                <w:rFonts w:ascii="Calibri" w:hAnsi="Calibri" w:eastAsia="Times New Roman"/>
                <w:b/>
                <w:bCs/>
                <w:color w:val="000000" w:themeColor="text1"/>
                <w:highlight w:val="none"/>
                <w:lang w:eastAsia="en-US"/>
                <w14:textFill>
                  <w14:solidFill>
                    <w14:schemeClr w14:val="tx1"/>
                  </w14:solidFill>
                </w14:textFill>
              </w:rPr>
              <w:t>可能产生的环境问题</w:t>
            </w:r>
          </w:p>
        </w:tc>
        <w:tc>
          <w:tcPr>
            <w:tcW w:w="742" w:type="dxa"/>
            <w:vMerge w:val="restart"/>
            <w:shd w:val="clear" w:color="auto" w:fill="auto"/>
            <w:vAlign w:val="center"/>
          </w:tcPr>
          <w:p>
            <w:pPr>
              <w:pStyle w:val="118"/>
              <w:rPr>
                <w:rFonts w:ascii="Calibri" w:hAnsi="Calibri" w:eastAsia="Times New Roman"/>
                <w:b/>
                <w:bCs/>
                <w:color w:val="000000" w:themeColor="text1"/>
                <w:highlight w:val="none"/>
                <w:lang w:eastAsia="en-US"/>
                <w14:textFill>
                  <w14:solidFill>
                    <w14:schemeClr w14:val="tx1"/>
                  </w14:solidFill>
                </w14:textFill>
              </w:rPr>
            </w:pPr>
            <w:r>
              <w:rPr>
                <w:rFonts w:ascii="Calibri" w:hAnsi="Calibri" w:eastAsia="Times New Roman"/>
                <w:b/>
                <w:bCs/>
                <w:color w:val="000000" w:themeColor="text1"/>
                <w:highlight w:val="none"/>
                <w:lang w:eastAsia="en-US"/>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796" w:type="dxa"/>
            <w:vMerge w:val="continue"/>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970" w:type="dxa"/>
            <w:vMerge w:val="continue"/>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3846" w:type="dxa"/>
            <w:vMerge w:val="continue"/>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975" w:type="dxa"/>
            <w:shd w:val="clear" w:color="auto" w:fill="auto"/>
            <w:vAlign w:val="center"/>
          </w:tcPr>
          <w:p>
            <w:pPr>
              <w:pStyle w:val="118"/>
              <w:rPr>
                <w:rFonts w:ascii="Calibri" w:hAnsi="Calibri" w:eastAsia="Times New Roman"/>
                <w:b/>
                <w:bCs/>
                <w:color w:val="000000" w:themeColor="text1"/>
                <w:highlight w:val="none"/>
                <w:lang w:eastAsia="en-US"/>
                <w14:textFill>
                  <w14:solidFill>
                    <w14:schemeClr w14:val="tx1"/>
                  </w14:solidFill>
                </w14:textFill>
              </w:rPr>
            </w:pPr>
            <w:r>
              <w:rPr>
                <w:rFonts w:ascii="Calibri" w:hAnsi="Calibri" w:eastAsia="Times New Roman"/>
                <w:b/>
                <w:bCs/>
                <w:color w:val="000000" w:themeColor="text1"/>
                <w:highlight w:val="none"/>
                <w:lang w:eastAsia="en-US"/>
                <w14:textFill>
                  <w14:solidFill>
                    <w14:schemeClr w14:val="tx1"/>
                  </w14:solidFill>
                </w14:textFill>
              </w:rPr>
              <w:t>施工期</w:t>
            </w:r>
          </w:p>
        </w:tc>
        <w:tc>
          <w:tcPr>
            <w:tcW w:w="974" w:type="dxa"/>
            <w:shd w:val="clear" w:color="auto" w:fill="auto"/>
            <w:vAlign w:val="center"/>
          </w:tcPr>
          <w:p>
            <w:pPr>
              <w:pStyle w:val="118"/>
              <w:rPr>
                <w:rFonts w:ascii="Calibri" w:hAnsi="Calibri" w:eastAsia="Times New Roman"/>
                <w:b/>
                <w:bCs/>
                <w:color w:val="000000" w:themeColor="text1"/>
                <w:highlight w:val="none"/>
                <w:lang w:eastAsia="en-US"/>
                <w14:textFill>
                  <w14:solidFill>
                    <w14:schemeClr w14:val="tx1"/>
                  </w14:solidFill>
                </w14:textFill>
              </w:rPr>
            </w:pPr>
            <w:r>
              <w:rPr>
                <w:rFonts w:ascii="Calibri" w:hAnsi="Calibri" w:eastAsia="Times New Roman"/>
                <w:b/>
                <w:bCs/>
                <w:color w:val="000000" w:themeColor="text1"/>
                <w:highlight w:val="none"/>
                <w:lang w:eastAsia="en-US"/>
                <w14:textFill>
                  <w14:solidFill>
                    <w14:schemeClr w14:val="tx1"/>
                  </w14:solidFill>
                </w14:textFill>
              </w:rPr>
              <w:t>运营期</w:t>
            </w:r>
          </w:p>
        </w:tc>
        <w:tc>
          <w:tcPr>
            <w:tcW w:w="742" w:type="dxa"/>
            <w:vMerge w:val="continue"/>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6" w:type="dxa"/>
            <w:vMerge w:val="restart"/>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主体工程</w:t>
            </w:r>
          </w:p>
        </w:tc>
        <w:tc>
          <w:tcPr>
            <w:tcW w:w="970"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雷页1井试采站</w:t>
            </w:r>
          </w:p>
        </w:tc>
        <w:tc>
          <w:tcPr>
            <w:tcW w:w="3846"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zh-CN"/>
                <w14:textFill>
                  <w14:solidFill>
                    <w14:schemeClr w14:val="tx1"/>
                  </w14:solidFill>
                </w14:textFill>
              </w:rPr>
              <w:t>新建试采站1座，占地面积约2805m</w:t>
            </w:r>
            <w:r>
              <w:rPr>
                <w:rFonts w:ascii="Calibri" w:hAnsi="Calibri" w:eastAsia="Times New Roman"/>
                <w:color w:val="000000" w:themeColor="text1"/>
                <w:highlight w:val="none"/>
                <w:vertAlign w:val="superscript"/>
                <w:lang w:eastAsia="zh-CN"/>
                <w14:textFill>
                  <w14:solidFill>
                    <w14:schemeClr w14:val="tx1"/>
                  </w14:solidFill>
                </w14:textFill>
              </w:rPr>
              <w:t>2</w:t>
            </w:r>
            <w:r>
              <w:rPr>
                <w:rFonts w:ascii="Calibri" w:hAnsi="Calibri" w:eastAsia="Times New Roman"/>
                <w:color w:val="000000" w:themeColor="text1"/>
                <w:highlight w:val="none"/>
                <w:lang w:eastAsia="zh-CN"/>
                <w14:textFill>
                  <w14:solidFill>
                    <w14:schemeClr w14:val="tx1"/>
                  </w14:solidFill>
                </w14:textFill>
              </w:rPr>
              <w:t>，站内设置工艺装置区、污水罐区、辅助生产区和放空区。原料气经节流、加热后，天然气外输，气田水由站内污水罐收集后外运处置。</w:t>
            </w:r>
            <w:r>
              <w:rPr>
                <w:rFonts w:ascii="Calibri" w:hAnsi="Calibri" w:eastAsia="Times New Roman"/>
                <w:color w:val="000000" w:themeColor="text1"/>
                <w:highlight w:val="none"/>
                <w:lang w:eastAsia="en-US"/>
                <w14:textFill>
                  <w14:solidFill>
                    <w14:schemeClr w14:val="tx1"/>
                  </w14:solidFill>
                </w14:textFill>
              </w:rPr>
              <w:t>设计试采规模为20×10</w:t>
            </w:r>
            <w:r>
              <w:rPr>
                <w:rFonts w:ascii="Calibri" w:hAnsi="Calibri" w:eastAsia="Times New Roman"/>
                <w:color w:val="000000" w:themeColor="text1"/>
                <w:highlight w:val="none"/>
                <w:vertAlign w:val="superscript"/>
                <w:lang w:eastAsia="en-US"/>
                <w14:textFill>
                  <w14:solidFill>
                    <w14:schemeClr w14:val="tx1"/>
                  </w14:solidFill>
                </w14:textFill>
              </w:rPr>
              <w:t>4</w:t>
            </w:r>
            <w:r>
              <w:rPr>
                <w:rFonts w:ascii="Calibri" w:hAnsi="Calibri" w:eastAsia="Times New Roman"/>
                <w:color w:val="000000" w:themeColor="text1"/>
                <w:highlight w:val="none"/>
                <w:lang w:eastAsia="en-US"/>
                <w14:textFill>
                  <w14:solidFill>
                    <w14:schemeClr w14:val="tx1"/>
                  </w14:solidFill>
                </w14:textFill>
              </w:rPr>
              <w:t>m</w:t>
            </w:r>
            <w:r>
              <w:rPr>
                <w:rFonts w:ascii="Calibri" w:hAnsi="Calibri" w:eastAsia="Times New Roman"/>
                <w:color w:val="000000" w:themeColor="text1"/>
                <w:highlight w:val="none"/>
                <w:vertAlign w:val="superscript"/>
                <w:lang w:eastAsia="en-US"/>
                <w14:textFill>
                  <w14:solidFill>
                    <w14:schemeClr w14:val="tx1"/>
                  </w14:solidFill>
                </w14:textFill>
              </w:rPr>
              <w:t>3</w:t>
            </w:r>
            <w:r>
              <w:rPr>
                <w:rFonts w:ascii="Calibri" w:hAnsi="Calibri" w:eastAsia="Times New Roman"/>
                <w:color w:val="000000" w:themeColor="text1"/>
                <w:highlight w:val="none"/>
                <w:lang w:eastAsia="en-US"/>
                <w14:textFill>
                  <w14:solidFill>
                    <w14:schemeClr w14:val="tx1"/>
                  </w14:solidFill>
                </w14:textFill>
              </w:rPr>
              <w:t>/d。</w:t>
            </w:r>
          </w:p>
        </w:tc>
        <w:tc>
          <w:tcPr>
            <w:tcW w:w="975" w:type="dxa"/>
            <w:vMerge w:val="restart"/>
            <w:shd w:val="clear" w:color="auto" w:fill="auto"/>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ascii="Calibri" w:hAnsi="Calibri" w:eastAsia="Times New Roman"/>
                <w:color w:val="000000" w:themeColor="text1"/>
                <w:highlight w:val="none"/>
                <w:lang w:eastAsia="zh-CN"/>
                <w14:textFill>
                  <w14:solidFill>
                    <w14:schemeClr w14:val="tx1"/>
                  </w14:solidFill>
                </w14:textFill>
              </w:rPr>
              <w:t>扬尘、尾气、废水、噪声、</w:t>
            </w:r>
            <w:r>
              <w:rPr>
                <w:rFonts w:hint="eastAsia" w:ascii="宋体" w:hAnsi="宋体" w:eastAsia="宋体" w:cs="宋体"/>
                <w:color w:val="000000" w:themeColor="text1"/>
                <w:highlight w:val="none"/>
                <w:lang w:eastAsia="zh-CN"/>
                <w14:textFill>
                  <w14:solidFill>
                    <w14:schemeClr w14:val="tx1"/>
                  </w14:solidFill>
                </w14:textFill>
              </w:rPr>
              <w:t>生态、</w:t>
            </w:r>
            <w:r>
              <w:rPr>
                <w:rFonts w:ascii="Calibri" w:hAnsi="Calibri" w:eastAsia="Times New Roman"/>
                <w:color w:val="000000" w:themeColor="text1"/>
                <w:highlight w:val="none"/>
                <w:lang w:eastAsia="zh-CN"/>
                <w14:textFill>
                  <w14:solidFill>
                    <w14:schemeClr w14:val="tx1"/>
                  </w14:solidFill>
                </w14:textFill>
              </w:rPr>
              <w:t>固废</w:t>
            </w:r>
          </w:p>
        </w:tc>
        <w:tc>
          <w:tcPr>
            <w:tcW w:w="974" w:type="dxa"/>
            <w:shd w:val="clear" w:color="auto" w:fill="auto"/>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ascii="Calibri" w:hAnsi="Calibri" w:eastAsia="Times New Roman"/>
                <w:color w:val="000000" w:themeColor="text1"/>
                <w:highlight w:val="none"/>
                <w:lang w:eastAsia="zh-CN"/>
                <w14:textFill>
                  <w14:solidFill>
                    <w14:schemeClr w14:val="tx1"/>
                  </w14:solidFill>
                </w14:textFill>
              </w:rPr>
              <w:t>风险、废水、废气、噪声</w:t>
            </w:r>
            <w:r>
              <w:rPr>
                <w:rFonts w:hint="eastAsia" w:ascii="宋体" w:hAnsi="宋体" w:eastAsia="宋体" w:cs="宋体"/>
                <w:color w:val="000000" w:themeColor="text1"/>
                <w:highlight w:val="none"/>
                <w:lang w:eastAsia="zh-CN"/>
                <w14:textFill>
                  <w14:solidFill>
                    <w14:schemeClr w14:val="tx1"/>
                  </w14:solidFill>
                </w14:textFill>
              </w:rPr>
              <w:t>、固废</w:t>
            </w:r>
          </w:p>
        </w:tc>
        <w:tc>
          <w:tcPr>
            <w:tcW w:w="742"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6" w:type="dxa"/>
            <w:vMerge w:val="continue"/>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970" w:type="dxa"/>
            <w:shd w:val="clear" w:color="auto" w:fill="auto"/>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ascii="Calibri" w:hAnsi="Calibri" w:eastAsia="Times New Roman"/>
                <w:color w:val="000000" w:themeColor="text1"/>
                <w:highlight w:val="none"/>
                <w:lang w:eastAsia="zh-CN"/>
                <w14:textFill>
                  <w14:solidFill>
                    <w14:schemeClr w14:val="tx1"/>
                  </w14:solidFill>
                </w14:textFill>
              </w:rPr>
              <w:t>雷页1井试采站～魏兴站集气管线</w:t>
            </w:r>
          </w:p>
        </w:tc>
        <w:tc>
          <w:tcPr>
            <w:tcW w:w="3846" w:type="dxa"/>
            <w:shd w:val="clear" w:color="auto" w:fill="auto"/>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ascii="Calibri" w:hAnsi="Calibri" w:eastAsia="Times New Roman"/>
                <w:color w:val="000000" w:themeColor="text1"/>
                <w:highlight w:val="none"/>
                <w:lang w:eastAsia="zh-CN"/>
                <w14:textFill>
                  <w14:solidFill>
                    <w14:schemeClr w14:val="tx1"/>
                  </w14:solidFill>
                </w14:textFill>
              </w:rPr>
              <w:t>新建雷页1井试采站～魏兴站集气管线1条，长度11.8km，管径为</w:t>
            </w:r>
            <w:r>
              <w:rPr>
                <w:rFonts w:ascii="Calibri" w:hAnsi="Calibri" w:eastAsia="Calibri"/>
                <w:color w:val="000000" w:themeColor="text1"/>
                <w:szCs w:val="24"/>
                <w:highlight w:val="none"/>
                <w:lang w:eastAsia="zh-CN"/>
                <w14:textFill>
                  <w14:solidFill>
                    <w14:schemeClr w14:val="tx1"/>
                  </w14:solidFill>
                </w14:textFill>
              </w:rPr>
              <w:t>D200</w:t>
            </w:r>
            <w:r>
              <w:rPr>
                <w:rFonts w:ascii="Calibri" w:hAnsi="Calibri" w:eastAsia="Times New Roman"/>
                <w:color w:val="000000" w:themeColor="text1"/>
                <w:szCs w:val="24"/>
                <w:highlight w:val="none"/>
                <w:lang w:eastAsia="zh-CN"/>
                <w14:textFill>
                  <w14:solidFill>
                    <w14:schemeClr w14:val="tx1"/>
                  </w14:solidFill>
                </w14:textFill>
              </w:rPr>
              <w:t>，设计压力为</w:t>
            </w:r>
            <w:r>
              <w:rPr>
                <w:rFonts w:ascii="Calibri" w:hAnsi="Calibri" w:eastAsia="Calibri"/>
                <w:color w:val="000000" w:themeColor="text1"/>
                <w:szCs w:val="24"/>
                <w:highlight w:val="none"/>
                <w:lang w:eastAsia="zh-CN"/>
                <w14:textFill>
                  <w14:solidFill>
                    <w14:schemeClr w14:val="tx1"/>
                  </w14:solidFill>
                </w14:textFill>
              </w:rPr>
              <w:t>6.3MPa</w:t>
            </w:r>
            <w:r>
              <w:rPr>
                <w:rFonts w:ascii="Calibri" w:hAnsi="Calibri" w:eastAsia="Times New Roman"/>
                <w:color w:val="000000" w:themeColor="text1"/>
                <w:szCs w:val="24"/>
                <w:highlight w:val="none"/>
                <w:lang w:eastAsia="zh-CN"/>
                <w14:textFill>
                  <w14:solidFill>
                    <w14:schemeClr w14:val="tx1"/>
                  </w14:solidFill>
                </w14:textFill>
              </w:rPr>
              <w:t>，管线采用</w:t>
            </w:r>
            <w:r>
              <w:rPr>
                <w:rFonts w:ascii="Calibri" w:hAnsi="Calibri" w:eastAsia="Calibri"/>
                <w:color w:val="000000" w:themeColor="text1"/>
                <w:szCs w:val="24"/>
                <w:highlight w:val="none"/>
                <w:lang w:eastAsia="zh-CN"/>
                <w14:textFill>
                  <w14:solidFill>
                    <w14:schemeClr w14:val="tx1"/>
                  </w14:solidFill>
                </w14:textFill>
              </w:rPr>
              <w:t>L245N</w:t>
            </w:r>
            <w:r>
              <w:rPr>
                <w:rFonts w:ascii="Calibri" w:hAnsi="Calibri" w:eastAsia="Times New Roman"/>
                <w:color w:val="000000" w:themeColor="text1"/>
                <w:szCs w:val="24"/>
                <w:highlight w:val="none"/>
                <w:lang w:eastAsia="zh-CN"/>
                <w14:textFill>
                  <w14:solidFill>
                    <w14:schemeClr w14:val="tx1"/>
                  </w14:solidFill>
                </w14:textFill>
              </w:rPr>
              <w:t>无缝钢管，管道设计输气规模为</w:t>
            </w:r>
            <w:r>
              <w:rPr>
                <w:rFonts w:ascii="Calibri" w:hAnsi="Calibri" w:eastAsia="Times New Roman"/>
                <w:color w:val="000000" w:themeColor="text1"/>
                <w:highlight w:val="none"/>
                <w:lang w:eastAsia="zh-CN"/>
                <w14:textFill>
                  <w14:solidFill>
                    <w14:schemeClr w14:val="tx1"/>
                  </w14:solidFill>
                </w14:textFill>
              </w:rPr>
              <w:t>60×10</w:t>
            </w:r>
            <w:r>
              <w:rPr>
                <w:rFonts w:ascii="Calibri" w:hAnsi="Calibri" w:eastAsia="Times New Roman"/>
                <w:color w:val="000000" w:themeColor="text1"/>
                <w:highlight w:val="none"/>
                <w:vertAlign w:val="superscript"/>
                <w:lang w:eastAsia="zh-CN"/>
                <w14:textFill>
                  <w14:solidFill>
                    <w14:schemeClr w14:val="tx1"/>
                  </w14:solidFill>
                </w14:textFill>
              </w:rPr>
              <w:t>4</w:t>
            </w:r>
            <w:r>
              <w:rPr>
                <w:rFonts w:ascii="Calibri" w:hAnsi="Calibri" w:eastAsia="Times New Roman"/>
                <w:color w:val="000000" w:themeColor="text1"/>
                <w:highlight w:val="none"/>
                <w:lang w:eastAsia="zh-CN"/>
                <w14:textFill>
                  <w14:solidFill>
                    <w14:schemeClr w14:val="tx1"/>
                  </w14:solidFill>
                </w14:textFill>
              </w:rPr>
              <w:t>m</w:t>
            </w:r>
            <w:r>
              <w:rPr>
                <w:rFonts w:ascii="Calibri" w:hAnsi="Calibri" w:eastAsia="Times New Roman"/>
                <w:color w:val="000000" w:themeColor="text1"/>
                <w:highlight w:val="none"/>
                <w:vertAlign w:val="superscript"/>
                <w:lang w:eastAsia="zh-CN"/>
                <w14:textFill>
                  <w14:solidFill>
                    <w14:schemeClr w14:val="tx1"/>
                  </w14:solidFill>
                </w14:textFill>
              </w:rPr>
              <w:t>3</w:t>
            </w:r>
            <w:r>
              <w:rPr>
                <w:rFonts w:ascii="Calibri" w:hAnsi="Calibri" w:eastAsia="Times New Roman"/>
                <w:color w:val="000000" w:themeColor="text1"/>
                <w:highlight w:val="none"/>
                <w:lang w:eastAsia="zh-CN"/>
                <w14:textFill>
                  <w14:solidFill>
                    <w14:schemeClr w14:val="tx1"/>
                  </w14:solidFill>
                </w14:textFill>
              </w:rPr>
              <w:t>/d。穿越高速公路1次、穿越国道1次，穿越乡村道路23次、穿越州河支河1次、穿越小型沟渠13次、穿越已有管道6次、穿越已有通信光缆4次。</w:t>
            </w:r>
          </w:p>
        </w:tc>
        <w:tc>
          <w:tcPr>
            <w:tcW w:w="975" w:type="dxa"/>
            <w:vMerge w:val="continue"/>
            <w:shd w:val="clear" w:color="auto" w:fill="auto"/>
            <w:vAlign w:val="center"/>
          </w:tcPr>
          <w:p>
            <w:pPr>
              <w:pStyle w:val="118"/>
              <w:rPr>
                <w:rFonts w:ascii="Calibri" w:hAnsi="Calibri" w:eastAsia="Times New Roman"/>
                <w:color w:val="000000" w:themeColor="text1"/>
                <w:highlight w:val="none"/>
                <w:lang w:eastAsia="zh-CN"/>
                <w14:textFill>
                  <w14:solidFill>
                    <w14:schemeClr w14:val="tx1"/>
                  </w14:solidFill>
                </w14:textFill>
              </w:rPr>
            </w:pPr>
          </w:p>
        </w:tc>
        <w:tc>
          <w:tcPr>
            <w:tcW w:w="974"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固废、环境风险</w:t>
            </w:r>
          </w:p>
        </w:tc>
        <w:tc>
          <w:tcPr>
            <w:tcW w:w="742"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6" w:type="dxa"/>
            <w:vMerge w:val="restart"/>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公用工程</w:t>
            </w:r>
          </w:p>
        </w:tc>
        <w:tc>
          <w:tcPr>
            <w:tcW w:w="970"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供配电系统</w:t>
            </w:r>
          </w:p>
        </w:tc>
        <w:tc>
          <w:tcPr>
            <w:tcW w:w="3846" w:type="dxa"/>
            <w:shd w:val="clear" w:color="auto" w:fill="auto"/>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ascii="Calibri" w:hAnsi="Calibri" w:eastAsia="Times New Roman"/>
                <w:color w:val="000000" w:themeColor="text1"/>
                <w:highlight w:val="none"/>
                <w:lang w:eastAsia="zh-CN"/>
                <w14:textFill>
                  <w14:solidFill>
                    <w14:schemeClr w14:val="tx1"/>
                  </w14:solidFill>
                </w14:textFill>
              </w:rPr>
              <w:t>站内设置1座撬装配电间1座。</w:t>
            </w:r>
          </w:p>
        </w:tc>
        <w:tc>
          <w:tcPr>
            <w:tcW w:w="975"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w:t>
            </w:r>
          </w:p>
        </w:tc>
        <w:tc>
          <w:tcPr>
            <w:tcW w:w="974"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w:t>
            </w:r>
          </w:p>
        </w:tc>
        <w:tc>
          <w:tcPr>
            <w:tcW w:w="742"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6" w:type="dxa"/>
            <w:vMerge w:val="continue"/>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970"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供水</w:t>
            </w:r>
          </w:p>
        </w:tc>
        <w:tc>
          <w:tcPr>
            <w:tcW w:w="3846" w:type="dxa"/>
            <w:shd w:val="clear" w:color="auto" w:fill="auto"/>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ascii="Calibri" w:hAnsi="Calibri" w:eastAsia="Times New Roman"/>
                <w:color w:val="000000" w:themeColor="text1"/>
                <w:highlight w:val="none"/>
                <w:lang w:eastAsia="zh-CN"/>
                <w14:textFill>
                  <w14:solidFill>
                    <w14:schemeClr w14:val="tx1"/>
                  </w14:solidFill>
                </w14:textFill>
              </w:rPr>
              <w:t>本项目试采期用水主要为值守人员生活用水，通过车辆拉运桶装水至场地。</w:t>
            </w:r>
          </w:p>
        </w:tc>
        <w:tc>
          <w:tcPr>
            <w:tcW w:w="975"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w:t>
            </w:r>
          </w:p>
        </w:tc>
        <w:tc>
          <w:tcPr>
            <w:tcW w:w="974"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w:t>
            </w:r>
          </w:p>
        </w:tc>
        <w:tc>
          <w:tcPr>
            <w:tcW w:w="742"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 w:hRule="atLeast"/>
        </w:trPr>
        <w:tc>
          <w:tcPr>
            <w:tcW w:w="796" w:type="dxa"/>
            <w:vMerge w:val="continue"/>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970" w:type="dxa"/>
            <w:vMerge w:val="restart"/>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排水</w:t>
            </w:r>
          </w:p>
        </w:tc>
        <w:tc>
          <w:tcPr>
            <w:tcW w:w="3846" w:type="dxa"/>
            <w:shd w:val="clear" w:color="auto" w:fill="auto"/>
            <w:vAlign w:val="center"/>
          </w:tcPr>
          <w:p>
            <w:pPr>
              <w:pStyle w:val="118"/>
              <w:rPr>
                <w:rFonts w:ascii="Calibri" w:hAnsi="Calibri" w:eastAsia="Times New Roman"/>
                <w:color w:val="000000" w:themeColor="text1"/>
                <w:highlight w:val="none"/>
                <w:lang w:eastAsia="zh-CN"/>
                <w14:textFill>
                  <w14:solidFill>
                    <w14:schemeClr w14:val="tx1"/>
                  </w14:solidFill>
                </w14:textFill>
              </w:rPr>
            </w:pPr>
            <w:bookmarkStart w:id="129" w:name="_Hlk160702532"/>
            <w:r>
              <w:rPr>
                <w:rFonts w:ascii="Calibri" w:hAnsi="Calibri" w:eastAsia="Times New Roman"/>
                <w:color w:val="000000" w:themeColor="text1"/>
                <w:highlight w:val="none"/>
                <w:lang w:eastAsia="zh-CN"/>
                <w14:textFill>
                  <w14:solidFill>
                    <w14:schemeClr w14:val="tx1"/>
                  </w14:solidFill>
                </w14:textFill>
              </w:rPr>
              <w:t>分离气田水：原料气通过新建分离器进行气液分离，分离气田水暂存污水罐，定期由密闭罐车拉运至赵家坝污水处理站达标后管输至普光3井回注站回注，不外排。</w:t>
            </w:r>
          </w:p>
          <w:p>
            <w:pPr>
              <w:pStyle w:val="118"/>
              <w:rPr>
                <w:rFonts w:ascii="Calibri" w:hAnsi="Calibri" w:eastAsia="Times New Roman"/>
                <w:color w:val="000000" w:themeColor="text1"/>
                <w:highlight w:val="none"/>
                <w:lang w:eastAsia="zh-CN"/>
                <w14:textFill>
                  <w14:solidFill>
                    <w14:schemeClr w14:val="tx1"/>
                  </w14:solidFill>
                </w14:textFill>
              </w:rPr>
            </w:pPr>
            <w:r>
              <w:rPr>
                <w:rFonts w:ascii="Calibri" w:hAnsi="Calibri" w:eastAsia="Times New Roman"/>
                <w:color w:val="000000" w:themeColor="text1"/>
                <w:highlight w:val="none"/>
                <w:lang w:eastAsia="zh-CN"/>
                <w14:textFill>
                  <w14:solidFill>
                    <w14:schemeClr w14:val="tx1"/>
                  </w14:solidFill>
                </w14:textFill>
              </w:rPr>
              <w:t>生活污水经生态厕所收集后定期拉运至周边生活污水处理厂处理。</w:t>
            </w:r>
            <w:bookmarkEnd w:id="129"/>
          </w:p>
        </w:tc>
        <w:tc>
          <w:tcPr>
            <w:tcW w:w="975"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w:t>
            </w:r>
          </w:p>
        </w:tc>
        <w:tc>
          <w:tcPr>
            <w:tcW w:w="974" w:type="dxa"/>
            <w:vMerge w:val="restart"/>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废水</w:t>
            </w:r>
          </w:p>
        </w:tc>
        <w:tc>
          <w:tcPr>
            <w:tcW w:w="742"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796" w:type="dxa"/>
            <w:vMerge w:val="continue"/>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970" w:type="dxa"/>
            <w:vMerge w:val="continue"/>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3846" w:type="dxa"/>
            <w:shd w:val="clear" w:color="auto" w:fill="auto"/>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ascii="Calibri" w:hAnsi="Calibri" w:eastAsia="Times New Roman"/>
                <w:color w:val="000000" w:themeColor="text1"/>
                <w:highlight w:val="none"/>
                <w:lang w:eastAsia="zh-CN"/>
                <w14:textFill>
                  <w14:solidFill>
                    <w14:schemeClr w14:val="tx1"/>
                  </w14:solidFill>
                </w14:textFill>
              </w:rPr>
              <w:t>雨水：初期雨水收集后泵入污水罐与气田水一并拉运处理，后期雨水根据场地自然坡度，就地散排出站外。</w:t>
            </w:r>
          </w:p>
        </w:tc>
        <w:tc>
          <w:tcPr>
            <w:tcW w:w="975"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w:t>
            </w:r>
          </w:p>
        </w:tc>
        <w:tc>
          <w:tcPr>
            <w:tcW w:w="974" w:type="dxa"/>
            <w:vMerge w:val="continue"/>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742"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6" w:type="dxa"/>
            <w:vMerge w:val="restart"/>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辅助工程</w:t>
            </w:r>
          </w:p>
        </w:tc>
        <w:tc>
          <w:tcPr>
            <w:tcW w:w="970"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通信工程</w:t>
            </w:r>
          </w:p>
        </w:tc>
        <w:tc>
          <w:tcPr>
            <w:tcW w:w="3846" w:type="dxa"/>
            <w:shd w:val="clear" w:color="auto" w:fill="auto"/>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ascii="Calibri" w:hAnsi="Calibri" w:eastAsia="Times New Roman"/>
                <w:color w:val="000000" w:themeColor="text1"/>
                <w:highlight w:val="none"/>
                <w:lang w:eastAsia="zh-CN"/>
                <w14:textFill>
                  <w14:solidFill>
                    <w14:schemeClr w14:val="tx1"/>
                  </w14:solidFill>
                </w14:textFill>
              </w:rPr>
              <w:t>试采站内设置视频监控系统，对站场进行二十四小时不间断监控。系统采用数字化网络系统结构，系统由监控前端、信号传输、显示/存储部分组成。</w:t>
            </w:r>
          </w:p>
        </w:tc>
        <w:tc>
          <w:tcPr>
            <w:tcW w:w="975" w:type="dxa"/>
            <w:vMerge w:val="restart"/>
            <w:shd w:val="clear" w:color="auto" w:fill="auto"/>
            <w:vAlign w:val="center"/>
          </w:tcPr>
          <w:p>
            <w:pPr>
              <w:pStyle w:val="118"/>
              <w:rPr>
                <w:rFonts w:ascii="Calibri" w:hAnsi="Calibri" w:eastAsia="Times New Roman"/>
                <w:color w:val="000000" w:themeColor="text1"/>
                <w:highlight w:val="none"/>
                <w:lang w:eastAsia="zh-CN"/>
                <w14:textFill>
                  <w14:solidFill>
                    <w14:schemeClr w14:val="tx1"/>
                  </w14:solidFill>
                </w14:textFill>
              </w:rPr>
            </w:pPr>
          </w:p>
        </w:tc>
        <w:tc>
          <w:tcPr>
            <w:tcW w:w="974"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w:t>
            </w:r>
          </w:p>
        </w:tc>
        <w:tc>
          <w:tcPr>
            <w:tcW w:w="742"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6" w:type="dxa"/>
            <w:vMerge w:val="continue"/>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970" w:type="dxa"/>
            <w:vMerge w:val="restart"/>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防腐工程</w:t>
            </w:r>
          </w:p>
        </w:tc>
        <w:tc>
          <w:tcPr>
            <w:tcW w:w="3846" w:type="dxa"/>
            <w:shd w:val="clear" w:color="auto" w:fill="auto"/>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ascii="Calibri" w:hAnsi="Calibri" w:eastAsia="Times New Roman"/>
                <w:color w:val="000000" w:themeColor="text1"/>
                <w:highlight w:val="none"/>
                <w:lang w:eastAsia="zh-CN"/>
                <w14:textFill>
                  <w14:solidFill>
                    <w14:schemeClr w14:val="tx1"/>
                  </w14:solidFill>
                </w14:textFill>
              </w:rPr>
              <w:t>场站：站内地面管道和设备外防腐用环氧底漆+氟碳面漆防腐。站内公称直径DN≥50的埋地管道采用三层PE加强级防腐，其余管道采用无溶剂液体环氧+聚乙烯胶粘带特加强级防腐层，防腐层总厚度≥2.7mm</w:t>
            </w:r>
          </w:p>
        </w:tc>
        <w:tc>
          <w:tcPr>
            <w:tcW w:w="975" w:type="dxa"/>
            <w:vMerge w:val="continue"/>
            <w:shd w:val="clear" w:color="auto" w:fill="auto"/>
            <w:vAlign w:val="center"/>
          </w:tcPr>
          <w:p>
            <w:pPr>
              <w:pStyle w:val="118"/>
              <w:rPr>
                <w:rFonts w:ascii="Calibri" w:hAnsi="Calibri" w:eastAsia="Times New Roman"/>
                <w:color w:val="000000" w:themeColor="text1"/>
                <w:highlight w:val="none"/>
                <w:lang w:eastAsia="zh-CN"/>
                <w14:textFill>
                  <w14:solidFill>
                    <w14:schemeClr w14:val="tx1"/>
                  </w14:solidFill>
                </w14:textFill>
              </w:rPr>
            </w:pPr>
          </w:p>
        </w:tc>
        <w:tc>
          <w:tcPr>
            <w:tcW w:w="974"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w:t>
            </w:r>
          </w:p>
        </w:tc>
        <w:tc>
          <w:tcPr>
            <w:tcW w:w="742"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6" w:type="dxa"/>
            <w:vMerge w:val="continue"/>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970" w:type="dxa"/>
            <w:vMerge w:val="continue"/>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3846" w:type="dxa"/>
            <w:shd w:val="clear" w:color="auto" w:fill="auto"/>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ascii="Calibri" w:hAnsi="Calibri" w:eastAsia="Times New Roman"/>
                <w:color w:val="000000" w:themeColor="text1"/>
                <w:highlight w:val="none"/>
                <w:lang w:eastAsia="zh-CN"/>
                <w14:textFill>
                  <w14:solidFill>
                    <w14:schemeClr w14:val="tx1"/>
                  </w14:solidFill>
                </w14:textFill>
              </w:rPr>
              <w:t>管线：地上新建不绝热管道、设备、容器外防腐采用氟碳耐候涂层：埋地不绝热管道外防腐采用无溶剂液体环氧涂料，干膜厚度≥600</w:t>
            </w:r>
            <w:r>
              <w:rPr>
                <w:rFonts w:ascii="Calibri" w:hAnsi="Calibri" w:eastAsia="Times New Roman"/>
                <w:color w:val="000000" w:themeColor="text1"/>
                <w:highlight w:val="none"/>
                <w:lang w:eastAsia="en-US"/>
                <w14:textFill>
                  <w14:solidFill>
                    <w14:schemeClr w14:val="tx1"/>
                  </w14:solidFill>
                </w14:textFill>
              </w:rPr>
              <w:t>μ</w:t>
            </w:r>
            <w:r>
              <w:rPr>
                <w:rFonts w:ascii="Calibri" w:hAnsi="Calibri" w:eastAsia="Times New Roman"/>
                <w:color w:val="000000" w:themeColor="text1"/>
                <w:highlight w:val="none"/>
                <w:lang w:eastAsia="zh-CN"/>
                <w14:textFill>
                  <w14:solidFill>
                    <w14:schemeClr w14:val="tx1"/>
                  </w14:solidFill>
                </w14:textFill>
              </w:rPr>
              <w:t>m。雷页1至毛达线魏兴站管线采用加强级三PE外防腐，同时辅以强制电流阴极保护的方式。本工程热煨弯管防腐层推荐采用“无溶剂液体环氧涂料+聚乙烯热收缩缠绕带”的涂层结构；三层PE防腐层补伤根据</w:t>
            </w:r>
          </w:p>
          <w:p>
            <w:pPr>
              <w:pStyle w:val="118"/>
              <w:rPr>
                <w:rFonts w:ascii="Calibri" w:hAnsi="Calibri" w:eastAsia="Times New Roman"/>
                <w:color w:val="000000" w:themeColor="text1"/>
                <w:highlight w:val="none"/>
                <w:lang w:eastAsia="zh-CN"/>
                <w14:textFill>
                  <w14:solidFill>
                    <w14:schemeClr w14:val="tx1"/>
                  </w14:solidFill>
                </w14:textFill>
              </w:rPr>
            </w:pPr>
            <w:r>
              <w:rPr>
                <w:rFonts w:ascii="Calibri" w:hAnsi="Calibri" w:eastAsia="Times New Roman"/>
                <w:color w:val="000000" w:themeColor="text1"/>
                <w:highlight w:val="none"/>
                <w:lang w:eastAsia="zh-CN"/>
                <w14:textFill>
                  <w14:solidFill>
                    <w14:schemeClr w14:val="tx1"/>
                  </w14:solidFill>
                </w14:textFill>
              </w:rPr>
              <w:t>部位尺寸的大小，分别选用热熔修补棒、辐射交联聚乙烯补伤片、热收缩带及相结合的方式进行补伤。</w:t>
            </w:r>
          </w:p>
        </w:tc>
        <w:tc>
          <w:tcPr>
            <w:tcW w:w="975" w:type="dxa"/>
            <w:vMerge w:val="continue"/>
            <w:shd w:val="clear" w:color="auto" w:fill="auto"/>
            <w:vAlign w:val="center"/>
          </w:tcPr>
          <w:p>
            <w:pPr>
              <w:pStyle w:val="118"/>
              <w:rPr>
                <w:rFonts w:ascii="Calibri" w:hAnsi="Calibri" w:eastAsia="Times New Roman"/>
                <w:color w:val="000000" w:themeColor="text1"/>
                <w:highlight w:val="none"/>
                <w:lang w:eastAsia="zh-CN"/>
                <w14:textFill>
                  <w14:solidFill>
                    <w14:schemeClr w14:val="tx1"/>
                  </w14:solidFill>
                </w14:textFill>
              </w:rPr>
            </w:pPr>
          </w:p>
        </w:tc>
        <w:tc>
          <w:tcPr>
            <w:tcW w:w="974"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w:t>
            </w:r>
          </w:p>
        </w:tc>
        <w:tc>
          <w:tcPr>
            <w:tcW w:w="742"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6" w:type="dxa"/>
            <w:vMerge w:val="continue"/>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970"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消防设施</w:t>
            </w:r>
          </w:p>
        </w:tc>
        <w:tc>
          <w:tcPr>
            <w:tcW w:w="3846" w:type="dxa"/>
            <w:shd w:val="clear" w:color="auto" w:fill="auto"/>
            <w:vAlign w:val="center"/>
          </w:tcPr>
          <w:p>
            <w:pPr>
              <w:pStyle w:val="118"/>
              <w:rPr>
                <w:rFonts w:ascii="Calibri" w:hAnsi="Calibri" w:eastAsia="Times New Roman"/>
                <w:color w:val="000000" w:themeColor="text1"/>
                <w:highlight w:val="none"/>
                <w:lang w:eastAsia="zh-CN"/>
                <w14:textFill>
                  <w14:solidFill>
                    <w14:schemeClr w14:val="tx1"/>
                  </w14:solidFill>
                </w14:textFill>
              </w:rPr>
            </w:pPr>
            <w:bookmarkStart w:id="130" w:name="_Hlk160702600"/>
            <w:r>
              <w:rPr>
                <w:rFonts w:ascii="Calibri" w:hAnsi="Calibri" w:eastAsia="Times New Roman"/>
                <w:color w:val="000000" w:themeColor="text1"/>
                <w:highlight w:val="none"/>
                <w:lang w:eastAsia="zh-CN"/>
                <w14:textFill>
                  <w14:solidFill>
                    <w14:schemeClr w14:val="tx1"/>
                  </w14:solidFill>
                </w14:textFill>
              </w:rPr>
              <w:t>雷页1试采站内设置4具MF/ABC8手提式干粉灭火器，设置1具MFT/ABC20手推式干粉灭火器，设置1具MTZ/7手提式二氧化碳灭火器</w:t>
            </w:r>
            <w:bookmarkEnd w:id="130"/>
            <w:r>
              <w:rPr>
                <w:rFonts w:ascii="Calibri" w:hAnsi="Calibri" w:eastAsia="Times New Roman"/>
                <w:color w:val="000000" w:themeColor="text1"/>
                <w:highlight w:val="none"/>
                <w:lang w:eastAsia="zh-CN"/>
                <w14:textFill>
                  <w14:solidFill>
                    <w14:schemeClr w14:val="tx1"/>
                  </w14:solidFill>
                </w14:textFill>
              </w:rPr>
              <w:t>。</w:t>
            </w:r>
          </w:p>
        </w:tc>
        <w:tc>
          <w:tcPr>
            <w:tcW w:w="975" w:type="dxa"/>
            <w:vMerge w:val="continue"/>
            <w:shd w:val="clear" w:color="auto" w:fill="auto"/>
            <w:vAlign w:val="center"/>
          </w:tcPr>
          <w:p>
            <w:pPr>
              <w:pStyle w:val="118"/>
              <w:rPr>
                <w:rFonts w:ascii="Calibri" w:hAnsi="Calibri" w:eastAsia="Times New Roman"/>
                <w:color w:val="000000" w:themeColor="text1"/>
                <w:highlight w:val="none"/>
                <w:lang w:eastAsia="zh-CN"/>
                <w14:textFill>
                  <w14:solidFill>
                    <w14:schemeClr w14:val="tx1"/>
                  </w14:solidFill>
                </w14:textFill>
              </w:rPr>
            </w:pPr>
          </w:p>
        </w:tc>
        <w:tc>
          <w:tcPr>
            <w:tcW w:w="974"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w:t>
            </w:r>
          </w:p>
        </w:tc>
        <w:tc>
          <w:tcPr>
            <w:tcW w:w="742"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6" w:type="dxa"/>
            <w:vMerge w:val="continue"/>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970"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自控系统</w:t>
            </w:r>
          </w:p>
        </w:tc>
        <w:tc>
          <w:tcPr>
            <w:tcW w:w="3846" w:type="dxa"/>
            <w:shd w:val="clear" w:color="auto" w:fill="auto"/>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ascii="Calibri" w:hAnsi="Calibri" w:eastAsia="Times New Roman"/>
                <w:color w:val="000000" w:themeColor="text1"/>
                <w:highlight w:val="none"/>
                <w:lang w:eastAsia="zh-CN"/>
                <w14:textFill>
                  <w14:solidFill>
                    <w14:schemeClr w14:val="tx1"/>
                  </w14:solidFill>
                </w14:textFill>
              </w:rPr>
              <w:t>在工艺装置区及井口可能引起天然气泄漏处分别设置固定式可燃气体探测</w:t>
            </w:r>
          </w:p>
          <w:p>
            <w:pPr>
              <w:pStyle w:val="118"/>
              <w:rPr>
                <w:rFonts w:ascii="Calibri" w:hAnsi="Calibri" w:eastAsia="Times New Roman"/>
                <w:color w:val="000000" w:themeColor="text1"/>
                <w:highlight w:val="none"/>
                <w:lang w:eastAsia="zh-CN"/>
                <w14:textFill>
                  <w14:solidFill>
                    <w14:schemeClr w14:val="tx1"/>
                  </w14:solidFill>
                </w14:textFill>
              </w:rPr>
            </w:pPr>
            <w:r>
              <w:rPr>
                <w:rFonts w:ascii="Calibri" w:hAnsi="Calibri" w:eastAsia="Times New Roman"/>
                <w:color w:val="000000" w:themeColor="text1"/>
                <w:highlight w:val="none"/>
                <w:lang w:eastAsia="zh-CN"/>
                <w14:textFill>
                  <w14:solidFill>
                    <w14:schemeClr w14:val="tx1"/>
                  </w14:solidFill>
                </w14:textFill>
              </w:rPr>
              <w:t>器进行可燃气体检测，检测气体泄漏情况并报警，信号传至橇装值班房内可燃气体报警控制器显示及报警。</w:t>
            </w:r>
          </w:p>
          <w:p>
            <w:pPr>
              <w:pStyle w:val="118"/>
              <w:rPr>
                <w:rFonts w:ascii="Calibri" w:hAnsi="Calibri" w:eastAsia="Times New Roman"/>
                <w:color w:val="000000" w:themeColor="text1"/>
                <w:highlight w:val="none"/>
                <w:lang w:eastAsia="zh-CN"/>
                <w14:textFill>
                  <w14:solidFill>
                    <w14:schemeClr w14:val="tx1"/>
                  </w14:solidFill>
                </w14:textFill>
              </w:rPr>
            </w:pPr>
            <w:r>
              <w:rPr>
                <w:rFonts w:ascii="Calibri" w:hAnsi="Calibri" w:eastAsia="Times New Roman"/>
                <w:color w:val="000000" w:themeColor="text1"/>
                <w:highlight w:val="none"/>
                <w:lang w:eastAsia="zh-CN"/>
                <w14:textFill>
                  <w14:solidFill>
                    <w14:schemeClr w14:val="tx1"/>
                  </w14:solidFill>
                </w14:textFill>
              </w:rPr>
              <w:t>在站场内配置便携式气体检测仪，操作人员巡检时应随身佩戴，用于人工巡查</w:t>
            </w:r>
          </w:p>
          <w:p>
            <w:pPr>
              <w:pStyle w:val="118"/>
              <w:rPr>
                <w:rFonts w:ascii="Calibri" w:hAnsi="Calibri" w:eastAsia="Times New Roman"/>
                <w:color w:val="000000" w:themeColor="text1"/>
                <w:highlight w:val="none"/>
                <w:lang w:eastAsia="zh-CN"/>
                <w14:textFill>
                  <w14:solidFill>
                    <w14:schemeClr w14:val="tx1"/>
                  </w14:solidFill>
                </w14:textFill>
              </w:rPr>
            </w:pPr>
            <w:r>
              <w:rPr>
                <w:rFonts w:ascii="Calibri" w:hAnsi="Calibri" w:eastAsia="Times New Roman"/>
                <w:color w:val="000000" w:themeColor="text1"/>
                <w:highlight w:val="none"/>
                <w:lang w:eastAsia="zh-CN"/>
                <w14:textFill>
                  <w14:solidFill>
                    <w14:schemeClr w14:val="tx1"/>
                  </w14:solidFill>
                </w14:textFill>
              </w:rPr>
              <w:t>检井场时检测气体的浓度。</w:t>
            </w:r>
          </w:p>
        </w:tc>
        <w:tc>
          <w:tcPr>
            <w:tcW w:w="975" w:type="dxa"/>
            <w:vMerge w:val="continue"/>
            <w:shd w:val="clear" w:color="auto" w:fill="auto"/>
            <w:vAlign w:val="center"/>
          </w:tcPr>
          <w:p>
            <w:pPr>
              <w:pStyle w:val="118"/>
              <w:rPr>
                <w:rFonts w:ascii="Calibri" w:hAnsi="Calibri" w:eastAsia="Times New Roman"/>
                <w:color w:val="000000" w:themeColor="text1"/>
                <w:highlight w:val="none"/>
                <w:lang w:eastAsia="zh-CN"/>
                <w14:textFill>
                  <w14:solidFill>
                    <w14:schemeClr w14:val="tx1"/>
                  </w14:solidFill>
                </w14:textFill>
              </w:rPr>
            </w:pPr>
          </w:p>
        </w:tc>
        <w:tc>
          <w:tcPr>
            <w:tcW w:w="974"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w:t>
            </w:r>
          </w:p>
        </w:tc>
        <w:tc>
          <w:tcPr>
            <w:tcW w:w="742"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6" w:type="dxa"/>
            <w:vMerge w:val="continue"/>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970"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线路附属设施</w:t>
            </w:r>
          </w:p>
        </w:tc>
        <w:tc>
          <w:tcPr>
            <w:tcW w:w="3846" w:type="dxa"/>
            <w:shd w:val="clear" w:color="auto" w:fill="auto"/>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ascii="Calibri" w:hAnsi="Calibri" w:eastAsia="Times New Roman"/>
                <w:color w:val="000000" w:themeColor="text1"/>
                <w:highlight w:val="none"/>
                <w:lang w:eastAsia="zh-CN"/>
                <w14:textFill>
                  <w14:solidFill>
                    <w14:schemeClr w14:val="tx1"/>
                  </w14:solidFill>
                </w14:textFill>
              </w:rPr>
              <w:t>集输管道拟每公里设置1个标志里程桩，一定数量转角桩、穿跨越桩、交叉桩、结构桩、警示牌等。</w:t>
            </w:r>
          </w:p>
        </w:tc>
        <w:tc>
          <w:tcPr>
            <w:tcW w:w="975" w:type="dxa"/>
            <w:vMerge w:val="continue"/>
            <w:shd w:val="clear" w:color="auto" w:fill="auto"/>
            <w:vAlign w:val="center"/>
          </w:tcPr>
          <w:p>
            <w:pPr>
              <w:pStyle w:val="118"/>
              <w:rPr>
                <w:rFonts w:ascii="Calibri" w:hAnsi="Calibri" w:eastAsia="Times New Roman"/>
                <w:color w:val="000000" w:themeColor="text1"/>
                <w:highlight w:val="none"/>
                <w:lang w:eastAsia="zh-CN"/>
                <w14:textFill>
                  <w14:solidFill>
                    <w14:schemeClr w14:val="tx1"/>
                  </w14:solidFill>
                </w14:textFill>
              </w:rPr>
            </w:pPr>
          </w:p>
        </w:tc>
        <w:tc>
          <w:tcPr>
            <w:tcW w:w="974"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w:t>
            </w:r>
          </w:p>
        </w:tc>
        <w:tc>
          <w:tcPr>
            <w:tcW w:w="742"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6" w:type="dxa"/>
            <w:vMerge w:val="restart"/>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临时工程</w:t>
            </w:r>
          </w:p>
        </w:tc>
        <w:tc>
          <w:tcPr>
            <w:tcW w:w="970"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施工作业带</w:t>
            </w:r>
          </w:p>
        </w:tc>
        <w:tc>
          <w:tcPr>
            <w:tcW w:w="3846" w:type="dxa"/>
            <w:shd w:val="clear" w:color="auto" w:fill="auto"/>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ascii="Calibri" w:hAnsi="Calibri" w:eastAsia="Times New Roman"/>
                <w:color w:val="000000" w:themeColor="text1"/>
                <w:highlight w:val="none"/>
                <w:lang w:eastAsia="zh-CN"/>
                <w14:textFill>
                  <w14:solidFill>
                    <w14:schemeClr w14:val="tx1"/>
                  </w14:solidFill>
                </w14:textFill>
              </w:rPr>
              <w:t>管线施工作业带宽度：水田10m、旱地8m、林地6m、果园6m。</w:t>
            </w:r>
          </w:p>
        </w:tc>
        <w:tc>
          <w:tcPr>
            <w:tcW w:w="975" w:type="dxa"/>
            <w:vMerge w:val="restart"/>
            <w:shd w:val="clear" w:color="auto" w:fill="auto"/>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ascii="Calibri" w:hAnsi="Calibri" w:eastAsia="Times New Roman"/>
                <w:color w:val="000000" w:themeColor="text1"/>
                <w:highlight w:val="none"/>
                <w:lang w:eastAsia="zh-CN"/>
                <w14:textFill>
                  <w14:solidFill>
                    <w14:schemeClr w14:val="tx1"/>
                  </w14:solidFill>
                </w14:textFill>
              </w:rPr>
              <w:t>扬尘、尾气、废水、噪声、固废、植被破坏</w:t>
            </w:r>
          </w:p>
        </w:tc>
        <w:tc>
          <w:tcPr>
            <w:tcW w:w="974"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w:t>
            </w:r>
          </w:p>
        </w:tc>
        <w:tc>
          <w:tcPr>
            <w:tcW w:w="742"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6" w:type="dxa"/>
            <w:vMerge w:val="continue"/>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970"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施工便道</w:t>
            </w:r>
          </w:p>
        </w:tc>
        <w:tc>
          <w:tcPr>
            <w:tcW w:w="3846" w:type="dxa"/>
            <w:shd w:val="clear" w:color="auto" w:fill="auto"/>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ascii="Calibri" w:hAnsi="Calibri" w:eastAsia="Times New Roman"/>
                <w:color w:val="000000" w:themeColor="text1"/>
                <w:highlight w:val="none"/>
                <w:lang w:eastAsia="zh-CN"/>
                <w14:textFill>
                  <w14:solidFill>
                    <w14:schemeClr w14:val="tx1"/>
                  </w14:solidFill>
                </w14:textFill>
              </w:rPr>
              <w:t>本项目拟新建施工便道2km，改建施工便道2km，按普通砂石路等级设计，砂石路面硬化，宽度为4m。</w:t>
            </w:r>
          </w:p>
        </w:tc>
        <w:tc>
          <w:tcPr>
            <w:tcW w:w="975" w:type="dxa"/>
            <w:vMerge w:val="continue"/>
            <w:shd w:val="clear" w:color="auto" w:fill="auto"/>
            <w:vAlign w:val="center"/>
          </w:tcPr>
          <w:p>
            <w:pPr>
              <w:pStyle w:val="118"/>
              <w:rPr>
                <w:rFonts w:ascii="Calibri" w:hAnsi="Calibri" w:eastAsia="Times New Roman"/>
                <w:color w:val="000000" w:themeColor="text1"/>
                <w:highlight w:val="none"/>
                <w:lang w:eastAsia="zh-CN"/>
                <w14:textFill>
                  <w14:solidFill>
                    <w14:schemeClr w14:val="tx1"/>
                  </w14:solidFill>
                </w14:textFill>
              </w:rPr>
            </w:pPr>
          </w:p>
        </w:tc>
        <w:tc>
          <w:tcPr>
            <w:tcW w:w="974"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w:t>
            </w:r>
          </w:p>
        </w:tc>
        <w:tc>
          <w:tcPr>
            <w:tcW w:w="742"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796" w:type="dxa"/>
            <w:vMerge w:val="continue"/>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970" w:type="dxa"/>
            <w:vMerge w:val="restart"/>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穿越点施工场地</w:t>
            </w:r>
          </w:p>
        </w:tc>
        <w:tc>
          <w:tcPr>
            <w:tcW w:w="3846" w:type="dxa"/>
            <w:shd w:val="clear" w:color="auto" w:fill="auto"/>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ascii="Calibri" w:hAnsi="Calibri" w:eastAsia="Times New Roman"/>
                <w:color w:val="000000" w:themeColor="text1"/>
                <w:highlight w:val="none"/>
                <w:lang w:eastAsia="zh-CN"/>
                <w14:textFill>
                  <w14:solidFill>
                    <w14:schemeClr w14:val="tx1"/>
                  </w14:solidFill>
                </w14:textFill>
              </w:rPr>
              <w:t>穿越G65高速公路：定向钻穿越，定向钻穿越临时施工场地包含钻机场地和回拖场地，入土点操作场地1600m</w:t>
            </w:r>
            <w:r>
              <w:rPr>
                <w:rFonts w:ascii="Calibri" w:hAnsi="Calibri" w:eastAsia="Times New Roman"/>
                <w:color w:val="000000" w:themeColor="text1"/>
                <w:highlight w:val="none"/>
                <w:vertAlign w:val="superscript"/>
                <w:lang w:eastAsia="zh-CN"/>
                <w14:textFill>
                  <w14:solidFill>
                    <w14:schemeClr w14:val="tx1"/>
                  </w14:solidFill>
                </w14:textFill>
              </w:rPr>
              <w:t>2</w:t>
            </w:r>
            <w:r>
              <w:rPr>
                <w:rFonts w:ascii="Calibri" w:hAnsi="Calibri" w:eastAsia="Times New Roman"/>
                <w:color w:val="000000" w:themeColor="text1"/>
                <w:highlight w:val="none"/>
                <w:lang w:eastAsia="zh-CN"/>
                <w14:textFill>
                  <w14:solidFill>
                    <w14:schemeClr w14:val="tx1"/>
                  </w14:solidFill>
                </w14:textFill>
              </w:rPr>
              <w:t>；出土点操作包含操作场地和回拖管道场地2100m</w:t>
            </w:r>
            <w:r>
              <w:rPr>
                <w:rFonts w:ascii="Calibri" w:hAnsi="Calibri" w:eastAsia="Times New Roman"/>
                <w:color w:val="000000" w:themeColor="text1"/>
                <w:highlight w:val="none"/>
                <w:vertAlign w:val="superscript"/>
                <w:lang w:eastAsia="zh-CN"/>
                <w14:textFill>
                  <w14:solidFill>
                    <w14:schemeClr w14:val="tx1"/>
                  </w14:solidFill>
                </w14:textFill>
              </w:rPr>
              <w:t>2</w:t>
            </w:r>
            <w:r>
              <w:rPr>
                <w:rFonts w:ascii="Calibri" w:hAnsi="Calibri" w:eastAsia="Times New Roman"/>
                <w:color w:val="000000" w:themeColor="text1"/>
                <w:highlight w:val="none"/>
                <w:lang w:eastAsia="zh-CN"/>
                <w14:textFill>
                  <w14:solidFill>
                    <w14:schemeClr w14:val="tx1"/>
                  </w14:solidFill>
                </w14:textFill>
              </w:rPr>
              <w:t>，加上一般线路施工的临时占地，总计约5400m</w:t>
            </w:r>
            <w:r>
              <w:rPr>
                <w:rFonts w:ascii="Calibri" w:hAnsi="Calibri" w:eastAsia="Times New Roman"/>
                <w:color w:val="000000" w:themeColor="text1"/>
                <w:highlight w:val="none"/>
                <w:vertAlign w:val="superscript"/>
                <w:lang w:eastAsia="zh-CN"/>
                <w14:textFill>
                  <w14:solidFill>
                    <w14:schemeClr w14:val="tx1"/>
                  </w14:solidFill>
                </w14:textFill>
              </w:rPr>
              <w:t>2</w:t>
            </w:r>
            <w:r>
              <w:rPr>
                <w:rFonts w:ascii="Calibri" w:hAnsi="Calibri" w:eastAsia="Times New Roman"/>
                <w:color w:val="000000" w:themeColor="text1"/>
                <w:highlight w:val="none"/>
                <w:lang w:eastAsia="zh-CN"/>
                <w14:textFill>
                  <w14:solidFill>
                    <w14:schemeClr w14:val="tx1"/>
                  </w14:solidFill>
                </w14:textFill>
              </w:rPr>
              <w:t>；</w:t>
            </w:r>
          </w:p>
          <w:p>
            <w:pPr>
              <w:pStyle w:val="118"/>
              <w:rPr>
                <w:rFonts w:ascii="Calibri" w:hAnsi="Calibri" w:eastAsia="Times New Roman"/>
                <w:color w:val="000000" w:themeColor="text1"/>
                <w:highlight w:val="none"/>
                <w:lang w:eastAsia="zh-CN"/>
                <w14:textFill>
                  <w14:solidFill>
                    <w14:schemeClr w14:val="tx1"/>
                  </w14:solidFill>
                </w14:textFill>
              </w:rPr>
            </w:pPr>
            <w:r>
              <w:rPr>
                <w:rFonts w:ascii="Calibri" w:hAnsi="Calibri" w:eastAsia="Times New Roman"/>
                <w:color w:val="000000" w:themeColor="text1"/>
                <w:highlight w:val="none"/>
                <w:lang w:eastAsia="zh-CN"/>
                <w14:textFill>
                  <w14:solidFill>
                    <w14:schemeClr w14:val="tx1"/>
                  </w14:solidFill>
                </w14:textFill>
              </w:rPr>
              <w:t>穿越G210国道：顶管穿越，穿越点两端分别设置1处施工场地，施工场地尺寸为30m×30m。</w:t>
            </w:r>
          </w:p>
        </w:tc>
        <w:tc>
          <w:tcPr>
            <w:tcW w:w="975" w:type="dxa"/>
            <w:vMerge w:val="continue"/>
            <w:shd w:val="clear" w:color="auto" w:fill="auto"/>
            <w:vAlign w:val="center"/>
          </w:tcPr>
          <w:p>
            <w:pPr>
              <w:pStyle w:val="118"/>
              <w:rPr>
                <w:rFonts w:ascii="Calibri" w:hAnsi="Calibri" w:eastAsia="Times New Roman"/>
                <w:color w:val="000000" w:themeColor="text1"/>
                <w:highlight w:val="none"/>
                <w:lang w:eastAsia="zh-CN"/>
                <w14:textFill>
                  <w14:solidFill>
                    <w14:schemeClr w14:val="tx1"/>
                  </w14:solidFill>
                </w14:textFill>
              </w:rPr>
            </w:pPr>
          </w:p>
        </w:tc>
        <w:tc>
          <w:tcPr>
            <w:tcW w:w="974" w:type="dxa"/>
            <w:vMerge w:val="restart"/>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w:t>
            </w:r>
          </w:p>
        </w:tc>
        <w:tc>
          <w:tcPr>
            <w:tcW w:w="742" w:type="dxa"/>
            <w:vMerge w:val="restart"/>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trPr>
        <w:tc>
          <w:tcPr>
            <w:tcW w:w="796" w:type="dxa"/>
            <w:vMerge w:val="continue"/>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970" w:type="dxa"/>
            <w:vMerge w:val="continue"/>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3846" w:type="dxa"/>
            <w:shd w:val="clear" w:color="auto" w:fill="auto"/>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ascii="Calibri" w:hAnsi="Calibri" w:eastAsia="Times New Roman"/>
                <w:color w:val="000000" w:themeColor="text1"/>
                <w:highlight w:val="none"/>
                <w:lang w:eastAsia="zh-CN"/>
                <w14:textFill>
                  <w14:solidFill>
                    <w14:schemeClr w14:val="tx1"/>
                  </w14:solidFill>
                </w14:textFill>
              </w:rPr>
              <w:t>穿越州河支流：定向钻穿越，定向钻穿越临时施工场地包含钻机场地和回拖场地，入土点操作场地1600m</w:t>
            </w:r>
            <w:r>
              <w:rPr>
                <w:rFonts w:ascii="Calibri" w:hAnsi="Calibri" w:eastAsia="Times New Roman"/>
                <w:color w:val="000000" w:themeColor="text1"/>
                <w:highlight w:val="none"/>
                <w:vertAlign w:val="superscript"/>
                <w:lang w:eastAsia="zh-CN"/>
                <w14:textFill>
                  <w14:solidFill>
                    <w14:schemeClr w14:val="tx1"/>
                  </w14:solidFill>
                </w14:textFill>
              </w:rPr>
              <w:t>2</w:t>
            </w:r>
            <w:r>
              <w:rPr>
                <w:rFonts w:ascii="Calibri" w:hAnsi="Calibri" w:eastAsia="Times New Roman"/>
                <w:color w:val="000000" w:themeColor="text1"/>
                <w:highlight w:val="none"/>
                <w:lang w:eastAsia="zh-CN"/>
                <w14:textFill>
                  <w14:solidFill>
                    <w14:schemeClr w14:val="tx1"/>
                  </w14:solidFill>
                </w14:textFill>
              </w:rPr>
              <w:t>；出土点操作包含操作场地和回拖管道场地2100m</w:t>
            </w:r>
            <w:r>
              <w:rPr>
                <w:rFonts w:ascii="Calibri" w:hAnsi="Calibri" w:eastAsia="Times New Roman"/>
                <w:color w:val="000000" w:themeColor="text1"/>
                <w:highlight w:val="none"/>
                <w:vertAlign w:val="superscript"/>
                <w:lang w:eastAsia="zh-CN"/>
                <w14:textFill>
                  <w14:solidFill>
                    <w14:schemeClr w14:val="tx1"/>
                  </w14:solidFill>
                </w14:textFill>
              </w:rPr>
              <w:t>2</w:t>
            </w:r>
            <w:r>
              <w:rPr>
                <w:rFonts w:ascii="Calibri" w:hAnsi="Calibri" w:eastAsia="Times New Roman"/>
                <w:color w:val="000000" w:themeColor="text1"/>
                <w:highlight w:val="none"/>
                <w:lang w:eastAsia="zh-CN"/>
                <w14:textFill>
                  <w14:solidFill>
                    <w14:schemeClr w14:val="tx1"/>
                  </w14:solidFill>
                </w14:textFill>
              </w:rPr>
              <w:t>，加上一般线路施工的临时占地，总计约5400m</w:t>
            </w:r>
            <w:r>
              <w:rPr>
                <w:rFonts w:ascii="Calibri" w:hAnsi="Calibri" w:eastAsia="Times New Roman"/>
                <w:color w:val="000000" w:themeColor="text1"/>
                <w:highlight w:val="none"/>
                <w:vertAlign w:val="superscript"/>
                <w:lang w:eastAsia="zh-CN"/>
                <w14:textFill>
                  <w14:solidFill>
                    <w14:schemeClr w14:val="tx1"/>
                  </w14:solidFill>
                </w14:textFill>
              </w:rPr>
              <w:t>2</w:t>
            </w:r>
          </w:p>
        </w:tc>
        <w:tc>
          <w:tcPr>
            <w:tcW w:w="975" w:type="dxa"/>
            <w:vMerge w:val="continue"/>
            <w:shd w:val="clear" w:color="auto" w:fill="auto"/>
            <w:vAlign w:val="center"/>
          </w:tcPr>
          <w:p>
            <w:pPr>
              <w:pStyle w:val="118"/>
              <w:rPr>
                <w:rFonts w:ascii="Calibri" w:hAnsi="Calibri" w:eastAsia="Times New Roman"/>
                <w:color w:val="000000" w:themeColor="text1"/>
                <w:highlight w:val="none"/>
                <w:lang w:eastAsia="zh-CN"/>
                <w14:textFill>
                  <w14:solidFill>
                    <w14:schemeClr w14:val="tx1"/>
                  </w14:solidFill>
                </w14:textFill>
              </w:rPr>
            </w:pPr>
          </w:p>
        </w:tc>
        <w:tc>
          <w:tcPr>
            <w:tcW w:w="974" w:type="dxa"/>
            <w:vMerge w:val="continue"/>
            <w:shd w:val="clear" w:color="auto" w:fill="auto"/>
            <w:vAlign w:val="center"/>
          </w:tcPr>
          <w:p>
            <w:pPr>
              <w:pStyle w:val="118"/>
              <w:rPr>
                <w:rFonts w:ascii="Calibri" w:hAnsi="Calibri" w:eastAsia="Times New Roman"/>
                <w:color w:val="000000" w:themeColor="text1"/>
                <w:highlight w:val="none"/>
                <w:lang w:eastAsia="zh-CN"/>
                <w14:textFill>
                  <w14:solidFill>
                    <w14:schemeClr w14:val="tx1"/>
                  </w14:solidFill>
                </w14:textFill>
              </w:rPr>
            </w:pPr>
          </w:p>
        </w:tc>
        <w:tc>
          <w:tcPr>
            <w:tcW w:w="742" w:type="dxa"/>
            <w:vMerge w:val="continue"/>
            <w:shd w:val="clear" w:color="auto" w:fill="auto"/>
            <w:vAlign w:val="center"/>
          </w:tcPr>
          <w:p>
            <w:pPr>
              <w:pStyle w:val="118"/>
              <w:rPr>
                <w:rFonts w:ascii="Calibri" w:hAnsi="Calibri" w:eastAsia="Times New Roman"/>
                <w:color w:val="000000" w:themeColor="text1"/>
                <w:highlight w:val="none"/>
                <w:lang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6" w:type="dxa"/>
            <w:vMerge w:val="continue"/>
            <w:shd w:val="clear" w:color="auto" w:fill="auto"/>
            <w:vAlign w:val="center"/>
          </w:tcPr>
          <w:p>
            <w:pPr>
              <w:pStyle w:val="118"/>
              <w:rPr>
                <w:rFonts w:ascii="Calibri" w:hAnsi="Calibri" w:eastAsia="Times New Roman"/>
                <w:color w:val="000000" w:themeColor="text1"/>
                <w:highlight w:val="none"/>
                <w:lang w:eastAsia="zh-CN"/>
                <w14:textFill>
                  <w14:solidFill>
                    <w14:schemeClr w14:val="tx1"/>
                  </w14:solidFill>
                </w14:textFill>
              </w:rPr>
            </w:pPr>
          </w:p>
        </w:tc>
        <w:tc>
          <w:tcPr>
            <w:tcW w:w="970"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堆管场</w:t>
            </w:r>
          </w:p>
        </w:tc>
        <w:tc>
          <w:tcPr>
            <w:tcW w:w="3846" w:type="dxa"/>
            <w:shd w:val="clear" w:color="auto" w:fill="auto"/>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ascii="Calibri" w:hAnsi="Calibri" w:eastAsia="Times New Roman"/>
                <w:color w:val="000000" w:themeColor="text1"/>
                <w:highlight w:val="none"/>
                <w:lang w:eastAsia="zh-CN"/>
                <w14:textFill>
                  <w14:solidFill>
                    <w14:schemeClr w14:val="tx1"/>
                  </w14:solidFill>
                </w14:textFill>
              </w:rPr>
              <w:t>沿线每2km设置一处堆管场，共设置5个堆管场，每个堆管场占地约400m</w:t>
            </w:r>
            <w:r>
              <w:rPr>
                <w:rFonts w:ascii="Calibri" w:hAnsi="Calibri" w:eastAsia="Times New Roman"/>
                <w:color w:val="000000" w:themeColor="text1"/>
                <w:highlight w:val="none"/>
                <w:vertAlign w:val="superscript"/>
                <w:lang w:eastAsia="zh-CN"/>
                <w14:textFill>
                  <w14:solidFill>
                    <w14:schemeClr w14:val="tx1"/>
                  </w14:solidFill>
                </w14:textFill>
              </w:rPr>
              <w:t>2</w:t>
            </w:r>
            <w:r>
              <w:rPr>
                <w:rFonts w:ascii="Calibri" w:hAnsi="Calibri" w:eastAsia="Times New Roman"/>
                <w:color w:val="000000" w:themeColor="text1"/>
                <w:highlight w:val="none"/>
                <w:lang w:eastAsia="zh-CN"/>
                <w14:textFill>
                  <w14:solidFill>
                    <w14:schemeClr w14:val="tx1"/>
                  </w14:solidFill>
                </w14:textFill>
              </w:rPr>
              <w:t>（20m×20m）</w:t>
            </w:r>
          </w:p>
        </w:tc>
        <w:tc>
          <w:tcPr>
            <w:tcW w:w="975" w:type="dxa"/>
            <w:vMerge w:val="continue"/>
            <w:shd w:val="clear" w:color="auto" w:fill="auto"/>
            <w:vAlign w:val="center"/>
          </w:tcPr>
          <w:p>
            <w:pPr>
              <w:pStyle w:val="118"/>
              <w:rPr>
                <w:rFonts w:ascii="Calibri" w:hAnsi="Calibri" w:eastAsia="Times New Roman"/>
                <w:color w:val="000000" w:themeColor="text1"/>
                <w:highlight w:val="none"/>
                <w:lang w:eastAsia="zh-CN"/>
                <w14:textFill>
                  <w14:solidFill>
                    <w14:schemeClr w14:val="tx1"/>
                  </w14:solidFill>
                </w14:textFill>
              </w:rPr>
            </w:pPr>
          </w:p>
        </w:tc>
        <w:tc>
          <w:tcPr>
            <w:tcW w:w="974"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w:t>
            </w:r>
          </w:p>
        </w:tc>
        <w:tc>
          <w:tcPr>
            <w:tcW w:w="742"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6" w:type="dxa"/>
            <w:vMerge w:val="restart"/>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环保工程</w:t>
            </w:r>
          </w:p>
        </w:tc>
        <w:tc>
          <w:tcPr>
            <w:tcW w:w="970"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废水处理</w:t>
            </w:r>
          </w:p>
        </w:tc>
        <w:tc>
          <w:tcPr>
            <w:tcW w:w="3846" w:type="dxa"/>
            <w:shd w:val="clear" w:color="auto" w:fill="auto"/>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ascii="Calibri" w:hAnsi="Calibri" w:eastAsia="Times New Roman"/>
                <w:color w:val="000000" w:themeColor="text1"/>
                <w:highlight w:val="none"/>
                <w:lang w:eastAsia="zh-CN"/>
                <w14:textFill>
                  <w14:solidFill>
                    <w14:schemeClr w14:val="tx1"/>
                  </w14:solidFill>
                </w14:textFill>
              </w:rPr>
              <w:t>分离气田水：原料气通过新建分离器进行气液分离，分离气田水暂存于污水罐，定期由密闭罐车拉运至赵家坝污水处理站达标后管输至普光3井回注站回注，不外排。生活污水经生态厕所收集后定期由密闭罐车拉运至周边生活污水处理厂处理。</w:t>
            </w:r>
          </w:p>
        </w:tc>
        <w:tc>
          <w:tcPr>
            <w:tcW w:w="975" w:type="dxa"/>
            <w:vMerge w:val="restart"/>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w:t>
            </w:r>
          </w:p>
        </w:tc>
        <w:tc>
          <w:tcPr>
            <w:tcW w:w="974"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废水</w:t>
            </w:r>
          </w:p>
        </w:tc>
        <w:tc>
          <w:tcPr>
            <w:tcW w:w="742"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96" w:type="dxa"/>
            <w:vMerge w:val="continue"/>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970"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废气治理</w:t>
            </w:r>
          </w:p>
        </w:tc>
        <w:tc>
          <w:tcPr>
            <w:tcW w:w="3846" w:type="dxa"/>
            <w:shd w:val="clear" w:color="auto" w:fill="auto"/>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ascii="Calibri" w:hAnsi="Calibri" w:eastAsia="Times New Roman"/>
                <w:color w:val="000000" w:themeColor="text1"/>
                <w:highlight w:val="none"/>
                <w:lang w:eastAsia="zh-CN"/>
                <w14:textFill>
                  <w14:solidFill>
                    <w14:schemeClr w14:val="tx1"/>
                  </w14:solidFill>
                </w14:textFill>
              </w:rPr>
              <w:t>检修或事故时，站内天然气通过新建放空立管高空燃烧排放。</w:t>
            </w:r>
          </w:p>
        </w:tc>
        <w:tc>
          <w:tcPr>
            <w:tcW w:w="975" w:type="dxa"/>
            <w:vMerge w:val="continue"/>
            <w:shd w:val="clear" w:color="auto" w:fill="auto"/>
            <w:vAlign w:val="center"/>
          </w:tcPr>
          <w:p>
            <w:pPr>
              <w:pStyle w:val="118"/>
              <w:rPr>
                <w:rFonts w:ascii="Calibri" w:hAnsi="Calibri" w:eastAsia="Times New Roman"/>
                <w:color w:val="000000" w:themeColor="text1"/>
                <w:highlight w:val="none"/>
                <w:lang w:eastAsia="zh-CN"/>
                <w14:textFill>
                  <w14:solidFill>
                    <w14:schemeClr w14:val="tx1"/>
                  </w14:solidFill>
                </w14:textFill>
              </w:rPr>
            </w:pPr>
          </w:p>
        </w:tc>
        <w:tc>
          <w:tcPr>
            <w:tcW w:w="974"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废气</w:t>
            </w:r>
          </w:p>
        </w:tc>
        <w:tc>
          <w:tcPr>
            <w:tcW w:w="742"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6" w:type="dxa"/>
            <w:vMerge w:val="continue"/>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970"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噪声治理</w:t>
            </w:r>
          </w:p>
        </w:tc>
        <w:tc>
          <w:tcPr>
            <w:tcW w:w="3846" w:type="dxa"/>
            <w:shd w:val="clear" w:color="auto" w:fill="auto"/>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ascii="Calibri" w:hAnsi="Calibri" w:eastAsia="Times New Roman"/>
                <w:color w:val="000000" w:themeColor="text1"/>
                <w:highlight w:val="none"/>
                <w:lang w:eastAsia="zh-CN"/>
                <w14:textFill>
                  <w14:solidFill>
                    <w14:schemeClr w14:val="tx1"/>
                  </w14:solidFill>
                </w14:textFill>
              </w:rPr>
              <w:t>采用先进设备，隔声减噪，撬装结构固定，基座减震等措施，定期维修检修设备。</w:t>
            </w:r>
          </w:p>
        </w:tc>
        <w:tc>
          <w:tcPr>
            <w:tcW w:w="975" w:type="dxa"/>
            <w:vMerge w:val="continue"/>
            <w:shd w:val="clear" w:color="auto" w:fill="auto"/>
            <w:vAlign w:val="center"/>
          </w:tcPr>
          <w:p>
            <w:pPr>
              <w:pStyle w:val="118"/>
              <w:rPr>
                <w:rFonts w:ascii="Calibri" w:hAnsi="Calibri" w:eastAsia="Times New Roman"/>
                <w:color w:val="000000" w:themeColor="text1"/>
                <w:highlight w:val="none"/>
                <w:lang w:eastAsia="zh-CN"/>
                <w14:textFill>
                  <w14:solidFill>
                    <w14:schemeClr w14:val="tx1"/>
                  </w14:solidFill>
                </w14:textFill>
              </w:rPr>
            </w:pPr>
          </w:p>
        </w:tc>
        <w:tc>
          <w:tcPr>
            <w:tcW w:w="974"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噪声</w:t>
            </w:r>
          </w:p>
        </w:tc>
        <w:tc>
          <w:tcPr>
            <w:tcW w:w="742"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6" w:type="dxa"/>
            <w:vMerge w:val="continue"/>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970"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固废治理</w:t>
            </w:r>
          </w:p>
        </w:tc>
        <w:tc>
          <w:tcPr>
            <w:tcW w:w="3846" w:type="dxa"/>
            <w:shd w:val="clear" w:color="auto" w:fill="auto"/>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ascii="Calibri" w:hAnsi="Calibri" w:eastAsia="Times New Roman"/>
                <w:color w:val="000000" w:themeColor="text1"/>
                <w:highlight w:val="none"/>
                <w:lang w:eastAsia="zh-CN"/>
                <w14:textFill>
                  <w14:solidFill>
                    <w14:schemeClr w14:val="tx1"/>
                  </w14:solidFill>
                </w14:textFill>
              </w:rPr>
              <w:t>本项目装置分离器除砂分离过程产生的废渣，主要为固态杂质，约0.5t/a；脱水分离撬内分子筛使用时产生的废分子筛，废分子筛每3年更换1次，每次约5.5t，管线清管/检修废渣，主要为固态杂质，约</w:t>
            </w:r>
            <w:r>
              <w:rPr>
                <w:rFonts w:ascii="Calibri" w:hAnsi="Calibri" w:eastAsiaTheme="minorEastAsia"/>
                <w:color w:val="000000" w:themeColor="text1"/>
                <w:highlight w:val="none"/>
                <w:lang w:eastAsia="zh-CN"/>
                <w14:textFill>
                  <w14:solidFill>
                    <w14:schemeClr w14:val="tx1"/>
                  </w14:solidFill>
                </w14:textFill>
              </w:rPr>
              <w:t>1</w:t>
            </w:r>
            <w:r>
              <w:rPr>
                <w:rFonts w:ascii="Calibri" w:hAnsi="Calibri" w:eastAsia="Times New Roman"/>
                <w:color w:val="000000" w:themeColor="text1"/>
                <w:highlight w:val="none"/>
                <w:lang w:eastAsia="zh-CN"/>
                <w14:textFill>
                  <w14:solidFill>
                    <w14:schemeClr w14:val="tx1"/>
                  </w14:solidFill>
                </w14:textFill>
              </w:rPr>
              <w:t>t/a等。废渣及废分子筛均为一般工业废物，收集后定期交由当地具备处理工业废物能力的单位处置（其中废分子筛若厂家可回收则交由厂家回收）。</w:t>
            </w:r>
          </w:p>
        </w:tc>
        <w:tc>
          <w:tcPr>
            <w:tcW w:w="975" w:type="dxa"/>
            <w:vMerge w:val="continue"/>
            <w:shd w:val="clear" w:color="auto" w:fill="auto"/>
            <w:vAlign w:val="center"/>
          </w:tcPr>
          <w:p>
            <w:pPr>
              <w:pStyle w:val="118"/>
              <w:rPr>
                <w:rFonts w:ascii="Calibri" w:hAnsi="Calibri" w:eastAsia="Times New Roman"/>
                <w:color w:val="000000" w:themeColor="text1"/>
                <w:highlight w:val="none"/>
                <w:lang w:eastAsia="zh-CN"/>
                <w14:textFill>
                  <w14:solidFill>
                    <w14:schemeClr w14:val="tx1"/>
                  </w14:solidFill>
                </w14:textFill>
              </w:rPr>
            </w:pPr>
          </w:p>
        </w:tc>
        <w:tc>
          <w:tcPr>
            <w:tcW w:w="974"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固废</w:t>
            </w:r>
          </w:p>
        </w:tc>
        <w:tc>
          <w:tcPr>
            <w:tcW w:w="742"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6" w:type="dxa"/>
            <w:vMerge w:val="continue"/>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970"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地下水及土壤</w:t>
            </w:r>
          </w:p>
        </w:tc>
        <w:tc>
          <w:tcPr>
            <w:tcW w:w="3846" w:type="dxa"/>
            <w:shd w:val="clear" w:color="auto" w:fill="auto"/>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ascii="Calibri" w:hAnsi="Calibri" w:eastAsia="Times New Roman"/>
                <w:color w:val="000000" w:themeColor="text1"/>
                <w:highlight w:val="none"/>
                <w:lang w:eastAsia="zh-CN"/>
                <w14:textFill>
                  <w14:solidFill>
                    <w14:schemeClr w14:val="tx1"/>
                  </w14:solidFill>
                </w14:textFill>
              </w:rPr>
              <w:t>试采站按《环境影响评价技术导则 地下水环境》（HJ610-2016）等相关技术规范要求进行分区防渗，集输管线采取加强级三层PE防腐；根据本次评价制定的地下水跟踪监测计划实施地下水监测，划定应急范围，采取应急处置措施；根据本次评价制定的土壤跟踪监测计划实施土壤监测。</w:t>
            </w:r>
          </w:p>
        </w:tc>
        <w:tc>
          <w:tcPr>
            <w:tcW w:w="975"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w:t>
            </w:r>
          </w:p>
        </w:tc>
        <w:tc>
          <w:tcPr>
            <w:tcW w:w="974" w:type="dxa"/>
            <w:vMerge w:val="restart"/>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环境风险</w:t>
            </w:r>
          </w:p>
        </w:tc>
        <w:tc>
          <w:tcPr>
            <w:tcW w:w="742"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6" w:type="dxa"/>
            <w:vMerge w:val="continue"/>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970"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环境风险</w:t>
            </w:r>
          </w:p>
        </w:tc>
        <w:tc>
          <w:tcPr>
            <w:tcW w:w="3846" w:type="dxa"/>
            <w:shd w:val="clear" w:color="auto" w:fill="auto"/>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ascii="Calibri" w:hAnsi="Calibri" w:eastAsia="Times New Roman"/>
                <w:color w:val="000000" w:themeColor="text1"/>
                <w:highlight w:val="none"/>
                <w:lang w:eastAsia="zh-CN"/>
                <w14:textFill>
                  <w14:solidFill>
                    <w14:schemeClr w14:val="tx1"/>
                  </w14:solidFill>
                </w14:textFill>
              </w:rPr>
              <w:t>将本项目风险纳入区域应急预案中，并按行业要求统一配备应急物资，按照相关规范要求制定环境风险防范措施、编制应急预案、应急演练、加强巡检等；站场配备消防器材、风向标；集气管线沿线设置标志桩和警示牌；主动联系当地政府，主要对站场周边500m范围和管线200m范围内的居民通过普及安全知识，内容应有危害程度、防范应急救护措施。</w:t>
            </w:r>
          </w:p>
        </w:tc>
        <w:tc>
          <w:tcPr>
            <w:tcW w:w="975"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w:t>
            </w:r>
          </w:p>
        </w:tc>
        <w:tc>
          <w:tcPr>
            <w:tcW w:w="974" w:type="dxa"/>
            <w:vMerge w:val="continue"/>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742" w:type="dxa"/>
            <w:shd w:val="clear" w:color="auto" w:fill="auto"/>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新建</w:t>
            </w:r>
          </w:p>
        </w:tc>
      </w:tr>
    </w:tbl>
    <w:p>
      <w:pPr>
        <w:pStyle w:val="5"/>
        <w:numPr>
          <w:ilvl w:val="0"/>
          <w:numId w:val="0"/>
        </w:numPr>
        <w:spacing w:before="120"/>
        <w:rPr>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2.2.2.气质成分、地层水</w:t>
      </w:r>
    </w:p>
    <w:p>
      <w:pPr>
        <w:ind w:firstLine="480"/>
        <w:rPr>
          <w:rFonts w:ascii="宋体" w:hAnsi="宋体"/>
          <w:color w:val="000000" w:themeColor="text1"/>
          <w:szCs w:val="24"/>
          <w:highlight w:val="none"/>
          <w14:textFill>
            <w14:solidFill>
              <w14:schemeClr w14:val="tx1"/>
            </w14:solidFill>
          </w14:textFill>
        </w:rPr>
      </w:pPr>
      <w:r>
        <w:rPr>
          <w:rFonts w:ascii="宋体" w:hAnsi="宋体"/>
          <w:color w:val="000000" w:themeColor="text1"/>
          <w:szCs w:val="24"/>
          <w:highlight w:val="none"/>
          <w14:textFill>
            <w14:solidFill>
              <w14:schemeClr w14:val="tx1"/>
            </w14:solidFill>
          </w14:textFill>
        </w:rPr>
        <w:t>由于雷页</w:t>
      </w:r>
      <w:r>
        <w:rPr>
          <w:rFonts w:cs="Times New Roman"/>
          <w:color w:val="000000" w:themeColor="text1"/>
          <w:szCs w:val="24"/>
          <w:highlight w:val="none"/>
          <w14:textFill>
            <w14:solidFill>
              <w14:schemeClr w14:val="tx1"/>
            </w14:solidFill>
          </w14:textFill>
        </w:rPr>
        <w:t>1井远离普光气田已建管网，前期采用CNG方式进行试采，即将井口压力降至20MPa</w:t>
      </w:r>
      <w:r>
        <w:rPr>
          <w:rFonts w:ascii="宋体" w:hAnsi="宋体"/>
          <w:color w:val="000000" w:themeColor="text1"/>
          <w:szCs w:val="24"/>
          <w:highlight w:val="none"/>
          <w14:textFill>
            <w14:solidFill>
              <w14:schemeClr w14:val="tx1"/>
            </w14:solidFill>
          </w14:textFill>
        </w:rPr>
        <w:t>，经脱水后</w:t>
      </w:r>
      <w:r>
        <w:rPr>
          <w:rFonts w:cs="Times New Roman"/>
          <w:color w:val="000000" w:themeColor="text1"/>
          <w:szCs w:val="24"/>
          <w:highlight w:val="none"/>
          <w14:textFill>
            <w14:solidFill>
              <w14:schemeClr w14:val="tx1"/>
            </w14:solidFill>
          </w14:textFill>
        </w:rPr>
        <w:t>采用CNG槽</w:t>
      </w:r>
      <w:r>
        <w:rPr>
          <w:rFonts w:ascii="宋体" w:hAnsi="宋体"/>
          <w:color w:val="000000" w:themeColor="text1"/>
          <w:szCs w:val="24"/>
          <w:highlight w:val="none"/>
          <w14:textFill>
            <w14:solidFill>
              <w14:schemeClr w14:val="tx1"/>
            </w14:solidFill>
          </w14:textFill>
        </w:rPr>
        <w:t>车外运销售。</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根据前期雷页1井以CNG方式试气情况，雷页1井试采气量按10×10</w:t>
      </w:r>
      <w:r>
        <w:rPr>
          <w:rFonts w:hint="eastAsia"/>
          <w:color w:val="000000" w:themeColor="text1"/>
          <w:highlight w:val="none"/>
          <w:vertAlign w:val="superscript"/>
          <w14:textFill>
            <w14:solidFill>
              <w14:schemeClr w14:val="tx1"/>
            </w14:solidFill>
          </w14:textFill>
        </w:rPr>
        <w:t>4</w:t>
      </w:r>
      <w:r>
        <w:rPr>
          <w:rFonts w:hint="eastAsia"/>
          <w:color w:val="000000" w:themeColor="text1"/>
          <w:highlight w:val="none"/>
          <w14:textFill>
            <w14:solidFill>
              <w14:schemeClr w14:val="tx1"/>
            </w14:solidFill>
          </w14:textFill>
        </w:rPr>
        <w:t>m</w:t>
      </w:r>
      <w:r>
        <w:rPr>
          <w:rFonts w:hint="eastAsia"/>
          <w:color w:val="000000" w:themeColor="text1"/>
          <w:highlight w:val="none"/>
          <w:vertAlign w:val="superscript"/>
          <w14:textFill>
            <w14:solidFill>
              <w14:schemeClr w14:val="tx1"/>
            </w14:solidFill>
          </w14:textFill>
        </w:rPr>
        <w:t>3</w:t>
      </w:r>
      <w:r>
        <w:rPr>
          <w:rFonts w:hint="eastAsia"/>
          <w:color w:val="000000" w:themeColor="text1"/>
          <w:highlight w:val="none"/>
          <w14:textFill>
            <w14:solidFill>
              <w14:schemeClr w14:val="tx1"/>
            </w14:solidFill>
          </w14:textFill>
        </w:rPr>
        <w:t>/d考虑，同时预留10×10</w:t>
      </w:r>
      <w:r>
        <w:rPr>
          <w:rFonts w:hint="eastAsia"/>
          <w:color w:val="000000" w:themeColor="text1"/>
          <w:highlight w:val="none"/>
          <w:vertAlign w:val="superscript"/>
          <w14:textFill>
            <w14:solidFill>
              <w14:schemeClr w14:val="tx1"/>
            </w14:solidFill>
          </w14:textFill>
        </w:rPr>
        <w:t>4</w:t>
      </w:r>
      <w:r>
        <w:rPr>
          <w:rFonts w:hint="eastAsia"/>
          <w:color w:val="000000" w:themeColor="text1"/>
          <w:highlight w:val="none"/>
          <w14:textFill>
            <w14:solidFill>
              <w14:schemeClr w14:val="tx1"/>
            </w14:solidFill>
          </w14:textFill>
        </w:rPr>
        <w:t>m</w:t>
      </w:r>
      <w:r>
        <w:rPr>
          <w:rFonts w:hint="eastAsia"/>
          <w:color w:val="000000" w:themeColor="text1"/>
          <w:highlight w:val="none"/>
          <w:vertAlign w:val="superscript"/>
          <w14:textFill>
            <w14:solidFill>
              <w14:schemeClr w14:val="tx1"/>
            </w14:solidFill>
          </w14:textFill>
        </w:rPr>
        <w:t>3</w:t>
      </w:r>
      <w:r>
        <w:rPr>
          <w:rFonts w:hint="eastAsia"/>
          <w:color w:val="000000" w:themeColor="text1"/>
          <w:highlight w:val="none"/>
          <w14:textFill>
            <w14:solidFill>
              <w14:schemeClr w14:val="tx1"/>
            </w14:solidFill>
          </w14:textFill>
        </w:rPr>
        <w:t>/d的处理能力，试采阶段气田水产生量最大约为10~20m</w:t>
      </w:r>
      <w:r>
        <w:rPr>
          <w:rFonts w:hint="eastAsia"/>
          <w:color w:val="000000" w:themeColor="text1"/>
          <w:highlight w:val="none"/>
          <w:vertAlign w:val="superscript"/>
          <w14:textFill>
            <w14:solidFill>
              <w14:schemeClr w14:val="tx1"/>
            </w14:solidFill>
          </w14:textFill>
        </w:rPr>
        <w:t>3</w:t>
      </w:r>
      <w:r>
        <w:rPr>
          <w:rFonts w:hint="eastAsia"/>
          <w:color w:val="000000" w:themeColor="text1"/>
          <w:highlight w:val="none"/>
          <w14:textFill>
            <w14:solidFill>
              <w14:schemeClr w14:val="tx1"/>
            </w14:solidFill>
          </w14:textFill>
        </w:rPr>
        <w:t>/d，其产生量特点为前期产生量较大，随着试采工程的进行，气田水逐渐减少，待后期产气量稳定后，气田水平均产生量约5m</w:t>
      </w:r>
      <w:r>
        <w:rPr>
          <w:rFonts w:hint="eastAsia"/>
          <w:color w:val="000000" w:themeColor="text1"/>
          <w:highlight w:val="none"/>
          <w:vertAlign w:val="superscript"/>
          <w14:textFill>
            <w14:solidFill>
              <w14:schemeClr w14:val="tx1"/>
            </w14:solidFill>
          </w14:textFill>
        </w:rPr>
        <w:t>3</w:t>
      </w:r>
      <w:r>
        <w:rPr>
          <w:rFonts w:hint="eastAsia"/>
          <w:color w:val="000000" w:themeColor="text1"/>
          <w:highlight w:val="none"/>
          <w14:textFill>
            <w14:solidFill>
              <w14:schemeClr w14:val="tx1"/>
            </w14:solidFill>
          </w14:textFill>
        </w:rPr>
        <w:t>/d·井。本项目试采期气田水产量取最大为20m</w:t>
      </w:r>
      <w:r>
        <w:rPr>
          <w:rFonts w:hint="eastAsia"/>
          <w:color w:val="000000" w:themeColor="text1"/>
          <w:highlight w:val="none"/>
          <w:vertAlign w:val="superscript"/>
          <w14:textFill>
            <w14:solidFill>
              <w14:schemeClr w14:val="tx1"/>
            </w14:solidFill>
          </w14:textFill>
        </w:rPr>
        <w:t>3</w:t>
      </w:r>
      <w:r>
        <w:rPr>
          <w:rFonts w:hint="eastAsia"/>
          <w:color w:val="000000" w:themeColor="text1"/>
          <w:highlight w:val="none"/>
          <w14:textFill>
            <w14:solidFill>
              <w14:schemeClr w14:val="tx1"/>
            </w14:solidFill>
          </w14:textFill>
        </w:rPr>
        <w:t>/d，年产生量约为7300m</w:t>
      </w:r>
      <w:r>
        <w:rPr>
          <w:rFonts w:hint="eastAsia"/>
          <w:color w:val="000000" w:themeColor="text1"/>
          <w:highlight w:val="none"/>
          <w:vertAlign w:val="superscript"/>
          <w14:textFill>
            <w14:solidFill>
              <w14:schemeClr w14:val="tx1"/>
            </w14:solidFill>
          </w14:textFill>
        </w:rPr>
        <w:t>3</w:t>
      </w:r>
      <w:r>
        <w:rPr>
          <w:rFonts w:hint="eastAsia"/>
          <w:color w:val="000000" w:themeColor="text1"/>
          <w:highlight w:val="none"/>
          <w14:textFill>
            <w14:solidFill>
              <w14:schemeClr w14:val="tx1"/>
            </w14:solidFill>
          </w14:textFill>
        </w:rPr>
        <w:t>/a，直至试采完成。</w:t>
      </w:r>
    </w:p>
    <w:bookmarkEnd w:id="127"/>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根据前期雷页1井以CNG方式试气情况（见附件</w:t>
      </w:r>
      <w:r>
        <w:rPr>
          <w:color w:val="000000" w:themeColor="text1"/>
          <w:highlight w:val="none"/>
          <w14:textFill>
            <w14:solidFill>
              <w14:schemeClr w14:val="tx1"/>
            </w14:solidFill>
          </w14:textFill>
        </w:rPr>
        <w:t>4</w:t>
      </w:r>
      <w:r>
        <w:rPr>
          <w:rFonts w:hint="eastAsia"/>
          <w:color w:val="000000" w:themeColor="text1"/>
          <w:highlight w:val="none"/>
          <w14:textFill>
            <w14:solidFill>
              <w14:schemeClr w14:val="tx1"/>
            </w14:solidFill>
          </w14:textFill>
        </w:rPr>
        <w:t>），雷页</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井气体组分以甲烷为主，占比在96.5%-96.8%，低含CO</w:t>
      </w:r>
      <w:r>
        <w:rPr>
          <w:rFonts w:hint="eastAsia"/>
          <w:color w:val="000000" w:themeColor="text1"/>
          <w:highlight w:val="none"/>
          <w:vertAlign w:val="subscript"/>
          <w14:textFill>
            <w14:solidFill>
              <w14:schemeClr w14:val="tx1"/>
            </w14:solidFill>
          </w14:textFill>
        </w:rPr>
        <w:t>2</w:t>
      </w:r>
      <w:r>
        <w:rPr>
          <w:rFonts w:hint="eastAsia"/>
          <w:color w:val="000000" w:themeColor="text1"/>
          <w:highlight w:val="none"/>
          <w14:textFill>
            <w14:solidFill>
              <w14:schemeClr w14:val="tx1"/>
            </w14:solidFill>
          </w14:textFill>
        </w:rPr>
        <w:t>，不含H</w:t>
      </w:r>
      <w:r>
        <w:rPr>
          <w:rFonts w:hint="eastAsia"/>
          <w:color w:val="000000" w:themeColor="text1"/>
          <w:highlight w:val="none"/>
          <w:vertAlign w:val="subscript"/>
          <w14:textFill>
            <w14:solidFill>
              <w14:schemeClr w14:val="tx1"/>
            </w14:solidFill>
          </w14:textFill>
        </w:rPr>
        <w:t>2</w:t>
      </w:r>
      <w:r>
        <w:rPr>
          <w:rFonts w:hint="eastAsia"/>
          <w:color w:val="000000" w:themeColor="text1"/>
          <w:highlight w:val="none"/>
          <w14:textFill>
            <w14:solidFill>
              <w14:schemeClr w14:val="tx1"/>
            </w14:solidFill>
          </w14:textFill>
        </w:rPr>
        <w:t>S，具体见表。</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雷页1井气质组分</w:t>
      </w:r>
    </w:p>
    <w:tbl>
      <w:tblPr>
        <w:tblStyle w:val="4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75"/>
        <w:gridCol w:w="2075"/>
        <w:gridCol w:w="2075"/>
        <w:gridCol w:w="20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5" w:type="dxa"/>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组分</w:t>
            </w:r>
          </w:p>
        </w:tc>
        <w:tc>
          <w:tcPr>
            <w:tcW w:w="2075" w:type="dxa"/>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摩尔含量%</w:t>
            </w:r>
          </w:p>
        </w:tc>
        <w:tc>
          <w:tcPr>
            <w:tcW w:w="2075" w:type="dxa"/>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组分</w:t>
            </w:r>
          </w:p>
        </w:tc>
        <w:tc>
          <w:tcPr>
            <w:tcW w:w="2075" w:type="dxa"/>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摩尔含量%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5"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H</w:t>
            </w:r>
            <w:r>
              <w:rPr>
                <w:color w:val="000000" w:themeColor="text1"/>
                <w:highlight w:val="none"/>
                <w:vertAlign w:val="subscript"/>
                <w14:textFill>
                  <w14:solidFill>
                    <w14:schemeClr w14:val="tx1"/>
                  </w14:solidFill>
                </w14:textFill>
              </w:rPr>
              <w:t>2</w:t>
            </w:r>
          </w:p>
        </w:tc>
        <w:tc>
          <w:tcPr>
            <w:tcW w:w="2075" w:type="dxa"/>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2075" w:type="dxa"/>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2075" w:type="dxa"/>
            <w:vAlign w:val="center"/>
          </w:tcPr>
          <w:p>
            <w:pPr>
              <w:ind w:firstLine="480" w:firstLineChars="200"/>
              <w:rPr>
                <w:color w:val="000000" w:themeColor="text1"/>
                <w:highlight w:val="none"/>
                <w14:textFill>
                  <w14:solidFill>
                    <w14:schemeClr w14:val="tx1"/>
                  </w14:solidFill>
                </w14:textFill>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5"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He</w:t>
            </w:r>
          </w:p>
        </w:tc>
        <w:tc>
          <w:tcPr>
            <w:tcW w:w="2075" w:type="dxa"/>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2075" w:type="dxa"/>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2075" w:type="dxa"/>
            <w:vAlign w:val="center"/>
          </w:tcPr>
          <w:p>
            <w:pPr>
              <w:ind w:firstLine="480" w:firstLineChars="200"/>
              <w:rPr>
                <w:color w:val="000000" w:themeColor="text1"/>
                <w:highlight w:val="none"/>
                <w14:textFill>
                  <w14:solidFill>
                    <w14:schemeClr w14:val="tx1"/>
                  </w14:solidFill>
                </w14:textFill>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5"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N</w:t>
            </w:r>
            <w:r>
              <w:rPr>
                <w:color w:val="000000" w:themeColor="text1"/>
                <w:highlight w:val="none"/>
                <w:vertAlign w:val="subscript"/>
                <w14:textFill>
                  <w14:solidFill>
                    <w14:schemeClr w14:val="tx1"/>
                  </w14:solidFill>
                </w14:textFill>
              </w:rPr>
              <w:t>2</w:t>
            </w:r>
          </w:p>
        </w:tc>
        <w:tc>
          <w:tcPr>
            <w:tcW w:w="2075" w:type="dxa"/>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2075" w:type="dxa"/>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2075" w:type="dxa"/>
            <w:vAlign w:val="center"/>
          </w:tcPr>
          <w:p>
            <w:pPr>
              <w:ind w:firstLine="480" w:firstLineChars="200"/>
              <w:rPr>
                <w:color w:val="000000" w:themeColor="text1"/>
                <w:highlight w:val="none"/>
                <w14:textFill>
                  <w14:solidFill>
                    <w14:schemeClr w14:val="tx1"/>
                  </w14:solidFill>
                </w14:textFill>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5"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CO</w:t>
            </w:r>
            <w:r>
              <w:rPr>
                <w:color w:val="000000" w:themeColor="text1"/>
                <w:highlight w:val="none"/>
                <w:vertAlign w:val="subscript"/>
                <w14:textFill>
                  <w14:solidFill>
                    <w14:schemeClr w14:val="tx1"/>
                  </w14:solidFill>
                </w14:textFill>
              </w:rPr>
              <w:t>2</w:t>
            </w:r>
          </w:p>
        </w:tc>
        <w:tc>
          <w:tcPr>
            <w:tcW w:w="2075" w:type="dxa"/>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2075" w:type="dxa"/>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2075" w:type="dxa"/>
            <w:vAlign w:val="center"/>
          </w:tcPr>
          <w:p>
            <w:pPr>
              <w:ind w:firstLine="480" w:firstLineChars="200"/>
              <w:rPr>
                <w:color w:val="000000" w:themeColor="text1"/>
                <w:highlight w:val="none"/>
                <w14:textFill>
                  <w14:solidFill>
                    <w14:schemeClr w14:val="tx1"/>
                  </w14:solidFill>
                </w14:textFill>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5"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H</w:t>
            </w:r>
            <w:r>
              <w:rPr>
                <w:color w:val="000000" w:themeColor="text1"/>
                <w:highlight w:val="none"/>
                <w:vertAlign w:val="subscript"/>
                <w14:textFill>
                  <w14:solidFill>
                    <w14:schemeClr w14:val="tx1"/>
                  </w14:solidFill>
                </w14:textFill>
              </w:rPr>
              <w:t>2</w:t>
            </w:r>
            <w:r>
              <w:rPr>
                <w:rFonts w:hint="eastAsia"/>
                <w:color w:val="000000" w:themeColor="text1"/>
                <w:highlight w:val="none"/>
                <w14:textFill>
                  <w14:solidFill>
                    <w14:schemeClr w14:val="tx1"/>
                  </w14:solidFill>
                </w14:textFill>
              </w:rPr>
              <w:t>S</w:t>
            </w:r>
          </w:p>
        </w:tc>
        <w:tc>
          <w:tcPr>
            <w:tcW w:w="2075" w:type="dxa"/>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2075" w:type="dxa"/>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2075" w:type="dxa"/>
            <w:vAlign w:val="center"/>
          </w:tcPr>
          <w:p>
            <w:pPr>
              <w:ind w:firstLine="480" w:firstLineChars="200"/>
              <w:rPr>
                <w:color w:val="000000" w:themeColor="text1"/>
                <w:highlight w:val="none"/>
                <w14:textFill>
                  <w14:solidFill>
                    <w14:schemeClr w14:val="tx1"/>
                  </w14:solidFill>
                </w14:textFill>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5"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CH</w:t>
            </w:r>
            <w:r>
              <w:rPr>
                <w:color w:val="000000" w:themeColor="text1"/>
                <w:highlight w:val="none"/>
                <w:vertAlign w:val="subscript"/>
                <w14:textFill>
                  <w14:solidFill>
                    <w14:schemeClr w14:val="tx1"/>
                  </w14:solidFill>
                </w14:textFill>
              </w:rPr>
              <w:t>4</w:t>
            </w:r>
          </w:p>
        </w:tc>
        <w:tc>
          <w:tcPr>
            <w:tcW w:w="2075" w:type="dxa"/>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2075" w:type="dxa"/>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2075" w:type="dxa"/>
            <w:vAlign w:val="center"/>
          </w:tcPr>
          <w:p>
            <w:pPr>
              <w:ind w:firstLine="480" w:firstLineChars="200"/>
              <w:rPr>
                <w:color w:val="000000" w:themeColor="text1"/>
                <w:highlight w:val="none"/>
                <w14:textFill>
                  <w14:solidFill>
                    <w14:schemeClr w14:val="tx1"/>
                  </w14:solidFill>
                </w14:textFill>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5"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C</w:t>
            </w:r>
            <w:r>
              <w:rPr>
                <w:color w:val="000000" w:themeColor="text1"/>
                <w:highlight w:val="none"/>
                <w:vertAlign w:val="subscript"/>
                <w14:textFill>
                  <w14:solidFill>
                    <w14:schemeClr w14:val="tx1"/>
                  </w14:solidFill>
                </w14:textFill>
              </w:rPr>
              <w:t>2</w:t>
            </w:r>
            <w:r>
              <w:rPr>
                <w:rFonts w:hint="eastAsia"/>
                <w:color w:val="000000" w:themeColor="text1"/>
                <w:highlight w:val="none"/>
                <w14:textFill>
                  <w14:solidFill>
                    <w14:schemeClr w14:val="tx1"/>
                  </w14:solidFill>
                </w14:textFill>
              </w:rPr>
              <w:t>H</w:t>
            </w:r>
            <w:r>
              <w:rPr>
                <w:color w:val="000000" w:themeColor="text1"/>
                <w:highlight w:val="none"/>
                <w:vertAlign w:val="subscript"/>
                <w14:textFill>
                  <w14:solidFill>
                    <w14:schemeClr w14:val="tx1"/>
                  </w14:solidFill>
                </w14:textFill>
              </w:rPr>
              <w:t>6</w:t>
            </w:r>
          </w:p>
        </w:tc>
        <w:tc>
          <w:tcPr>
            <w:tcW w:w="2075" w:type="dxa"/>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2075" w:type="dxa"/>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2075" w:type="dxa"/>
            <w:vAlign w:val="center"/>
          </w:tcPr>
          <w:p>
            <w:pPr>
              <w:ind w:firstLine="480" w:firstLineChars="200"/>
              <w:rPr>
                <w:color w:val="000000" w:themeColor="text1"/>
                <w:highlight w:val="none"/>
                <w14:textFill>
                  <w14:solidFill>
                    <w14:schemeClr w14:val="tx1"/>
                  </w14:solidFill>
                </w14:textFill>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5"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C</w:t>
            </w:r>
            <w:r>
              <w:rPr>
                <w:rFonts w:hint="eastAsia"/>
                <w:color w:val="000000" w:themeColor="text1"/>
                <w:highlight w:val="none"/>
                <w:vertAlign w:val="subscript"/>
                <w14:textFill>
                  <w14:solidFill>
                    <w14:schemeClr w14:val="tx1"/>
                  </w14:solidFill>
                </w14:textFill>
              </w:rPr>
              <w:t>3</w:t>
            </w:r>
            <w:r>
              <w:rPr>
                <w:rFonts w:hint="eastAsia"/>
                <w:color w:val="000000" w:themeColor="text1"/>
                <w:highlight w:val="none"/>
                <w14:textFill>
                  <w14:solidFill>
                    <w14:schemeClr w14:val="tx1"/>
                  </w14:solidFill>
                </w14:textFill>
              </w:rPr>
              <w:t>H</w:t>
            </w:r>
            <w:r>
              <w:rPr>
                <w:color w:val="000000" w:themeColor="text1"/>
                <w:highlight w:val="none"/>
                <w:vertAlign w:val="subscript"/>
                <w14:textFill>
                  <w14:solidFill>
                    <w14:schemeClr w14:val="tx1"/>
                  </w14:solidFill>
                </w14:textFill>
              </w:rPr>
              <w:t>8</w:t>
            </w:r>
          </w:p>
        </w:tc>
        <w:tc>
          <w:tcPr>
            <w:tcW w:w="2075" w:type="dxa"/>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2075" w:type="dxa"/>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2075" w:type="dxa"/>
            <w:vAlign w:val="center"/>
          </w:tcPr>
          <w:p>
            <w:pPr>
              <w:ind w:firstLine="480" w:firstLineChars="200"/>
              <w:rPr>
                <w:color w:val="000000" w:themeColor="text1"/>
                <w:highlight w:val="none"/>
                <w14:textFill>
                  <w14:solidFill>
                    <w14:schemeClr w14:val="tx1"/>
                  </w14:solidFill>
                </w14:textFill>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5"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相对密度</w:t>
            </w:r>
          </w:p>
        </w:tc>
        <w:tc>
          <w:tcPr>
            <w:tcW w:w="2075" w:type="dxa"/>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2075" w:type="dxa"/>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2075" w:type="dxa"/>
            <w:vAlign w:val="center"/>
          </w:tcPr>
          <w:p>
            <w:pPr>
              <w:ind w:firstLine="480" w:firstLineChars="200"/>
              <w:rPr>
                <w:color w:val="000000" w:themeColor="text1"/>
                <w:highlight w:val="none"/>
                <w14:textFill>
                  <w14:solidFill>
                    <w14:schemeClr w14:val="tx1"/>
                  </w14:solidFill>
                </w14:textFill>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5"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高位发热量（MJ/m</w:t>
            </w:r>
            <w:r>
              <w:rPr>
                <w:color w:val="000000" w:themeColor="text1"/>
                <w:highlight w:val="none"/>
                <w:vertAlign w:val="superscript"/>
                <w14:textFill>
                  <w14:solidFill>
                    <w14:schemeClr w14:val="tx1"/>
                  </w14:solidFill>
                </w14:textFill>
              </w:rPr>
              <w:t>3</w:t>
            </w:r>
            <w:r>
              <w:rPr>
                <w:rFonts w:hint="eastAsia"/>
                <w:color w:val="000000" w:themeColor="text1"/>
                <w:highlight w:val="none"/>
                <w14:textFill>
                  <w14:solidFill>
                    <w14:schemeClr w14:val="tx1"/>
                  </w14:solidFill>
                </w14:textFill>
              </w:rPr>
              <w:t>）</w:t>
            </w:r>
          </w:p>
        </w:tc>
        <w:tc>
          <w:tcPr>
            <w:tcW w:w="2075" w:type="dxa"/>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2075" w:type="dxa"/>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2075" w:type="dxa"/>
            <w:vAlign w:val="center"/>
          </w:tcPr>
          <w:p>
            <w:pPr>
              <w:ind w:firstLine="480" w:firstLineChars="200"/>
              <w:rPr>
                <w:color w:val="000000" w:themeColor="text1"/>
                <w:highlight w:val="none"/>
                <w14:textFill>
                  <w14:solidFill>
                    <w14:schemeClr w14:val="tx1"/>
                  </w14:solidFill>
                </w14:textFill>
              </w:rPr>
            </w:pPr>
            <w:r>
              <w:rPr>
                <w:rFonts w:hint="eastAsia"/>
              </w:rPr>
              <w:t>**</w:t>
            </w:r>
          </w:p>
        </w:tc>
      </w:tr>
    </w:tbl>
    <w:p>
      <w:pPr>
        <w:pStyle w:val="5"/>
        <w:spacing w:before="120"/>
        <w:ind w:firstLine="480"/>
        <w:rPr>
          <w:color w:val="000000" w:themeColor="text1"/>
          <w:highlight w:val="none"/>
          <w14:textFill>
            <w14:solidFill>
              <w14:schemeClr w14:val="tx1"/>
            </w14:solidFill>
          </w14:textFill>
        </w:rPr>
      </w:pPr>
      <w:bookmarkStart w:id="131" w:name="_Toc120173102"/>
      <w:r>
        <w:rPr>
          <w:color w:val="000000" w:themeColor="text1"/>
          <w:highlight w:val="none"/>
          <w14:textFill>
            <w14:solidFill>
              <w14:schemeClr w14:val="tx1"/>
            </w14:solidFill>
          </w14:textFill>
        </w:rPr>
        <w:t>场站工程</w:t>
      </w:r>
    </w:p>
    <w:p>
      <w:pPr>
        <w:numPr>
          <w:ilvl w:val="0"/>
          <w:numId w:val="9"/>
        </w:numPr>
        <w:adjustRightInd/>
        <w:snapToGrid/>
        <w:ind w:firstLine="482"/>
        <w:jc w:val="left"/>
        <w:textAlignment w:val="baseline"/>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设计参数及规模</w:t>
      </w:r>
    </w:p>
    <w:p>
      <w:pPr>
        <w:widowControl/>
        <w:adjustRightInd/>
        <w:ind w:firstLine="480"/>
        <w:rPr>
          <w:color w:val="000000" w:themeColor="text1"/>
          <w:szCs w:val="24"/>
          <w:highlight w:val="none"/>
          <w14:textFill>
            <w14:solidFill>
              <w14:schemeClr w14:val="tx1"/>
            </w14:solidFill>
          </w14:textFill>
        </w:rPr>
      </w:pPr>
      <w:r>
        <w:rPr>
          <w:color w:val="000000" w:themeColor="text1"/>
          <w:szCs w:val="24"/>
          <w:highlight w:val="none"/>
          <w:lang w:bidi="ar"/>
          <w14:textFill>
            <w14:solidFill>
              <w14:schemeClr w14:val="tx1"/>
            </w14:solidFill>
          </w14:textFill>
        </w:rPr>
        <w:t>井口一级节流阀前设计压力为45.0MPa</w:t>
      </w:r>
      <w:r>
        <w:rPr>
          <w:rFonts w:hint="eastAsia"/>
          <w:color w:val="000000" w:themeColor="text1"/>
          <w:szCs w:val="24"/>
          <w:highlight w:val="none"/>
          <w:lang w:bidi="ar"/>
          <w14:textFill>
            <w14:solidFill>
              <w14:schemeClr w14:val="tx1"/>
            </w14:solidFill>
          </w14:textFill>
        </w:rPr>
        <w:t>；</w:t>
      </w:r>
      <w:r>
        <w:rPr>
          <w:color w:val="000000" w:themeColor="text1"/>
          <w:szCs w:val="24"/>
          <w:highlight w:val="none"/>
          <w:lang w:bidi="ar"/>
          <w14:textFill>
            <w14:solidFill>
              <w14:schemeClr w14:val="tx1"/>
            </w14:solidFill>
          </w14:textFill>
        </w:rPr>
        <w:t xml:space="preserve"> </w:t>
      </w:r>
    </w:p>
    <w:p>
      <w:pPr>
        <w:widowControl/>
        <w:adjustRightInd/>
        <w:ind w:firstLine="480"/>
        <w:rPr>
          <w:color w:val="000000" w:themeColor="text1"/>
          <w:szCs w:val="24"/>
          <w:highlight w:val="none"/>
          <w14:textFill>
            <w14:solidFill>
              <w14:schemeClr w14:val="tx1"/>
            </w14:solidFill>
          </w14:textFill>
        </w:rPr>
      </w:pPr>
      <w:r>
        <w:rPr>
          <w:color w:val="000000" w:themeColor="text1"/>
          <w:szCs w:val="24"/>
          <w:highlight w:val="none"/>
          <w:lang w:bidi="ar"/>
          <w14:textFill>
            <w14:solidFill>
              <w14:schemeClr w14:val="tx1"/>
            </w14:solidFill>
          </w14:textFill>
        </w:rPr>
        <w:t>一级～二级节流阀前设计压力为15MPa</w:t>
      </w:r>
      <w:r>
        <w:rPr>
          <w:rFonts w:hint="eastAsia"/>
          <w:color w:val="000000" w:themeColor="text1"/>
          <w:szCs w:val="24"/>
          <w:highlight w:val="none"/>
          <w:lang w:bidi="ar"/>
          <w14:textFill>
            <w14:solidFill>
              <w14:schemeClr w14:val="tx1"/>
            </w14:solidFill>
          </w14:textFill>
        </w:rPr>
        <w:t>；</w:t>
      </w:r>
    </w:p>
    <w:p>
      <w:pPr>
        <w:widowControl/>
        <w:adjustRightInd/>
        <w:ind w:firstLine="480"/>
        <w:rPr>
          <w:color w:val="000000" w:themeColor="text1"/>
          <w:szCs w:val="24"/>
          <w:highlight w:val="none"/>
          <w:lang w:bidi="ar"/>
          <w14:textFill>
            <w14:solidFill>
              <w14:schemeClr w14:val="tx1"/>
            </w14:solidFill>
          </w14:textFill>
        </w:rPr>
      </w:pPr>
      <w:r>
        <w:rPr>
          <w:color w:val="000000" w:themeColor="text1"/>
          <w:szCs w:val="24"/>
          <w:highlight w:val="none"/>
          <w:lang w:bidi="ar"/>
          <w14:textFill>
            <w14:solidFill>
              <w14:schemeClr w14:val="tx1"/>
            </w14:solidFill>
          </w14:textFill>
        </w:rPr>
        <w:t>二级节流阀后设计压力为5.7MPa</w:t>
      </w:r>
      <w:r>
        <w:rPr>
          <w:rFonts w:hint="eastAsia"/>
          <w:color w:val="000000" w:themeColor="text1"/>
          <w:szCs w:val="24"/>
          <w:highlight w:val="none"/>
          <w:lang w:bidi="ar"/>
          <w14:textFill>
            <w14:solidFill>
              <w14:schemeClr w14:val="tx1"/>
            </w14:solidFill>
          </w14:textFill>
        </w:rPr>
        <w:t>；</w:t>
      </w:r>
    </w:p>
    <w:p>
      <w:pPr>
        <w:adjustRightInd/>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二级节流后原料气温度为：36.5℃</w:t>
      </w:r>
      <w:r>
        <w:rPr>
          <w:rFonts w:hint="eastAsia"/>
          <w:color w:val="000000" w:themeColor="text1"/>
          <w:highlight w:val="none"/>
          <w14:textFill>
            <w14:solidFill>
              <w14:schemeClr w14:val="tx1"/>
            </w14:solidFill>
          </w14:textFill>
        </w:rPr>
        <w:t>；</w:t>
      </w:r>
    </w:p>
    <w:p>
      <w:pPr>
        <w:widowControl/>
        <w:adjustRightInd/>
        <w:ind w:firstLine="480"/>
        <w:rPr>
          <w:color w:val="000000" w:themeColor="text1"/>
          <w:szCs w:val="24"/>
          <w:highlight w:val="none"/>
          <w:lang w:bidi="ar"/>
          <w14:textFill>
            <w14:solidFill>
              <w14:schemeClr w14:val="tx1"/>
            </w14:solidFill>
          </w14:textFill>
        </w:rPr>
      </w:pPr>
      <w:r>
        <w:rPr>
          <w:color w:val="000000" w:themeColor="text1"/>
          <w:szCs w:val="24"/>
          <w:highlight w:val="none"/>
          <w:lang w:bidi="ar"/>
          <w14:textFill>
            <w14:solidFill>
              <w14:schemeClr w14:val="tx1"/>
            </w14:solidFill>
          </w14:textFill>
        </w:rPr>
        <w:t>天然气</w:t>
      </w:r>
      <w:r>
        <w:rPr>
          <w:rFonts w:hint="eastAsia"/>
          <w:color w:val="000000" w:themeColor="text1"/>
          <w:szCs w:val="24"/>
          <w:highlight w:val="none"/>
          <w:lang w:bidi="ar"/>
          <w14:textFill>
            <w14:solidFill>
              <w14:schemeClr w14:val="tx1"/>
            </w14:solidFill>
          </w14:textFill>
        </w:rPr>
        <w:t>试采</w:t>
      </w:r>
      <w:r>
        <w:rPr>
          <w:color w:val="000000" w:themeColor="text1"/>
          <w:szCs w:val="24"/>
          <w:highlight w:val="none"/>
          <w:lang w:bidi="ar"/>
          <w14:textFill>
            <w14:solidFill>
              <w14:schemeClr w14:val="tx1"/>
            </w14:solidFill>
          </w14:textFill>
        </w:rPr>
        <w:t>规模：20×10</w:t>
      </w:r>
      <w:r>
        <w:rPr>
          <w:color w:val="000000" w:themeColor="text1"/>
          <w:szCs w:val="24"/>
          <w:highlight w:val="none"/>
          <w:vertAlign w:val="superscript"/>
          <w:lang w:bidi="ar"/>
          <w14:textFill>
            <w14:solidFill>
              <w14:schemeClr w14:val="tx1"/>
            </w14:solidFill>
          </w14:textFill>
        </w:rPr>
        <w:t>4</w:t>
      </w:r>
      <w:r>
        <w:rPr>
          <w:color w:val="000000" w:themeColor="text1"/>
          <w:szCs w:val="24"/>
          <w:highlight w:val="none"/>
          <w:lang w:bidi="ar"/>
          <w14:textFill>
            <w14:solidFill>
              <w14:schemeClr w14:val="tx1"/>
            </w14:solidFill>
          </w14:textFill>
        </w:rPr>
        <w:t>m</w:t>
      </w:r>
      <w:r>
        <w:rPr>
          <w:color w:val="000000" w:themeColor="text1"/>
          <w:szCs w:val="24"/>
          <w:highlight w:val="none"/>
          <w:vertAlign w:val="superscript"/>
          <w:lang w:bidi="ar"/>
          <w14:textFill>
            <w14:solidFill>
              <w14:schemeClr w14:val="tx1"/>
            </w14:solidFill>
          </w14:textFill>
        </w:rPr>
        <w:t>3</w:t>
      </w:r>
      <w:r>
        <w:rPr>
          <w:color w:val="000000" w:themeColor="text1"/>
          <w:szCs w:val="24"/>
          <w:highlight w:val="none"/>
          <w:lang w:bidi="ar"/>
          <w14:textFill>
            <w14:solidFill>
              <w14:schemeClr w14:val="tx1"/>
            </w14:solidFill>
          </w14:textFill>
        </w:rPr>
        <w:t>/d；</w:t>
      </w:r>
    </w:p>
    <w:p>
      <w:pPr>
        <w:adjustRightInd/>
        <w:ind w:firstLine="482"/>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2、主要设备</w:t>
      </w:r>
    </w:p>
    <w:p>
      <w:pPr>
        <w:adjustRightInd/>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雷页1井试采站</w:t>
      </w:r>
      <w:r>
        <w:rPr>
          <w:color w:val="000000" w:themeColor="text1"/>
          <w:highlight w:val="none"/>
          <w14:textFill>
            <w14:solidFill>
              <w14:schemeClr w14:val="tx1"/>
            </w14:solidFill>
          </w14:textFill>
        </w:rPr>
        <w:t>主要工艺设备</w:t>
      </w:r>
      <w:r>
        <w:rPr>
          <w:color w:val="000000" w:themeColor="text1"/>
          <w:szCs w:val="28"/>
          <w:highlight w:val="none"/>
          <w14:textFill>
            <w14:solidFill>
              <w14:schemeClr w14:val="tx1"/>
            </w14:solidFill>
          </w14:textFill>
        </w:rPr>
        <w:t>情况见下表</w:t>
      </w:r>
      <w:r>
        <w:rPr>
          <w:color w:val="000000" w:themeColor="text1"/>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雷页</w:t>
      </w:r>
      <w:r>
        <w:rPr>
          <w:color w:val="000000" w:themeColor="text1"/>
          <w:highlight w:val="none"/>
          <w14:textFill>
            <w14:solidFill>
              <w14:schemeClr w14:val="tx1"/>
            </w14:solidFill>
          </w14:textFill>
        </w:rPr>
        <w:t>1井试采站主要工艺设备</w:t>
      </w:r>
    </w:p>
    <w:tbl>
      <w:tblPr>
        <w:tblStyle w:val="4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0"/>
        <w:gridCol w:w="5388"/>
        <w:gridCol w:w="1020"/>
        <w:gridCol w:w="12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 w:type="pct"/>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序号</w:t>
            </w:r>
          </w:p>
        </w:tc>
        <w:tc>
          <w:tcPr>
            <w:tcW w:w="3160" w:type="pct"/>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项目</w:t>
            </w:r>
          </w:p>
        </w:tc>
        <w:tc>
          <w:tcPr>
            <w:tcW w:w="598" w:type="pct"/>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单位</w:t>
            </w:r>
          </w:p>
        </w:tc>
        <w:tc>
          <w:tcPr>
            <w:tcW w:w="732" w:type="pct"/>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一</w:t>
            </w:r>
          </w:p>
        </w:tc>
        <w:tc>
          <w:tcPr>
            <w:tcW w:w="3160" w:type="pct"/>
            <w:vAlign w:val="center"/>
          </w:tcPr>
          <w:p>
            <w:pPr>
              <w:ind w:firstLine="480" w:firstLineChars="200"/>
              <w:jc w:val="center"/>
              <w:rPr>
                <w:color w:val="000000" w:themeColor="text1"/>
                <w:highlight w:val="none"/>
                <w14:textFill>
                  <w14:solidFill>
                    <w14:schemeClr w14:val="tx1"/>
                  </w14:solidFill>
                </w14:textFill>
              </w:rPr>
            </w:pPr>
            <w:r>
              <w:rPr>
                <w:rFonts w:hint="eastAsia"/>
              </w:rPr>
              <w:t>**</w:t>
            </w:r>
          </w:p>
        </w:tc>
        <w:tc>
          <w:tcPr>
            <w:tcW w:w="598" w:type="pct"/>
            <w:vAlign w:val="center"/>
          </w:tcPr>
          <w:p>
            <w:pPr>
              <w:pStyle w:val="118"/>
              <w:rPr>
                <w:color w:val="000000" w:themeColor="text1"/>
                <w:highlight w:val="none"/>
                <w14:textFill>
                  <w14:solidFill>
                    <w14:schemeClr w14:val="tx1"/>
                  </w14:solidFill>
                </w14:textFill>
              </w:rPr>
            </w:pPr>
          </w:p>
        </w:tc>
        <w:tc>
          <w:tcPr>
            <w:tcW w:w="732" w:type="pct"/>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510"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3160" w:type="pct"/>
            <w:vAlign w:val="center"/>
          </w:tcPr>
          <w:p>
            <w:pPr>
              <w:ind w:firstLine="480" w:firstLineChars="200"/>
              <w:jc w:val="center"/>
              <w:rPr>
                <w:color w:val="000000" w:themeColor="text1"/>
                <w:highlight w:val="none"/>
                <w14:textFill>
                  <w14:solidFill>
                    <w14:schemeClr w14:val="tx1"/>
                  </w14:solidFill>
                </w14:textFill>
              </w:rPr>
            </w:pPr>
            <w:r>
              <w:rPr>
                <w:rFonts w:hint="eastAsia"/>
              </w:rPr>
              <w:t>**</w:t>
            </w:r>
          </w:p>
        </w:tc>
        <w:tc>
          <w:tcPr>
            <w:tcW w:w="598"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座</w:t>
            </w:r>
          </w:p>
        </w:tc>
        <w:tc>
          <w:tcPr>
            <w:tcW w:w="732"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3160" w:type="pct"/>
            <w:vAlign w:val="center"/>
          </w:tcPr>
          <w:p>
            <w:pPr>
              <w:ind w:firstLine="480" w:firstLineChars="200"/>
              <w:jc w:val="center"/>
              <w:rPr>
                <w:color w:val="000000" w:themeColor="text1"/>
                <w:highlight w:val="none"/>
                <w14:textFill>
                  <w14:solidFill>
                    <w14:schemeClr w14:val="tx1"/>
                  </w14:solidFill>
                </w14:textFill>
              </w:rPr>
            </w:pPr>
            <w:r>
              <w:rPr>
                <w:rFonts w:hint="eastAsia"/>
              </w:rPr>
              <w:t>**</w:t>
            </w:r>
          </w:p>
        </w:tc>
        <w:tc>
          <w:tcPr>
            <w:tcW w:w="598"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座</w:t>
            </w:r>
          </w:p>
        </w:tc>
        <w:tc>
          <w:tcPr>
            <w:tcW w:w="732"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 w:type="pct"/>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3160" w:type="pct"/>
            <w:vAlign w:val="center"/>
          </w:tcPr>
          <w:p>
            <w:pPr>
              <w:ind w:firstLine="480" w:firstLineChars="200"/>
              <w:jc w:val="center"/>
              <w:rPr>
                <w:color w:val="000000" w:themeColor="text1"/>
                <w:highlight w:val="none"/>
                <w14:textFill>
                  <w14:solidFill>
                    <w14:schemeClr w14:val="tx1"/>
                  </w14:solidFill>
                </w14:textFill>
              </w:rPr>
            </w:pPr>
            <w:r>
              <w:rPr>
                <w:rFonts w:hint="eastAsia"/>
              </w:rPr>
              <w:t>**</w:t>
            </w:r>
          </w:p>
        </w:tc>
        <w:tc>
          <w:tcPr>
            <w:tcW w:w="598"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座</w:t>
            </w:r>
          </w:p>
        </w:tc>
        <w:tc>
          <w:tcPr>
            <w:tcW w:w="732"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 w:type="pct"/>
            <w:vMerge w:val="continue"/>
            <w:vAlign w:val="center"/>
          </w:tcPr>
          <w:p>
            <w:pPr>
              <w:pStyle w:val="118"/>
              <w:rPr>
                <w:color w:val="000000" w:themeColor="text1"/>
                <w:highlight w:val="none"/>
                <w14:textFill>
                  <w14:solidFill>
                    <w14:schemeClr w14:val="tx1"/>
                  </w14:solidFill>
                </w14:textFill>
              </w:rPr>
            </w:pPr>
          </w:p>
        </w:tc>
        <w:tc>
          <w:tcPr>
            <w:tcW w:w="3160" w:type="pct"/>
            <w:vAlign w:val="center"/>
          </w:tcPr>
          <w:p>
            <w:pPr>
              <w:ind w:firstLine="480" w:firstLineChars="200"/>
              <w:jc w:val="center"/>
              <w:rPr>
                <w:color w:val="000000" w:themeColor="text1"/>
                <w:highlight w:val="none"/>
                <w14:textFill>
                  <w14:solidFill>
                    <w14:schemeClr w14:val="tx1"/>
                  </w14:solidFill>
                </w14:textFill>
              </w:rPr>
            </w:pPr>
            <w:r>
              <w:rPr>
                <w:rFonts w:hint="eastAsia"/>
              </w:rPr>
              <w:t>**</w:t>
            </w:r>
          </w:p>
        </w:tc>
        <w:tc>
          <w:tcPr>
            <w:tcW w:w="598"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座</w:t>
            </w:r>
          </w:p>
        </w:tc>
        <w:tc>
          <w:tcPr>
            <w:tcW w:w="732"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c>
          <w:tcPr>
            <w:tcW w:w="3160" w:type="pct"/>
            <w:vAlign w:val="center"/>
          </w:tcPr>
          <w:p>
            <w:pPr>
              <w:ind w:firstLine="480" w:firstLineChars="200"/>
              <w:jc w:val="center"/>
              <w:rPr>
                <w:color w:val="000000" w:themeColor="text1"/>
                <w:highlight w:val="none"/>
                <w14:textFill>
                  <w14:solidFill>
                    <w14:schemeClr w14:val="tx1"/>
                  </w14:solidFill>
                </w14:textFill>
              </w:rPr>
            </w:pPr>
            <w:r>
              <w:rPr>
                <w:rFonts w:hint="eastAsia"/>
              </w:rPr>
              <w:t>**</w:t>
            </w:r>
          </w:p>
        </w:tc>
        <w:tc>
          <w:tcPr>
            <w:tcW w:w="598"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座</w:t>
            </w:r>
          </w:p>
        </w:tc>
        <w:tc>
          <w:tcPr>
            <w:tcW w:w="732"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c>
          <w:tcPr>
            <w:tcW w:w="3160" w:type="pct"/>
            <w:vAlign w:val="center"/>
          </w:tcPr>
          <w:p>
            <w:pPr>
              <w:ind w:firstLine="480" w:firstLineChars="200"/>
              <w:jc w:val="center"/>
              <w:rPr>
                <w:color w:val="000000" w:themeColor="text1"/>
                <w:highlight w:val="none"/>
                <w14:textFill>
                  <w14:solidFill>
                    <w14:schemeClr w14:val="tx1"/>
                  </w14:solidFill>
                </w14:textFill>
              </w:rPr>
            </w:pPr>
            <w:r>
              <w:rPr>
                <w:rFonts w:hint="eastAsia"/>
              </w:rPr>
              <w:t>**</w:t>
            </w:r>
          </w:p>
        </w:tc>
        <w:tc>
          <w:tcPr>
            <w:tcW w:w="598"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套</w:t>
            </w:r>
          </w:p>
        </w:tc>
        <w:tc>
          <w:tcPr>
            <w:tcW w:w="732"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w:t>
            </w:r>
          </w:p>
        </w:tc>
        <w:tc>
          <w:tcPr>
            <w:tcW w:w="3160" w:type="pct"/>
            <w:vAlign w:val="center"/>
          </w:tcPr>
          <w:p>
            <w:pPr>
              <w:ind w:firstLine="480" w:firstLineChars="200"/>
              <w:jc w:val="center"/>
              <w:rPr>
                <w:color w:val="000000" w:themeColor="text1"/>
                <w:highlight w:val="none"/>
                <w14:textFill>
                  <w14:solidFill>
                    <w14:schemeClr w14:val="tx1"/>
                  </w14:solidFill>
                </w14:textFill>
              </w:rPr>
            </w:pPr>
            <w:r>
              <w:rPr>
                <w:rFonts w:hint="eastAsia"/>
              </w:rPr>
              <w:t>**</w:t>
            </w:r>
          </w:p>
        </w:tc>
        <w:tc>
          <w:tcPr>
            <w:tcW w:w="598"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套</w:t>
            </w:r>
          </w:p>
        </w:tc>
        <w:tc>
          <w:tcPr>
            <w:tcW w:w="732"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w:t>
            </w:r>
          </w:p>
        </w:tc>
        <w:tc>
          <w:tcPr>
            <w:tcW w:w="3160" w:type="pct"/>
            <w:vAlign w:val="center"/>
          </w:tcPr>
          <w:p>
            <w:pPr>
              <w:ind w:firstLine="480" w:firstLineChars="200"/>
              <w:jc w:val="center"/>
              <w:rPr>
                <w:color w:val="000000" w:themeColor="text1"/>
                <w:highlight w:val="none"/>
                <w14:textFill>
                  <w14:solidFill>
                    <w14:schemeClr w14:val="tx1"/>
                  </w14:solidFill>
                </w14:textFill>
              </w:rPr>
            </w:pPr>
            <w:r>
              <w:rPr>
                <w:rFonts w:hint="eastAsia"/>
              </w:rPr>
              <w:t>**</w:t>
            </w:r>
          </w:p>
        </w:tc>
        <w:tc>
          <w:tcPr>
            <w:tcW w:w="598"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套</w:t>
            </w:r>
          </w:p>
        </w:tc>
        <w:tc>
          <w:tcPr>
            <w:tcW w:w="732"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二</w:t>
            </w:r>
          </w:p>
        </w:tc>
        <w:tc>
          <w:tcPr>
            <w:tcW w:w="3160" w:type="pct"/>
            <w:vAlign w:val="center"/>
          </w:tcPr>
          <w:p>
            <w:pPr>
              <w:ind w:firstLine="480" w:firstLineChars="200"/>
              <w:jc w:val="center"/>
              <w:rPr>
                <w:color w:val="000000" w:themeColor="text1"/>
                <w:highlight w:val="none"/>
                <w14:textFill>
                  <w14:solidFill>
                    <w14:schemeClr w14:val="tx1"/>
                  </w14:solidFill>
                </w14:textFill>
              </w:rPr>
            </w:pPr>
            <w:r>
              <w:rPr>
                <w:rFonts w:hint="eastAsia"/>
              </w:rPr>
              <w:t>**</w:t>
            </w:r>
          </w:p>
        </w:tc>
        <w:tc>
          <w:tcPr>
            <w:tcW w:w="598" w:type="pct"/>
            <w:vAlign w:val="center"/>
          </w:tcPr>
          <w:p>
            <w:pPr>
              <w:pStyle w:val="118"/>
              <w:rPr>
                <w:color w:val="000000" w:themeColor="text1"/>
                <w:highlight w:val="none"/>
                <w14:textFill>
                  <w14:solidFill>
                    <w14:schemeClr w14:val="tx1"/>
                  </w14:solidFill>
                </w14:textFill>
              </w:rPr>
            </w:pPr>
          </w:p>
        </w:tc>
        <w:tc>
          <w:tcPr>
            <w:tcW w:w="732" w:type="pct"/>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p>
        </w:tc>
        <w:tc>
          <w:tcPr>
            <w:tcW w:w="3160" w:type="pct"/>
            <w:vAlign w:val="center"/>
          </w:tcPr>
          <w:p>
            <w:pPr>
              <w:ind w:firstLine="480" w:firstLineChars="200"/>
              <w:jc w:val="center"/>
              <w:rPr>
                <w:color w:val="000000" w:themeColor="text1"/>
                <w:highlight w:val="none"/>
                <w14:textFill>
                  <w14:solidFill>
                    <w14:schemeClr w14:val="tx1"/>
                  </w14:solidFill>
                </w14:textFill>
              </w:rPr>
            </w:pPr>
            <w:r>
              <w:rPr>
                <w:rFonts w:hint="eastAsia"/>
              </w:rPr>
              <w:t>**</w:t>
            </w:r>
          </w:p>
        </w:tc>
        <w:tc>
          <w:tcPr>
            <w:tcW w:w="598"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套</w:t>
            </w:r>
          </w:p>
        </w:tc>
        <w:tc>
          <w:tcPr>
            <w:tcW w:w="732"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p>
        </w:tc>
      </w:tr>
      <w:bookmarkEnd w:id="131"/>
    </w:tbl>
    <w:p>
      <w:pPr>
        <w:pStyle w:val="5"/>
        <w:spacing w:before="120"/>
        <w:ind w:firstLine="480"/>
        <w:rPr>
          <w:rFonts w:ascii="Calibri" w:hAnsi="Calibri" w:eastAsia="Calibri"/>
          <w:color w:val="000000" w:themeColor="text1"/>
          <w:highlight w:val="none"/>
          <w14:textFill>
            <w14:solidFill>
              <w14:schemeClr w14:val="tx1"/>
            </w14:solidFill>
          </w14:textFill>
        </w:rPr>
      </w:pPr>
      <w:bookmarkStart w:id="132" w:name="3.2.5公用工程"/>
      <w:bookmarkEnd w:id="132"/>
      <w:bookmarkStart w:id="133" w:name="3.2.4总平面布置及其合理性分析"/>
      <w:bookmarkEnd w:id="133"/>
      <w:bookmarkStart w:id="134" w:name="3.2.3原辅材料及用量"/>
      <w:bookmarkEnd w:id="134"/>
      <w:bookmarkStart w:id="135" w:name="_Toc120173103"/>
      <w:r>
        <w:rPr>
          <w:rFonts w:hint="eastAsia"/>
          <w:color w:val="000000" w:themeColor="text1"/>
          <w:highlight w:val="none"/>
          <w14:textFill>
            <w14:solidFill>
              <w14:schemeClr w14:val="tx1"/>
            </w14:solidFill>
          </w14:textFill>
        </w:rPr>
        <w:t>集输管线工程</w:t>
      </w:r>
    </w:p>
    <w:p>
      <w:pPr>
        <w:numPr>
          <w:ilvl w:val="0"/>
          <w:numId w:val="10"/>
        </w:numPr>
        <w:adjustRightInd/>
        <w:snapToGrid/>
        <w:ind w:firstLineChars="0"/>
        <w:jc w:val="left"/>
        <w:textAlignment w:val="baseline"/>
        <w:rPr>
          <w:rFonts w:cs="Times New Roman"/>
          <w:b/>
          <w:bCs/>
          <w:color w:val="000000" w:themeColor="text1"/>
          <w:kern w:val="0"/>
          <w:szCs w:val="20"/>
          <w:highlight w:val="none"/>
          <w14:textFill>
            <w14:solidFill>
              <w14:schemeClr w14:val="tx1"/>
            </w14:solidFill>
          </w14:textFill>
        </w:rPr>
      </w:pPr>
      <w:r>
        <w:rPr>
          <w:rFonts w:hint="eastAsia" w:cs="Times New Roman"/>
          <w:b/>
          <w:bCs/>
          <w:color w:val="000000" w:themeColor="text1"/>
          <w:kern w:val="0"/>
          <w:szCs w:val="20"/>
          <w:highlight w:val="none"/>
          <w14:textFill>
            <w14:solidFill>
              <w14:schemeClr w14:val="tx1"/>
            </w14:solidFill>
          </w14:textFill>
        </w:rPr>
        <w:t>设计参数</w:t>
      </w:r>
    </w:p>
    <w:p>
      <w:pPr>
        <w:widowControl/>
        <w:adjustRightInd/>
        <w:snapToGrid/>
        <w:ind w:firstLine="480"/>
        <w:jc w:val="left"/>
        <w:rPr>
          <w:rFonts w:cs="Times New Roman"/>
          <w:color w:val="000000" w:themeColor="text1"/>
          <w:szCs w:val="21"/>
          <w:highlight w:val="none"/>
          <w14:textFill>
            <w14:solidFill>
              <w14:schemeClr w14:val="tx1"/>
            </w14:solidFill>
          </w14:textFill>
        </w:rPr>
      </w:pPr>
      <w:r>
        <w:rPr>
          <w:rFonts w:cs="Times New Roman"/>
          <w:color w:val="000000" w:themeColor="text1"/>
          <w:szCs w:val="21"/>
          <w:highlight w:val="none"/>
          <w14:textFill>
            <w14:solidFill>
              <w14:schemeClr w14:val="tx1"/>
            </w14:solidFill>
          </w14:textFill>
        </w:rPr>
        <w:t>集输管线长度：11.8km；</w:t>
      </w:r>
    </w:p>
    <w:p>
      <w:pPr>
        <w:widowControl/>
        <w:adjustRightInd/>
        <w:snapToGrid/>
        <w:ind w:firstLine="480"/>
        <w:jc w:val="left"/>
        <w:rPr>
          <w:rFonts w:cs="Times New Roman"/>
          <w:color w:val="000000" w:themeColor="text1"/>
          <w:szCs w:val="21"/>
          <w:highlight w:val="none"/>
          <w14:textFill>
            <w14:solidFill>
              <w14:schemeClr w14:val="tx1"/>
            </w14:solidFill>
          </w14:textFill>
        </w:rPr>
      </w:pPr>
      <w:r>
        <w:rPr>
          <w:rFonts w:cs="Times New Roman"/>
          <w:color w:val="000000" w:themeColor="text1"/>
          <w:szCs w:val="21"/>
          <w:highlight w:val="none"/>
          <w14:textFill>
            <w14:solidFill>
              <w14:schemeClr w14:val="tx1"/>
            </w14:solidFill>
          </w14:textFill>
        </w:rPr>
        <w:t>设计输气规模：60×10</w:t>
      </w:r>
      <w:r>
        <w:rPr>
          <w:rFonts w:cs="Times New Roman"/>
          <w:color w:val="000000" w:themeColor="text1"/>
          <w:szCs w:val="21"/>
          <w:highlight w:val="none"/>
          <w:vertAlign w:val="superscript"/>
          <w14:textFill>
            <w14:solidFill>
              <w14:schemeClr w14:val="tx1"/>
            </w14:solidFill>
          </w14:textFill>
        </w:rPr>
        <w:t>4</w:t>
      </w:r>
      <w:r>
        <w:rPr>
          <w:rFonts w:cs="Times New Roman"/>
          <w:color w:val="000000" w:themeColor="text1"/>
          <w:szCs w:val="21"/>
          <w:highlight w:val="none"/>
          <w14:textFill>
            <w14:solidFill>
              <w14:schemeClr w14:val="tx1"/>
            </w14:solidFill>
          </w14:textFill>
        </w:rPr>
        <w:t>m</w:t>
      </w:r>
      <w:r>
        <w:rPr>
          <w:rFonts w:cs="Times New Roman"/>
          <w:color w:val="000000" w:themeColor="text1"/>
          <w:szCs w:val="21"/>
          <w:highlight w:val="none"/>
          <w:vertAlign w:val="superscript"/>
          <w14:textFill>
            <w14:solidFill>
              <w14:schemeClr w14:val="tx1"/>
            </w14:solidFill>
          </w14:textFill>
        </w:rPr>
        <w:t>3</w:t>
      </w:r>
      <w:r>
        <w:rPr>
          <w:rFonts w:cs="Times New Roman"/>
          <w:color w:val="000000" w:themeColor="text1"/>
          <w:szCs w:val="21"/>
          <w:highlight w:val="none"/>
          <w14:textFill>
            <w14:solidFill>
              <w14:schemeClr w14:val="tx1"/>
            </w14:solidFill>
          </w14:textFill>
        </w:rPr>
        <w:t>/d</w:t>
      </w:r>
      <w:r>
        <w:rPr>
          <w:rFonts w:hint="eastAsia" w:cs="Times New Roman"/>
          <w:color w:val="000000" w:themeColor="text1"/>
          <w:szCs w:val="21"/>
          <w:highlight w:val="none"/>
          <w14:textFill>
            <w14:solidFill>
              <w14:schemeClr w14:val="tx1"/>
            </w14:solidFill>
          </w14:textFill>
        </w:rPr>
        <w:t>；</w:t>
      </w:r>
    </w:p>
    <w:p>
      <w:pPr>
        <w:widowControl/>
        <w:adjustRightInd/>
        <w:snapToGrid/>
        <w:ind w:firstLine="480"/>
        <w:jc w:val="left"/>
        <w:rPr>
          <w:rFonts w:cs="Times New Roman"/>
          <w:color w:val="000000" w:themeColor="text1"/>
          <w:szCs w:val="21"/>
          <w:highlight w:val="none"/>
          <w14:textFill>
            <w14:solidFill>
              <w14:schemeClr w14:val="tx1"/>
            </w14:solidFill>
          </w14:textFill>
        </w:rPr>
      </w:pPr>
      <w:r>
        <w:rPr>
          <w:rFonts w:cs="Times New Roman"/>
          <w:color w:val="000000" w:themeColor="text1"/>
          <w:szCs w:val="21"/>
          <w:highlight w:val="none"/>
          <w14:textFill>
            <w14:solidFill>
              <w14:schemeClr w14:val="tx1"/>
            </w14:solidFill>
          </w14:textFill>
        </w:rPr>
        <w:t>设计压力：6.3MPa</w:t>
      </w:r>
      <w:r>
        <w:rPr>
          <w:rFonts w:hint="eastAsia" w:cs="Times New Roman"/>
          <w:color w:val="000000" w:themeColor="text1"/>
          <w:szCs w:val="21"/>
          <w:highlight w:val="none"/>
          <w14:textFill>
            <w14:solidFill>
              <w14:schemeClr w14:val="tx1"/>
            </w14:solidFill>
          </w14:textFill>
        </w:rPr>
        <w:t>；</w:t>
      </w:r>
    </w:p>
    <w:p>
      <w:pPr>
        <w:widowControl/>
        <w:adjustRightInd/>
        <w:snapToGrid/>
        <w:ind w:firstLine="480"/>
        <w:jc w:val="left"/>
        <w:rPr>
          <w:rFonts w:cs="Times New Roman"/>
          <w:color w:val="000000" w:themeColor="text1"/>
          <w:szCs w:val="21"/>
          <w:highlight w:val="none"/>
          <w14:textFill>
            <w14:solidFill>
              <w14:schemeClr w14:val="tx1"/>
            </w14:solidFill>
          </w14:textFill>
        </w:rPr>
      </w:pPr>
      <w:r>
        <w:rPr>
          <w:rFonts w:cs="Times New Roman"/>
          <w:color w:val="000000" w:themeColor="text1"/>
          <w:szCs w:val="21"/>
          <w:highlight w:val="none"/>
          <w14:textFill>
            <w14:solidFill>
              <w14:schemeClr w14:val="tx1"/>
            </w14:solidFill>
          </w14:textFill>
        </w:rPr>
        <w:t>设计温度：常温</w:t>
      </w:r>
      <w:r>
        <w:rPr>
          <w:rFonts w:hint="eastAsia" w:cs="Times New Roman"/>
          <w:color w:val="000000" w:themeColor="text1"/>
          <w:szCs w:val="21"/>
          <w:highlight w:val="none"/>
          <w14:textFill>
            <w14:solidFill>
              <w14:schemeClr w14:val="tx1"/>
            </w14:solidFill>
          </w14:textFill>
        </w:rPr>
        <w:t>；</w:t>
      </w:r>
    </w:p>
    <w:p>
      <w:pPr>
        <w:widowControl/>
        <w:adjustRightInd/>
        <w:snapToGrid/>
        <w:ind w:firstLine="480"/>
        <w:jc w:val="left"/>
        <w:rPr>
          <w:rFonts w:cs="Times New Roman"/>
          <w:color w:val="000000" w:themeColor="text1"/>
          <w:szCs w:val="21"/>
          <w:highlight w:val="none"/>
          <w14:textFill>
            <w14:solidFill>
              <w14:schemeClr w14:val="tx1"/>
            </w14:solidFill>
          </w14:textFill>
        </w:rPr>
      </w:pPr>
      <w:r>
        <w:rPr>
          <w:rFonts w:cs="Times New Roman"/>
          <w:color w:val="000000" w:themeColor="text1"/>
          <w:szCs w:val="21"/>
          <w:highlight w:val="none"/>
          <w14:textFill>
            <w14:solidFill>
              <w14:schemeClr w14:val="tx1"/>
            </w14:solidFill>
          </w14:textFill>
        </w:rPr>
        <w:t>管线起点：</w:t>
      </w:r>
      <w:r>
        <w:rPr>
          <w:rFonts w:hint="eastAsia" w:cs="Times New Roman"/>
          <w:color w:val="000000" w:themeColor="text1"/>
          <w:szCs w:val="21"/>
          <w:highlight w:val="none"/>
          <w14:textFill>
            <w14:solidFill>
              <w14:schemeClr w14:val="tx1"/>
            </w14:solidFill>
          </w14:textFill>
        </w:rPr>
        <w:t>雷页1井试采站</w:t>
      </w:r>
      <w:r>
        <w:rPr>
          <w:rFonts w:cs="Times New Roman"/>
          <w:color w:val="000000" w:themeColor="text1"/>
          <w:szCs w:val="21"/>
          <w:highlight w:val="none"/>
          <w14:textFill>
            <w14:solidFill>
              <w14:schemeClr w14:val="tx1"/>
            </w14:solidFill>
          </w14:textFill>
        </w:rPr>
        <w:t>；</w:t>
      </w:r>
    </w:p>
    <w:p>
      <w:pPr>
        <w:widowControl/>
        <w:adjustRightInd/>
        <w:snapToGrid/>
        <w:ind w:firstLine="480"/>
        <w:jc w:val="left"/>
        <w:rPr>
          <w:rFonts w:cs="Times New Roman"/>
          <w:color w:val="000000" w:themeColor="text1"/>
          <w:szCs w:val="21"/>
          <w:highlight w:val="none"/>
          <w14:textFill>
            <w14:solidFill>
              <w14:schemeClr w14:val="tx1"/>
            </w14:solidFill>
          </w14:textFill>
        </w:rPr>
      </w:pPr>
      <w:r>
        <w:rPr>
          <w:rFonts w:cs="Times New Roman"/>
          <w:color w:val="000000" w:themeColor="text1"/>
          <w:szCs w:val="21"/>
          <w:highlight w:val="none"/>
          <w14:textFill>
            <w14:solidFill>
              <w14:schemeClr w14:val="tx1"/>
            </w14:solidFill>
          </w14:textFill>
        </w:rPr>
        <w:t>管线终点：</w:t>
      </w:r>
      <w:r>
        <w:rPr>
          <w:rFonts w:hint="eastAsia" w:cs="Times New Roman"/>
          <w:color w:val="000000" w:themeColor="text1"/>
          <w:szCs w:val="21"/>
          <w:highlight w:val="none"/>
          <w14:textFill>
            <w14:solidFill>
              <w14:schemeClr w14:val="tx1"/>
            </w14:solidFill>
          </w14:textFill>
        </w:rPr>
        <w:t>魏兴交接计量站</w:t>
      </w:r>
      <w:r>
        <w:rPr>
          <w:rFonts w:cs="Times New Roman"/>
          <w:color w:val="000000" w:themeColor="text1"/>
          <w:szCs w:val="21"/>
          <w:highlight w:val="none"/>
          <w14:textFill>
            <w14:solidFill>
              <w14:schemeClr w14:val="tx1"/>
            </w14:solidFill>
          </w14:textFill>
        </w:rPr>
        <w:t>；</w:t>
      </w:r>
    </w:p>
    <w:p>
      <w:pPr>
        <w:widowControl/>
        <w:adjustRightInd/>
        <w:snapToGrid/>
        <w:ind w:firstLine="480"/>
        <w:jc w:val="left"/>
        <w:rPr>
          <w:rFonts w:cs="Times New Roman"/>
          <w:color w:val="000000" w:themeColor="text1"/>
          <w:szCs w:val="21"/>
          <w:highlight w:val="none"/>
          <w14:textFill>
            <w14:solidFill>
              <w14:schemeClr w14:val="tx1"/>
            </w14:solidFill>
          </w14:textFill>
        </w:rPr>
      </w:pPr>
      <w:r>
        <w:rPr>
          <w:rFonts w:cs="Times New Roman"/>
          <w:color w:val="000000" w:themeColor="text1"/>
          <w:szCs w:val="21"/>
          <w:highlight w:val="none"/>
          <w14:textFill>
            <w14:solidFill>
              <w14:schemeClr w14:val="tx1"/>
            </w14:solidFill>
          </w14:textFill>
        </w:rPr>
        <w:t>输送物料：</w:t>
      </w:r>
      <w:r>
        <w:rPr>
          <w:rFonts w:hint="eastAsia" w:cs="Times New Roman"/>
          <w:color w:val="000000" w:themeColor="text1"/>
          <w:szCs w:val="21"/>
          <w:highlight w:val="none"/>
          <w14:textFill>
            <w14:solidFill>
              <w14:schemeClr w14:val="tx1"/>
            </w14:solidFill>
          </w14:textFill>
        </w:rPr>
        <w:t>天然气</w:t>
      </w:r>
      <w:r>
        <w:rPr>
          <w:rFonts w:cs="Times New Roman"/>
          <w:color w:val="000000" w:themeColor="text1"/>
          <w:szCs w:val="21"/>
          <w:highlight w:val="none"/>
          <w14:textFill>
            <w14:solidFill>
              <w14:schemeClr w14:val="tx1"/>
            </w14:solidFill>
          </w14:textFill>
        </w:rPr>
        <w:t>。</w:t>
      </w:r>
    </w:p>
    <w:p>
      <w:pPr>
        <w:widowControl/>
        <w:adjustRightInd/>
        <w:snapToGrid/>
        <w:ind w:firstLine="480"/>
        <w:rPr>
          <w:rFonts w:cs="Times New Roman"/>
          <w:color w:val="000000" w:themeColor="text1"/>
          <w:szCs w:val="21"/>
          <w:highlight w:val="none"/>
          <w14:textFill>
            <w14:solidFill>
              <w14:schemeClr w14:val="tx1"/>
            </w14:solidFill>
          </w14:textFill>
        </w:rPr>
      </w:pPr>
      <w:r>
        <w:rPr>
          <w:rFonts w:hint="eastAsia" w:cs="Times New Roman"/>
          <w:color w:val="000000" w:themeColor="text1"/>
          <w:szCs w:val="21"/>
          <w:highlight w:val="none"/>
          <w14:textFill>
            <w14:solidFill>
              <w14:schemeClr w14:val="tx1"/>
            </w14:solidFill>
          </w14:textFill>
        </w:rPr>
        <w:t>本项目集输管线设计输气规模为</w:t>
      </w:r>
      <w:r>
        <w:rPr>
          <w:rFonts w:cs="Times New Roman"/>
          <w:color w:val="000000" w:themeColor="text1"/>
          <w:szCs w:val="21"/>
          <w:highlight w:val="none"/>
          <w14:textFill>
            <w14:solidFill>
              <w14:schemeClr w14:val="tx1"/>
            </w14:solidFill>
          </w14:textFill>
        </w:rPr>
        <w:t>60×10</w:t>
      </w:r>
      <w:r>
        <w:rPr>
          <w:rFonts w:cs="Times New Roman"/>
          <w:color w:val="000000" w:themeColor="text1"/>
          <w:szCs w:val="21"/>
          <w:highlight w:val="none"/>
          <w:vertAlign w:val="superscript"/>
          <w14:textFill>
            <w14:solidFill>
              <w14:schemeClr w14:val="tx1"/>
            </w14:solidFill>
          </w14:textFill>
        </w:rPr>
        <w:t>4</w:t>
      </w:r>
      <w:r>
        <w:rPr>
          <w:rFonts w:cs="Times New Roman"/>
          <w:color w:val="000000" w:themeColor="text1"/>
          <w:szCs w:val="21"/>
          <w:highlight w:val="none"/>
          <w14:textFill>
            <w14:solidFill>
              <w14:schemeClr w14:val="tx1"/>
            </w14:solidFill>
          </w14:textFill>
        </w:rPr>
        <w:t>m</w:t>
      </w:r>
      <w:r>
        <w:rPr>
          <w:rFonts w:cs="Times New Roman"/>
          <w:color w:val="000000" w:themeColor="text1"/>
          <w:szCs w:val="21"/>
          <w:highlight w:val="none"/>
          <w:vertAlign w:val="superscript"/>
          <w14:textFill>
            <w14:solidFill>
              <w14:schemeClr w14:val="tx1"/>
            </w14:solidFill>
          </w14:textFill>
        </w:rPr>
        <w:t>3</w:t>
      </w:r>
      <w:r>
        <w:rPr>
          <w:rFonts w:cs="Times New Roman"/>
          <w:color w:val="000000" w:themeColor="text1"/>
          <w:szCs w:val="21"/>
          <w:highlight w:val="none"/>
          <w14:textFill>
            <w14:solidFill>
              <w14:schemeClr w14:val="tx1"/>
            </w14:solidFill>
          </w14:textFill>
        </w:rPr>
        <w:t>/d</w:t>
      </w:r>
      <w:r>
        <w:rPr>
          <w:rFonts w:hint="eastAsia" w:cs="Times New Roman"/>
          <w:color w:val="000000" w:themeColor="text1"/>
          <w:szCs w:val="21"/>
          <w:highlight w:val="none"/>
          <w14:textFill>
            <w14:solidFill>
              <w14:schemeClr w14:val="tx1"/>
            </w14:solidFill>
          </w14:textFill>
        </w:rPr>
        <w:t>，井口采气规模为</w:t>
      </w:r>
      <w:r>
        <w:rPr>
          <w:rFonts w:cs="Times New Roman"/>
          <w:color w:val="000000" w:themeColor="text1"/>
          <w:szCs w:val="21"/>
          <w:highlight w:val="none"/>
          <w14:textFill>
            <w14:solidFill>
              <w14:schemeClr w14:val="tx1"/>
            </w14:solidFill>
          </w14:textFill>
        </w:rPr>
        <w:t>20×10</w:t>
      </w:r>
      <w:r>
        <w:rPr>
          <w:rFonts w:cs="Times New Roman"/>
          <w:color w:val="000000" w:themeColor="text1"/>
          <w:szCs w:val="21"/>
          <w:highlight w:val="none"/>
          <w:vertAlign w:val="superscript"/>
          <w14:textFill>
            <w14:solidFill>
              <w14:schemeClr w14:val="tx1"/>
            </w14:solidFill>
          </w14:textFill>
        </w:rPr>
        <w:t>4</w:t>
      </w:r>
      <w:r>
        <w:rPr>
          <w:rFonts w:cs="Times New Roman"/>
          <w:color w:val="000000" w:themeColor="text1"/>
          <w:szCs w:val="21"/>
          <w:highlight w:val="none"/>
          <w14:textFill>
            <w14:solidFill>
              <w14:schemeClr w14:val="tx1"/>
            </w14:solidFill>
          </w14:textFill>
        </w:rPr>
        <w:t>m</w:t>
      </w:r>
      <w:r>
        <w:rPr>
          <w:rFonts w:cs="Times New Roman"/>
          <w:color w:val="000000" w:themeColor="text1"/>
          <w:szCs w:val="21"/>
          <w:highlight w:val="none"/>
          <w:vertAlign w:val="superscript"/>
          <w14:textFill>
            <w14:solidFill>
              <w14:schemeClr w14:val="tx1"/>
            </w14:solidFill>
          </w14:textFill>
        </w:rPr>
        <w:t>3</w:t>
      </w:r>
      <w:r>
        <w:rPr>
          <w:rFonts w:cs="Times New Roman"/>
          <w:color w:val="000000" w:themeColor="text1"/>
          <w:szCs w:val="21"/>
          <w:highlight w:val="none"/>
          <w14:textFill>
            <w14:solidFill>
              <w14:schemeClr w14:val="tx1"/>
            </w14:solidFill>
          </w14:textFill>
        </w:rPr>
        <w:t>/d</w:t>
      </w:r>
      <w:r>
        <w:rPr>
          <w:rFonts w:hint="eastAsia" w:cs="Times New Roman"/>
          <w:color w:val="000000" w:themeColor="text1"/>
          <w:szCs w:val="21"/>
          <w:highlight w:val="none"/>
          <w14:textFill>
            <w14:solidFill>
              <w14:schemeClr w14:val="tx1"/>
            </w14:solidFill>
          </w14:textFill>
        </w:rPr>
        <w:t>，管道输气能力富余</w:t>
      </w:r>
      <w:r>
        <w:rPr>
          <w:rFonts w:cs="Times New Roman"/>
          <w:color w:val="000000" w:themeColor="text1"/>
          <w:szCs w:val="21"/>
          <w:highlight w:val="none"/>
          <w14:textFill>
            <w14:solidFill>
              <w14:schemeClr w14:val="tx1"/>
            </w14:solidFill>
          </w14:textFill>
        </w:rPr>
        <w:t>40×10</w:t>
      </w:r>
      <w:r>
        <w:rPr>
          <w:rFonts w:cs="Times New Roman"/>
          <w:color w:val="000000" w:themeColor="text1"/>
          <w:szCs w:val="21"/>
          <w:highlight w:val="none"/>
          <w:vertAlign w:val="superscript"/>
          <w14:textFill>
            <w14:solidFill>
              <w14:schemeClr w14:val="tx1"/>
            </w14:solidFill>
          </w14:textFill>
        </w:rPr>
        <w:t>4</w:t>
      </w:r>
      <w:r>
        <w:rPr>
          <w:rFonts w:cs="Times New Roman"/>
          <w:color w:val="000000" w:themeColor="text1"/>
          <w:szCs w:val="21"/>
          <w:highlight w:val="none"/>
          <w14:textFill>
            <w14:solidFill>
              <w14:schemeClr w14:val="tx1"/>
            </w14:solidFill>
          </w14:textFill>
        </w:rPr>
        <w:t>m</w:t>
      </w:r>
      <w:r>
        <w:rPr>
          <w:rFonts w:cs="Times New Roman"/>
          <w:color w:val="000000" w:themeColor="text1"/>
          <w:szCs w:val="21"/>
          <w:highlight w:val="none"/>
          <w:vertAlign w:val="superscript"/>
          <w14:textFill>
            <w14:solidFill>
              <w14:schemeClr w14:val="tx1"/>
            </w14:solidFill>
          </w14:textFill>
        </w:rPr>
        <w:t>3</w:t>
      </w:r>
      <w:r>
        <w:rPr>
          <w:rFonts w:cs="Times New Roman"/>
          <w:color w:val="000000" w:themeColor="text1"/>
          <w:szCs w:val="21"/>
          <w:highlight w:val="none"/>
          <w14:textFill>
            <w14:solidFill>
              <w14:schemeClr w14:val="tx1"/>
            </w14:solidFill>
          </w14:textFill>
        </w:rPr>
        <w:t>/d</w:t>
      </w:r>
      <w:r>
        <w:rPr>
          <w:rFonts w:hint="eastAsia" w:cs="Times New Roman"/>
          <w:color w:val="000000" w:themeColor="text1"/>
          <w:szCs w:val="21"/>
          <w:highlight w:val="none"/>
          <w14:textFill>
            <w14:solidFill>
              <w14:schemeClr w14:val="tx1"/>
            </w14:solidFill>
          </w14:textFill>
        </w:rPr>
        <w:t>，若建设单位后期有新建站场，可依托本项目管线进行天然气集输。</w:t>
      </w:r>
    </w:p>
    <w:p>
      <w:pPr>
        <w:numPr>
          <w:ilvl w:val="0"/>
          <w:numId w:val="10"/>
        </w:numPr>
        <w:adjustRightInd/>
        <w:snapToGrid/>
        <w:ind w:firstLineChars="0"/>
        <w:jc w:val="left"/>
        <w:textAlignment w:val="baseline"/>
        <w:rPr>
          <w:rFonts w:cs="Times New Roman"/>
          <w:b/>
          <w:bCs/>
          <w:color w:val="000000" w:themeColor="text1"/>
          <w:kern w:val="0"/>
          <w:szCs w:val="20"/>
          <w:highlight w:val="none"/>
          <w14:textFill>
            <w14:solidFill>
              <w14:schemeClr w14:val="tx1"/>
            </w14:solidFill>
          </w14:textFill>
        </w:rPr>
      </w:pPr>
      <w:r>
        <w:rPr>
          <w:rFonts w:hint="eastAsia" w:cs="Times New Roman"/>
          <w:b/>
          <w:bCs/>
          <w:color w:val="000000" w:themeColor="text1"/>
          <w:kern w:val="0"/>
          <w:szCs w:val="20"/>
          <w:highlight w:val="none"/>
          <w14:textFill>
            <w14:solidFill>
              <w14:schemeClr w14:val="tx1"/>
            </w14:solidFill>
          </w14:textFill>
        </w:rPr>
        <w:t>管道路由走向</w:t>
      </w:r>
    </w:p>
    <w:p>
      <w:pPr>
        <w:widowControl/>
        <w:adjustRightInd/>
        <w:snapToGrid/>
        <w:ind w:firstLine="480"/>
        <w:jc w:val="left"/>
        <w:rPr>
          <w:rFonts w:cs="Times New Roman"/>
          <w:color w:val="000000" w:themeColor="text1"/>
          <w:szCs w:val="21"/>
          <w:highlight w:val="none"/>
          <w14:textFill>
            <w14:solidFill>
              <w14:schemeClr w14:val="tx1"/>
            </w14:solidFill>
          </w14:textFill>
        </w:rPr>
      </w:pPr>
      <w:r>
        <w:rPr>
          <w:rFonts w:hint="eastAsia" w:cs="Times New Roman"/>
          <w:color w:val="000000" w:themeColor="text1"/>
          <w:szCs w:val="21"/>
          <w:highlight w:val="none"/>
          <w14:textFill>
            <w14:solidFill>
              <w14:schemeClr w14:val="tx1"/>
            </w14:solidFill>
          </w14:textFill>
        </w:rPr>
        <w:t>本项目集输管线从</w:t>
      </w:r>
      <w:r>
        <w:rPr>
          <w:rFonts w:cs="Times New Roman"/>
          <w:color w:val="000000" w:themeColor="text1"/>
          <w:szCs w:val="21"/>
          <w:highlight w:val="none"/>
          <w14:textFill>
            <w14:solidFill>
              <w14:schemeClr w14:val="tx1"/>
            </w14:solidFill>
          </w14:textFill>
        </w:rPr>
        <w:t>雷页1井试采站西侧出线，</w:t>
      </w:r>
      <w:r>
        <w:rPr>
          <w:rFonts w:cs="Times New Roman"/>
          <w:color w:val="000000" w:themeColor="text1"/>
          <w:szCs w:val="24"/>
          <w:highlight w:val="none"/>
          <w14:textFill>
            <w14:solidFill>
              <w14:schemeClr w14:val="tx1"/>
            </w14:solidFill>
          </w14:textFill>
        </w:rPr>
        <w:t>雷页1平台处理完后的天然气采用管线输送至毛达线魏兴站，线路从雷页1平台出站后向西翻过小山，顺乡村公路向西北方向敷设约400m后，向西偏北方向敷设，经过石虎村到达州河支流，穿过州河支流后向西敷设，到达北斗村，管线在该处穿越G65高速，再向西北方向，经过冉家沟、杨家湾，穿过G210国道，到达魏兴镇的魏兴交接计量站</w:t>
      </w:r>
      <w:r>
        <w:rPr>
          <w:rFonts w:cs="Times New Roman"/>
          <w:color w:val="000000" w:themeColor="text1"/>
          <w:szCs w:val="21"/>
          <w:highlight w:val="none"/>
          <w14:textFill>
            <w14:solidFill>
              <w14:schemeClr w14:val="tx1"/>
            </w14:solidFill>
          </w14:textFill>
        </w:rPr>
        <w:t>。管线路由涉及宣汉县</w:t>
      </w:r>
      <w:r>
        <w:rPr>
          <w:rFonts w:hint="eastAsia" w:cs="Times New Roman"/>
          <w:color w:val="000000" w:themeColor="text1"/>
          <w:szCs w:val="21"/>
          <w:highlight w:val="none"/>
          <w:lang w:eastAsia="zh-CN"/>
          <w14:textFill>
            <w14:solidFill>
              <w14:schemeClr w14:val="tx1"/>
            </w14:solidFill>
          </w14:textFill>
        </w:rPr>
        <w:t>**</w:t>
      </w:r>
      <w:r>
        <w:rPr>
          <w:rFonts w:cs="Times New Roman"/>
          <w:color w:val="000000" w:themeColor="text1"/>
          <w:szCs w:val="21"/>
          <w:highlight w:val="none"/>
          <w14:textFill>
            <w14:solidFill>
              <w14:schemeClr w14:val="tx1"/>
            </w14:solidFill>
          </w14:textFill>
        </w:rPr>
        <w:t>、红岭</w:t>
      </w:r>
      <w:r>
        <w:rPr>
          <w:rFonts w:hint="eastAsia" w:cs="Times New Roman"/>
          <w:color w:val="000000" w:themeColor="text1"/>
          <w:szCs w:val="21"/>
          <w:highlight w:val="none"/>
          <w14:textFill>
            <w14:solidFill>
              <w14:schemeClr w14:val="tx1"/>
            </w14:solidFill>
          </w14:textFill>
        </w:rPr>
        <w:t>镇</w:t>
      </w:r>
      <w:r>
        <w:rPr>
          <w:rFonts w:cs="Times New Roman"/>
          <w:color w:val="000000" w:themeColor="text1"/>
          <w:szCs w:val="21"/>
          <w:highlight w:val="none"/>
          <w14:textFill>
            <w14:solidFill>
              <w14:schemeClr w14:val="tx1"/>
            </w14:solidFill>
          </w14:textFill>
        </w:rPr>
        <w:t>、通川区魏兴</w:t>
      </w:r>
      <w:r>
        <w:rPr>
          <w:rFonts w:hint="eastAsia" w:cs="Times New Roman"/>
          <w:color w:val="000000" w:themeColor="text1"/>
          <w:szCs w:val="21"/>
          <w:highlight w:val="none"/>
          <w14:textFill>
            <w14:solidFill>
              <w14:schemeClr w14:val="tx1"/>
            </w14:solidFill>
          </w14:textFill>
        </w:rPr>
        <w:t>镇。</w:t>
      </w:r>
    </w:p>
    <w:p>
      <w:pPr>
        <w:numPr>
          <w:ilvl w:val="0"/>
          <w:numId w:val="10"/>
        </w:numPr>
        <w:adjustRightInd/>
        <w:snapToGrid/>
        <w:spacing w:before="120" w:beforeLines="50"/>
        <w:ind w:firstLineChars="0"/>
        <w:jc w:val="left"/>
        <w:textAlignment w:val="baseline"/>
        <w:rPr>
          <w:rFonts w:cs="Times New Roman"/>
          <w:b/>
          <w:bCs/>
          <w:color w:val="000000" w:themeColor="text1"/>
          <w:kern w:val="0"/>
          <w:szCs w:val="20"/>
          <w:highlight w:val="none"/>
          <w14:textFill>
            <w14:solidFill>
              <w14:schemeClr w14:val="tx1"/>
            </w14:solidFill>
          </w14:textFill>
        </w:rPr>
      </w:pPr>
      <w:r>
        <w:rPr>
          <w:rFonts w:cs="Times New Roman"/>
          <w:b/>
          <w:bCs/>
          <w:color w:val="000000" w:themeColor="text1"/>
          <w:kern w:val="0"/>
          <w:szCs w:val="20"/>
          <w:highlight w:val="none"/>
          <w14:textFill>
            <w14:solidFill>
              <w14:schemeClr w14:val="tx1"/>
            </w14:solidFill>
          </w14:textFill>
        </w:rPr>
        <w:t>集输管线用管及防腐</w:t>
      </w:r>
    </w:p>
    <w:p>
      <w:pPr>
        <w:adjustRightInd/>
        <w:snapToGrid/>
        <w:ind w:firstLine="480"/>
        <w:textAlignment w:val="baseline"/>
        <w:rPr>
          <w:rFonts w:cs="Times New Roman"/>
          <w:color w:val="000000" w:themeColor="text1"/>
          <w:kern w:val="0"/>
          <w:szCs w:val="20"/>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（1）集输管线用管</w:t>
      </w:r>
    </w:p>
    <w:p>
      <w:pPr>
        <w:adjustRightInd/>
        <w:snapToGrid/>
        <w:ind w:firstLine="480"/>
        <w:textAlignment w:val="baseline"/>
        <w:rPr>
          <w:rFonts w:cs="Times New Roman"/>
          <w:color w:val="000000" w:themeColor="text1"/>
          <w:kern w:val="0"/>
          <w:szCs w:val="20"/>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由于本项目输送介质为天然气且为中压、可燃介质，为提高采气管线的安全性和可靠性，本项目采气管道采用价格经济、壁厚均匀、应用广泛的无缝钢管的L245N，制管标准执行《石油天然气工业 管线输送系统用钢管》（GB/T9711-2017）。集输管道外径219.1mm，设计压力6.3MPa，弯管强度按按《</w:t>
      </w:r>
      <w:r>
        <w:rPr>
          <w:rFonts w:hint="eastAsia" w:cs="Times New Roman"/>
          <w:color w:val="000000" w:themeColor="text1"/>
          <w:kern w:val="0"/>
          <w:szCs w:val="20"/>
          <w:highlight w:val="none"/>
          <w14:textFill>
            <w14:solidFill>
              <w14:schemeClr w14:val="tx1"/>
            </w14:solidFill>
          </w14:textFill>
        </w:rPr>
        <w:t>输气管道工程设计规范</w:t>
      </w:r>
      <w:r>
        <w:rPr>
          <w:rFonts w:cs="Times New Roman"/>
          <w:color w:val="000000" w:themeColor="text1"/>
          <w:kern w:val="0"/>
          <w:szCs w:val="20"/>
          <w:highlight w:val="none"/>
          <w14:textFill>
            <w14:solidFill>
              <w14:schemeClr w14:val="tx1"/>
            </w14:solidFill>
          </w14:textFill>
        </w:rPr>
        <w:t>》（GB50251-2015）进行计算，计算出</w:t>
      </w:r>
      <w:r>
        <w:rPr>
          <w:rFonts w:hint="eastAsia" w:cs="Times New Roman"/>
          <w:color w:val="000000" w:themeColor="text1"/>
          <w:kern w:val="0"/>
          <w:szCs w:val="20"/>
          <w:highlight w:val="none"/>
          <w14:textFill>
            <w14:solidFill>
              <w14:schemeClr w14:val="tx1"/>
            </w14:solidFill>
          </w14:textFill>
        </w:rPr>
        <w:t>直</w:t>
      </w:r>
      <w:r>
        <w:rPr>
          <w:rFonts w:cs="Times New Roman"/>
          <w:color w:val="000000" w:themeColor="text1"/>
          <w:kern w:val="0"/>
          <w:szCs w:val="20"/>
          <w:highlight w:val="none"/>
          <w14:textFill>
            <w14:solidFill>
              <w14:schemeClr w14:val="tx1"/>
            </w14:solidFill>
          </w14:textFill>
        </w:rPr>
        <w:t>管壁厚为6.4mm</w:t>
      </w:r>
      <w:r>
        <w:rPr>
          <w:rFonts w:hint="eastAsia" w:cs="Times New Roman"/>
          <w:color w:val="000000" w:themeColor="text1"/>
          <w:kern w:val="0"/>
          <w:szCs w:val="20"/>
          <w:highlight w:val="none"/>
          <w14:textFill>
            <w14:solidFill>
              <w14:schemeClr w14:val="tx1"/>
            </w14:solidFill>
          </w14:textFill>
        </w:rPr>
        <w:t>，热煨管壁厚为7</w:t>
      </w:r>
      <w:r>
        <w:rPr>
          <w:rFonts w:cs="Times New Roman"/>
          <w:color w:val="000000" w:themeColor="text1"/>
          <w:kern w:val="0"/>
          <w:szCs w:val="20"/>
          <w:highlight w:val="none"/>
          <w14:textFill>
            <w14:solidFill>
              <w14:schemeClr w14:val="tx1"/>
            </w14:solidFill>
          </w14:textFill>
        </w:rPr>
        <w:t>.1</w:t>
      </w:r>
      <w:r>
        <w:rPr>
          <w:rFonts w:hint="eastAsia" w:cs="Times New Roman"/>
          <w:color w:val="000000" w:themeColor="text1"/>
          <w:kern w:val="0"/>
          <w:szCs w:val="20"/>
          <w:highlight w:val="none"/>
          <w14:textFill>
            <w14:solidFill>
              <w14:schemeClr w14:val="tx1"/>
            </w14:solidFill>
          </w14:textFill>
        </w:rPr>
        <w:t>mm</w:t>
      </w:r>
      <w:r>
        <w:rPr>
          <w:rFonts w:cs="Times New Roman"/>
          <w:color w:val="000000" w:themeColor="text1"/>
          <w:kern w:val="0"/>
          <w:szCs w:val="20"/>
          <w:highlight w:val="none"/>
          <w14:textFill>
            <w14:solidFill>
              <w14:schemeClr w14:val="tx1"/>
            </w14:solidFill>
          </w14:textFill>
        </w:rPr>
        <w:t>。</w:t>
      </w:r>
    </w:p>
    <w:p>
      <w:pPr>
        <w:adjustRightInd/>
        <w:snapToGrid/>
        <w:ind w:left="200" w:firstLine="240" w:firstLineChars="100"/>
        <w:jc w:val="left"/>
        <w:textAlignment w:val="baseline"/>
        <w:rPr>
          <w:rFonts w:cs="Times New Roman"/>
          <w:color w:val="000000" w:themeColor="text1"/>
          <w:kern w:val="0"/>
          <w:szCs w:val="20"/>
          <w:highlight w:val="none"/>
          <w14:textFill>
            <w14:solidFill>
              <w14:schemeClr w14:val="tx1"/>
            </w14:solidFill>
          </w14:textFill>
        </w:rPr>
      </w:pPr>
      <w:r>
        <w:rPr>
          <w:rFonts w:hint="eastAsia" w:cs="Times New Roman"/>
          <w:color w:val="000000" w:themeColor="text1"/>
          <w:kern w:val="0"/>
          <w:szCs w:val="20"/>
          <w:highlight w:val="none"/>
          <w14:textFill>
            <w14:solidFill>
              <w14:schemeClr w14:val="tx1"/>
            </w14:solidFill>
          </w14:textFill>
        </w:rPr>
        <w:t>（2）</w:t>
      </w:r>
      <w:r>
        <w:rPr>
          <w:rFonts w:cs="Times New Roman"/>
          <w:color w:val="000000" w:themeColor="text1"/>
          <w:kern w:val="0"/>
          <w:szCs w:val="20"/>
          <w:highlight w:val="none"/>
          <w14:textFill>
            <w14:solidFill>
              <w14:schemeClr w14:val="tx1"/>
            </w14:solidFill>
          </w14:textFill>
        </w:rPr>
        <w:t>集输管线外防腐</w:t>
      </w:r>
    </w:p>
    <w:p>
      <w:pPr>
        <w:adjustRightInd/>
        <w:snapToGrid/>
        <w:ind w:firstLine="480"/>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本项目</w:t>
      </w:r>
      <w:r>
        <w:rPr>
          <w:rFonts w:hint="eastAsia" w:cs="Times New Roman"/>
          <w:color w:val="000000" w:themeColor="text1"/>
          <w:kern w:val="0"/>
          <w:szCs w:val="24"/>
          <w:highlight w:val="none"/>
          <w14:textFill>
            <w14:solidFill>
              <w14:schemeClr w14:val="tx1"/>
            </w14:solidFill>
          </w14:textFill>
        </w:rPr>
        <w:t>集输</w:t>
      </w:r>
      <w:r>
        <w:rPr>
          <w:rFonts w:cs="Times New Roman"/>
          <w:color w:val="000000" w:themeColor="text1"/>
          <w:kern w:val="0"/>
          <w:szCs w:val="24"/>
          <w:highlight w:val="none"/>
          <w14:textFill>
            <w14:solidFill>
              <w14:schemeClr w14:val="tx1"/>
            </w14:solidFill>
          </w14:textFill>
        </w:rPr>
        <w:t>管</w:t>
      </w:r>
      <w:r>
        <w:rPr>
          <w:rFonts w:cs="Times New Roman"/>
          <w:color w:val="000000" w:themeColor="text1"/>
          <w:kern w:val="0"/>
          <w:szCs w:val="20"/>
          <w:highlight w:val="none"/>
          <w14:textFill>
            <w14:solidFill>
              <w14:schemeClr w14:val="tx1"/>
            </w14:solidFill>
          </w14:textFill>
        </w:rPr>
        <w:t>线</w:t>
      </w:r>
      <w:r>
        <w:rPr>
          <w:rFonts w:cs="Times New Roman"/>
          <w:color w:val="000000" w:themeColor="text1"/>
          <w:kern w:val="0"/>
          <w:szCs w:val="24"/>
          <w:highlight w:val="none"/>
          <w14:textFill>
            <w14:solidFill>
              <w14:schemeClr w14:val="tx1"/>
            </w14:solidFill>
          </w14:textFill>
        </w:rPr>
        <w:t>输送介质为常温</w:t>
      </w:r>
      <w:r>
        <w:rPr>
          <w:rFonts w:hint="eastAsia" w:cs="Times New Roman"/>
          <w:color w:val="000000" w:themeColor="text1"/>
          <w:kern w:val="0"/>
          <w:szCs w:val="24"/>
          <w:highlight w:val="none"/>
          <w14:textFill>
            <w14:solidFill>
              <w14:schemeClr w14:val="tx1"/>
            </w14:solidFill>
          </w14:textFill>
        </w:rPr>
        <w:t>天然气</w:t>
      </w:r>
      <w:r>
        <w:rPr>
          <w:rFonts w:cs="Times New Roman"/>
          <w:color w:val="000000" w:themeColor="text1"/>
          <w:kern w:val="0"/>
          <w:szCs w:val="24"/>
          <w:highlight w:val="none"/>
          <w14:textFill>
            <w14:solidFill>
              <w14:schemeClr w14:val="tx1"/>
            </w14:solidFill>
          </w14:textFill>
        </w:rPr>
        <w:t>，</w:t>
      </w:r>
      <w:r>
        <w:rPr>
          <w:rFonts w:hint="eastAsia" w:cs="Times New Roman"/>
          <w:color w:val="000000" w:themeColor="text1"/>
          <w:kern w:val="0"/>
          <w:szCs w:val="24"/>
          <w:highlight w:val="none"/>
          <w14:textFill>
            <w14:solidFill>
              <w14:schemeClr w14:val="tx1"/>
            </w14:solidFill>
          </w14:textFill>
        </w:rPr>
        <w:t>站外埋地集输管线采用常温型加强级三层 PE 防腐层，其中底层为熔结环氧粉末，中间层为胶粘剂层</w:t>
      </w:r>
      <w:r>
        <w:rPr>
          <w:rFonts w:cs="Times New Roman"/>
          <w:color w:val="000000" w:themeColor="text1"/>
          <w:kern w:val="0"/>
          <w:szCs w:val="24"/>
          <w:highlight w:val="none"/>
          <w14:textFill>
            <w14:solidFill>
              <w14:schemeClr w14:val="tx1"/>
            </w14:solidFill>
          </w14:textFill>
        </w:rPr>
        <w:t>。</w:t>
      </w:r>
    </w:p>
    <w:p>
      <w:pPr>
        <w:adjustRightInd/>
        <w:snapToGrid/>
        <w:ind w:firstLine="480"/>
        <w:rPr>
          <w:rFonts w:cs="Times New Roman"/>
          <w:color w:val="000000" w:themeColor="text1"/>
          <w:kern w:val="0"/>
          <w:szCs w:val="20"/>
          <w:highlight w:val="none"/>
          <w14:textFill>
            <w14:solidFill>
              <w14:schemeClr w14:val="tx1"/>
            </w14:solidFill>
          </w14:textFill>
        </w:rPr>
      </w:pPr>
      <w:r>
        <w:rPr>
          <w:rFonts w:hint="eastAsia" w:cs="Times New Roman"/>
          <w:color w:val="000000" w:themeColor="text1"/>
          <w:kern w:val="0"/>
          <w:szCs w:val="20"/>
          <w:highlight w:val="none"/>
          <w14:textFill>
            <w14:solidFill>
              <w14:schemeClr w14:val="tx1"/>
            </w14:solidFill>
          </w14:textFill>
        </w:rPr>
        <w:t>（</w:t>
      </w:r>
      <w:r>
        <w:rPr>
          <w:rFonts w:cs="Times New Roman"/>
          <w:color w:val="000000" w:themeColor="text1"/>
          <w:kern w:val="0"/>
          <w:szCs w:val="20"/>
          <w:highlight w:val="none"/>
          <w14:textFill>
            <w14:solidFill>
              <w14:schemeClr w14:val="tx1"/>
            </w14:solidFill>
          </w14:textFill>
        </w:rPr>
        <w:t>3</w:t>
      </w:r>
      <w:r>
        <w:rPr>
          <w:rFonts w:hint="eastAsia" w:cs="Times New Roman"/>
          <w:color w:val="000000" w:themeColor="text1"/>
          <w:kern w:val="0"/>
          <w:szCs w:val="20"/>
          <w:highlight w:val="none"/>
          <w14:textFill>
            <w14:solidFill>
              <w14:schemeClr w14:val="tx1"/>
            </w14:solidFill>
          </w14:textFill>
        </w:rPr>
        <w:t>）</w:t>
      </w:r>
      <w:r>
        <w:rPr>
          <w:rFonts w:cs="Times New Roman"/>
          <w:color w:val="000000" w:themeColor="text1"/>
          <w:kern w:val="0"/>
          <w:szCs w:val="20"/>
          <w:highlight w:val="none"/>
          <w14:textFill>
            <w14:solidFill>
              <w14:schemeClr w14:val="tx1"/>
            </w14:solidFill>
          </w14:textFill>
        </w:rPr>
        <w:t>弯管防腐</w:t>
      </w:r>
    </w:p>
    <w:p>
      <w:pPr>
        <w:adjustRightInd/>
        <w:snapToGrid/>
        <w:ind w:firstLine="480"/>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本项目</w:t>
      </w:r>
      <w:r>
        <w:rPr>
          <w:rFonts w:hint="eastAsia" w:cs="Times New Roman"/>
          <w:color w:val="000000" w:themeColor="text1"/>
          <w:kern w:val="0"/>
          <w:szCs w:val="24"/>
          <w:highlight w:val="none"/>
          <w14:textFill>
            <w14:solidFill>
              <w14:schemeClr w14:val="tx1"/>
            </w14:solidFill>
          </w14:textFill>
        </w:rPr>
        <w:t>站外埋地集输管线冷弯弯管防腐层同直管段外防腐层采用常温型加强级三层PE防腐层；热煨弯管防腐层推荐采用“无溶剂液体环氧涂料+聚乙烯热收缩缠绕带”的涂层结构</w:t>
      </w:r>
      <w:r>
        <w:rPr>
          <w:rFonts w:cs="Times New Roman"/>
          <w:color w:val="000000" w:themeColor="text1"/>
          <w:kern w:val="0"/>
          <w:szCs w:val="24"/>
          <w:highlight w:val="none"/>
          <w14:textFill>
            <w14:solidFill>
              <w14:schemeClr w14:val="tx1"/>
            </w14:solidFill>
          </w14:textFill>
        </w:rPr>
        <w:t>。</w:t>
      </w:r>
    </w:p>
    <w:p>
      <w:pPr>
        <w:adjustRightInd/>
        <w:snapToGrid/>
        <w:ind w:left="200" w:firstLine="0" w:firstLineChars="0"/>
        <w:jc w:val="left"/>
        <w:textAlignment w:val="baseline"/>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w:t>
      </w:r>
      <w:r>
        <w:rPr>
          <w:rFonts w:cs="Times New Roman"/>
          <w:color w:val="000000" w:themeColor="text1"/>
          <w:kern w:val="0"/>
          <w:szCs w:val="24"/>
          <w:highlight w:val="none"/>
          <w14:textFill>
            <w14:solidFill>
              <w14:schemeClr w14:val="tx1"/>
            </w14:solidFill>
          </w14:textFill>
        </w:rPr>
        <w:t>4</w:t>
      </w:r>
      <w:r>
        <w:rPr>
          <w:rFonts w:hint="eastAsia" w:cs="Times New Roman"/>
          <w:color w:val="000000" w:themeColor="text1"/>
          <w:kern w:val="0"/>
          <w:szCs w:val="24"/>
          <w:highlight w:val="none"/>
          <w14:textFill>
            <w14:solidFill>
              <w14:schemeClr w14:val="tx1"/>
            </w14:solidFill>
          </w14:textFill>
        </w:rPr>
        <w:t>）</w:t>
      </w:r>
      <w:r>
        <w:rPr>
          <w:rFonts w:cs="Times New Roman"/>
          <w:color w:val="000000" w:themeColor="text1"/>
          <w:kern w:val="0"/>
          <w:szCs w:val="24"/>
          <w:highlight w:val="none"/>
          <w14:textFill>
            <w14:solidFill>
              <w14:schemeClr w14:val="tx1"/>
            </w14:solidFill>
          </w14:textFill>
        </w:rPr>
        <w:t>管道补口、补伤</w:t>
      </w:r>
    </w:p>
    <w:p>
      <w:pPr>
        <w:adjustRightInd/>
        <w:snapToGrid/>
        <w:ind w:firstLine="480"/>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三层PE防腐层补口推荐采用“无溶剂双组分液体环氧涂料+辐射交联聚乙炔收缩补口带”进行外防腐补口。普通线路段三层PE补口选用无溶剂液体环氧涂料（干膜厚度≥400um）+辐射交联聚乙烯热收缩补口带。三层PE防腐层补伤根据部位尺寸的大小，分别选用热熔修补棒、辐射交联聚乙烯补伤片、热收缩带及相结合的方式进行补伤</w:t>
      </w:r>
      <w:r>
        <w:rPr>
          <w:rFonts w:cs="Times New Roman"/>
          <w:color w:val="000000" w:themeColor="text1"/>
          <w:kern w:val="0"/>
          <w:szCs w:val="24"/>
          <w:highlight w:val="none"/>
          <w14:textFill>
            <w14:solidFill>
              <w14:schemeClr w14:val="tx1"/>
            </w14:solidFill>
          </w14:textFill>
        </w:rPr>
        <w:t>。</w:t>
      </w:r>
    </w:p>
    <w:p>
      <w:pPr>
        <w:adjustRightInd/>
        <w:snapToGrid/>
        <w:ind w:firstLine="482"/>
        <w:textAlignment w:val="baseline"/>
        <w:rPr>
          <w:rFonts w:cs="Times New Roman"/>
          <w:b/>
          <w:bCs/>
          <w:color w:val="000000" w:themeColor="text1"/>
          <w:kern w:val="0"/>
          <w:szCs w:val="20"/>
          <w:highlight w:val="none"/>
          <w14:textFill>
            <w14:solidFill>
              <w14:schemeClr w14:val="tx1"/>
            </w14:solidFill>
          </w14:textFill>
        </w:rPr>
      </w:pPr>
      <w:r>
        <w:rPr>
          <w:rFonts w:hint="eastAsia" w:cs="Times New Roman"/>
          <w:b/>
          <w:bCs/>
          <w:color w:val="000000" w:themeColor="text1"/>
          <w:kern w:val="0"/>
          <w:szCs w:val="20"/>
          <w:highlight w:val="none"/>
          <w14:textFill>
            <w14:solidFill>
              <w14:schemeClr w14:val="tx1"/>
            </w14:solidFill>
          </w14:textFill>
        </w:rPr>
        <w:t>3</w:t>
      </w:r>
      <w:r>
        <w:rPr>
          <w:rFonts w:cs="Times New Roman"/>
          <w:b/>
          <w:bCs/>
          <w:color w:val="000000" w:themeColor="text1"/>
          <w:kern w:val="0"/>
          <w:szCs w:val="20"/>
          <w:highlight w:val="none"/>
          <w14:textFill>
            <w14:solidFill>
              <w14:schemeClr w14:val="tx1"/>
            </w14:solidFill>
          </w14:textFill>
        </w:rPr>
        <w:t>、管道敷设</w:t>
      </w:r>
    </w:p>
    <w:p>
      <w:pPr>
        <w:adjustRightInd/>
        <w:snapToGrid/>
        <w:ind w:firstLine="480"/>
        <w:textAlignment w:val="baseline"/>
        <w:rPr>
          <w:rFonts w:cs="Times New Roman"/>
          <w:color w:val="000000" w:themeColor="text1"/>
          <w:kern w:val="0"/>
          <w:szCs w:val="20"/>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本项目管道采用沟</w:t>
      </w:r>
      <w:r>
        <w:rPr>
          <w:rFonts w:hint="eastAsia" w:cs="Times New Roman"/>
          <w:color w:val="000000" w:themeColor="text1"/>
          <w:kern w:val="0"/>
          <w:szCs w:val="20"/>
          <w:highlight w:val="none"/>
          <w14:textFill>
            <w14:solidFill>
              <w14:schemeClr w14:val="tx1"/>
            </w14:solidFill>
          </w14:textFill>
        </w:rPr>
        <w:t>下</w:t>
      </w:r>
      <w:r>
        <w:rPr>
          <w:rFonts w:cs="Times New Roman"/>
          <w:color w:val="000000" w:themeColor="text1"/>
          <w:kern w:val="0"/>
          <w:szCs w:val="20"/>
          <w:highlight w:val="none"/>
          <w14:textFill>
            <w14:solidFill>
              <w14:schemeClr w14:val="tx1"/>
            </w14:solidFill>
          </w14:textFill>
        </w:rPr>
        <w:t>组焊、埋地敷设，以弹性敷设和工厂预制热煨弯管来适应不同地形变化的要求，弯管曲率半径为6D。制管标准为《油气输送用钢制感应加热弯管》（SY/T5257-2012）。</w:t>
      </w:r>
    </w:p>
    <w:p>
      <w:pPr>
        <w:adjustRightInd/>
        <w:snapToGrid/>
        <w:ind w:firstLine="480"/>
        <w:textAlignment w:val="baseline"/>
        <w:rPr>
          <w:rFonts w:cs="Times New Roman"/>
          <w:color w:val="000000" w:themeColor="text1"/>
          <w:kern w:val="0"/>
          <w:szCs w:val="20"/>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线路在一般地段敷设时，水田段管顶埋深≥0.8m，旱地段管顶埋深≥0.8m，荒坡及石方区管顶埋深≥0.5m</w:t>
      </w:r>
      <w:r>
        <w:rPr>
          <w:rFonts w:hint="eastAsia" w:cs="Times New Roman"/>
          <w:color w:val="000000" w:themeColor="text1"/>
          <w:kern w:val="0"/>
          <w:szCs w:val="20"/>
          <w:highlight w:val="none"/>
          <w14:textFill>
            <w14:solidFill>
              <w14:schemeClr w14:val="tx1"/>
            </w14:solidFill>
          </w14:textFill>
        </w:rPr>
        <w:t>。</w:t>
      </w:r>
    </w:p>
    <w:p>
      <w:pPr>
        <w:adjustRightInd/>
        <w:snapToGrid/>
        <w:ind w:firstLine="480"/>
        <w:textAlignment w:val="baseline"/>
        <w:rPr>
          <w:rFonts w:cs="Times New Roman"/>
          <w:color w:val="000000" w:themeColor="text1"/>
          <w:kern w:val="0"/>
          <w:szCs w:val="20"/>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管道穿越小型河渠时，在有冲刷河流，管顶埋深应在设计洪水冲刷线以下大于1m</w:t>
      </w:r>
      <w:r>
        <w:rPr>
          <w:rFonts w:hint="eastAsia" w:cs="Times New Roman"/>
          <w:color w:val="000000" w:themeColor="text1"/>
          <w:kern w:val="0"/>
          <w:szCs w:val="20"/>
          <w:highlight w:val="none"/>
          <w14:textFill>
            <w14:solidFill>
              <w14:schemeClr w14:val="tx1"/>
            </w14:solidFill>
          </w14:textFill>
        </w:rPr>
        <w:t>；</w:t>
      </w:r>
      <w:r>
        <w:rPr>
          <w:rFonts w:cs="Times New Roman"/>
          <w:color w:val="000000" w:themeColor="text1"/>
          <w:kern w:val="0"/>
          <w:szCs w:val="20"/>
          <w:highlight w:val="none"/>
          <w14:textFill>
            <w14:solidFill>
              <w14:schemeClr w14:val="tx1"/>
            </w14:solidFill>
          </w14:textFill>
        </w:rPr>
        <w:t>无冲刷水域应在水床底大于1m</w:t>
      </w:r>
      <w:r>
        <w:rPr>
          <w:rFonts w:hint="eastAsia" w:cs="Times New Roman"/>
          <w:color w:val="000000" w:themeColor="text1"/>
          <w:kern w:val="0"/>
          <w:szCs w:val="20"/>
          <w:highlight w:val="none"/>
          <w14:textFill>
            <w14:solidFill>
              <w14:schemeClr w14:val="tx1"/>
            </w14:solidFill>
          </w14:textFill>
        </w:rPr>
        <w:t>；</w:t>
      </w:r>
      <w:r>
        <w:rPr>
          <w:rFonts w:cs="Times New Roman"/>
          <w:color w:val="000000" w:themeColor="text1"/>
          <w:kern w:val="0"/>
          <w:szCs w:val="20"/>
          <w:highlight w:val="none"/>
          <w14:textFill>
            <w14:solidFill>
              <w14:schemeClr w14:val="tx1"/>
            </w14:solidFill>
          </w14:textFill>
        </w:rPr>
        <w:t>河床为基岩时，嵌入基岩深度大于0.5m。穿越</w:t>
      </w:r>
      <w:r>
        <w:rPr>
          <w:rFonts w:hint="eastAsia" w:cs="Times New Roman"/>
          <w:color w:val="000000" w:themeColor="text1"/>
          <w:kern w:val="0"/>
          <w:szCs w:val="20"/>
          <w:highlight w:val="none"/>
          <w14:textFill>
            <w14:solidFill>
              <w14:schemeClr w14:val="tx1"/>
            </w14:solidFill>
          </w14:textFill>
        </w:rPr>
        <w:t>小型河流</w:t>
      </w:r>
      <w:r>
        <w:rPr>
          <w:rFonts w:cs="Times New Roman"/>
          <w:color w:val="000000" w:themeColor="text1"/>
          <w:kern w:val="0"/>
          <w:szCs w:val="20"/>
          <w:highlight w:val="none"/>
          <w14:textFill>
            <w14:solidFill>
              <w14:schemeClr w14:val="tx1"/>
            </w14:solidFill>
          </w14:textFill>
        </w:rPr>
        <w:t>时，在有冲刷河流，管顶埋深应在设计洪水冲刷线以下大于1.2m</w:t>
      </w:r>
      <w:r>
        <w:rPr>
          <w:rFonts w:hint="eastAsia" w:cs="Times New Roman"/>
          <w:color w:val="000000" w:themeColor="text1"/>
          <w:kern w:val="0"/>
          <w:szCs w:val="20"/>
          <w:highlight w:val="none"/>
          <w14:textFill>
            <w14:solidFill>
              <w14:schemeClr w14:val="tx1"/>
            </w14:solidFill>
          </w14:textFill>
        </w:rPr>
        <w:t>；</w:t>
      </w:r>
      <w:r>
        <w:rPr>
          <w:rFonts w:cs="Times New Roman"/>
          <w:color w:val="000000" w:themeColor="text1"/>
          <w:kern w:val="0"/>
          <w:szCs w:val="20"/>
          <w:highlight w:val="none"/>
          <w14:textFill>
            <w14:solidFill>
              <w14:schemeClr w14:val="tx1"/>
            </w14:solidFill>
          </w14:textFill>
        </w:rPr>
        <w:t>河床为基岩时，嵌入基岩深度大于0.6m。管道施工完毕应采取相应的护坡、护岸措施</w:t>
      </w:r>
      <w:r>
        <w:rPr>
          <w:rFonts w:hint="eastAsia" w:cs="Times New Roman"/>
          <w:color w:val="000000" w:themeColor="text1"/>
          <w:kern w:val="0"/>
          <w:szCs w:val="20"/>
          <w:highlight w:val="none"/>
          <w14:textFill>
            <w14:solidFill>
              <w14:schemeClr w14:val="tx1"/>
            </w14:solidFill>
          </w14:textFill>
        </w:rPr>
        <w:t>，</w:t>
      </w:r>
      <w:r>
        <w:rPr>
          <w:rFonts w:cs="Times New Roman"/>
          <w:color w:val="000000" w:themeColor="text1"/>
          <w:kern w:val="0"/>
          <w:szCs w:val="20"/>
          <w:highlight w:val="none"/>
          <w14:textFill>
            <w14:solidFill>
              <w14:schemeClr w14:val="tx1"/>
            </w14:solidFill>
          </w14:textFill>
        </w:rPr>
        <w:t>两岸岸坡恢复时下部采用浆砌条石挡土墙，其上采用浆砌块石护岸（块石护坡）。施工完毕应取得相关管理部门验收合格。</w:t>
      </w:r>
    </w:p>
    <w:p>
      <w:pPr>
        <w:adjustRightInd/>
        <w:snapToGrid/>
        <w:ind w:firstLine="480"/>
        <w:textAlignment w:val="baseline"/>
        <w:rPr>
          <w:rFonts w:cs="Times New Roman"/>
          <w:color w:val="000000" w:themeColor="text1"/>
          <w:kern w:val="0"/>
          <w:szCs w:val="20"/>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管道穿越公路</w:t>
      </w:r>
      <w:r>
        <w:rPr>
          <w:rFonts w:hint="eastAsia" w:cs="Times New Roman"/>
          <w:color w:val="000000" w:themeColor="text1"/>
          <w:kern w:val="0"/>
          <w:szCs w:val="20"/>
          <w:highlight w:val="none"/>
          <w14:textFill>
            <w14:solidFill>
              <w14:schemeClr w14:val="tx1"/>
            </w14:solidFill>
          </w14:textFill>
        </w:rPr>
        <w:t>、机耕道</w:t>
      </w:r>
      <w:r>
        <w:rPr>
          <w:rFonts w:cs="Times New Roman"/>
          <w:color w:val="000000" w:themeColor="text1"/>
          <w:kern w:val="0"/>
          <w:szCs w:val="20"/>
          <w:highlight w:val="none"/>
          <w14:textFill>
            <w14:solidFill>
              <w14:schemeClr w14:val="tx1"/>
            </w14:solidFill>
          </w14:textFill>
        </w:rPr>
        <w:t>时采用钢筋混凝土套管进行保护，套管顶距路面埋深不小于1.2m。</w:t>
      </w:r>
    </w:p>
    <w:p>
      <w:pPr>
        <w:adjustRightInd/>
        <w:snapToGrid/>
        <w:ind w:firstLine="482"/>
        <w:textAlignment w:val="baseline"/>
        <w:rPr>
          <w:rFonts w:cs="Times New Roman"/>
          <w:b/>
          <w:bCs/>
          <w:color w:val="000000" w:themeColor="text1"/>
          <w:kern w:val="0"/>
          <w:szCs w:val="20"/>
          <w:highlight w:val="none"/>
          <w14:textFill>
            <w14:solidFill>
              <w14:schemeClr w14:val="tx1"/>
            </w14:solidFill>
          </w14:textFill>
        </w:rPr>
      </w:pPr>
      <w:r>
        <w:rPr>
          <w:rFonts w:hint="eastAsia" w:cs="Times New Roman"/>
          <w:b/>
          <w:bCs/>
          <w:color w:val="000000" w:themeColor="text1"/>
          <w:kern w:val="0"/>
          <w:szCs w:val="20"/>
          <w:highlight w:val="none"/>
          <w14:textFill>
            <w14:solidFill>
              <w14:schemeClr w14:val="tx1"/>
            </w14:solidFill>
          </w14:textFill>
        </w:rPr>
        <w:t>4、穿越</w:t>
      </w:r>
    </w:p>
    <w:p>
      <w:pPr>
        <w:adjustRightInd/>
        <w:snapToGrid/>
        <w:ind w:firstLine="482"/>
        <w:textAlignment w:val="baseline"/>
        <w:rPr>
          <w:rFonts w:cs="Times New Roman"/>
          <w:b/>
          <w:bCs/>
          <w:color w:val="000000" w:themeColor="text1"/>
          <w:kern w:val="0"/>
          <w:szCs w:val="20"/>
          <w:highlight w:val="none"/>
          <w14:textFill>
            <w14:solidFill>
              <w14:schemeClr w14:val="tx1"/>
            </w14:solidFill>
          </w14:textFill>
        </w:rPr>
      </w:pPr>
      <w:r>
        <w:rPr>
          <w:rFonts w:hint="eastAsia" w:cs="Times New Roman"/>
          <w:b/>
          <w:bCs/>
          <w:color w:val="000000" w:themeColor="text1"/>
          <w:kern w:val="0"/>
          <w:szCs w:val="20"/>
          <w:highlight w:val="none"/>
          <w14:textFill>
            <w14:solidFill>
              <w14:schemeClr w14:val="tx1"/>
            </w14:solidFill>
          </w14:textFill>
        </w:rPr>
        <w:t>河流穿越：</w:t>
      </w:r>
    </w:p>
    <w:p>
      <w:pPr>
        <w:widowControl/>
        <w:adjustRightInd/>
        <w:snapToGrid/>
        <w:ind w:firstLine="480"/>
        <w:rPr>
          <w:rFonts w:cs="Times New Roman"/>
          <w:color w:val="000000" w:themeColor="text1"/>
          <w:szCs w:val="21"/>
          <w:highlight w:val="none"/>
          <w14:textFill>
            <w14:solidFill>
              <w14:schemeClr w14:val="tx1"/>
            </w14:solidFill>
          </w14:textFill>
        </w:rPr>
      </w:pPr>
      <w:r>
        <w:rPr>
          <w:rFonts w:cs="Times New Roman"/>
          <w:color w:val="000000" w:themeColor="text1"/>
          <w:szCs w:val="21"/>
          <w:highlight w:val="none"/>
          <w14:textFill>
            <w14:solidFill>
              <w14:schemeClr w14:val="tx1"/>
            </w14:solidFill>
          </w14:textFill>
        </w:rPr>
        <w:t>（1）</w:t>
      </w:r>
      <w:r>
        <w:rPr>
          <w:rFonts w:hint="eastAsia" w:cs="Times New Roman"/>
          <w:color w:val="000000" w:themeColor="text1"/>
          <w:szCs w:val="21"/>
          <w:highlight w:val="none"/>
          <w14:textFill>
            <w14:solidFill>
              <w14:schemeClr w14:val="tx1"/>
            </w14:solidFill>
          </w14:textFill>
        </w:rPr>
        <w:t>州河支流穿越</w:t>
      </w:r>
    </w:p>
    <w:p>
      <w:pPr>
        <w:widowControl/>
        <w:adjustRightInd/>
        <w:snapToGrid/>
        <w:ind w:firstLine="480"/>
        <w:rPr>
          <w:rFonts w:cs="Times New Roman"/>
          <w:color w:val="000000" w:themeColor="text1"/>
          <w:szCs w:val="21"/>
          <w:highlight w:val="none"/>
          <w14:textFill>
            <w14:solidFill>
              <w14:schemeClr w14:val="tx1"/>
            </w14:solidFill>
          </w14:textFill>
        </w:rPr>
      </w:pPr>
      <w:r>
        <w:rPr>
          <w:rFonts w:hint="eastAsia" w:cs="Times New Roman"/>
          <w:color w:val="000000" w:themeColor="text1"/>
          <w:szCs w:val="21"/>
          <w:highlight w:val="none"/>
          <w14:textFill>
            <w14:solidFill>
              <w14:schemeClr w14:val="tx1"/>
            </w14:solidFill>
          </w14:textFill>
        </w:rPr>
        <w:t>集输管线在穿越州河支流1次，采用定向钻方式穿越，定向钻穿越长度为2</w:t>
      </w:r>
      <w:r>
        <w:rPr>
          <w:rFonts w:cs="Times New Roman"/>
          <w:color w:val="000000" w:themeColor="text1"/>
          <w:szCs w:val="21"/>
          <w:highlight w:val="none"/>
          <w14:textFill>
            <w14:solidFill>
              <w14:schemeClr w14:val="tx1"/>
            </w14:solidFill>
          </w14:textFill>
        </w:rPr>
        <w:t>7</w:t>
      </w:r>
      <w:r>
        <w:rPr>
          <w:rFonts w:hint="eastAsia" w:cs="Times New Roman"/>
          <w:color w:val="000000" w:themeColor="text1"/>
          <w:szCs w:val="21"/>
          <w:highlight w:val="none"/>
          <w14:textFill>
            <w14:solidFill>
              <w14:schemeClr w14:val="tx1"/>
            </w14:solidFill>
          </w14:textFill>
        </w:rPr>
        <w:t>0m，穿越州河支流三溪河处河面宽度约为</w:t>
      </w:r>
      <w:r>
        <w:rPr>
          <w:rFonts w:cs="Times New Roman"/>
          <w:color w:val="000000" w:themeColor="text1"/>
          <w:szCs w:val="21"/>
          <w:highlight w:val="none"/>
          <w14:textFill>
            <w14:solidFill>
              <w14:schemeClr w14:val="tx1"/>
            </w14:solidFill>
          </w14:textFill>
        </w:rPr>
        <w:t>35</w:t>
      </w:r>
      <w:r>
        <w:rPr>
          <w:rFonts w:hint="eastAsia" w:cs="Times New Roman"/>
          <w:color w:val="000000" w:themeColor="text1"/>
          <w:szCs w:val="21"/>
          <w:highlight w:val="none"/>
          <w14:textFill>
            <w14:solidFill>
              <w14:schemeClr w14:val="tx1"/>
            </w14:solidFill>
          </w14:textFill>
        </w:rPr>
        <w:t>m。</w:t>
      </w:r>
    </w:p>
    <w:p>
      <w:pPr>
        <w:widowControl/>
        <w:adjustRightInd/>
        <w:snapToGrid/>
        <w:ind w:firstLine="480"/>
        <w:rPr>
          <w:rFonts w:cs="Times New Roman"/>
          <w:color w:val="000000" w:themeColor="text1"/>
          <w:szCs w:val="21"/>
          <w:highlight w:val="none"/>
          <w14:textFill>
            <w14:solidFill>
              <w14:schemeClr w14:val="tx1"/>
            </w14:solidFill>
          </w14:textFill>
        </w:rPr>
      </w:pPr>
      <w:r>
        <w:rPr>
          <w:rFonts w:hint="eastAsia" w:cs="Times New Roman"/>
          <w:color w:val="000000" w:themeColor="text1"/>
          <w:szCs w:val="21"/>
          <w:highlight w:val="none"/>
          <w14:textFill>
            <w14:solidFill>
              <w14:schemeClr w14:val="tx1"/>
            </w14:solidFill>
          </w14:textFill>
        </w:rPr>
        <w:t>州河支流穿越点在雷页1平台的西侧约2.2km处的大湾村，位于全线的最低点。穿越处河流水面宽度约35m，西侧紧靠河边是一宽约4m道路，再向西有一长约150m、向西北方向的沟谷，州河东侧沿河岸边有一长约80m，宽约26m的缓坡；穿越处南侧约220m是一长度约50m的可过车的中型桥梁，该河流下游设有水电站。以州河支流的西侧谷地作为定向钻入土点， 东侧缓坡作为回拖场地。 为便于回拖管线布置， 定向钻轨迹为斜穿河流， 交叉角度约 45° 。</w:t>
      </w:r>
    </w:p>
    <w:p>
      <w:pPr>
        <w:pStyle w:val="60"/>
        <w:keepNex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p>
      <w:pPr>
        <w:pStyle w:val="76"/>
        <w:rPr>
          <w:color w:val="000000" w:themeColor="text1"/>
          <w:szCs w:val="21"/>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州河支流穿越</w:t>
      </w:r>
    </w:p>
    <w:p>
      <w:pPr>
        <w:widowControl/>
        <w:adjustRightInd/>
        <w:snapToGrid/>
        <w:ind w:firstLine="480"/>
        <w:rPr>
          <w:rFonts w:cs="Times New Roman"/>
          <w:color w:val="000000" w:themeColor="text1"/>
          <w:szCs w:val="21"/>
          <w:highlight w:val="none"/>
          <w14:textFill>
            <w14:solidFill>
              <w14:schemeClr w14:val="tx1"/>
            </w14:solidFill>
          </w14:textFill>
        </w:rPr>
      </w:pPr>
      <w:r>
        <w:rPr>
          <w:rFonts w:hint="eastAsia" w:cs="Times New Roman"/>
          <w:color w:val="000000" w:themeColor="text1"/>
          <w:szCs w:val="21"/>
          <w:highlight w:val="none"/>
          <w14:textFill>
            <w14:solidFill>
              <w14:schemeClr w14:val="tx1"/>
            </w14:solidFill>
          </w14:textFill>
        </w:rPr>
        <w:t>（2）其它沟渠穿越</w:t>
      </w:r>
    </w:p>
    <w:p>
      <w:pPr>
        <w:widowControl/>
        <w:adjustRightInd/>
        <w:snapToGrid/>
        <w:ind w:firstLine="480"/>
        <w:rPr>
          <w:rFonts w:cs="Times New Roman"/>
          <w:color w:val="000000" w:themeColor="text1"/>
          <w:szCs w:val="21"/>
          <w:highlight w:val="none"/>
          <w14:textFill>
            <w14:solidFill>
              <w14:schemeClr w14:val="tx1"/>
            </w14:solidFill>
          </w14:textFill>
        </w:rPr>
      </w:pPr>
      <w:r>
        <w:rPr>
          <w:rFonts w:hint="eastAsia" w:cs="Times New Roman"/>
          <w:color w:val="000000" w:themeColor="text1"/>
          <w:szCs w:val="21"/>
          <w:highlight w:val="none"/>
          <w14:textFill>
            <w14:solidFill>
              <w14:schemeClr w14:val="tx1"/>
            </w14:solidFill>
          </w14:textFill>
        </w:rPr>
        <w:t>集输管线穿越一般沟渠1</w:t>
      </w:r>
      <w:r>
        <w:rPr>
          <w:rFonts w:cs="Times New Roman"/>
          <w:color w:val="000000" w:themeColor="text1"/>
          <w:szCs w:val="21"/>
          <w:highlight w:val="none"/>
          <w14:textFill>
            <w14:solidFill>
              <w14:schemeClr w14:val="tx1"/>
            </w14:solidFill>
          </w14:textFill>
        </w:rPr>
        <w:t>3</w:t>
      </w:r>
      <w:r>
        <w:rPr>
          <w:rFonts w:hint="eastAsia" w:cs="Times New Roman"/>
          <w:color w:val="000000" w:themeColor="text1"/>
          <w:szCs w:val="21"/>
          <w:highlight w:val="none"/>
          <w14:textFill>
            <w14:solidFill>
              <w14:schemeClr w14:val="tx1"/>
            </w14:solidFill>
          </w14:textFill>
        </w:rPr>
        <w:t>次，穿越长度共9</w:t>
      </w:r>
      <w:r>
        <w:rPr>
          <w:rFonts w:cs="Times New Roman"/>
          <w:color w:val="000000" w:themeColor="text1"/>
          <w:szCs w:val="21"/>
          <w:highlight w:val="none"/>
          <w14:textFill>
            <w14:solidFill>
              <w14:schemeClr w14:val="tx1"/>
            </w14:solidFill>
          </w14:textFill>
        </w:rPr>
        <w:t>0</w:t>
      </w:r>
      <w:r>
        <w:rPr>
          <w:rFonts w:hint="eastAsia" w:cs="Times New Roman"/>
          <w:color w:val="000000" w:themeColor="text1"/>
          <w:szCs w:val="21"/>
          <w:highlight w:val="none"/>
          <w14:textFill>
            <w14:solidFill>
              <w14:schemeClr w14:val="tx1"/>
            </w14:solidFill>
          </w14:textFill>
        </w:rPr>
        <w:t>m，管沟施工方法视各条河详勘时的实际水文、地质和地形情况决定，一般采用围堰导流或直接大开挖的方式。</w:t>
      </w:r>
    </w:p>
    <w:p>
      <w:pPr>
        <w:pStyle w:val="60"/>
        <w:keepNex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p>
      <w:pPr>
        <w:pStyle w:val="76"/>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典型沟渠情况</w:t>
      </w:r>
    </w:p>
    <w:p>
      <w:pPr>
        <w:widowControl/>
        <w:adjustRightInd/>
        <w:snapToGrid/>
        <w:ind w:firstLine="482"/>
        <w:rPr>
          <w:rFonts w:cs="Times New Roman"/>
          <w:color w:val="000000" w:themeColor="text1"/>
          <w:szCs w:val="21"/>
          <w:highlight w:val="none"/>
          <w14:textFill>
            <w14:solidFill>
              <w14:schemeClr w14:val="tx1"/>
            </w14:solidFill>
          </w14:textFill>
        </w:rPr>
      </w:pPr>
      <w:r>
        <w:rPr>
          <w:rFonts w:hint="eastAsia" w:cs="Times New Roman"/>
          <w:b/>
          <w:bCs/>
          <w:color w:val="000000" w:themeColor="text1"/>
          <w:kern w:val="0"/>
          <w:szCs w:val="20"/>
          <w:highlight w:val="none"/>
          <w14:textFill>
            <w14:solidFill>
              <w14:schemeClr w14:val="tx1"/>
            </w14:solidFill>
          </w14:textFill>
        </w:rPr>
        <w:t>道路穿越：</w:t>
      </w:r>
    </w:p>
    <w:p>
      <w:pPr>
        <w:widowControl/>
        <w:adjustRightInd/>
        <w:snapToGrid/>
        <w:ind w:firstLine="480"/>
        <w:rPr>
          <w:rFonts w:cs="Times New Roman"/>
          <w:color w:val="000000" w:themeColor="text1"/>
          <w:szCs w:val="21"/>
          <w:highlight w:val="none"/>
          <w14:textFill>
            <w14:solidFill>
              <w14:schemeClr w14:val="tx1"/>
            </w14:solidFill>
          </w14:textFill>
        </w:rPr>
      </w:pPr>
      <w:r>
        <w:rPr>
          <w:rFonts w:cs="Times New Roman"/>
          <w:color w:val="000000" w:themeColor="text1"/>
          <w:szCs w:val="21"/>
          <w:highlight w:val="none"/>
          <w14:textFill>
            <w14:solidFill>
              <w14:schemeClr w14:val="tx1"/>
            </w14:solidFill>
          </w14:textFill>
        </w:rPr>
        <w:t>（1）</w:t>
      </w:r>
      <w:r>
        <w:rPr>
          <w:rFonts w:hint="eastAsia" w:cs="Times New Roman"/>
          <w:color w:val="000000" w:themeColor="text1"/>
          <w:szCs w:val="21"/>
          <w:highlight w:val="none"/>
          <w14:textFill>
            <w14:solidFill>
              <w14:schemeClr w14:val="tx1"/>
            </w14:solidFill>
          </w14:textFill>
        </w:rPr>
        <w:t>G65高速公路</w:t>
      </w:r>
      <w:r>
        <w:rPr>
          <w:rFonts w:cs="Times New Roman"/>
          <w:color w:val="000000" w:themeColor="text1"/>
          <w:szCs w:val="21"/>
          <w:highlight w:val="none"/>
          <w14:textFill>
            <w14:solidFill>
              <w14:schemeClr w14:val="tx1"/>
            </w14:solidFill>
          </w14:textFill>
        </w:rPr>
        <w:t>穿越</w:t>
      </w:r>
    </w:p>
    <w:p>
      <w:pPr>
        <w:widowControl/>
        <w:adjustRightInd/>
        <w:snapToGrid/>
        <w:ind w:firstLine="480"/>
        <w:rPr>
          <w:rFonts w:cs="Times New Roman"/>
          <w:color w:val="000000" w:themeColor="text1"/>
          <w:szCs w:val="21"/>
          <w:highlight w:val="none"/>
          <w14:textFill>
            <w14:solidFill>
              <w14:schemeClr w14:val="tx1"/>
            </w14:solidFill>
          </w14:textFill>
        </w:rPr>
      </w:pPr>
      <w:r>
        <w:rPr>
          <w:rFonts w:hint="eastAsia" w:cs="Times New Roman"/>
          <w:color w:val="000000" w:themeColor="text1"/>
          <w:szCs w:val="21"/>
          <w:highlight w:val="none"/>
          <w14:textFill>
            <w14:solidFill>
              <w14:schemeClr w14:val="tx1"/>
            </w14:solidFill>
          </w14:textFill>
        </w:rPr>
        <w:t>集输管线穿越G</w:t>
      </w:r>
      <w:r>
        <w:rPr>
          <w:rFonts w:cs="Times New Roman"/>
          <w:color w:val="000000" w:themeColor="text1"/>
          <w:szCs w:val="21"/>
          <w:highlight w:val="none"/>
          <w14:textFill>
            <w14:solidFill>
              <w14:schemeClr w14:val="tx1"/>
            </w14:solidFill>
          </w14:textFill>
        </w:rPr>
        <w:t>65</w:t>
      </w:r>
      <w:r>
        <w:rPr>
          <w:rFonts w:hint="eastAsia" w:cs="Times New Roman"/>
          <w:color w:val="000000" w:themeColor="text1"/>
          <w:szCs w:val="21"/>
          <w:highlight w:val="none"/>
          <w14:textFill>
            <w14:solidFill>
              <w14:schemeClr w14:val="tx1"/>
            </w14:solidFill>
          </w14:textFill>
        </w:rPr>
        <w:t>高速1次，穿越长度共</w:t>
      </w:r>
      <w:r>
        <w:rPr>
          <w:rFonts w:cs="Times New Roman"/>
          <w:color w:val="000000" w:themeColor="text1"/>
          <w:szCs w:val="21"/>
          <w:highlight w:val="none"/>
          <w14:textFill>
            <w14:solidFill>
              <w14:schemeClr w14:val="tx1"/>
            </w14:solidFill>
          </w14:textFill>
        </w:rPr>
        <w:t>240</w:t>
      </w:r>
      <w:r>
        <w:rPr>
          <w:rFonts w:hint="eastAsia" w:cs="Times New Roman"/>
          <w:color w:val="000000" w:themeColor="text1"/>
          <w:szCs w:val="21"/>
          <w:highlight w:val="none"/>
          <w14:textFill>
            <w14:solidFill>
              <w14:schemeClr w14:val="tx1"/>
            </w14:solidFill>
          </w14:textFill>
        </w:rPr>
        <w:t>m，采用定向钻方式穿越。G65穿越点东侧为北斗村，西侧为冉家沟村；由于东侧地势整体比西侧高，为缩小G65高速穿越点两侧地势的高差，便于穿越施工的顺利进行，将穿越轴线选择在乡村公路南侧约165m处，该处东侧地势低洼，可缩小与西侧地形的高差。</w:t>
      </w:r>
    </w:p>
    <w:p>
      <w:pPr>
        <w:pStyle w:val="60"/>
        <w:keepNex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p>
      <w:pPr>
        <w:pStyle w:val="76"/>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G65高速公路</w:t>
      </w:r>
      <w:r>
        <w:rPr>
          <w:rFonts w:hint="eastAsia"/>
          <w:color w:val="000000" w:themeColor="text1"/>
          <w:highlight w:val="none"/>
          <w14:textFill>
            <w14:solidFill>
              <w14:schemeClr w14:val="tx1"/>
            </w14:solidFill>
          </w14:textFill>
        </w:rPr>
        <w:t>定向钻</w:t>
      </w:r>
      <w:r>
        <w:rPr>
          <w:color w:val="000000" w:themeColor="text1"/>
          <w:highlight w:val="none"/>
          <w14:textFill>
            <w14:solidFill>
              <w14:schemeClr w14:val="tx1"/>
            </w14:solidFill>
          </w14:textFill>
        </w:rPr>
        <w:t>穿越</w:t>
      </w:r>
    </w:p>
    <w:p>
      <w:pPr>
        <w:widowControl/>
        <w:adjustRightInd/>
        <w:snapToGrid/>
        <w:ind w:firstLine="480"/>
        <w:rPr>
          <w:rFonts w:cs="Times New Roman"/>
          <w:color w:val="000000" w:themeColor="text1"/>
          <w:szCs w:val="21"/>
          <w:highlight w:val="none"/>
          <w14:textFill>
            <w14:solidFill>
              <w14:schemeClr w14:val="tx1"/>
            </w14:solidFill>
          </w14:textFill>
        </w:rPr>
      </w:pPr>
      <w:r>
        <w:rPr>
          <w:rFonts w:cs="Times New Roman"/>
          <w:color w:val="000000" w:themeColor="text1"/>
          <w:szCs w:val="21"/>
          <w:highlight w:val="none"/>
          <w14:textFill>
            <w14:solidFill>
              <w14:schemeClr w14:val="tx1"/>
            </w14:solidFill>
          </w14:textFill>
        </w:rPr>
        <w:t>（2）</w:t>
      </w:r>
      <w:r>
        <w:rPr>
          <w:rFonts w:hint="eastAsia" w:cs="Times New Roman"/>
          <w:color w:val="000000" w:themeColor="text1"/>
          <w:szCs w:val="21"/>
          <w:highlight w:val="none"/>
          <w14:textFill>
            <w14:solidFill>
              <w14:schemeClr w14:val="tx1"/>
            </w14:solidFill>
          </w14:textFill>
        </w:rPr>
        <w:t>G210国道</w:t>
      </w:r>
      <w:r>
        <w:rPr>
          <w:rFonts w:cs="Times New Roman"/>
          <w:color w:val="000000" w:themeColor="text1"/>
          <w:szCs w:val="21"/>
          <w:highlight w:val="none"/>
          <w14:textFill>
            <w14:solidFill>
              <w14:schemeClr w14:val="tx1"/>
            </w14:solidFill>
          </w14:textFill>
        </w:rPr>
        <w:t>穿越</w:t>
      </w:r>
    </w:p>
    <w:p>
      <w:pPr>
        <w:widowControl/>
        <w:adjustRightInd/>
        <w:snapToGrid/>
        <w:ind w:firstLine="480"/>
        <w:rPr>
          <w:rFonts w:cs="Times New Roman"/>
          <w:color w:val="000000" w:themeColor="text1"/>
          <w:szCs w:val="21"/>
          <w:highlight w:val="none"/>
          <w14:textFill>
            <w14:solidFill>
              <w14:schemeClr w14:val="tx1"/>
            </w14:solidFill>
          </w14:textFill>
        </w:rPr>
      </w:pPr>
      <w:r>
        <w:rPr>
          <w:rFonts w:hint="eastAsia" w:cs="Times New Roman"/>
          <w:color w:val="000000" w:themeColor="text1"/>
          <w:szCs w:val="21"/>
          <w:highlight w:val="none"/>
          <w14:textFill>
            <w14:solidFill>
              <w14:schemeClr w14:val="tx1"/>
            </w14:solidFill>
          </w14:textFill>
        </w:rPr>
        <w:t>集输管线穿越G</w:t>
      </w:r>
      <w:r>
        <w:rPr>
          <w:rFonts w:cs="Times New Roman"/>
          <w:color w:val="000000" w:themeColor="text1"/>
          <w:szCs w:val="21"/>
          <w:highlight w:val="none"/>
          <w14:textFill>
            <w14:solidFill>
              <w14:schemeClr w14:val="tx1"/>
            </w14:solidFill>
          </w14:textFill>
        </w:rPr>
        <w:t>210</w:t>
      </w:r>
      <w:r>
        <w:rPr>
          <w:rFonts w:hint="eastAsia" w:cs="Times New Roman"/>
          <w:color w:val="000000" w:themeColor="text1"/>
          <w:szCs w:val="21"/>
          <w:highlight w:val="none"/>
          <w14:textFill>
            <w14:solidFill>
              <w14:schemeClr w14:val="tx1"/>
            </w14:solidFill>
          </w14:textFill>
        </w:rPr>
        <w:t>国道1次，穿越长度共</w:t>
      </w:r>
      <w:r>
        <w:rPr>
          <w:rFonts w:cs="Times New Roman"/>
          <w:color w:val="000000" w:themeColor="text1"/>
          <w:szCs w:val="21"/>
          <w:highlight w:val="none"/>
          <w14:textFill>
            <w14:solidFill>
              <w14:schemeClr w14:val="tx1"/>
            </w14:solidFill>
          </w14:textFill>
        </w:rPr>
        <w:t>35</w:t>
      </w:r>
      <w:r>
        <w:rPr>
          <w:rFonts w:hint="eastAsia" w:cs="Times New Roman"/>
          <w:color w:val="000000" w:themeColor="text1"/>
          <w:szCs w:val="21"/>
          <w:highlight w:val="none"/>
          <w14:textFill>
            <w14:solidFill>
              <w14:schemeClr w14:val="tx1"/>
            </w14:solidFill>
          </w14:textFill>
        </w:rPr>
        <w:t>m，采用机械（泥水平衡）顶管方式穿越。管线穿越G210国道时加套管，套管选用DRCPⅢ1200×2000GB/T11836钢，执行标准《混凝土和钢筋混凝土排水管》GB/T11836，顶进用钢筋混凝土套管材料采用C50钢筋混凝土制作，套管内环形空间采用C1泡沫混凝土填满。套管长度超过G210国道路边不小于2m。</w:t>
      </w:r>
    </w:p>
    <w:p>
      <w:pPr>
        <w:pStyle w:val="6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p>
      <w:pPr>
        <w:pStyle w:val="76"/>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G210国道顶管穿越</w:t>
      </w:r>
    </w:p>
    <w:p>
      <w:pPr>
        <w:widowControl/>
        <w:adjustRightInd/>
        <w:snapToGrid/>
        <w:ind w:firstLine="480"/>
        <w:rPr>
          <w:rFonts w:cs="Times New Roman"/>
          <w:color w:val="000000" w:themeColor="text1"/>
          <w:szCs w:val="21"/>
          <w:highlight w:val="none"/>
          <w14:textFill>
            <w14:solidFill>
              <w14:schemeClr w14:val="tx1"/>
            </w14:solidFill>
          </w14:textFill>
        </w:rPr>
      </w:pPr>
      <w:r>
        <w:rPr>
          <w:rFonts w:cs="Times New Roman"/>
          <w:color w:val="000000" w:themeColor="text1"/>
          <w:szCs w:val="21"/>
          <w:highlight w:val="none"/>
          <w14:textFill>
            <w14:solidFill>
              <w14:schemeClr w14:val="tx1"/>
            </w14:solidFill>
          </w14:textFill>
        </w:rPr>
        <w:t>（3）</w:t>
      </w:r>
      <w:r>
        <w:rPr>
          <w:rFonts w:hint="eastAsia" w:cs="Times New Roman"/>
          <w:color w:val="000000" w:themeColor="text1"/>
          <w:szCs w:val="21"/>
          <w:highlight w:val="none"/>
          <w14:textFill>
            <w14:solidFill>
              <w14:schemeClr w14:val="tx1"/>
            </w14:solidFill>
          </w14:textFill>
        </w:rPr>
        <w:t>乡村公路</w:t>
      </w:r>
      <w:r>
        <w:rPr>
          <w:rFonts w:cs="Times New Roman"/>
          <w:color w:val="000000" w:themeColor="text1"/>
          <w:szCs w:val="21"/>
          <w:highlight w:val="none"/>
          <w14:textFill>
            <w14:solidFill>
              <w14:schemeClr w14:val="tx1"/>
            </w14:solidFill>
          </w14:textFill>
        </w:rPr>
        <w:t>穿越</w:t>
      </w:r>
    </w:p>
    <w:p>
      <w:pPr>
        <w:widowControl/>
        <w:adjustRightInd/>
        <w:snapToGrid/>
        <w:ind w:firstLine="480"/>
        <w:rPr>
          <w:rFonts w:cs="Times New Roman"/>
          <w:color w:val="000000" w:themeColor="text1"/>
          <w:szCs w:val="21"/>
          <w:highlight w:val="none"/>
          <w14:textFill>
            <w14:solidFill>
              <w14:schemeClr w14:val="tx1"/>
            </w14:solidFill>
          </w14:textFill>
        </w:rPr>
      </w:pPr>
      <w:r>
        <w:rPr>
          <w:rFonts w:hint="eastAsia" w:cs="Times New Roman"/>
          <w:color w:val="000000" w:themeColor="text1"/>
          <w:szCs w:val="21"/>
          <w:highlight w:val="none"/>
          <w14:textFill>
            <w14:solidFill>
              <w14:schemeClr w14:val="tx1"/>
            </w14:solidFill>
          </w14:textFill>
        </w:rPr>
        <w:t>集输管线穿越乡村公路</w:t>
      </w:r>
      <w:r>
        <w:rPr>
          <w:rFonts w:cs="Times New Roman"/>
          <w:color w:val="000000" w:themeColor="text1"/>
          <w:szCs w:val="21"/>
          <w:highlight w:val="none"/>
          <w14:textFill>
            <w14:solidFill>
              <w14:schemeClr w14:val="tx1"/>
            </w14:solidFill>
          </w14:textFill>
        </w:rPr>
        <w:t>23</w:t>
      </w:r>
      <w:r>
        <w:rPr>
          <w:rFonts w:hint="eastAsia" w:cs="Times New Roman"/>
          <w:color w:val="000000" w:themeColor="text1"/>
          <w:szCs w:val="21"/>
          <w:highlight w:val="none"/>
          <w14:textFill>
            <w14:solidFill>
              <w14:schemeClr w14:val="tx1"/>
            </w14:solidFill>
          </w14:textFill>
        </w:rPr>
        <w:t>次，穿越长度共</w:t>
      </w:r>
      <w:r>
        <w:rPr>
          <w:rFonts w:cs="Times New Roman"/>
          <w:color w:val="000000" w:themeColor="text1"/>
          <w:szCs w:val="21"/>
          <w:highlight w:val="none"/>
          <w14:textFill>
            <w14:solidFill>
              <w14:schemeClr w14:val="tx1"/>
            </w14:solidFill>
          </w14:textFill>
        </w:rPr>
        <w:t>234</w:t>
      </w:r>
      <w:r>
        <w:rPr>
          <w:rFonts w:hint="eastAsia" w:cs="Times New Roman"/>
          <w:color w:val="000000" w:themeColor="text1"/>
          <w:szCs w:val="21"/>
          <w:highlight w:val="none"/>
          <w14:textFill>
            <w14:solidFill>
              <w14:schemeClr w14:val="tx1"/>
            </w14:solidFill>
          </w14:textFill>
        </w:rPr>
        <w:t>m，采用开挖方式穿越。开挖穿越公路需加套管，选用</w:t>
      </w:r>
      <w:r>
        <w:rPr>
          <w:rFonts w:cs="Times New Roman"/>
          <w:color w:val="000000" w:themeColor="text1"/>
          <w:szCs w:val="21"/>
          <w:highlight w:val="none"/>
          <w14:textFill>
            <w14:solidFill>
              <w14:schemeClr w14:val="tx1"/>
            </w14:solidFill>
          </w14:textFill>
        </w:rPr>
        <w:t>DRCPⅢ1000×2000GB/T11836</w:t>
      </w:r>
      <w:r>
        <w:rPr>
          <w:rFonts w:hint="eastAsia" w:cs="Times New Roman"/>
          <w:color w:val="000000" w:themeColor="text1"/>
          <w:szCs w:val="21"/>
          <w:highlight w:val="none"/>
          <w14:textFill>
            <w14:solidFill>
              <w14:schemeClr w14:val="tx1"/>
            </w14:solidFill>
          </w14:textFill>
        </w:rPr>
        <w:t>钢筋混凝土套管，执行标准《混凝土和钢筋混凝土排水管》GB/T11836，套管材料采用C50钢筋混凝土制作，套管内环形空间采用C1泡沫混凝土填满。</w:t>
      </w:r>
    </w:p>
    <w:p>
      <w:pPr>
        <w:widowControl/>
        <w:adjustRightInd/>
        <w:snapToGrid/>
        <w:ind w:firstLine="482"/>
        <w:rPr>
          <w:rFonts w:cs="Times New Roman"/>
          <w:b/>
          <w:bCs/>
          <w:color w:val="000000" w:themeColor="text1"/>
          <w:szCs w:val="21"/>
          <w:highlight w:val="none"/>
          <w14:textFill>
            <w14:solidFill>
              <w14:schemeClr w14:val="tx1"/>
            </w14:solidFill>
          </w14:textFill>
        </w:rPr>
      </w:pPr>
      <w:r>
        <w:rPr>
          <w:rFonts w:hint="eastAsia" w:cs="Times New Roman"/>
          <w:b/>
          <w:bCs/>
          <w:color w:val="000000" w:themeColor="text1"/>
          <w:szCs w:val="21"/>
          <w:highlight w:val="none"/>
          <w14:textFill>
            <w14:solidFill>
              <w14:schemeClr w14:val="tx1"/>
            </w14:solidFill>
          </w14:textFill>
        </w:rPr>
        <w:t>其他穿越：</w:t>
      </w:r>
    </w:p>
    <w:p>
      <w:pPr>
        <w:widowControl/>
        <w:adjustRightInd/>
        <w:snapToGrid/>
        <w:ind w:firstLine="480"/>
        <w:rPr>
          <w:rFonts w:cs="Times New Roman"/>
          <w:color w:val="000000" w:themeColor="text1"/>
          <w:szCs w:val="21"/>
          <w:highlight w:val="none"/>
          <w14:textFill>
            <w14:solidFill>
              <w14:schemeClr w14:val="tx1"/>
            </w14:solidFill>
          </w14:textFill>
        </w:rPr>
      </w:pPr>
      <w:r>
        <w:rPr>
          <w:rFonts w:hint="eastAsia" w:cs="Times New Roman"/>
          <w:color w:val="000000" w:themeColor="text1"/>
          <w:szCs w:val="21"/>
          <w:highlight w:val="none"/>
          <w14:textFill>
            <w14:solidFill>
              <w14:schemeClr w14:val="tx1"/>
            </w14:solidFill>
          </w14:textFill>
        </w:rPr>
        <w:t>集输</w:t>
      </w:r>
      <w:r>
        <w:rPr>
          <w:rFonts w:cs="Times New Roman"/>
          <w:color w:val="000000" w:themeColor="text1"/>
          <w:szCs w:val="21"/>
          <w:highlight w:val="none"/>
          <w14:textFill>
            <w14:solidFill>
              <w14:schemeClr w14:val="tx1"/>
            </w14:solidFill>
          </w14:textFill>
        </w:rPr>
        <w:t>管线穿越已建管线6次</w:t>
      </w:r>
      <w:r>
        <w:rPr>
          <w:rFonts w:hint="eastAsia" w:cs="Times New Roman"/>
          <w:color w:val="000000" w:themeColor="text1"/>
          <w:szCs w:val="21"/>
          <w:highlight w:val="none"/>
          <w14:textFill>
            <w14:solidFill>
              <w14:schemeClr w14:val="tx1"/>
            </w14:solidFill>
          </w14:textFill>
        </w:rPr>
        <w:t>，</w:t>
      </w:r>
      <w:r>
        <w:rPr>
          <w:rFonts w:cs="Times New Roman"/>
          <w:color w:val="000000" w:themeColor="text1"/>
          <w:szCs w:val="21"/>
          <w:highlight w:val="none"/>
          <w14:textFill>
            <w14:solidFill>
              <w14:schemeClr w14:val="tx1"/>
            </w14:solidFill>
          </w14:textFill>
        </w:rPr>
        <w:t>通信光缆4次。</w:t>
      </w:r>
    </w:p>
    <w:p>
      <w:pPr>
        <w:widowControl/>
        <w:adjustRightInd/>
        <w:snapToGrid/>
        <w:ind w:firstLine="480"/>
        <w:rPr>
          <w:rFonts w:cs="Times New Roman"/>
          <w:b/>
          <w:bCs/>
          <w:color w:val="000000" w:themeColor="text1"/>
          <w:szCs w:val="21"/>
          <w:highlight w:val="none"/>
          <w14:textFill>
            <w14:solidFill>
              <w14:schemeClr w14:val="tx1"/>
            </w14:solidFill>
          </w14:textFill>
        </w:rPr>
      </w:pPr>
      <w:r>
        <w:rPr>
          <w:rFonts w:cs="Times New Roman"/>
          <w:color w:val="000000" w:themeColor="text1"/>
          <w:szCs w:val="21"/>
          <w:highlight w:val="none"/>
          <w14:textFill>
            <w14:solidFill>
              <w14:schemeClr w14:val="tx1"/>
            </w14:solidFill>
          </w14:textFill>
        </w:rPr>
        <w:t>管道与原有埋地输气管、电缆、水管等交叉时，应从原有管道下方通过。</w:t>
      </w:r>
      <w:r>
        <w:rPr>
          <w:rFonts w:hint="eastAsia" w:cs="Times New Roman"/>
          <w:color w:val="000000" w:themeColor="text1"/>
          <w:szCs w:val="21"/>
          <w:highlight w:val="none"/>
          <w14:textFill>
            <w14:solidFill>
              <w14:schemeClr w14:val="tx1"/>
            </w14:solidFill>
          </w14:textFill>
        </w:rPr>
        <w:t>对于与埋地管道交叉穿越， 垂直净距不小于0.3m；对于埋地光（电）缆穿越，垂直净距不小于</w:t>
      </w:r>
      <w:r>
        <w:rPr>
          <w:rFonts w:cs="Times New Roman"/>
          <w:color w:val="000000" w:themeColor="text1"/>
          <w:szCs w:val="21"/>
          <w:highlight w:val="none"/>
          <w14:textFill>
            <w14:solidFill>
              <w14:schemeClr w14:val="tx1"/>
            </w14:solidFill>
          </w14:textFill>
        </w:rPr>
        <w:t>0</w:t>
      </w:r>
      <w:r>
        <w:rPr>
          <w:rFonts w:hint="eastAsia" w:cs="Times New Roman"/>
          <w:color w:val="000000" w:themeColor="text1"/>
          <w:szCs w:val="21"/>
          <w:highlight w:val="none"/>
          <w14:textFill>
            <w14:solidFill>
              <w14:schemeClr w14:val="tx1"/>
            </w14:solidFill>
          </w14:textFill>
        </w:rPr>
        <w:t>.5m。施工时还需对穿越的电（光）缆和管道采取妥善的保护措施</w:t>
      </w:r>
      <w:r>
        <w:rPr>
          <w:rFonts w:cs="Times New Roman"/>
          <w:color w:val="000000" w:themeColor="text1"/>
          <w:szCs w:val="21"/>
          <w:highlight w:val="none"/>
          <w14:textFill>
            <w14:solidFill>
              <w14:schemeClr w14:val="tx1"/>
            </w14:solidFill>
          </w14:textFill>
        </w:rPr>
        <w:t>。</w:t>
      </w:r>
    </w:p>
    <w:p>
      <w:pPr>
        <w:widowControl/>
        <w:adjustRightInd/>
        <w:snapToGrid/>
        <w:ind w:firstLine="482"/>
        <w:rPr>
          <w:rFonts w:cs="Times New Roman"/>
          <w:b/>
          <w:bCs/>
          <w:color w:val="000000" w:themeColor="text1"/>
          <w:szCs w:val="21"/>
          <w:highlight w:val="none"/>
          <w14:textFill>
            <w14:solidFill>
              <w14:schemeClr w14:val="tx1"/>
            </w14:solidFill>
          </w14:textFill>
        </w:rPr>
      </w:pPr>
      <w:r>
        <w:rPr>
          <w:rFonts w:cs="Times New Roman"/>
          <w:b/>
          <w:bCs/>
          <w:color w:val="000000" w:themeColor="text1"/>
          <w:szCs w:val="21"/>
          <w:highlight w:val="none"/>
          <w14:textFill>
            <w14:solidFill>
              <w14:schemeClr w14:val="tx1"/>
            </w14:solidFill>
          </w14:textFill>
        </w:rPr>
        <w:t>5</w:t>
      </w:r>
      <w:r>
        <w:rPr>
          <w:rFonts w:hint="eastAsia" w:cs="Times New Roman"/>
          <w:b/>
          <w:bCs/>
          <w:color w:val="000000" w:themeColor="text1"/>
          <w:szCs w:val="21"/>
          <w:highlight w:val="none"/>
          <w14:textFill>
            <w14:solidFill>
              <w14:schemeClr w14:val="tx1"/>
            </w14:solidFill>
          </w14:textFill>
        </w:rPr>
        <w:t>、集输管道主要工程量</w:t>
      </w:r>
    </w:p>
    <w:p>
      <w:pPr>
        <w:widowControl/>
        <w:adjustRightInd/>
        <w:snapToGrid/>
        <w:ind w:firstLine="480"/>
        <w:rPr>
          <w:rFonts w:cs="Times New Roman"/>
          <w:b/>
          <w:bCs/>
          <w:color w:val="000000" w:themeColor="text1"/>
          <w:szCs w:val="21"/>
          <w:highlight w:val="none"/>
          <w14:textFill>
            <w14:solidFill>
              <w14:schemeClr w14:val="tx1"/>
            </w14:solidFill>
          </w14:textFill>
        </w:rPr>
      </w:pPr>
      <w:r>
        <w:rPr>
          <w:rFonts w:hint="eastAsia" w:cs="Times New Roman"/>
          <w:color w:val="000000" w:themeColor="text1"/>
          <w:szCs w:val="21"/>
          <w:highlight w:val="none"/>
          <w14:textFill>
            <w14:solidFill>
              <w14:schemeClr w14:val="tx1"/>
            </w14:solidFill>
          </w14:textFill>
        </w:rPr>
        <w:t>本项目集输管道主要工程量见下表。</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集输管道主要工程量</w:t>
      </w:r>
    </w:p>
    <w:tbl>
      <w:tblPr>
        <w:tblStyle w:val="4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0"/>
        <w:gridCol w:w="3743"/>
        <w:gridCol w:w="912"/>
        <w:gridCol w:w="1217"/>
        <w:gridCol w:w="20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tblHeader/>
          <w:jc w:val="center"/>
        </w:trPr>
        <w:tc>
          <w:tcPr>
            <w:tcW w:w="352" w:type="pct"/>
            <w:vAlign w:val="center"/>
          </w:tcPr>
          <w:p>
            <w:pPr>
              <w:widowControl/>
              <w:adjustRightInd/>
              <w:snapToGrid/>
              <w:spacing w:line="240" w:lineRule="auto"/>
              <w:ind w:firstLine="0" w:firstLineChars="0"/>
              <w:jc w:val="center"/>
              <w:rPr>
                <w:rFonts w:cs="Times New Roman"/>
                <w:b/>
                <w:bCs/>
                <w:color w:val="000000" w:themeColor="text1"/>
                <w:kern w:val="0"/>
                <w:sz w:val="21"/>
                <w:szCs w:val="20"/>
                <w:highlight w:val="none"/>
                <w14:textFill>
                  <w14:solidFill>
                    <w14:schemeClr w14:val="tx1"/>
                  </w14:solidFill>
                </w14:textFill>
              </w:rPr>
            </w:pPr>
            <w:r>
              <w:rPr>
                <w:rFonts w:cs="Times New Roman"/>
                <w:b/>
                <w:bCs/>
                <w:color w:val="000000" w:themeColor="text1"/>
                <w:kern w:val="0"/>
                <w:sz w:val="21"/>
                <w:szCs w:val="20"/>
                <w:highlight w:val="none"/>
                <w14:textFill>
                  <w14:solidFill>
                    <w14:schemeClr w14:val="tx1"/>
                  </w14:solidFill>
                </w14:textFill>
              </w:rPr>
              <w:t>序号</w:t>
            </w:r>
          </w:p>
        </w:tc>
        <w:tc>
          <w:tcPr>
            <w:tcW w:w="2196" w:type="pct"/>
            <w:vAlign w:val="center"/>
          </w:tcPr>
          <w:p>
            <w:pPr>
              <w:widowControl/>
              <w:adjustRightInd/>
              <w:snapToGrid/>
              <w:spacing w:line="240" w:lineRule="auto"/>
              <w:ind w:firstLine="0" w:firstLineChars="0"/>
              <w:jc w:val="center"/>
              <w:rPr>
                <w:rFonts w:cs="Times New Roman"/>
                <w:b/>
                <w:bCs/>
                <w:color w:val="000000" w:themeColor="text1"/>
                <w:kern w:val="0"/>
                <w:sz w:val="21"/>
                <w:szCs w:val="20"/>
                <w:highlight w:val="none"/>
                <w14:textFill>
                  <w14:solidFill>
                    <w14:schemeClr w14:val="tx1"/>
                  </w14:solidFill>
                </w14:textFill>
              </w:rPr>
            </w:pPr>
            <w:r>
              <w:rPr>
                <w:rFonts w:cs="Times New Roman"/>
                <w:b/>
                <w:bCs/>
                <w:color w:val="000000" w:themeColor="text1"/>
                <w:kern w:val="0"/>
                <w:sz w:val="21"/>
                <w:szCs w:val="20"/>
                <w:highlight w:val="none"/>
                <w14:textFill>
                  <w14:solidFill>
                    <w14:schemeClr w14:val="tx1"/>
                  </w14:solidFill>
                </w14:textFill>
              </w:rPr>
              <w:t>项目名称</w:t>
            </w:r>
          </w:p>
        </w:tc>
        <w:tc>
          <w:tcPr>
            <w:tcW w:w="535" w:type="pct"/>
            <w:vAlign w:val="center"/>
          </w:tcPr>
          <w:p>
            <w:pPr>
              <w:widowControl/>
              <w:adjustRightInd/>
              <w:snapToGrid/>
              <w:spacing w:line="240" w:lineRule="auto"/>
              <w:ind w:firstLine="0" w:firstLineChars="0"/>
              <w:jc w:val="center"/>
              <w:rPr>
                <w:rFonts w:cs="Times New Roman"/>
                <w:b/>
                <w:bCs/>
                <w:color w:val="000000" w:themeColor="text1"/>
                <w:kern w:val="0"/>
                <w:sz w:val="21"/>
                <w:szCs w:val="20"/>
                <w:highlight w:val="none"/>
                <w14:textFill>
                  <w14:solidFill>
                    <w14:schemeClr w14:val="tx1"/>
                  </w14:solidFill>
                </w14:textFill>
              </w:rPr>
            </w:pPr>
            <w:r>
              <w:rPr>
                <w:rFonts w:cs="Times New Roman"/>
                <w:b/>
                <w:bCs/>
                <w:color w:val="000000" w:themeColor="text1"/>
                <w:kern w:val="0"/>
                <w:sz w:val="21"/>
                <w:szCs w:val="20"/>
                <w:highlight w:val="none"/>
                <w14:textFill>
                  <w14:solidFill>
                    <w14:schemeClr w14:val="tx1"/>
                  </w14:solidFill>
                </w14:textFill>
              </w:rPr>
              <w:t>单位</w:t>
            </w:r>
          </w:p>
        </w:tc>
        <w:tc>
          <w:tcPr>
            <w:tcW w:w="714" w:type="pct"/>
            <w:vAlign w:val="center"/>
          </w:tcPr>
          <w:p>
            <w:pPr>
              <w:widowControl/>
              <w:adjustRightInd/>
              <w:snapToGrid/>
              <w:spacing w:line="240" w:lineRule="auto"/>
              <w:ind w:firstLine="0" w:firstLineChars="0"/>
              <w:jc w:val="center"/>
              <w:rPr>
                <w:rFonts w:cs="Times New Roman"/>
                <w:b/>
                <w:bCs/>
                <w:color w:val="000000" w:themeColor="text1"/>
                <w:kern w:val="0"/>
                <w:sz w:val="21"/>
                <w:szCs w:val="20"/>
                <w:highlight w:val="none"/>
                <w14:textFill>
                  <w14:solidFill>
                    <w14:schemeClr w14:val="tx1"/>
                  </w14:solidFill>
                </w14:textFill>
              </w:rPr>
            </w:pPr>
            <w:r>
              <w:rPr>
                <w:rFonts w:cs="Times New Roman"/>
                <w:b/>
                <w:bCs/>
                <w:color w:val="000000" w:themeColor="text1"/>
                <w:kern w:val="0"/>
                <w:sz w:val="21"/>
                <w:szCs w:val="20"/>
                <w:highlight w:val="none"/>
                <w14:textFill>
                  <w14:solidFill>
                    <w14:schemeClr w14:val="tx1"/>
                  </w14:solidFill>
                </w14:textFill>
              </w:rPr>
              <w:t>数量</w:t>
            </w:r>
          </w:p>
        </w:tc>
        <w:tc>
          <w:tcPr>
            <w:tcW w:w="1203" w:type="pct"/>
            <w:vAlign w:val="center"/>
          </w:tcPr>
          <w:p>
            <w:pPr>
              <w:widowControl/>
              <w:adjustRightInd/>
              <w:snapToGrid/>
              <w:spacing w:line="240" w:lineRule="auto"/>
              <w:ind w:firstLine="0" w:firstLineChars="0"/>
              <w:jc w:val="center"/>
              <w:rPr>
                <w:rFonts w:cs="Times New Roman"/>
                <w:b/>
                <w:bCs/>
                <w:color w:val="000000" w:themeColor="text1"/>
                <w:kern w:val="0"/>
                <w:sz w:val="21"/>
                <w:szCs w:val="20"/>
                <w:highlight w:val="none"/>
                <w14:textFill>
                  <w14:solidFill>
                    <w14:schemeClr w14:val="tx1"/>
                  </w14:solidFill>
                </w14:textFill>
              </w:rPr>
            </w:pPr>
            <w:r>
              <w:rPr>
                <w:rFonts w:cs="Times New Roman"/>
                <w:b/>
                <w:bCs/>
                <w:color w:val="000000" w:themeColor="text1"/>
                <w:kern w:val="0"/>
                <w:sz w:val="21"/>
                <w:szCs w:val="20"/>
                <w:highlight w:val="none"/>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52"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1</w:t>
            </w:r>
          </w:p>
        </w:tc>
        <w:tc>
          <w:tcPr>
            <w:tcW w:w="2196" w:type="pct"/>
            <w:vAlign w:val="center"/>
          </w:tcPr>
          <w:p>
            <w:pPr>
              <w:widowControl/>
              <w:adjustRightInd/>
              <w:snapToGrid/>
              <w:spacing w:line="240" w:lineRule="auto"/>
              <w:ind w:firstLine="480" w:firstLineChars="200"/>
              <w:jc w:val="center"/>
              <w:rPr>
                <w:rFonts w:cs="Times New Roman"/>
                <w:color w:val="000000" w:themeColor="text1"/>
                <w:kern w:val="0"/>
                <w:sz w:val="21"/>
                <w:szCs w:val="20"/>
                <w:highlight w:val="none"/>
                <w14:textFill>
                  <w14:solidFill>
                    <w14:schemeClr w14:val="tx1"/>
                  </w14:solidFill>
                </w14:textFill>
              </w:rPr>
            </w:pPr>
            <w:r>
              <w:rPr>
                <w:rFonts w:hint="eastAsia"/>
              </w:rPr>
              <w:t>**</w:t>
            </w:r>
          </w:p>
        </w:tc>
        <w:tc>
          <w:tcPr>
            <w:tcW w:w="53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cs="Times New Roman"/>
                <w:color w:val="000000" w:themeColor="text1"/>
                <w:kern w:val="0"/>
                <w:sz w:val="21"/>
                <w:szCs w:val="20"/>
                <w:highlight w:val="none"/>
                <w14:textFill>
                  <w14:solidFill>
                    <w14:schemeClr w14:val="tx1"/>
                  </w14:solidFill>
                </w14:textFill>
              </w:rPr>
              <w:t>km</w:t>
            </w:r>
          </w:p>
        </w:tc>
        <w:tc>
          <w:tcPr>
            <w:tcW w:w="71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1</w:t>
            </w:r>
            <w:r>
              <w:rPr>
                <w:rFonts w:cs="Times New Roman"/>
                <w:color w:val="000000" w:themeColor="text1"/>
                <w:kern w:val="0"/>
                <w:sz w:val="21"/>
                <w:szCs w:val="20"/>
                <w:highlight w:val="none"/>
                <w14:textFill>
                  <w14:solidFill>
                    <w14:schemeClr w14:val="tx1"/>
                  </w14:solidFill>
                </w14:textFill>
              </w:rPr>
              <w:t>1.8</w:t>
            </w:r>
          </w:p>
        </w:tc>
        <w:tc>
          <w:tcPr>
            <w:tcW w:w="12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52"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1</w:t>
            </w:r>
            <w:r>
              <w:rPr>
                <w:rFonts w:cs="Times New Roman"/>
                <w:color w:val="000000" w:themeColor="text1"/>
                <w:kern w:val="0"/>
                <w:sz w:val="21"/>
                <w:szCs w:val="20"/>
                <w:highlight w:val="none"/>
                <w14:textFill>
                  <w14:solidFill>
                    <w14:schemeClr w14:val="tx1"/>
                  </w14:solidFill>
                </w14:textFill>
              </w:rPr>
              <w:t>.1</w:t>
            </w:r>
          </w:p>
        </w:tc>
        <w:tc>
          <w:tcPr>
            <w:tcW w:w="2196" w:type="pct"/>
            <w:vAlign w:val="center"/>
          </w:tcPr>
          <w:p>
            <w:pPr>
              <w:widowControl/>
              <w:adjustRightInd/>
              <w:snapToGrid/>
              <w:spacing w:line="240" w:lineRule="auto"/>
              <w:ind w:firstLine="480" w:firstLineChars="200"/>
              <w:jc w:val="center"/>
              <w:rPr>
                <w:rFonts w:cs="Times New Roman"/>
                <w:color w:val="000000" w:themeColor="text1"/>
                <w:kern w:val="0"/>
                <w:sz w:val="21"/>
                <w:szCs w:val="20"/>
                <w:highlight w:val="none"/>
                <w14:textFill>
                  <w14:solidFill>
                    <w14:schemeClr w14:val="tx1"/>
                  </w14:solidFill>
                </w14:textFill>
              </w:rPr>
            </w:pPr>
            <w:r>
              <w:rPr>
                <w:rFonts w:hint="eastAsia"/>
              </w:rPr>
              <w:t>**</w:t>
            </w:r>
          </w:p>
        </w:tc>
        <w:tc>
          <w:tcPr>
            <w:tcW w:w="53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cs="Times New Roman"/>
                <w:color w:val="000000" w:themeColor="text1"/>
                <w:kern w:val="0"/>
                <w:sz w:val="21"/>
                <w:szCs w:val="20"/>
                <w:highlight w:val="none"/>
                <w14:textFill>
                  <w14:solidFill>
                    <w14:schemeClr w14:val="tx1"/>
                  </w14:solidFill>
                </w14:textFill>
              </w:rPr>
              <w:t>km</w:t>
            </w:r>
          </w:p>
        </w:tc>
        <w:tc>
          <w:tcPr>
            <w:tcW w:w="71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6</w:t>
            </w:r>
            <w:r>
              <w:rPr>
                <w:rFonts w:cs="Times New Roman"/>
                <w:color w:val="000000" w:themeColor="text1"/>
                <w:kern w:val="0"/>
                <w:sz w:val="21"/>
                <w:szCs w:val="20"/>
                <w:highlight w:val="none"/>
                <w14:textFill>
                  <w14:solidFill>
                    <w14:schemeClr w14:val="tx1"/>
                  </w14:solidFill>
                </w14:textFill>
              </w:rPr>
              <w:t>.04</w:t>
            </w:r>
          </w:p>
        </w:tc>
        <w:tc>
          <w:tcPr>
            <w:tcW w:w="12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52"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cs="Times New Roman"/>
                <w:color w:val="000000" w:themeColor="text1"/>
                <w:kern w:val="0"/>
                <w:sz w:val="21"/>
                <w:szCs w:val="20"/>
                <w:highlight w:val="none"/>
                <w14:textFill>
                  <w14:solidFill>
                    <w14:schemeClr w14:val="tx1"/>
                  </w14:solidFill>
                </w14:textFill>
              </w:rPr>
              <w:t>1.2</w:t>
            </w:r>
          </w:p>
        </w:tc>
        <w:tc>
          <w:tcPr>
            <w:tcW w:w="2196" w:type="pct"/>
            <w:vAlign w:val="center"/>
          </w:tcPr>
          <w:p>
            <w:pPr>
              <w:widowControl/>
              <w:adjustRightInd/>
              <w:snapToGrid/>
              <w:spacing w:line="240" w:lineRule="auto"/>
              <w:ind w:firstLine="480" w:firstLineChars="200"/>
              <w:jc w:val="center"/>
              <w:rPr>
                <w:rFonts w:cs="Times New Roman"/>
                <w:color w:val="000000" w:themeColor="text1"/>
                <w:kern w:val="0"/>
                <w:sz w:val="21"/>
                <w:szCs w:val="20"/>
                <w:highlight w:val="none"/>
                <w14:textFill>
                  <w14:solidFill>
                    <w14:schemeClr w14:val="tx1"/>
                  </w14:solidFill>
                </w14:textFill>
              </w:rPr>
            </w:pPr>
            <w:r>
              <w:rPr>
                <w:rFonts w:hint="eastAsia"/>
              </w:rPr>
              <w:t>**</w:t>
            </w:r>
          </w:p>
        </w:tc>
        <w:tc>
          <w:tcPr>
            <w:tcW w:w="53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cs="Times New Roman"/>
                <w:color w:val="000000" w:themeColor="text1"/>
                <w:kern w:val="0"/>
                <w:sz w:val="21"/>
                <w:szCs w:val="20"/>
                <w:highlight w:val="none"/>
                <w14:textFill>
                  <w14:solidFill>
                    <w14:schemeClr w14:val="tx1"/>
                  </w14:solidFill>
                </w14:textFill>
              </w:rPr>
              <w:t>km</w:t>
            </w:r>
          </w:p>
        </w:tc>
        <w:tc>
          <w:tcPr>
            <w:tcW w:w="71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cs="Times New Roman"/>
                <w:color w:val="000000" w:themeColor="text1"/>
                <w:kern w:val="0"/>
                <w:sz w:val="21"/>
                <w:szCs w:val="20"/>
                <w:highlight w:val="none"/>
                <w14:textFill>
                  <w14:solidFill>
                    <w14:schemeClr w14:val="tx1"/>
                  </w14:solidFill>
                </w14:textFill>
              </w:rPr>
              <w:t>1.117</w:t>
            </w:r>
          </w:p>
        </w:tc>
        <w:tc>
          <w:tcPr>
            <w:tcW w:w="12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52"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cs="Times New Roman"/>
                <w:color w:val="000000" w:themeColor="text1"/>
                <w:kern w:val="0"/>
                <w:sz w:val="21"/>
                <w:szCs w:val="20"/>
                <w:highlight w:val="none"/>
                <w14:textFill>
                  <w14:solidFill>
                    <w14:schemeClr w14:val="tx1"/>
                  </w14:solidFill>
                </w14:textFill>
              </w:rPr>
              <w:t>2</w:t>
            </w:r>
          </w:p>
        </w:tc>
        <w:tc>
          <w:tcPr>
            <w:tcW w:w="2196" w:type="pct"/>
            <w:vAlign w:val="center"/>
          </w:tcPr>
          <w:p>
            <w:pPr>
              <w:widowControl/>
              <w:adjustRightInd/>
              <w:snapToGrid/>
              <w:spacing w:line="240" w:lineRule="auto"/>
              <w:ind w:firstLine="480" w:firstLineChars="200"/>
              <w:jc w:val="center"/>
              <w:rPr>
                <w:rFonts w:cs="Times New Roman"/>
                <w:color w:val="000000" w:themeColor="text1"/>
                <w:kern w:val="0"/>
                <w:sz w:val="21"/>
                <w:szCs w:val="20"/>
                <w:highlight w:val="none"/>
                <w14:textFill>
                  <w14:solidFill>
                    <w14:schemeClr w14:val="tx1"/>
                  </w14:solidFill>
                </w14:textFill>
              </w:rPr>
            </w:pPr>
            <w:r>
              <w:rPr>
                <w:rFonts w:hint="eastAsia"/>
              </w:rPr>
              <w:t>**</w:t>
            </w:r>
          </w:p>
        </w:tc>
        <w:tc>
          <w:tcPr>
            <w:tcW w:w="53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cs="Times New Roman"/>
                <w:color w:val="000000" w:themeColor="text1"/>
                <w:kern w:val="0"/>
                <w:sz w:val="21"/>
                <w:szCs w:val="20"/>
                <w:highlight w:val="none"/>
                <w14:textFill>
                  <w14:solidFill>
                    <w14:schemeClr w14:val="tx1"/>
                  </w14:solidFill>
                </w14:textFill>
              </w:rPr>
              <w:t>km</w:t>
            </w:r>
          </w:p>
        </w:tc>
        <w:tc>
          <w:tcPr>
            <w:tcW w:w="71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cs="Times New Roman"/>
                <w:color w:val="000000" w:themeColor="text1"/>
                <w:kern w:val="0"/>
                <w:sz w:val="21"/>
                <w:szCs w:val="20"/>
                <w:highlight w:val="none"/>
                <w14:textFill>
                  <w14:solidFill>
                    <w14:schemeClr w14:val="tx1"/>
                  </w14:solidFill>
                </w14:textFill>
              </w:rPr>
              <w:t>0.7</w:t>
            </w:r>
          </w:p>
        </w:tc>
        <w:tc>
          <w:tcPr>
            <w:tcW w:w="12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52"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cs="Times New Roman"/>
                <w:color w:val="000000" w:themeColor="text1"/>
                <w:kern w:val="0"/>
                <w:sz w:val="21"/>
                <w:szCs w:val="20"/>
                <w:highlight w:val="none"/>
                <w14:textFill>
                  <w14:solidFill>
                    <w14:schemeClr w14:val="tx1"/>
                  </w14:solidFill>
                </w14:textFill>
              </w:rPr>
              <w:t>2.1</w:t>
            </w:r>
          </w:p>
        </w:tc>
        <w:tc>
          <w:tcPr>
            <w:tcW w:w="2196" w:type="pct"/>
            <w:vAlign w:val="center"/>
          </w:tcPr>
          <w:p>
            <w:pPr>
              <w:widowControl/>
              <w:adjustRightInd/>
              <w:snapToGrid/>
              <w:spacing w:line="240" w:lineRule="auto"/>
              <w:ind w:firstLine="480" w:firstLineChars="200"/>
              <w:jc w:val="center"/>
              <w:rPr>
                <w:rFonts w:cs="Times New Roman"/>
                <w:color w:val="000000" w:themeColor="text1"/>
                <w:kern w:val="0"/>
                <w:sz w:val="21"/>
                <w:szCs w:val="20"/>
                <w:highlight w:val="none"/>
                <w14:textFill>
                  <w14:solidFill>
                    <w14:schemeClr w14:val="tx1"/>
                  </w14:solidFill>
                </w14:textFill>
              </w:rPr>
            </w:pPr>
            <w:r>
              <w:rPr>
                <w:rFonts w:hint="eastAsia"/>
              </w:rPr>
              <w:t>**</w:t>
            </w:r>
          </w:p>
        </w:tc>
        <w:tc>
          <w:tcPr>
            <w:tcW w:w="53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cs="Times New Roman"/>
                <w:color w:val="000000" w:themeColor="text1"/>
                <w:kern w:val="0"/>
                <w:sz w:val="21"/>
                <w:szCs w:val="20"/>
                <w:highlight w:val="none"/>
                <w14:textFill>
                  <w14:solidFill>
                    <w14:schemeClr w14:val="tx1"/>
                  </w14:solidFill>
                </w14:textFill>
              </w:rPr>
              <w:t>km</w:t>
            </w:r>
          </w:p>
        </w:tc>
        <w:tc>
          <w:tcPr>
            <w:tcW w:w="71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cs="Times New Roman"/>
                <w:color w:val="000000" w:themeColor="text1"/>
                <w:kern w:val="0"/>
                <w:sz w:val="21"/>
                <w:szCs w:val="20"/>
                <w:highlight w:val="none"/>
                <w14:textFill>
                  <w14:solidFill>
                    <w14:schemeClr w14:val="tx1"/>
                  </w14:solidFill>
                </w14:textFill>
              </w:rPr>
              <w:t>9.8</w:t>
            </w:r>
          </w:p>
        </w:tc>
        <w:tc>
          <w:tcPr>
            <w:tcW w:w="12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52"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cs="Times New Roman"/>
                <w:color w:val="000000" w:themeColor="text1"/>
                <w:kern w:val="0"/>
                <w:sz w:val="21"/>
                <w:szCs w:val="20"/>
                <w:highlight w:val="none"/>
                <w14:textFill>
                  <w14:solidFill>
                    <w14:schemeClr w14:val="tx1"/>
                  </w14:solidFill>
                </w14:textFill>
              </w:rPr>
              <w:t>2.2</w:t>
            </w:r>
          </w:p>
        </w:tc>
        <w:tc>
          <w:tcPr>
            <w:tcW w:w="2196" w:type="pct"/>
            <w:vAlign w:val="center"/>
          </w:tcPr>
          <w:p>
            <w:pPr>
              <w:widowControl/>
              <w:adjustRightInd/>
              <w:snapToGrid/>
              <w:spacing w:line="240" w:lineRule="auto"/>
              <w:ind w:firstLine="480" w:firstLineChars="200"/>
              <w:jc w:val="center"/>
              <w:rPr>
                <w:rFonts w:cs="Times New Roman"/>
                <w:color w:val="000000" w:themeColor="text1"/>
                <w:kern w:val="0"/>
                <w:sz w:val="21"/>
                <w:szCs w:val="20"/>
                <w:highlight w:val="none"/>
                <w14:textFill>
                  <w14:solidFill>
                    <w14:schemeClr w14:val="tx1"/>
                  </w14:solidFill>
                </w14:textFill>
              </w:rPr>
            </w:pPr>
            <w:r>
              <w:rPr>
                <w:rFonts w:hint="eastAsia"/>
              </w:rPr>
              <w:t>**</w:t>
            </w:r>
          </w:p>
        </w:tc>
        <w:tc>
          <w:tcPr>
            <w:tcW w:w="53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cs="Times New Roman"/>
                <w:color w:val="000000" w:themeColor="text1"/>
                <w:kern w:val="0"/>
                <w:sz w:val="21"/>
                <w:szCs w:val="20"/>
                <w:highlight w:val="none"/>
                <w14:textFill>
                  <w14:solidFill>
                    <w14:schemeClr w14:val="tx1"/>
                  </w14:solidFill>
                </w14:textFill>
              </w:rPr>
              <w:t>个</w:t>
            </w:r>
          </w:p>
        </w:tc>
        <w:tc>
          <w:tcPr>
            <w:tcW w:w="71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cs="Times New Roman"/>
                <w:color w:val="000000" w:themeColor="text1"/>
                <w:kern w:val="0"/>
                <w:sz w:val="21"/>
                <w:szCs w:val="20"/>
                <w:highlight w:val="none"/>
                <w14:textFill>
                  <w14:solidFill>
                    <w14:schemeClr w14:val="tx1"/>
                  </w14:solidFill>
                </w14:textFill>
              </w:rPr>
              <w:t>2.0</w:t>
            </w:r>
          </w:p>
        </w:tc>
        <w:tc>
          <w:tcPr>
            <w:tcW w:w="12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52"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cs="Times New Roman"/>
                <w:color w:val="000000" w:themeColor="text1"/>
                <w:kern w:val="0"/>
                <w:sz w:val="21"/>
                <w:szCs w:val="20"/>
                <w:highlight w:val="none"/>
                <w14:textFill>
                  <w14:solidFill>
                    <w14:schemeClr w14:val="tx1"/>
                  </w14:solidFill>
                </w14:textFill>
              </w:rPr>
              <w:t>3</w:t>
            </w:r>
          </w:p>
        </w:tc>
        <w:tc>
          <w:tcPr>
            <w:tcW w:w="2196" w:type="pct"/>
            <w:vAlign w:val="center"/>
          </w:tcPr>
          <w:p>
            <w:pPr>
              <w:widowControl/>
              <w:adjustRightInd/>
              <w:snapToGrid/>
              <w:spacing w:line="240" w:lineRule="auto"/>
              <w:ind w:firstLine="480" w:firstLineChars="200"/>
              <w:jc w:val="center"/>
              <w:rPr>
                <w:rFonts w:cs="Times New Roman"/>
                <w:color w:val="000000" w:themeColor="text1"/>
                <w:kern w:val="0"/>
                <w:sz w:val="21"/>
                <w:szCs w:val="20"/>
                <w:highlight w:val="none"/>
                <w14:textFill>
                  <w14:solidFill>
                    <w14:schemeClr w14:val="tx1"/>
                  </w14:solidFill>
                </w14:textFill>
              </w:rPr>
            </w:pPr>
            <w:r>
              <w:rPr>
                <w:rFonts w:hint="eastAsia"/>
              </w:rPr>
              <w:t>**</w:t>
            </w:r>
          </w:p>
        </w:tc>
        <w:tc>
          <w:tcPr>
            <w:tcW w:w="53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cs="Times New Roman"/>
                <w:color w:val="000000" w:themeColor="text1"/>
                <w:kern w:val="0"/>
                <w:sz w:val="21"/>
                <w:szCs w:val="20"/>
                <w:highlight w:val="none"/>
                <w14:textFill>
                  <w14:solidFill>
                    <w14:schemeClr w14:val="tx1"/>
                  </w14:solidFill>
                </w14:textFill>
              </w:rPr>
              <w:t>km</w:t>
            </w:r>
          </w:p>
        </w:tc>
        <w:tc>
          <w:tcPr>
            <w:tcW w:w="71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c>
          <w:tcPr>
            <w:tcW w:w="12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cs="Times New Roman"/>
                <w:color w:val="000000" w:themeColor="text1"/>
                <w:kern w:val="0"/>
                <w:sz w:val="21"/>
                <w:szCs w:val="20"/>
                <w:highlight w:val="none"/>
                <w14:textFill>
                  <w14:solidFill>
                    <w14:schemeClr w14:val="tx1"/>
                  </w14:solidFill>
                </w14:textFill>
              </w:rPr>
              <w:t>GB/T9711-2017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52"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c>
          <w:tcPr>
            <w:tcW w:w="2196" w:type="pct"/>
            <w:vAlign w:val="center"/>
          </w:tcPr>
          <w:p>
            <w:pPr>
              <w:widowControl/>
              <w:adjustRightInd/>
              <w:snapToGrid/>
              <w:spacing w:line="240" w:lineRule="auto"/>
              <w:ind w:firstLine="480" w:firstLineChars="200"/>
              <w:jc w:val="center"/>
              <w:rPr>
                <w:rFonts w:cs="Times New Roman"/>
                <w:color w:val="000000" w:themeColor="text1"/>
                <w:kern w:val="0"/>
                <w:sz w:val="21"/>
                <w:szCs w:val="20"/>
                <w:highlight w:val="none"/>
                <w14:textFill>
                  <w14:solidFill>
                    <w14:schemeClr w14:val="tx1"/>
                  </w14:solidFill>
                </w14:textFill>
              </w:rPr>
            </w:pPr>
            <w:r>
              <w:rPr>
                <w:rFonts w:hint="eastAsia"/>
              </w:rPr>
              <w:t>**</w:t>
            </w:r>
          </w:p>
        </w:tc>
        <w:tc>
          <w:tcPr>
            <w:tcW w:w="53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cs="Times New Roman"/>
                <w:color w:val="000000" w:themeColor="text1"/>
                <w:kern w:val="0"/>
                <w:sz w:val="21"/>
                <w:szCs w:val="20"/>
                <w:highlight w:val="none"/>
                <w14:textFill>
                  <w14:solidFill>
                    <w14:schemeClr w14:val="tx1"/>
                  </w14:solidFill>
                </w14:textFill>
              </w:rPr>
              <w:t>km</w:t>
            </w:r>
          </w:p>
        </w:tc>
        <w:tc>
          <w:tcPr>
            <w:tcW w:w="71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cs="Times New Roman"/>
                <w:color w:val="000000" w:themeColor="text1"/>
                <w:kern w:val="0"/>
                <w:sz w:val="21"/>
                <w:szCs w:val="20"/>
                <w:highlight w:val="none"/>
                <w14:textFill>
                  <w14:solidFill>
                    <w14:schemeClr w14:val="tx1"/>
                  </w14:solidFill>
                </w14:textFill>
              </w:rPr>
              <w:t>7.157</w:t>
            </w:r>
          </w:p>
        </w:tc>
        <w:tc>
          <w:tcPr>
            <w:tcW w:w="12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52"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4</w:t>
            </w:r>
          </w:p>
        </w:tc>
        <w:tc>
          <w:tcPr>
            <w:tcW w:w="2196" w:type="pct"/>
            <w:vAlign w:val="center"/>
          </w:tcPr>
          <w:p>
            <w:pPr>
              <w:widowControl/>
              <w:adjustRightInd/>
              <w:snapToGrid/>
              <w:spacing w:line="240" w:lineRule="auto"/>
              <w:ind w:firstLine="480" w:firstLineChars="200"/>
              <w:jc w:val="center"/>
              <w:rPr>
                <w:rFonts w:cs="Times New Roman"/>
                <w:color w:val="000000" w:themeColor="text1"/>
                <w:kern w:val="0"/>
                <w:sz w:val="21"/>
                <w:szCs w:val="20"/>
                <w:highlight w:val="none"/>
                <w14:textFill>
                  <w14:solidFill>
                    <w14:schemeClr w14:val="tx1"/>
                  </w14:solidFill>
                </w14:textFill>
              </w:rPr>
            </w:pPr>
            <w:r>
              <w:rPr>
                <w:rFonts w:hint="eastAsia"/>
              </w:rPr>
              <w:t>**</w:t>
            </w:r>
          </w:p>
        </w:tc>
        <w:tc>
          <w:tcPr>
            <w:tcW w:w="53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c>
          <w:tcPr>
            <w:tcW w:w="71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c>
          <w:tcPr>
            <w:tcW w:w="12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cs="Times New Roman"/>
                <w:color w:val="000000" w:themeColor="text1"/>
                <w:kern w:val="0"/>
                <w:sz w:val="21"/>
                <w:szCs w:val="20"/>
                <w:highlight w:val="none"/>
                <w14:textFill>
                  <w14:solidFill>
                    <w14:schemeClr w14:val="tx1"/>
                  </w14:solidFill>
                </w14:textFill>
              </w:rPr>
              <w:t>SY/T5257-2012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52"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c>
          <w:tcPr>
            <w:tcW w:w="2196" w:type="pct"/>
            <w:vAlign w:val="center"/>
          </w:tcPr>
          <w:p>
            <w:pPr>
              <w:widowControl/>
              <w:adjustRightInd/>
              <w:snapToGrid/>
              <w:spacing w:line="240" w:lineRule="auto"/>
              <w:ind w:firstLine="480" w:firstLineChars="200"/>
              <w:jc w:val="center"/>
              <w:rPr>
                <w:rFonts w:cs="Times New Roman"/>
                <w:color w:val="000000" w:themeColor="text1"/>
                <w:kern w:val="0"/>
                <w:sz w:val="21"/>
                <w:szCs w:val="20"/>
                <w:highlight w:val="none"/>
                <w14:textFill>
                  <w14:solidFill>
                    <w14:schemeClr w14:val="tx1"/>
                  </w14:solidFill>
                </w14:textFill>
              </w:rPr>
            </w:pPr>
            <w:r>
              <w:rPr>
                <w:rFonts w:hint="eastAsia"/>
              </w:rPr>
              <w:t>**</w:t>
            </w:r>
          </w:p>
        </w:tc>
        <w:tc>
          <w:tcPr>
            <w:tcW w:w="53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m/个</w:t>
            </w:r>
          </w:p>
        </w:tc>
        <w:tc>
          <w:tcPr>
            <w:tcW w:w="71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cs="Times New Roman"/>
                <w:color w:val="000000" w:themeColor="text1"/>
                <w:kern w:val="0"/>
                <w:sz w:val="21"/>
                <w:szCs w:val="20"/>
                <w:highlight w:val="none"/>
                <w14:textFill>
                  <w14:solidFill>
                    <w14:schemeClr w14:val="tx1"/>
                  </w14:solidFill>
                </w14:textFill>
              </w:rPr>
              <w:t>960/160</w:t>
            </w:r>
          </w:p>
        </w:tc>
        <w:tc>
          <w:tcPr>
            <w:tcW w:w="12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52"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5</w:t>
            </w:r>
          </w:p>
        </w:tc>
        <w:tc>
          <w:tcPr>
            <w:tcW w:w="2196" w:type="pct"/>
            <w:vAlign w:val="center"/>
          </w:tcPr>
          <w:p>
            <w:pPr>
              <w:widowControl/>
              <w:adjustRightInd/>
              <w:snapToGrid/>
              <w:spacing w:line="240" w:lineRule="auto"/>
              <w:ind w:firstLine="480" w:firstLineChars="200"/>
              <w:jc w:val="center"/>
              <w:rPr>
                <w:rFonts w:cs="Times New Roman"/>
                <w:color w:val="000000" w:themeColor="text1"/>
                <w:kern w:val="0"/>
                <w:sz w:val="21"/>
                <w:szCs w:val="20"/>
                <w:highlight w:val="none"/>
                <w14:textFill>
                  <w14:solidFill>
                    <w14:schemeClr w14:val="tx1"/>
                  </w14:solidFill>
                </w14:textFill>
              </w:rPr>
            </w:pPr>
            <w:r>
              <w:rPr>
                <w:rFonts w:hint="eastAsia"/>
              </w:rPr>
              <w:t>**</w:t>
            </w:r>
          </w:p>
        </w:tc>
        <w:tc>
          <w:tcPr>
            <w:tcW w:w="53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c>
          <w:tcPr>
            <w:tcW w:w="71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c>
          <w:tcPr>
            <w:tcW w:w="12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cs="Times New Roman"/>
                <w:color w:val="000000" w:themeColor="text1"/>
                <w:kern w:val="0"/>
                <w:sz w:val="21"/>
                <w:szCs w:val="20"/>
                <w:highlight w:val="none"/>
                <w14:textFill>
                  <w14:solidFill>
                    <w14:schemeClr w14:val="tx1"/>
                  </w14:solidFill>
                </w14:textFill>
              </w:rPr>
              <w:t>SY/T 4127-2018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52"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c>
          <w:tcPr>
            <w:tcW w:w="2196" w:type="pct"/>
            <w:vAlign w:val="center"/>
          </w:tcPr>
          <w:p>
            <w:pPr>
              <w:widowControl/>
              <w:adjustRightInd/>
              <w:snapToGrid/>
              <w:spacing w:line="240" w:lineRule="auto"/>
              <w:ind w:firstLine="480" w:firstLineChars="200"/>
              <w:jc w:val="center"/>
              <w:rPr>
                <w:rFonts w:cs="Times New Roman"/>
                <w:color w:val="000000" w:themeColor="text1"/>
                <w:kern w:val="0"/>
                <w:sz w:val="21"/>
                <w:szCs w:val="20"/>
                <w:highlight w:val="none"/>
                <w14:textFill>
                  <w14:solidFill>
                    <w14:schemeClr w14:val="tx1"/>
                  </w14:solidFill>
                </w14:textFill>
              </w:rPr>
            </w:pPr>
            <w:r>
              <w:rPr>
                <w:rFonts w:hint="eastAsia"/>
              </w:rPr>
              <w:t>**</w:t>
            </w:r>
          </w:p>
        </w:tc>
        <w:tc>
          <w:tcPr>
            <w:tcW w:w="53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m/个</w:t>
            </w:r>
          </w:p>
        </w:tc>
        <w:tc>
          <w:tcPr>
            <w:tcW w:w="71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cs="Times New Roman"/>
                <w:color w:val="000000" w:themeColor="text1"/>
                <w:kern w:val="0"/>
                <w:sz w:val="21"/>
                <w:szCs w:val="20"/>
                <w:highlight w:val="none"/>
                <w14:textFill>
                  <w14:solidFill>
                    <w14:schemeClr w14:val="tx1"/>
                  </w14:solidFill>
                </w14:textFill>
              </w:rPr>
              <w:t>3564/297</w:t>
            </w:r>
          </w:p>
        </w:tc>
        <w:tc>
          <w:tcPr>
            <w:tcW w:w="12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52"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6</w:t>
            </w:r>
          </w:p>
        </w:tc>
        <w:tc>
          <w:tcPr>
            <w:tcW w:w="2196" w:type="pct"/>
            <w:vAlign w:val="center"/>
          </w:tcPr>
          <w:p>
            <w:pPr>
              <w:widowControl/>
              <w:adjustRightInd/>
              <w:snapToGrid/>
              <w:spacing w:line="240" w:lineRule="auto"/>
              <w:ind w:firstLine="480" w:firstLineChars="200"/>
              <w:jc w:val="center"/>
              <w:rPr>
                <w:rFonts w:cs="Times New Roman"/>
                <w:color w:val="000000" w:themeColor="text1"/>
                <w:kern w:val="0"/>
                <w:sz w:val="21"/>
                <w:szCs w:val="20"/>
                <w:highlight w:val="none"/>
                <w14:textFill>
                  <w14:solidFill>
                    <w14:schemeClr w14:val="tx1"/>
                  </w14:solidFill>
                </w14:textFill>
              </w:rPr>
            </w:pPr>
            <w:r>
              <w:rPr>
                <w:rFonts w:hint="eastAsia"/>
              </w:rPr>
              <w:t>**</w:t>
            </w:r>
          </w:p>
        </w:tc>
        <w:tc>
          <w:tcPr>
            <w:tcW w:w="53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c>
          <w:tcPr>
            <w:tcW w:w="71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c>
          <w:tcPr>
            <w:tcW w:w="12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52"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6</w:t>
            </w:r>
            <w:r>
              <w:rPr>
                <w:rFonts w:cs="Times New Roman"/>
                <w:color w:val="000000" w:themeColor="text1"/>
                <w:kern w:val="0"/>
                <w:sz w:val="21"/>
                <w:szCs w:val="20"/>
                <w:highlight w:val="none"/>
                <w14:textFill>
                  <w14:solidFill>
                    <w14:schemeClr w14:val="tx1"/>
                  </w14:solidFill>
                </w14:textFill>
              </w:rPr>
              <w:t>.1</w:t>
            </w:r>
          </w:p>
        </w:tc>
        <w:tc>
          <w:tcPr>
            <w:tcW w:w="2196" w:type="pct"/>
            <w:vAlign w:val="center"/>
          </w:tcPr>
          <w:p>
            <w:pPr>
              <w:widowControl/>
              <w:adjustRightInd/>
              <w:snapToGrid/>
              <w:spacing w:line="240" w:lineRule="auto"/>
              <w:ind w:firstLine="480" w:firstLineChars="200"/>
              <w:jc w:val="center"/>
              <w:rPr>
                <w:rFonts w:cs="Times New Roman"/>
                <w:color w:val="000000" w:themeColor="text1"/>
                <w:kern w:val="0"/>
                <w:sz w:val="21"/>
                <w:szCs w:val="20"/>
                <w:highlight w:val="none"/>
                <w14:textFill>
                  <w14:solidFill>
                    <w14:schemeClr w14:val="tx1"/>
                  </w14:solidFill>
                </w14:textFill>
              </w:rPr>
            </w:pPr>
            <w:r>
              <w:rPr>
                <w:rFonts w:hint="eastAsia"/>
              </w:rPr>
              <w:t>**</w:t>
            </w:r>
          </w:p>
        </w:tc>
        <w:tc>
          <w:tcPr>
            <w:tcW w:w="53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m/处</w:t>
            </w:r>
          </w:p>
        </w:tc>
        <w:tc>
          <w:tcPr>
            <w:tcW w:w="71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cs="Times New Roman"/>
                <w:color w:val="000000" w:themeColor="text1"/>
                <w:kern w:val="0"/>
                <w:sz w:val="21"/>
                <w:szCs w:val="20"/>
                <w:highlight w:val="none"/>
                <w14:textFill>
                  <w14:solidFill>
                    <w14:schemeClr w14:val="tx1"/>
                  </w14:solidFill>
                </w14:textFill>
              </w:rPr>
              <w:t>240/1</w:t>
            </w:r>
          </w:p>
        </w:tc>
        <w:tc>
          <w:tcPr>
            <w:tcW w:w="12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52"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6</w:t>
            </w:r>
            <w:r>
              <w:rPr>
                <w:rFonts w:cs="Times New Roman"/>
                <w:color w:val="000000" w:themeColor="text1"/>
                <w:kern w:val="0"/>
                <w:sz w:val="21"/>
                <w:szCs w:val="20"/>
                <w:highlight w:val="none"/>
                <w14:textFill>
                  <w14:solidFill>
                    <w14:schemeClr w14:val="tx1"/>
                  </w14:solidFill>
                </w14:textFill>
              </w:rPr>
              <w:t>.2</w:t>
            </w:r>
          </w:p>
        </w:tc>
        <w:tc>
          <w:tcPr>
            <w:tcW w:w="2196" w:type="pct"/>
            <w:vAlign w:val="center"/>
          </w:tcPr>
          <w:p>
            <w:pPr>
              <w:widowControl/>
              <w:adjustRightInd/>
              <w:snapToGrid/>
              <w:spacing w:line="240" w:lineRule="auto"/>
              <w:ind w:firstLine="480" w:firstLineChars="200"/>
              <w:jc w:val="center"/>
              <w:rPr>
                <w:rFonts w:cs="Times New Roman"/>
                <w:color w:val="000000" w:themeColor="text1"/>
                <w:kern w:val="0"/>
                <w:sz w:val="21"/>
                <w:szCs w:val="20"/>
                <w:highlight w:val="none"/>
                <w14:textFill>
                  <w14:solidFill>
                    <w14:schemeClr w14:val="tx1"/>
                  </w14:solidFill>
                </w14:textFill>
              </w:rPr>
            </w:pPr>
            <w:r>
              <w:rPr>
                <w:rFonts w:hint="eastAsia"/>
              </w:rPr>
              <w:t>**</w:t>
            </w:r>
          </w:p>
        </w:tc>
        <w:tc>
          <w:tcPr>
            <w:tcW w:w="53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m/处</w:t>
            </w:r>
          </w:p>
        </w:tc>
        <w:tc>
          <w:tcPr>
            <w:tcW w:w="71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cs="Times New Roman"/>
                <w:color w:val="000000" w:themeColor="text1"/>
                <w:kern w:val="0"/>
                <w:sz w:val="21"/>
                <w:szCs w:val="20"/>
                <w:highlight w:val="none"/>
                <w14:textFill>
                  <w14:solidFill>
                    <w14:schemeClr w14:val="tx1"/>
                  </w14:solidFill>
                </w14:textFill>
              </w:rPr>
              <w:t>35/1</w:t>
            </w:r>
          </w:p>
        </w:tc>
        <w:tc>
          <w:tcPr>
            <w:tcW w:w="12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52"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6</w:t>
            </w:r>
            <w:r>
              <w:rPr>
                <w:rFonts w:cs="Times New Roman"/>
                <w:color w:val="000000" w:themeColor="text1"/>
                <w:kern w:val="0"/>
                <w:sz w:val="21"/>
                <w:szCs w:val="20"/>
                <w:highlight w:val="none"/>
                <w14:textFill>
                  <w14:solidFill>
                    <w14:schemeClr w14:val="tx1"/>
                  </w14:solidFill>
                </w14:textFill>
              </w:rPr>
              <w:t>.3</w:t>
            </w:r>
          </w:p>
        </w:tc>
        <w:tc>
          <w:tcPr>
            <w:tcW w:w="2196" w:type="pct"/>
            <w:vAlign w:val="center"/>
          </w:tcPr>
          <w:p>
            <w:pPr>
              <w:widowControl/>
              <w:adjustRightInd/>
              <w:snapToGrid/>
              <w:spacing w:line="240" w:lineRule="auto"/>
              <w:ind w:firstLine="480" w:firstLineChars="200"/>
              <w:jc w:val="center"/>
              <w:rPr>
                <w:rFonts w:cs="Times New Roman"/>
                <w:color w:val="000000" w:themeColor="text1"/>
                <w:kern w:val="0"/>
                <w:sz w:val="21"/>
                <w:szCs w:val="20"/>
                <w:highlight w:val="none"/>
                <w14:textFill>
                  <w14:solidFill>
                    <w14:schemeClr w14:val="tx1"/>
                  </w14:solidFill>
                </w14:textFill>
              </w:rPr>
            </w:pPr>
            <w:r>
              <w:rPr>
                <w:rFonts w:hint="eastAsia"/>
              </w:rPr>
              <w:t>**</w:t>
            </w:r>
          </w:p>
        </w:tc>
        <w:tc>
          <w:tcPr>
            <w:tcW w:w="53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m/处</w:t>
            </w:r>
          </w:p>
        </w:tc>
        <w:tc>
          <w:tcPr>
            <w:tcW w:w="71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cs="Times New Roman"/>
                <w:color w:val="000000" w:themeColor="text1"/>
                <w:kern w:val="0"/>
                <w:sz w:val="21"/>
                <w:szCs w:val="20"/>
                <w:highlight w:val="none"/>
                <w14:textFill>
                  <w14:solidFill>
                    <w14:schemeClr w14:val="tx1"/>
                  </w14:solidFill>
                </w14:textFill>
              </w:rPr>
              <w:t>234/23</w:t>
            </w:r>
          </w:p>
        </w:tc>
        <w:tc>
          <w:tcPr>
            <w:tcW w:w="12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52"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6</w:t>
            </w:r>
            <w:r>
              <w:rPr>
                <w:rFonts w:cs="Times New Roman"/>
                <w:color w:val="000000" w:themeColor="text1"/>
                <w:kern w:val="0"/>
                <w:sz w:val="21"/>
                <w:szCs w:val="20"/>
                <w:highlight w:val="none"/>
                <w14:textFill>
                  <w14:solidFill>
                    <w14:schemeClr w14:val="tx1"/>
                  </w14:solidFill>
                </w14:textFill>
              </w:rPr>
              <w:t>.4</w:t>
            </w:r>
          </w:p>
        </w:tc>
        <w:tc>
          <w:tcPr>
            <w:tcW w:w="2196" w:type="pct"/>
            <w:vAlign w:val="center"/>
          </w:tcPr>
          <w:p>
            <w:pPr>
              <w:widowControl/>
              <w:adjustRightInd/>
              <w:snapToGrid/>
              <w:spacing w:line="240" w:lineRule="auto"/>
              <w:ind w:firstLine="480" w:firstLineChars="200"/>
              <w:jc w:val="center"/>
              <w:rPr>
                <w:rFonts w:cs="Times New Roman"/>
                <w:color w:val="000000" w:themeColor="text1"/>
                <w:kern w:val="0"/>
                <w:sz w:val="21"/>
                <w:szCs w:val="20"/>
                <w:highlight w:val="none"/>
                <w14:textFill>
                  <w14:solidFill>
                    <w14:schemeClr w14:val="tx1"/>
                  </w14:solidFill>
                </w14:textFill>
              </w:rPr>
            </w:pPr>
            <w:r>
              <w:rPr>
                <w:rFonts w:hint="eastAsia"/>
              </w:rPr>
              <w:t>**</w:t>
            </w:r>
          </w:p>
        </w:tc>
        <w:tc>
          <w:tcPr>
            <w:tcW w:w="53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c>
          <w:tcPr>
            <w:tcW w:w="71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c>
          <w:tcPr>
            <w:tcW w:w="12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52"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6</w:t>
            </w:r>
            <w:r>
              <w:rPr>
                <w:rFonts w:cs="Times New Roman"/>
                <w:color w:val="000000" w:themeColor="text1"/>
                <w:kern w:val="0"/>
                <w:sz w:val="21"/>
                <w:szCs w:val="20"/>
                <w:highlight w:val="none"/>
                <w14:textFill>
                  <w14:solidFill>
                    <w14:schemeClr w14:val="tx1"/>
                  </w14:solidFill>
                </w14:textFill>
              </w:rPr>
              <w:t>.5</w:t>
            </w:r>
          </w:p>
        </w:tc>
        <w:tc>
          <w:tcPr>
            <w:tcW w:w="2196" w:type="pct"/>
            <w:vAlign w:val="center"/>
          </w:tcPr>
          <w:p>
            <w:pPr>
              <w:widowControl/>
              <w:adjustRightInd/>
              <w:snapToGrid/>
              <w:spacing w:line="240" w:lineRule="auto"/>
              <w:ind w:firstLine="480" w:firstLineChars="200"/>
              <w:jc w:val="center"/>
              <w:rPr>
                <w:rFonts w:cs="Times New Roman"/>
                <w:color w:val="000000" w:themeColor="text1"/>
                <w:kern w:val="0"/>
                <w:sz w:val="21"/>
                <w:szCs w:val="20"/>
                <w:highlight w:val="none"/>
                <w14:textFill>
                  <w14:solidFill>
                    <w14:schemeClr w14:val="tx1"/>
                  </w14:solidFill>
                </w14:textFill>
              </w:rPr>
            </w:pPr>
            <w:r>
              <w:rPr>
                <w:rFonts w:hint="eastAsia"/>
              </w:rPr>
              <w:t>**</w:t>
            </w:r>
          </w:p>
        </w:tc>
        <w:tc>
          <w:tcPr>
            <w:tcW w:w="53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处</w:t>
            </w:r>
          </w:p>
        </w:tc>
        <w:tc>
          <w:tcPr>
            <w:tcW w:w="71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6</w:t>
            </w:r>
          </w:p>
        </w:tc>
        <w:tc>
          <w:tcPr>
            <w:tcW w:w="12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52"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6</w:t>
            </w:r>
            <w:r>
              <w:rPr>
                <w:rFonts w:cs="Times New Roman"/>
                <w:color w:val="000000" w:themeColor="text1"/>
                <w:kern w:val="0"/>
                <w:sz w:val="21"/>
                <w:szCs w:val="20"/>
                <w:highlight w:val="none"/>
                <w14:textFill>
                  <w14:solidFill>
                    <w14:schemeClr w14:val="tx1"/>
                  </w14:solidFill>
                </w14:textFill>
              </w:rPr>
              <w:t>.6</w:t>
            </w:r>
          </w:p>
        </w:tc>
        <w:tc>
          <w:tcPr>
            <w:tcW w:w="2196" w:type="pct"/>
            <w:vAlign w:val="center"/>
          </w:tcPr>
          <w:p>
            <w:pPr>
              <w:widowControl/>
              <w:adjustRightInd/>
              <w:snapToGrid/>
              <w:spacing w:line="240" w:lineRule="auto"/>
              <w:ind w:firstLine="480" w:firstLineChars="200"/>
              <w:jc w:val="center"/>
              <w:rPr>
                <w:rFonts w:cs="Times New Roman"/>
                <w:color w:val="000000" w:themeColor="text1"/>
                <w:kern w:val="0"/>
                <w:sz w:val="21"/>
                <w:szCs w:val="20"/>
                <w:highlight w:val="none"/>
                <w14:textFill>
                  <w14:solidFill>
                    <w14:schemeClr w14:val="tx1"/>
                  </w14:solidFill>
                </w14:textFill>
              </w:rPr>
            </w:pPr>
            <w:r>
              <w:rPr>
                <w:rFonts w:hint="eastAsia"/>
              </w:rPr>
              <w:t>**</w:t>
            </w:r>
          </w:p>
        </w:tc>
        <w:tc>
          <w:tcPr>
            <w:tcW w:w="53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处</w:t>
            </w:r>
          </w:p>
        </w:tc>
        <w:tc>
          <w:tcPr>
            <w:tcW w:w="71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4</w:t>
            </w:r>
          </w:p>
        </w:tc>
        <w:tc>
          <w:tcPr>
            <w:tcW w:w="12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52"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6</w:t>
            </w:r>
            <w:r>
              <w:rPr>
                <w:rFonts w:cs="Times New Roman"/>
                <w:color w:val="000000" w:themeColor="text1"/>
                <w:kern w:val="0"/>
                <w:sz w:val="21"/>
                <w:szCs w:val="20"/>
                <w:highlight w:val="none"/>
                <w14:textFill>
                  <w14:solidFill>
                    <w14:schemeClr w14:val="tx1"/>
                  </w14:solidFill>
                </w14:textFill>
              </w:rPr>
              <w:t>.7</w:t>
            </w:r>
          </w:p>
        </w:tc>
        <w:tc>
          <w:tcPr>
            <w:tcW w:w="2196" w:type="pct"/>
            <w:vAlign w:val="center"/>
          </w:tcPr>
          <w:p>
            <w:pPr>
              <w:widowControl/>
              <w:adjustRightInd/>
              <w:snapToGrid/>
              <w:spacing w:line="240" w:lineRule="auto"/>
              <w:ind w:firstLine="480" w:firstLineChars="200"/>
              <w:jc w:val="center"/>
              <w:rPr>
                <w:rFonts w:cs="Times New Roman"/>
                <w:color w:val="000000" w:themeColor="text1"/>
                <w:kern w:val="0"/>
                <w:sz w:val="21"/>
                <w:szCs w:val="20"/>
                <w:highlight w:val="none"/>
                <w14:textFill>
                  <w14:solidFill>
                    <w14:schemeClr w14:val="tx1"/>
                  </w14:solidFill>
                </w14:textFill>
              </w:rPr>
            </w:pPr>
            <w:r>
              <w:rPr>
                <w:rFonts w:hint="eastAsia"/>
              </w:rPr>
              <w:t>**</w:t>
            </w:r>
          </w:p>
        </w:tc>
        <w:tc>
          <w:tcPr>
            <w:tcW w:w="53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m/处</w:t>
            </w:r>
          </w:p>
        </w:tc>
        <w:tc>
          <w:tcPr>
            <w:tcW w:w="71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cs="Times New Roman"/>
                <w:color w:val="000000" w:themeColor="text1"/>
                <w:kern w:val="0"/>
                <w:sz w:val="21"/>
                <w:szCs w:val="20"/>
                <w:highlight w:val="none"/>
                <w14:textFill>
                  <w14:solidFill>
                    <w14:schemeClr w14:val="tx1"/>
                  </w14:solidFill>
                </w14:textFill>
              </w:rPr>
              <w:t>200/13</w:t>
            </w:r>
          </w:p>
        </w:tc>
        <w:tc>
          <w:tcPr>
            <w:tcW w:w="12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52"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7</w:t>
            </w:r>
          </w:p>
        </w:tc>
        <w:tc>
          <w:tcPr>
            <w:tcW w:w="2196" w:type="pct"/>
            <w:vAlign w:val="center"/>
          </w:tcPr>
          <w:p>
            <w:pPr>
              <w:widowControl/>
              <w:adjustRightInd/>
              <w:snapToGrid/>
              <w:spacing w:line="240" w:lineRule="auto"/>
              <w:ind w:firstLine="480" w:firstLineChars="200"/>
              <w:jc w:val="center"/>
              <w:rPr>
                <w:rFonts w:cs="Times New Roman"/>
                <w:color w:val="000000" w:themeColor="text1"/>
                <w:kern w:val="0"/>
                <w:sz w:val="21"/>
                <w:szCs w:val="20"/>
                <w:highlight w:val="none"/>
                <w14:textFill>
                  <w14:solidFill>
                    <w14:schemeClr w14:val="tx1"/>
                  </w14:solidFill>
                </w14:textFill>
              </w:rPr>
            </w:pPr>
            <w:r>
              <w:rPr>
                <w:rFonts w:hint="eastAsia"/>
              </w:rPr>
              <w:t>**</w:t>
            </w:r>
          </w:p>
        </w:tc>
        <w:tc>
          <w:tcPr>
            <w:tcW w:w="53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c>
          <w:tcPr>
            <w:tcW w:w="71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c>
          <w:tcPr>
            <w:tcW w:w="12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52"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7</w:t>
            </w:r>
            <w:r>
              <w:rPr>
                <w:rFonts w:cs="Times New Roman"/>
                <w:color w:val="000000" w:themeColor="text1"/>
                <w:kern w:val="0"/>
                <w:sz w:val="21"/>
                <w:szCs w:val="20"/>
                <w:highlight w:val="none"/>
                <w14:textFill>
                  <w14:solidFill>
                    <w14:schemeClr w14:val="tx1"/>
                  </w14:solidFill>
                </w14:textFill>
              </w:rPr>
              <w:t>.1</w:t>
            </w:r>
          </w:p>
        </w:tc>
        <w:tc>
          <w:tcPr>
            <w:tcW w:w="2196" w:type="pct"/>
            <w:vAlign w:val="center"/>
          </w:tcPr>
          <w:p>
            <w:pPr>
              <w:widowControl/>
              <w:adjustRightInd/>
              <w:snapToGrid/>
              <w:spacing w:line="240" w:lineRule="auto"/>
              <w:ind w:firstLine="480" w:firstLineChars="200"/>
              <w:jc w:val="center"/>
              <w:rPr>
                <w:rFonts w:cs="Times New Roman"/>
                <w:color w:val="000000" w:themeColor="text1"/>
                <w:kern w:val="0"/>
                <w:sz w:val="21"/>
                <w:szCs w:val="20"/>
                <w:highlight w:val="none"/>
                <w14:textFill>
                  <w14:solidFill>
                    <w14:schemeClr w14:val="tx1"/>
                  </w14:solidFill>
                </w14:textFill>
              </w:rPr>
            </w:pPr>
            <w:r>
              <w:rPr>
                <w:rFonts w:hint="eastAsia"/>
              </w:rPr>
              <w:t>**</w:t>
            </w:r>
          </w:p>
        </w:tc>
        <w:tc>
          <w:tcPr>
            <w:tcW w:w="53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c>
          <w:tcPr>
            <w:tcW w:w="71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c>
          <w:tcPr>
            <w:tcW w:w="12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52"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1）</w:t>
            </w:r>
          </w:p>
        </w:tc>
        <w:tc>
          <w:tcPr>
            <w:tcW w:w="2196" w:type="pct"/>
            <w:vAlign w:val="center"/>
          </w:tcPr>
          <w:p>
            <w:pPr>
              <w:widowControl/>
              <w:adjustRightInd/>
              <w:snapToGrid/>
              <w:spacing w:line="240" w:lineRule="auto"/>
              <w:ind w:firstLine="480" w:firstLineChars="200"/>
              <w:jc w:val="center"/>
              <w:rPr>
                <w:rFonts w:cs="Times New Roman"/>
                <w:color w:val="000000" w:themeColor="text1"/>
                <w:kern w:val="0"/>
                <w:sz w:val="21"/>
                <w:szCs w:val="20"/>
                <w:highlight w:val="none"/>
                <w14:textFill>
                  <w14:solidFill>
                    <w14:schemeClr w14:val="tx1"/>
                  </w14:solidFill>
                </w14:textFill>
              </w:rPr>
            </w:pPr>
            <w:r>
              <w:rPr>
                <w:rFonts w:hint="eastAsia"/>
              </w:rPr>
              <w:t>**</w:t>
            </w:r>
          </w:p>
        </w:tc>
        <w:tc>
          <w:tcPr>
            <w:tcW w:w="53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1</w:t>
            </w:r>
            <w:r>
              <w:rPr>
                <w:rFonts w:cs="Times New Roman"/>
                <w:color w:val="000000" w:themeColor="text1"/>
                <w:kern w:val="0"/>
                <w:sz w:val="21"/>
                <w:szCs w:val="20"/>
                <w:highlight w:val="none"/>
                <w14:textFill>
                  <w14:solidFill>
                    <w14:schemeClr w14:val="tx1"/>
                  </w14:solidFill>
                </w14:textFill>
              </w:rPr>
              <w:t>0</w:t>
            </w:r>
            <w:r>
              <w:rPr>
                <w:rFonts w:cs="Times New Roman"/>
                <w:color w:val="000000" w:themeColor="text1"/>
                <w:kern w:val="0"/>
                <w:sz w:val="21"/>
                <w:szCs w:val="20"/>
                <w:highlight w:val="none"/>
                <w:vertAlign w:val="superscript"/>
                <w14:textFill>
                  <w14:solidFill>
                    <w14:schemeClr w14:val="tx1"/>
                  </w14:solidFill>
                </w14:textFill>
              </w:rPr>
              <w:t>4</w:t>
            </w:r>
            <w:r>
              <w:rPr>
                <w:rFonts w:hint="eastAsia" w:cs="Times New Roman"/>
                <w:color w:val="000000" w:themeColor="text1"/>
                <w:kern w:val="0"/>
                <w:sz w:val="21"/>
                <w:szCs w:val="20"/>
                <w:highlight w:val="none"/>
                <w14:textFill>
                  <w14:solidFill>
                    <w14:schemeClr w14:val="tx1"/>
                  </w14:solidFill>
                </w14:textFill>
              </w:rPr>
              <w:t>m</w:t>
            </w:r>
            <w:r>
              <w:rPr>
                <w:rFonts w:cs="Times New Roman"/>
                <w:color w:val="000000" w:themeColor="text1"/>
                <w:kern w:val="0"/>
                <w:sz w:val="21"/>
                <w:szCs w:val="20"/>
                <w:highlight w:val="none"/>
                <w:vertAlign w:val="superscript"/>
                <w14:textFill>
                  <w14:solidFill>
                    <w14:schemeClr w14:val="tx1"/>
                  </w14:solidFill>
                </w14:textFill>
              </w:rPr>
              <w:t>3</w:t>
            </w:r>
          </w:p>
        </w:tc>
        <w:tc>
          <w:tcPr>
            <w:tcW w:w="71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1</w:t>
            </w:r>
            <w:r>
              <w:rPr>
                <w:rFonts w:cs="Times New Roman"/>
                <w:color w:val="000000" w:themeColor="text1"/>
                <w:kern w:val="0"/>
                <w:sz w:val="21"/>
                <w:szCs w:val="20"/>
                <w:highlight w:val="none"/>
                <w14:textFill>
                  <w14:solidFill>
                    <w14:schemeClr w14:val="tx1"/>
                  </w14:solidFill>
                </w14:textFill>
              </w:rPr>
              <w:t>.0633</w:t>
            </w:r>
          </w:p>
        </w:tc>
        <w:tc>
          <w:tcPr>
            <w:tcW w:w="12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52"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2）</w:t>
            </w:r>
          </w:p>
        </w:tc>
        <w:tc>
          <w:tcPr>
            <w:tcW w:w="2196" w:type="pct"/>
            <w:vAlign w:val="center"/>
          </w:tcPr>
          <w:p>
            <w:pPr>
              <w:widowControl/>
              <w:adjustRightInd/>
              <w:snapToGrid/>
              <w:spacing w:line="240" w:lineRule="auto"/>
              <w:ind w:firstLine="480" w:firstLineChars="200"/>
              <w:jc w:val="center"/>
              <w:rPr>
                <w:rFonts w:cs="Times New Roman"/>
                <w:color w:val="000000" w:themeColor="text1"/>
                <w:kern w:val="0"/>
                <w:sz w:val="21"/>
                <w:szCs w:val="20"/>
                <w:highlight w:val="none"/>
                <w14:textFill>
                  <w14:solidFill>
                    <w14:schemeClr w14:val="tx1"/>
                  </w14:solidFill>
                </w14:textFill>
              </w:rPr>
            </w:pPr>
            <w:r>
              <w:rPr>
                <w:rFonts w:hint="eastAsia"/>
              </w:rPr>
              <w:t>**</w:t>
            </w:r>
          </w:p>
        </w:tc>
        <w:tc>
          <w:tcPr>
            <w:tcW w:w="53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m</w:t>
            </w:r>
            <w:r>
              <w:rPr>
                <w:rFonts w:cs="Times New Roman"/>
                <w:color w:val="000000" w:themeColor="text1"/>
                <w:kern w:val="0"/>
                <w:sz w:val="21"/>
                <w:szCs w:val="20"/>
                <w:highlight w:val="none"/>
                <w:vertAlign w:val="superscript"/>
                <w14:textFill>
                  <w14:solidFill>
                    <w14:schemeClr w14:val="tx1"/>
                  </w14:solidFill>
                </w14:textFill>
              </w:rPr>
              <w:t>3</w:t>
            </w:r>
          </w:p>
        </w:tc>
        <w:tc>
          <w:tcPr>
            <w:tcW w:w="71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4</w:t>
            </w:r>
            <w:r>
              <w:rPr>
                <w:rFonts w:cs="Times New Roman"/>
                <w:color w:val="000000" w:themeColor="text1"/>
                <w:kern w:val="0"/>
                <w:sz w:val="21"/>
                <w:szCs w:val="20"/>
                <w:highlight w:val="none"/>
                <w14:textFill>
                  <w14:solidFill>
                    <w14:schemeClr w14:val="tx1"/>
                  </w14:solidFill>
                </w14:textFill>
              </w:rPr>
              <w:t>80</w:t>
            </w:r>
          </w:p>
        </w:tc>
        <w:tc>
          <w:tcPr>
            <w:tcW w:w="12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52"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3）</w:t>
            </w:r>
          </w:p>
        </w:tc>
        <w:tc>
          <w:tcPr>
            <w:tcW w:w="2196" w:type="pct"/>
            <w:vAlign w:val="center"/>
          </w:tcPr>
          <w:p>
            <w:pPr>
              <w:widowControl/>
              <w:adjustRightInd/>
              <w:snapToGrid/>
              <w:spacing w:line="240" w:lineRule="auto"/>
              <w:ind w:firstLine="480" w:firstLineChars="200"/>
              <w:jc w:val="center"/>
              <w:rPr>
                <w:rFonts w:cs="Times New Roman"/>
                <w:color w:val="000000" w:themeColor="text1"/>
                <w:kern w:val="0"/>
                <w:sz w:val="21"/>
                <w:szCs w:val="20"/>
                <w:highlight w:val="none"/>
                <w14:textFill>
                  <w14:solidFill>
                    <w14:schemeClr w14:val="tx1"/>
                  </w14:solidFill>
                </w14:textFill>
              </w:rPr>
            </w:pPr>
            <w:r>
              <w:rPr>
                <w:rFonts w:hint="eastAsia"/>
              </w:rPr>
              <w:t>**</w:t>
            </w:r>
          </w:p>
        </w:tc>
        <w:tc>
          <w:tcPr>
            <w:tcW w:w="53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m</w:t>
            </w:r>
            <w:r>
              <w:rPr>
                <w:rFonts w:cs="Times New Roman"/>
                <w:color w:val="000000" w:themeColor="text1"/>
                <w:kern w:val="0"/>
                <w:sz w:val="21"/>
                <w:szCs w:val="20"/>
                <w:highlight w:val="none"/>
                <w:vertAlign w:val="superscript"/>
                <w14:textFill>
                  <w14:solidFill>
                    <w14:schemeClr w14:val="tx1"/>
                  </w14:solidFill>
                </w14:textFill>
              </w:rPr>
              <w:t>3</w:t>
            </w:r>
          </w:p>
        </w:tc>
        <w:tc>
          <w:tcPr>
            <w:tcW w:w="71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4</w:t>
            </w:r>
            <w:r>
              <w:rPr>
                <w:rFonts w:cs="Times New Roman"/>
                <w:color w:val="000000" w:themeColor="text1"/>
                <w:kern w:val="0"/>
                <w:sz w:val="21"/>
                <w:szCs w:val="20"/>
                <w:highlight w:val="none"/>
                <w14:textFill>
                  <w14:solidFill>
                    <w14:schemeClr w14:val="tx1"/>
                  </w14:solidFill>
                </w14:textFill>
              </w:rPr>
              <w:t>70</w:t>
            </w:r>
          </w:p>
        </w:tc>
        <w:tc>
          <w:tcPr>
            <w:tcW w:w="12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52"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7</w:t>
            </w:r>
            <w:r>
              <w:rPr>
                <w:rFonts w:cs="Times New Roman"/>
                <w:color w:val="000000" w:themeColor="text1"/>
                <w:kern w:val="0"/>
                <w:sz w:val="21"/>
                <w:szCs w:val="20"/>
                <w:highlight w:val="none"/>
                <w14:textFill>
                  <w14:solidFill>
                    <w14:schemeClr w14:val="tx1"/>
                  </w14:solidFill>
                </w14:textFill>
              </w:rPr>
              <w:t>.2</w:t>
            </w:r>
          </w:p>
        </w:tc>
        <w:tc>
          <w:tcPr>
            <w:tcW w:w="2196" w:type="pct"/>
            <w:vAlign w:val="center"/>
          </w:tcPr>
          <w:p>
            <w:pPr>
              <w:widowControl/>
              <w:adjustRightInd/>
              <w:snapToGrid/>
              <w:spacing w:line="240" w:lineRule="auto"/>
              <w:ind w:firstLine="480" w:firstLineChars="200"/>
              <w:jc w:val="center"/>
              <w:rPr>
                <w:rFonts w:cs="Times New Roman"/>
                <w:color w:val="000000" w:themeColor="text1"/>
                <w:kern w:val="0"/>
                <w:sz w:val="21"/>
                <w:szCs w:val="20"/>
                <w:highlight w:val="none"/>
                <w14:textFill>
                  <w14:solidFill>
                    <w14:schemeClr w14:val="tx1"/>
                  </w14:solidFill>
                </w14:textFill>
              </w:rPr>
            </w:pPr>
            <w:r>
              <w:rPr>
                <w:rFonts w:hint="eastAsia"/>
              </w:rPr>
              <w:t>**</w:t>
            </w:r>
          </w:p>
        </w:tc>
        <w:tc>
          <w:tcPr>
            <w:tcW w:w="53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cs="Times New Roman"/>
                <w:color w:val="000000" w:themeColor="text1"/>
                <w:kern w:val="0"/>
                <w:sz w:val="21"/>
                <w:szCs w:val="20"/>
                <w:highlight w:val="none"/>
                <w14:textFill>
                  <w14:solidFill>
                    <w14:schemeClr w14:val="tx1"/>
                  </w14:solidFill>
                </w14:textFill>
              </w:rPr>
              <w:t>km</w:t>
            </w:r>
          </w:p>
        </w:tc>
        <w:tc>
          <w:tcPr>
            <w:tcW w:w="71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1</w:t>
            </w:r>
            <w:r>
              <w:rPr>
                <w:rFonts w:cs="Times New Roman"/>
                <w:color w:val="000000" w:themeColor="text1"/>
                <w:kern w:val="0"/>
                <w:sz w:val="21"/>
                <w:szCs w:val="20"/>
                <w:highlight w:val="none"/>
                <w14:textFill>
                  <w14:solidFill>
                    <w14:schemeClr w14:val="tx1"/>
                  </w14:solidFill>
                </w14:textFill>
              </w:rPr>
              <w:t>2</w:t>
            </w:r>
          </w:p>
        </w:tc>
        <w:tc>
          <w:tcPr>
            <w:tcW w:w="12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52"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7</w:t>
            </w:r>
            <w:r>
              <w:rPr>
                <w:rFonts w:cs="Times New Roman"/>
                <w:color w:val="000000" w:themeColor="text1"/>
                <w:kern w:val="0"/>
                <w:sz w:val="21"/>
                <w:szCs w:val="20"/>
                <w:highlight w:val="none"/>
                <w14:textFill>
                  <w14:solidFill>
                    <w14:schemeClr w14:val="tx1"/>
                  </w14:solidFill>
                </w14:textFill>
              </w:rPr>
              <w:t>.3</w:t>
            </w:r>
          </w:p>
        </w:tc>
        <w:tc>
          <w:tcPr>
            <w:tcW w:w="2196" w:type="pct"/>
            <w:vAlign w:val="center"/>
          </w:tcPr>
          <w:p>
            <w:pPr>
              <w:widowControl/>
              <w:adjustRightInd/>
              <w:snapToGrid/>
              <w:spacing w:line="240" w:lineRule="auto"/>
              <w:ind w:firstLine="480" w:firstLineChars="200"/>
              <w:jc w:val="center"/>
              <w:rPr>
                <w:rFonts w:cs="Times New Roman"/>
                <w:color w:val="000000" w:themeColor="text1"/>
                <w:kern w:val="0"/>
                <w:sz w:val="21"/>
                <w:szCs w:val="20"/>
                <w:highlight w:val="none"/>
                <w14:textFill>
                  <w14:solidFill>
                    <w14:schemeClr w14:val="tx1"/>
                  </w14:solidFill>
                </w14:textFill>
              </w:rPr>
            </w:pPr>
            <w:r>
              <w:rPr>
                <w:rFonts w:hint="eastAsia"/>
              </w:rPr>
              <w:t>**</w:t>
            </w:r>
          </w:p>
        </w:tc>
        <w:tc>
          <w:tcPr>
            <w:tcW w:w="53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个</w:t>
            </w:r>
          </w:p>
        </w:tc>
        <w:tc>
          <w:tcPr>
            <w:tcW w:w="71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2</w:t>
            </w:r>
            <w:r>
              <w:rPr>
                <w:rFonts w:cs="Times New Roman"/>
                <w:color w:val="000000" w:themeColor="text1"/>
                <w:kern w:val="0"/>
                <w:sz w:val="21"/>
                <w:szCs w:val="20"/>
                <w:highlight w:val="none"/>
                <w14:textFill>
                  <w14:solidFill>
                    <w14:schemeClr w14:val="tx1"/>
                  </w14:solidFill>
                </w14:textFill>
              </w:rPr>
              <w:t>53</w:t>
            </w:r>
          </w:p>
        </w:tc>
        <w:tc>
          <w:tcPr>
            <w:tcW w:w="12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52"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7</w:t>
            </w:r>
            <w:r>
              <w:rPr>
                <w:rFonts w:cs="Times New Roman"/>
                <w:color w:val="000000" w:themeColor="text1"/>
                <w:kern w:val="0"/>
                <w:sz w:val="21"/>
                <w:szCs w:val="20"/>
                <w:highlight w:val="none"/>
                <w14:textFill>
                  <w14:solidFill>
                    <w14:schemeClr w14:val="tx1"/>
                  </w14:solidFill>
                </w14:textFill>
              </w:rPr>
              <w:t>.4</w:t>
            </w:r>
          </w:p>
        </w:tc>
        <w:tc>
          <w:tcPr>
            <w:tcW w:w="2196" w:type="pct"/>
            <w:vAlign w:val="center"/>
          </w:tcPr>
          <w:p>
            <w:pPr>
              <w:widowControl/>
              <w:adjustRightInd/>
              <w:snapToGrid/>
              <w:spacing w:line="240" w:lineRule="auto"/>
              <w:ind w:firstLine="480" w:firstLineChars="200"/>
              <w:jc w:val="center"/>
              <w:rPr>
                <w:rFonts w:cs="Times New Roman"/>
                <w:color w:val="000000" w:themeColor="text1"/>
                <w:kern w:val="0"/>
                <w:sz w:val="21"/>
                <w:szCs w:val="20"/>
                <w:highlight w:val="none"/>
                <w14:textFill>
                  <w14:solidFill>
                    <w14:schemeClr w14:val="tx1"/>
                  </w14:solidFill>
                </w14:textFill>
              </w:rPr>
            </w:pPr>
            <w:r>
              <w:rPr>
                <w:rFonts w:hint="eastAsia"/>
              </w:rPr>
              <w:t>**</w:t>
            </w:r>
          </w:p>
        </w:tc>
        <w:tc>
          <w:tcPr>
            <w:tcW w:w="53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cs="Times New Roman"/>
                <w:color w:val="000000" w:themeColor="text1"/>
                <w:kern w:val="0"/>
                <w:sz w:val="21"/>
                <w:szCs w:val="20"/>
                <w:highlight w:val="none"/>
                <w14:textFill>
                  <w14:solidFill>
                    <w14:schemeClr w14:val="tx1"/>
                  </w14:solidFill>
                </w14:textFill>
              </w:rPr>
              <w:t>km</w:t>
            </w:r>
          </w:p>
        </w:tc>
        <w:tc>
          <w:tcPr>
            <w:tcW w:w="71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1</w:t>
            </w:r>
            <w:r>
              <w:rPr>
                <w:rFonts w:cs="Times New Roman"/>
                <w:color w:val="000000" w:themeColor="text1"/>
                <w:kern w:val="0"/>
                <w:sz w:val="21"/>
                <w:szCs w:val="20"/>
                <w:highlight w:val="none"/>
                <w14:textFill>
                  <w14:solidFill>
                    <w14:schemeClr w14:val="tx1"/>
                  </w14:solidFill>
                </w14:textFill>
              </w:rPr>
              <w:t>1.8</w:t>
            </w:r>
          </w:p>
        </w:tc>
        <w:tc>
          <w:tcPr>
            <w:tcW w:w="12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52"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8</w:t>
            </w:r>
          </w:p>
        </w:tc>
        <w:tc>
          <w:tcPr>
            <w:tcW w:w="2196" w:type="pct"/>
            <w:vAlign w:val="center"/>
          </w:tcPr>
          <w:p>
            <w:pPr>
              <w:widowControl/>
              <w:adjustRightInd/>
              <w:snapToGrid/>
              <w:spacing w:line="240" w:lineRule="auto"/>
              <w:ind w:firstLine="480" w:firstLineChars="200"/>
              <w:jc w:val="center"/>
              <w:rPr>
                <w:rFonts w:cs="Times New Roman"/>
                <w:color w:val="000000" w:themeColor="text1"/>
                <w:kern w:val="0"/>
                <w:sz w:val="21"/>
                <w:szCs w:val="20"/>
                <w:highlight w:val="none"/>
                <w14:textFill>
                  <w14:solidFill>
                    <w14:schemeClr w14:val="tx1"/>
                  </w14:solidFill>
                </w14:textFill>
              </w:rPr>
            </w:pPr>
            <w:r>
              <w:rPr>
                <w:rFonts w:hint="eastAsia"/>
              </w:rPr>
              <w:t>**</w:t>
            </w:r>
          </w:p>
        </w:tc>
        <w:tc>
          <w:tcPr>
            <w:tcW w:w="53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c>
          <w:tcPr>
            <w:tcW w:w="71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c>
          <w:tcPr>
            <w:tcW w:w="12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52"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8</w:t>
            </w:r>
            <w:r>
              <w:rPr>
                <w:rFonts w:cs="Times New Roman"/>
                <w:color w:val="000000" w:themeColor="text1"/>
                <w:kern w:val="0"/>
                <w:sz w:val="21"/>
                <w:szCs w:val="20"/>
                <w:highlight w:val="none"/>
                <w14:textFill>
                  <w14:solidFill>
                    <w14:schemeClr w14:val="tx1"/>
                  </w14:solidFill>
                </w14:textFill>
              </w:rPr>
              <w:t>.1</w:t>
            </w:r>
          </w:p>
        </w:tc>
        <w:tc>
          <w:tcPr>
            <w:tcW w:w="2196" w:type="pct"/>
            <w:vAlign w:val="center"/>
          </w:tcPr>
          <w:p>
            <w:pPr>
              <w:widowControl/>
              <w:adjustRightInd/>
              <w:snapToGrid/>
              <w:spacing w:line="240" w:lineRule="auto"/>
              <w:ind w:firstLine="480" w:firstLineChars="200"/>
              <w:jc w:val="center"/>
              <w:rPr>
                <w:rFonts w:cs="Times New Roman"/>
                <w:color w:val="000000" w:themeColor="text1"/>
                <w:kern w:val="0"/>
                <w:sz w:val="21"/>
                <w:szCs w:val="20"/>
                <w:highlight w:val="none"/>
                <w14:textFill>
                  <w14:solidFill>
                    <w14:schemeClr w14:val="tx1"/>
                  </w14:solidFill>
                </w14:textFill>
              </w:rPr>
            </w:pPr>
            <w:r>
              <w:rPr>
                <w:rFonts w:hint="eastAsia"/>
              </w:rPr>
              <w:t>**</w:t>
            </w:r>
          </w:p>
        </w:tc>
        <w:tc>
          <w:tcPr>
            <w:tcW w:w="53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1</w:t>
            </w:r>
            <w:r>
              <w:rPr>
                <w:rFonts w:cs="Times New Roman"/>
                <w:color w:val="000000" w:themeColor="text1"/>
                <w:kern w:val="0"/>
                <w:sz w:val="21"/>
                <w:szCs w:val="20"/>
                <w:highlight w:val="none"/>
                <w14:textFill>
                  <w14:solidFill>
                    <w14:schemeClr w14:val="tx1"/>
                  </w14:solidFill>
                </w14:textFill>
              </w:rPr>
              <w:t>0</w:t>
            </w:r>
            <w:r>
              <w:rPr>
                <w:rFonts w:cs="Times New Roman"/>
                <w:color w:val="000000" w:themeColor="text1"/>
                <w:kern w:val="0"/>
                <w:sz w:val="21"/>
                <w:szCs w:val="20"/>
                <w:highlight w:val="none"/>
                <w:vertAlign w:val="superscript"/>
                <w14:textFill>
                  <w14:solidFill>
                    <w14:schemeClr w14:val="tx1"/>
                  </w14:solidFill>
                </w14:textFill>
              </w:rPr>
              <w:t>4</w:t>
            </w:r>
            <w:r>
              <w:rPr>
                <w:rFonts w:hint="eastAsia" w:cs="Times New Roman"/>
                <w:color w:val="000000" w:themeColor="text1"/>
                <w:kern w:val="0"/>
                <w:sz w:val="21"/>
                <w:szCs w:val="20"/>
                <w:highlight w:val="none"/>
                <w14:textFill>
                  <w14:solidFill>
                    <w14:schemeClr w14:val="tx1"/>
                  </w14:solidFill>
                </w14:textFill>
              </w:rPr>
              <w:t>m</w:t>
            </w:r>
            <w:r>
              <w:rPr>
                <w:rFonts w:cs="Times New Roman"/>
                <w:color w:val="000000" w:themeColor="text1"/>
                <w:kern w:val="0"/>
                <w:sz w:val="21"/>
                <w:szCs w:val="20"/>
                <w:highlight w:val="none"/>
                <w:vertAlign w:val="superscript"/>
                <w14:textFill>
                  <w14:solidFill>
                    <w14:schemeClr w14:val="tx1"/>
                  </w14:solidFill>
                </w14:textFill>
              </w:rPr>
              <w:t>3</w:t>
            </w:r>
          </w:p>
        </w:tc>
        <w:tc>
          <w:tcPr>
            <w:tcW w:w="71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1</w:t>
            </w:r>
            <w:r>
              <w:rPr>
                <w:rFonts w:cs="Times New Roman"/>
                <w:color w:val="000000" w:themeColor="text1"/>
                <w:kern w:val="0"/>
                <w:sz w:val="21"/>
                <w:szCs w:val="20"/>
                <w:highlight w:val="none"/>
                <w14:textFill>
                  <w14:solidFill>
                    <w14:schemeClr w14:val="tx1"/>
                  </w14:solidFill>
                </w14:textFill>
              </w:rPr>
              <w:t>.1385</w:t>
            </w:r>
          </w:p>
        </w:tc>
        <w:tc>
          <w:tcPr>
            <w:tcW w:w="12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52"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1）</w:t>
            </w:r>
          </w:p>
        </w:tc>
        <w:tc>
          <w:tcPr>
            <w:tcW w:w="2196" w:type="pct"/>
            <w:vAlign w:val="center"/>
          </w:tcPr>
          <w:p>
            <w:pPr>
              <w:widowControl/>
              <w:adjustRightInd/>
              <w:snapToGrid/>
              <w:spacing w:line="240" w:lineRule="auto"/>
              <w:ind w:firstLine="480" w:firstLineChars="200"/>
              <w:jc w:val="center"/>
              <w:rPr>
                <w:rFonts w:cs="Times New Roman"/>
                <w:color w:val="000000" w:themeColor="text1"/>
                <w:kern w:val="0"/>
                <w:sz w:val="21"/>
                <w:szCs w:val="20"/>
                <w:highlight w:val="none"/>
                <w14:textFill>
                  <w14:solidFill>
                    <w14:schemeClr w14:val="tx1"/>
                  </w14:solidFill>
                </w14:textFill>
              </w:rPr>
            </w:pPr>
            <w:r>
              <w:rPr>
                <w:rFonts w:hint="eastAsia"/>
              </w:rPr>
              <w:t>**</w:t>
            </w:r>
          </w:p>
        </w:tc>
        <w:tc>
          <w:tcPr>
            <w:tcW w:w="53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1</w:t>
            </w:r>
            <w:r>
              <w:rPr>
                <w:rFonts w:cs="Times New Roman"/>
                <w:color w:val="000000" w:themeColor="text1"/>
                <w:kern w:val="0"/>
                <w:sz w:val="21"/>
                <w:szCs w:val="20"/>
                <w:highlight w:val="none"/>
                <w14:textFill>
                  <w14:solidFill>
                    <w14:schemeClr w14:val="tx1"/>
                  </w14:solidFill>
                </w14:textFill>
              </w:rPr>
              <w:t>0</w:t>
            </w:r>
            <w:r>
              <w:rPr>
                <w:rFonts w:cs="Times New Roman"/>
                <w:color w:val="000000" w:themeColor="text1"/>
                <w:kern w:val="0"/>
                <w:sz w:val="21"/>
                <w:szCs w:val="20"/>
                <w:highlight w:val="none"/>
                <w:vertAlign w:val="superscript"/>
                <w14:textFill>
                  <w14:solidFill>
                    <w14:schemeClr w14:val="tx1"/>
                  </w14:solidFill>
                </w14:textFill>
              </w:rPr>
              <w:t>4</w:t>
            </w:r>
            <w:r>
              <w:rPr>
                <w:rFonts w:hint="eastAsia" w:cs="Times New Roman"/>
                <w:color w:val="000000" w:themeColor="text1"/>
                <w:kern w:val="0"/>
                <w:sz w:val="21"/>
                <w:szCs w:val="20"/>
                <w:highlight w:val="none"/>
                <w14:textFill>
                  <w14:solidFill>
                    <w14:schemeClr w14:val="tx1"/>
                  </w14:solidFill>
                </w14:textFill>
              </w:rPr>
              <w:t>m</w:t>
            </w:r>
            <w:r>
              <w:rPr>
                <w:rFonts w:cs="Times New Roman"/>
                <w:color w:val="000000" w:themeColor="text1"/>
                <w:kern w:val="0"/>
                <w:sz w:val="21"/>
                <w:szCs w:val="20"/>
                <w:highlight w:val="none"/>
                <w:vertAlign w:val="superscript"/>
                <w14:textFill>
                  <w14:solidFill>
                    <w14:schemeClr w14:val="tx1"/>
                  </w14:solidFill>
                </w14:textFill>
              </w:rPr>
              <w:t>3</w:t>
            </w:r>
          </w:p>
        </w:tc>
        <w:tc>
          <w:tcPr>
            <w:tcW w:w="71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0</w:t>
            </w:r>
            <w:r>
              <w:rPr>
                <w:rFonts w:cs="Times New Roman"/>
                <w:color w:val="000000" w:themeColor="text1"/>
                <w:kern w:val="0"/>
                <w:sz w:val="21"/>
                <w:szCs w:val="20"/>
                <w:highlight w:val="none"/>
                <w14:textFill>
                  <w14:solidFill>
                    <w14:schemeClr w14:val="tx1"/>
                  </w14:solidFill>
                </w14:textFill>
              </w:rPr>
              <w:t>.4554</w:t>
            </w:r>
          </w:p>
        </w:tc>
        <w:tc>
          <w:tcPr>
            <w:tcW w:w="12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52"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2）</w:t>
            </w:r>
          </w:p>
        </w:tc>
        <w:tc>
          <w:tcPr>
            <w:tcW w:w="2196" w:type="pct"/>
            <w:vAlign w:val="center"/>
          </w:tcPr>
          <w:p>
            <w:pPr>
              <w:widowControl/>
              <w:adjustRightInd/>
              <w:snapToGrid/>
              <w:spacing w:line="240" w:lineRule="auto"/>
              <w:ind w:firstLine="480" w:firstLineChars="200"/>
              <w:jc w:val="center"/>
              <w:rPr>
                <w:rFonts w:cs="Times New Roman"/>
                <w:color w:val="000000" w:themeColor="text1"/>
                <w:kern w:val="0"/>
                <w:sz w:val="21"/>
                <w:szCs w:val="20"/>
                <w:highlight w:val="none"/>
                <w14:textFill>
                  <w14:solidFill>
                    <w14:schemeClr w14:val="tx1"/>
                  </w14:solidFill>
                </w14:textFill>
              </w:rPr>
            </w:pPr>
            <w:r>
              <w:rPr>
                <w:rFonts w:hint="eastAsia"/>
              </w:rPr>
              <w:t>**</w:t>
            </w:r>
          </w:p>
        </w:tc>
        <w:tc>
          <w:tcPr>
            <w:tcW w:w="53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1</w:t>
            </w:r>
            <w:r>
              <w:rPr>
                <w:rFonts w:cs="Times New Roman"/>
                <w:color w:val="000000" w:themeColor="text1"/>
                <w:kern w:val="0"/>
                <w:sz w:val="21"/>
                <w:szCs w:val="20"/>
                <w:highlight w:val="none"/>
                <w14:textFill>
                  <w14:solidFill>
                    <w14:schemeClr w14:val="tx1"/>
                  </w14:solidFill>
                </w14:textFill>
              </w:rPr>
              <w:t>0</w:t>
            </w:r>
            <w:r>
              <w:rPr>
                <w:rFonts w:cs="Times New Roman"/>
                <w:color w:val="000000" w:themeColor="text1"/>
                <w:kern w:val="0"/>
                <w:sz w:val="21"/>
                <w:szCs w:val="20"/>
                <w:highlight w:val="none"/>
                <w:vertAlign w:val="superscript"/>
                <w14:textFill>
                  <w14:solidFill>
                    <w14:schemeClr w14:val="tx1"/>
                  </w14:solidFill>
                </w14:textFill>
              </w:rPr>
              <w:t>4</w:t>
            </w:r>
            <w:r>
              <w:rPr>
                <w:rFonts w:hint="eastAsia" w:cs="Times New Roman"/>
                <w:color w:val="000000" w:themeColor="text1"/>
                <w:kern w:val="0"/>
                <w:sz w:val="21"/>
                <w:szCs w:val="20"/>
                <w:highlight w:val="none"/>
                <w14:textFill>
                  <w14:solidFill>
                    <w14:schemeClr w14:val="tx1"/>
                  </w14:solidFill>
                </w14:textFill>
              </w:rPr>
              <w:t>m</w:t>
            </w:r>
            <w:r>
              <w:rPr>
                <w:rFonts w:cs="Times New Roman"/>
                <w:color w:val="000000" w:themeColor="text1"/>
                <w:kern w:val="0"/>
                <w:sz w:val="21"/>
                <w:szCs w:val="20"/>
                <w:highlight w:val="none"/>
                <w:vertAlign w:val="superscript"/>
                <w14:textFill>
                  <w14:solidFill>
                    <w14:schemeClr w14:val="tx1"/>
                  </w14:solidFill>
                </w14:textFill>
              </w:rPr>
              <w:t>3</w:t>
            </w:r>
          </w:p>
        </w:tc>
        <w:tc>
          <w:tcPr>
            <w:tcW w:w="71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0</w:t>
            </w:r>
            <w:r>
              <w:rPr>
                <w:rFonts w:cs="Times New Roman"/>
                <w:color w:val="000000" w:themeColor="text1"/>
                <w:kern w:val="0"/>
                <w:sz w:val="21"/>
                <w:szCs w:val="20"/>
                <w:highlight w:val="none"/>
                <w14:textFill>
                  <w14:solidFill>
                    <w14:schemeClr w14:val="tx1"/>
                  </w14:solidFill>
                </w14:textFill>
              </w:rPr>
              <w:t>.6831</w:t>
            </w:r>
          </w:p>
        </w:tc>
        <w:tc>
          <w:tcPr>
            <w:tcW w:w="12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52"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8</w:t>
            </w:r>
            <w:r>
              <w:rPr>
                <w:rFonts w:cs="Times New Roman"/>
                <w:color w:val="000000" w:themeColor="text1"/>
                <w:kern w:val="0"/>
                <w:sz w:val="21"/>
                <w:szCs w:val="20"/>
                <w:highlight w:val="none"/>
                <w14:textFill>
                  <w14:solidFill>
                    <w14:schemeClr w14:val="tx1"/>
                  </w14:solidFill>
                </w14:textFill>
              </w:rPr>
              <w:t>.2</w:t>
            </w:r>
          </w:p>
        </w:tc>
        <w:tc>
          <w:tcPr>
            <w:tcW w:w="2196" w:type="pct"/>
            <w:vAlign w:val="center"/>
          </w:tcPr>
          <w:p>
            <w:pPr>
              <w:widowControl/>
              <w:adjustRightInd/>
              <w:snapToGrid/>
              <w:spacing w:line="240" w:lineRule="auto"/>
              <w:ind w:firstLine="480" w:firstLineChars="200"/>
              <w:jc w:val="center"/>
              <w:rPr>
                <w:rFonts w:cs="Times New Roman"/>
                <w:color w:val="000000" w:themeColor="text1"/>
                <w:kern w:val="0"/>
                <w:sz w:val="21"/>
                <w:szCs w:val="20"/>
                <w:highlight w:val="none"/>
                <w14:textFill>
                  <w14:solidFill>
                    <w14:schemeClr w14:val="tx1"/>
                  </w14:solidFill>
                </w14:textFill>
              </w:rPr>
            </w:pPr>
            <w:r>
              <w:rPr>
                <w:rFonts w:hint="eastAsia"/>
              </w:rPr>
              <w:t>**</w:t>
            </w:r>
          </w:p>
        </w:tc>
        <w:tc>
          <w:tcPr>
            <w:tcW w:w="53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1</w:t>
            </w:r>
            <w:r>
              <w:rPr>
                <w:rFonts w:cs="Times New Roman"/>
                <w:color w:val="000000" w:themeColor="text1"/>
                <w:kern w:val="0"/>
                <w:sz w:val="21"/>
                <w:szCs w:val="20"/>
                <w:highlight w:val="none"/>
                <w14:textFill>
                  <w14:solidFill>
                    <w14:schemeClr w14:val="tx1"/>
                  </w14:solidFill>
                </w14:textFill>
              </w:rPr>
              <w:t>0</w:t>
            </w:r>
            <w:r>
              <w:rPr>
                <w:rFonts w:cs="Times New Roman"/>
                <w:color w:val="000000" w:themeColor="text1"/>
                <w:kern w:val="0"/>
                <w:sz w:val="21"/>
                <w:szCs w:val="20"/>
                <w:highlight w:val="none"/>
                <w:vertAlign w:val="superscript"/>
                <w14:textFill>
                  <w14:solidFill>
                    <w14:schemeClr w14:val="tx1"/>
                  </w14:solidFill>
                </w14:textFill>
              </w:rPr>
              <w:t>4</w:t>
            </w:r>
            <w:r>
              <w:rPr>
                <w:rFonts w:hint="eastAsia" w:cs="Times New Roman"/>
                <w:color w:val="000000" w:themeColor="text1"/>
                <w:kern w:val="0"/>
                <w:sz w:val="21"/>
                <w:szCs w:val="20"/>
                <w:highlight w:val="none"/>
                <w14:textFill>
                  <w14:solidFill>
                    <w14:schemeClr w14:val="tx1"/>
                  </w14:solidFill>
                </w14:textFill>
              </w:rPr>
              <w:t>m</w:t>
            </w:r>
            <w:r>
              <w:rPr>
                <w:rFonts w:cs="Times New Roman"/>
                <w:color w:val="000000" w:themeColor="text1"/>
                <w:kern w:val="0"/>
                <w:sz w:val="21"/>
                <w:szCs w:val="20"/>
                <w:highlight w:val="none"/>
                <w:vertAlign w:val="superscript"/>
                <w14:textFill>
                  <w14:solidFill>
                    <w14:schemeClr w14:val="tx1"/>
                  </w14:solidFill>
                </w14:textFill>
              </w:rPr>
              <w:t>3</w:t>
            </w:r>
          </w:p>
        </w:tc>
        <w:tc>
          <w:tcPr>
            <w:tcW w:w="71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7</w:t>
            </w:r>
            <w:r>
              <w:rPr>
                <w:rFonts w:cs="Times New Roman"/>
                <w:color w:val="000000" w:themeColor="text1"/>
                <w:kern w:val="0"/>
                <w:sz w:val="21"/>
                <w:szCs w:val="20"/>
                <w:highlight w:val="none"/>
                <w14:textFill>
                  <w14:solidFill>
                    <w14:schemeClr w14:val="tx1"/>
                  </w14:solidFill>
                </w14:textFill>
              </w:rPr>
              <w:t>.5963</w:t>
            </w:r>
          </w:p>
        </w:tc>
        <w:tc>
          <w:tcPr>
            <w:tcW w:w="12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52"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1）</w:t>
            </w:r>
          </w:p>
        </w:tc>
        <w:tc>
          <w:tcPr>
            <w:tcW w:w="2196" w:type="pct"/>
            <w:vAlign w:val="center"/>
          </w:tcPr>
          <w:p>
            <w:pPr>
              <w:widowControl/>
              <w:adjustRightInd/>
              <w:snapToGrid/>
              <w:spacing w:line="240" w:lineRule="auto"/>
              <w:ind w:firstLine="480" w:firstLineChars="200"/>
              <w:jc w:val="center"/>
              <w:rPr>
                <w:rFonts w:cs="Times New Roman"/>
                <w:color w:val="000000" w:themeColor="text1"/>
                <w:kern w:val="0"/>
                <w:sz w:val="21"/>
                <w:szCs w:val="20"/>
                <w:highlight w:val="none"/>
                <w14:textFill>
                  <w14:solidFill>
                    <w14:schemeClr w14:val="tx1"/>
                  </w14:solidFill>
                </w14:textFill>
              </w:rPr>
            </w:pPr>
            <w:r>
              <w:rPr>
                <w:rFonts w:hint="eastAsia"/>
              </w:rPr>
              <w:t>**</w:t>
            </w:r>
          </w:p>
        </w:tc>
        <w:tc>
          <w:tcPr>
            <w:tcW w:w="53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1</w:t>
            </w:r>
            <w:r>
              <w:rPr>
                <w:rFonts w:cs="Times New Roman"/>
                <w:color w:val="000000" w:themeColor="text1"/>
                <w:kern w:val="0"/>
                <w:sz w:val="21"/>
                <w:szCs w:val="20"/>
                <w:highlight w:val="none"/>
                <w14:textFill>
                  <w14:solidFill>
                    <w14:schemeClr w14:val="tx1"/>
                  </w14:solidFill>
                </w14:textFill>
              </w:rPr>
              <w:t>0</w:t>
            </w:r>
            <w:r>
              <w:rPr>
                <w:rFonts w:cs="Times New Roman"/>
                <w:color w:val="000000" w:themeColor="text1"/>
                <w:kern w:val="0"/>
                <w:sz w:val="21"/>
                <w:szCs w:val="20"/>
                <w:highlight w:val="none"/>
                <w:vertAlign w:val="superscript"/>
                <w14:textFill>
                  <w14:solidFill>
                    <w14:schemeClr w14:val="tx1"/>
                  </w14:solidFill>
                </w14:textFill>
              </w:rPr>
              <w:t>4</w:t>
            </w:r>
            <w:r>
              <w:rPr>
                <w:rFonts w:hint="eastAsia" w:cs="Times New Roman"/>
                <w:color w:val="000000" w:themeColor="text1"/>
                <w:kern w:val="0"/>
                <w:sz w:val="21"/>
                <w:szCs w:val="20"/>
                <w:highlight w:val="none"/>
                <w14:textFill>
                  <w14:solidFill>
                    <w14:schemeClr w14:val="tx1"/>
                  </w14:solidFill>
                </w14:textFill>
              </w:rPr>
              <w:t>m</w:t>
            </w:r>
            <w:r>
              <w:rPr>
                <w:rFonts w:cs="Times New Roman"/>
                <w:color w:val="000000" w:themeColor="text1"/>
                <w:kern w:val="0"/>
                <w:sz w:val="21"/>
                <w:szCs w:val="20"/>
                <w:highlight w:val="none"/>
                <w:vertAlign w:val="superscript"/>
                <w14:textFill>
                  <w14:solidFill>
                    <w14:schemeClr w14:val="tx1"/>
                  </w14:solidFill>
                </w14:textFill>
              </w:rPr>
              <w:t>3</w:t>
            </w:r>
          </w:p>
        </w:tc>
        <w:tc>
          <w:tcPr>
            <w:tcW w:w="71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4</w:t>
            </w:r>
            <w:r>
              <w:rPr>
                <w:rFonts w:cs="Times New Roman"/>
                <w:color w:val="000000" w:themeColor="text1"/>
                <w:kern w:val="0"/>
                <w:sz w:val="21"/>
                <w:szCs w:val="20"/>
                <w:highlight w:val="none"/>
                <w14:textFill>
                  <w14:solidFill>
                    <w14:schemeClr w14:val="tx1"/>
                  </w14:solidFill>
                </w14:textFill>
              </w:rPr>
              <w:t>.8512</w:t>
            </w:r>
          </w:p>
        </w:tc>
        <w:tc>
          <w:tcPr>
            <w:tcW w:w="12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52"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2）</w:t>
            </w:r>
          </w:p>
        </w:tc>
        <w:tc>
          <w:tcPr>
            <w:tcW w:w="2196" w:type="pct"/>
            <w:vAlign w:val="center"/>
          </w:tcPr>
          <w:p>
            <w:pPr>
              <w:widowControl/>
              <w:adjustRightInd/>
              <w:snapToGrid/>
              <w:spacing w:line="240" w:lineRule="auto"/>
              <w:ind w:firstLine="480" w:firstLineChars="200"/>
              <w:jc w:val="center"/>
              <w:rPr>
                <w:rFonts w:cs="Times New Roman"/>
                <w:color w:val="000000" w:themeColor="text1"/>
                <w:kern w:val="0"/>
                <w:sz w:val="21"/>
                <w:szCs w:val="20"/>
                <w:highlight w:val="none"/>
                <w14:textFill>
                  <w14:solidFill>
                    <w14:schemeClr w14:val="tx1"/>
                  </w14:solidFill>
                </w14:textFill>
              </w:rPr>
            </w:pPr>
            <w:r>
              <w:rPr>
                <w:rFonts w:hint="eastAsia"/>
              </w:rPr>
              <w:t>**</w:t>
            </w:r>
          </w:p>
        </w:tc>
        <w:tc>
          <w:tcPr>
            <w:tcW w:w="53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1</w:t>
            </w:r>
            <w:r>
              <w:rPr>
                <w:rFonts w:cs="Times New Roman"/>
                <w:color w:val="000000" w:themeColor="text1"/>
                <w:kern w:val="0"/>
                <w:sz w:val="21"/>
                <w:szCs w:val="20"/>
                <w:highlight w:val="none"/>
                <w14:textFill>
                  <w14:solidFill>
                    <w14:schemeClr w14:val="tx1"/>
                  </w14:solidFill>
                </w14:textFill>
              </w:rPr>
              <w:t>0</w:t>
            </w:r>
            <w:r>
              <w:rPr>
                <w:rFonts w:cs="Times New Roman"/>
                <w:color w:val="000000" w:themeColor="text1"/>
                <w:kern w:val="0"/>
                <w:sz w:val="21"/>
                <w:szCs w:val="20"/>
                <w:highlight w:val="none"/>
                <w:vertAlign w:val="superscript"/>
                <w14:textFill>
                  <w14:solidFill>
                    <w14:schemeClr w14:val="tx1"/>
                  </w14:solidFill>
                </w14:textFill>
              </w:rPr>
              <w:t>4</w:t>
            </w:r>
            <w:r>
              <w:rPr>
                <w:rFonts w:hint="eastAsia" w:cs="Times New Roman"/>
                <w:color w:val="000000" w:themeColor="text1"/>
                <w:kern w:val="0"/>
                <w:sz w:val="21"/>
                <w:szCs w:val="20"/>
                <w:highlight w:val="none"/>
                <w14:textFill>
                  <w14:solidFill>
                    <w14:schemeClr w14:val="tx1"/>
                  </w14:solidFill>
                </w14:textFill>
              </w:rPr>
              <w:t>m</w:t>
            </w:r>
            <w:r>
              <w:rPr>
                <w:rFonts w:cs="Times New Roman"/>
                <w:color w:val="000000" w:themeColor="text1"/>
                <w:kern w:val="0"/>
                <w:sz w:val="21"/>
                <w:szCs w:val="20"/>
                <w:highlight w:val="none"/>
                <w:vertAlign w:val="superscript"/>
                <w14:textFill>
                  <w14:solidFill>
                    <w14:schemeClr w14:val="tx1"/>
                  </w14:solidFill>
                </w14:textFill>
              </w:rPr>
              <w:t>3</w:t>
            </w:r>
          </w:p>
        </w:tc>
        <w:tc>
          <w:tcPr>
            <w:tcW w:w="71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2</w:t>
            </w:r>
            <w:r>
              <w:rPr>
                <w:rFonts w:cs="Times New Roman"/>
                <w:color w:val="000000" w:themeColor="text1"/>
                <w:kern w:val="0"/>
                <w:sz w:val="21"/>
                <w:szCs w:val="20"/>
                <w:highlight w:val="none"/>
                <w14:textFill>
                  <w14:solidFill>
                    <w14:schemeClr w14:val="tx1"/>
                  </w14:solidFill>
                </w14:textFill>
              </w:rPr>
              <w:t>.745</w:t>
            </w:r>
          </w:p>
        </w:tc>
        <w:tc>
          <w:tcPr>
            <w:tcW w:w="12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52"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8</w:t>
            </w:r>
            <w:r>
              <w:rPr>
                <w:rFonts w:cs="Times New Roman"/>
                <w:color w:val="000000" w:themeColor="text1"/>
                <w:kern w:val="0"/>
                <w:sz w:val="21"/>
                <w:szCs w:val="20"/>
                <w:highlight w:val="none"/>
                <w14:textFill>
                  <w14:solidFill>
                    <w14:schemeClr w14:val="tx1"/>
                  </w14:solidFill>
                </w14:textFill>
              </w:rPr>
              <w:t>.3</w:t>
            </w:r>
          </w:p>
        </w:tc>
        <w:tc>
          <w:tcPr>
            <w:tcW w:w="2196" w:type="pct"/>
            <w:vAlign w:val="center"/>
          </w:tcPr>
          <w:p>
            <w:pPr>
              <w:widowControl/>
              <w:adjustRightInd/>
              <w:snapToGrid/>
              <w:spacing w:line="240" w:lineRule="auto"/>
              <w:ind w:firstLine="480" w:firstLineChars="200"/>
              <w:jc w:val="center"/>
              <w:rPr>
                <w:rFonts w:cs="Times New Roman"/>
                <w:color w:val="000000" w:themeColor="text1"/>
                <w:kern w:val="0"/>
                <w:sz w:val="21"/>
                <w:szCs w:val="20"/>
                <w:highlight w:val="none"/>
                <w14:textFill>
                  <w14:solidFill>
                    <w14:schemeClr w14:val="tx1"/>
                  </w14:solidFill>
                </w14:textFill>
              </w:rPr>
            </w:pPr>
            <w:r>
              <w:rPr>
                <w:rFonts w:hint="eastAsia"/>
              </w:rPr>
              <w:t>**</w:t>
            </w:r>
          </w:p>
        </w:tc>
        <w:tc>
          <w:tcPr>
            <w:tcW w:w="53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1</w:t>
            </w:r>
            <w:r>
              <w:rPr>
                <w:rFonts w:cs="Times New Roman"/>
                <w:color w:val="000000" w:themeColor="text1"/>
                <w:kern w:val="0"/>
                <w:sz w:val="21"/>
                <w:szCs w:val="20"/>
                <w:highlight w:val="none"/>
                <w14:textFill>
                  <w14:solidFill>
                    <w14:schemeClr w14:val="tx1"/>
                  </w14:solidFill>
                </w14:textFill>
              </w:rPr>
              <w:t>0</w:t>
            </w:r>
            <w:r>
              <w:rPr>
                <w:rFonts w:cs="Times New Roman"/>
                <w:color w:val="000000" w:themeColor="text1"/>
                <w:kern w:val="0"/>
                <w:sz w:val="21"/>
                <w:szCs w:val="20"/>
                <w:highlight w:val="none"/>
                <w:vertAlign w:val="superscript"/>
                <w14:textFill>
                  <w14:solidFill>
                    <w14:schemeClr w14:val="tx1"/>
                  </w14:solidFill>
                </w14:textFill>
              </w:rPr>
              <w:t>4</w:t>
            </w:r>
            <w:r>
              <w:rPr>
                <w:rFonts w:hint="eastAsia" w:cs="Times New Roman"/>
                <w:color w:val="000000" w:themeColor="text1"/>
                <w:kern w:val="0"/>
                <w:sz w:val="21"/>
                <w:szCs w:val="20"/>
                <w:highlight w:val="none"/>
                <w14:textFill>
                  <w14:solidFill>
                    <w14:schemeClr w14:val="tx1"/>
                  </w14:solidFill>
                </w14:textFill>
              </w:rPr>
              <w:t>m</w:t>
            </w:r>
            <w:r>
              <w:rPr>
                <w:rFonts w:cs="Times New Roman"/>
                <w:color w:val="000000" w:themeColor="text1"/>
                <w:kern w:val="0"/>
                <w:sz w:val="21"/>
                <w:szCs w:val="20"/>
                <w:highlight w:val="none"/>
                <w:vertAlign w:val="superscript"/>
                <w14:textFill>
                  <w14:solidFill>
                    <w14:schemeClr w14:val="tx1"/>
                  </w14:solidFill>
                </w14:textFill>
              </w:rPr>
              <w:t>3</w:t>
            </w:r>
          </w:p>
        </w:tc>
        <w:tc>
          <w:tcPr>
            <w:tcW w:w="71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0</w:t>
            </w:r>
            <w:r>
              <w:rPr>
                <w:rFonts w:cs="Times New Roman"/>
                <w:color w:val="000000" w:themeColor="text1"/>
                <w:kern w:val="0"/>
                <w:sz w:val="21"/>
                <w:szCs w:val="20"/>
                <w:highlight w:val="none"/>
                <w14:textFill>
                  <w14:solidFill>
                    <w14:schemeClr w14:val="tx1"/>
                  </w14:solidFill>
                </w14:textFill>
              </w:rPr>
              <w:t>.828</w:t>
            </w:r>
          </w:p>
        </w:tc>
        <w:tc>
          <w:tcPr>
            <w:tcW w:w="12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52"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9</w:t>
            </w:r>
          </w:p>
        </w:tc>
        <w:tc>
          <w:tcPr>
            <w:tcW w:w="2196" w:type="pct"/>
            <w:vAlign w:val="center"/>
          </w:tcPr>
          <w:p>
            <w:pPr>
              <w:widowControl/>
              <w:adjustRightInd/>
              <w:snapToGrid/>
              <w:spacing w:line="240" w:lineRule="auto"/>
              <w:ind w:firstLine="480" w:firstLineChars="200"/>
              <w:jc w:val="center"/>
              <w:rPr>
                <w:rFonts w:cs="Times New Roman"/>
                <w:color w:val="000000" w:themeColor="text1"/>
                <w:kern w:val="0"/>
                <w:sz w:val="21"/>
                <w:szCs w:val="20"/>
                <w:highlight w:val="none"/>
                <w14:textFill>
                  <w14:solidFill>
                    <w14:schemeClr w14:val="tx1"/>
                  </w14:solidFill>
                </w14:textFill>
              </w:rPr>
            </w:pPr>
            <w:r>
              <w:rPr>
                <w:rFonts w:hint="eastAsia"/>
              </w:rPr>
              <w:t>**</w:t>
            </w:r>
          </w:p>
        </w:tc>
        <w:tc>
          <w:tcPr>
            <w:tcW w:w="53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c>
          <w:tcPr>
            <w:tcW w:w="71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c>
          <w:tcPr>
            <w:tcW w:w="12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52"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9</w:t>
            </w:r>
            <w:r>
              <w:rPr>
                <w:rFonts w:cs="Times New Roman"/>
                <w:color w:val="000000" w:themeColor="text1"/>
                <w:kern w:val="0"/>
                <w:sz w:val="21"/>
                <w:szCs w:val="20"/>
                <w:highlight w:val="none"/>
                <w14:textFill>
                  <w14:solidFill>
                    <w14:schemeClr w14:val="tx1"/>
                  </w14:solidFill>
                </w14:textFill>
              </w:rPr>
              <w:t>.1</w:t>
            </w:r>
          </w:p>
        </w:tc>
        <w:tc>
          <w:tcPr>
            <w:tcW w:w="2196" w:type="pct"/>
            <w:vAlign w:val="center"/>
          </w:tcPr>
          <w:p>
            <w:pPr>
              <w:widowControl/>
              <w:adjustRightInd/>
              <w:snapToGrid/>
              <w:spacing w:line="240" w:lineRule="auto"/>
              <w:ind w:firstLine="480" w:firstLineChars="200"/>
              <w:jc w:val="center"/>
              <w:rPr>
                <w:rFonts w:cs="Times New Roman"/>
                <w:color w:val="000000" w:themeColor="text1"/>
                <w:kern w:val="0"/>
                <w:sz w:val="21"/>
                <w:szCs w:val="20"/>
                <w:highlight w:val="none"/>
                <w14:textFill>
                  <w14:solidFill>
                    <w14:schemeClr w14:val="tx1"/>
                  </w14:solidFill>
                </w14:textFill>
              </w:rPr>
            </w:pPr>
            <w:r>
              <w:rPr>
                <w:rFonts w:hint="eastAsia"/>
              </w:rPr>
              <w:t>**</w:t>
            </w:r>
          </w:p>
        </w:tc>
        <w:tc>
          <w:tcPr>
            <w:tcW w:w="53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亩</w:t>
            </w:r>
          </w:p>
        </w:tc>
        <w:tc>
          <w:tcPr>
            <w:tcW w:w="71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2</w:t>
            </w:r>
            <w:r>
              <w:rPr>
                <w:rFonts w:cs="Times New Roman"/>
                <w:color w:val="000000" w:themeColor="text1"/>
                <w:kern w:val="0"/>
                <w:sz w:val="21"/>
                <w:szCs w:val="20"/>
                <w:highlight w:val="none"/>
                <w14:textFill>
                  <w14:solidFill>
                    <w14:schemeClr w14:val="tx1"/>
                  </w14:solidFill>
                </w14:textFill>
              </w:rPr>
              <w:t>26.92</w:t>
            </w:r>
          </w:p>
        </w:tc>
        <w:tc>
          <w:tcPr>
            <w:tcW w:w="12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52"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9</w:t>
            </w:r>
            <w:r>
              <w:rPr>
                <w:rFonts w:cs="Times New Roman"/>
                <w:color w:val="000000" w:themeColor="text1"/>
                <w:kern w:val="0"/>
                <w:sz w:val="21"/>
                <w:szCs w:val="20"/>
                <w:highlight w:val="none"/>
                <w14:textFill>
                  <w14:solidFill>
                    <w14:schemeClr w14:val="tx1"/>
                  </w14:solidFill>
                </w14:textFill>
              </w:rPr>
              <w:t>.2</w:t>
            </w:r>
          </w:p>
        </w:tc>
        <w:tc>
          <w:tcPr>
            <w:tcW w:w="2196" w:type="pct"/>
            <w:vAlign w:val="center"/>
          </w:tcPr>
          <w:p>
            <w:pPr>
              <w:widowControl/>
              <w:adjustRightInd/>
              <w:snapToGrid/>
              <w:spacing w:line="240" w:lineRule="auto"/>
              <w:ind w:firstLine="480" w:firstLineChars="200"/>
              <w:jc w:val="center"/>
              <w:rPr>
                <w:rFonts w:cs="Times New Roman"/>
                <w:color w:val="000000" w:themeColor="text1"/>
                <w:kern w:val="0"/>
                <w:sz w:val="21"/>
                <w:szCs w:val="20"/>
                <w:highlight w:val="none"/>
                <w14:textFill>
                  <w14:solidFill>
                    <w14:schemeClr w14:val="tx1"/>
                  </w14:solidFill>
                </w14:textFill>
              </w:rPr>
            </w:pPr>
            <w:r>
              <w:rPr>
                <w:rFonts w:hint="eastAsia"/>
              </w:rPr>
              <w:t>**</w:t>
            </w:r>
          </w:p>
        </w:tc>
        <w:tc>
          <w:tcPr>
            <w:tcW w:w="53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亩</w:t>
            </w:r>
          </w:p>
        </w:tc>
        <w:tc>
          <w:tcPr>
            <w:tcW w:w="71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0</w:t>
            </w:r>
            <w:r>
              <w:rPr>
                <w:rFonts w:cs="Times New Roman"/>
                <w:color w:val="000000" w:themeColor="text1"/>
                <w:kern w:val="0"/>
                <w:sz w:val="21"/>
                <w:szCs w:val="20"/>
                <w:highlight w:val="none"/>
                <w14:textFill>
                  <w14:solidFill>
                    <w14:schemeClr w14:val="tx1"/>
                  </w14:solidFill>
                </w14:textFill>
              </w:rPr>
              <w:t>.41</w:t>
            </w:r>
          </w:p>
        </w:tc>
        <w:tc>
          <w:tcPr>
            <w:tcW w:w="12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52"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1</w:t>
            </w:r>
            <w:r>
              <w:rPr>
                <w:rFonts w:cs="Times New Roman"/>
                <w:color w:val="000000" w:themeColor="text1"/>
                <w:kern w:val="0"/>
                <w:sz w:val="21"/>
                <w:szCs w:val="20"/>
                <w:highlight w:val="none"/>
                <w14:textFill>
                  <w14:solidFill>
                    <w14:schemeClr w14:val="tx1"/>
                  </w14:solidFill>
                </w14:textFill>
              </w:rPr>
              <w:t>0</w:t>
            </w:r>
          </w:p>
        </w:tc>
        <w:tc>
          <w:tcPr>
            <w:tcW w:w="2196" w:type="pct"/>
            <w:vAlign w:val="center"/>
          </w:tcPr>
          <w:p>
            <w:pPr>
              <w:widowControl/>
              <w:adjustRightInd/>
              <w:snapToGrid/>
              <w:spacing w:line="240" w:lineRule="auto"/>
              <w:ind w:firstLine="480" w:firstLineChars="200"/>
              <w:jc w:val="center"/>
              <w:rPr>
                <w:rFonts w:cs="Times New Roman"/>
                <w:color w:val="000000" w:themeColor="text1"/>
                <w:kern w:val="0"/>
                <w:sz w:val="21"/>
                <w:szCs w:val="20"/>
                <w:highlight w:val="none"/>
                <w14:textFill>
                  <w14:solidFill>
                    <w14:schemeClr w14:val="tx1"/>
                  </w14:solidFill>
                </w14:textFill>
              </w:rPr>
            </w:pPr>
            <w:r>
              <w:rPr>
                <w:rFonts w:hint="eastAsia"/>
              </w:rPr>
              <w:t>**</w:t>
            </w:r>
          </w:p>
        </w:tc>
        <w:tc>
          <w:tcPr>
            <w:tcW w:w="53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c>
          <w:tcPr>
            <w:tcW w:w="71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c>
          <w:tcPr>
            <w:tcW w:w="12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52"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1</w:t>
            </w:r>
            <w:r>
              <w:rPr>
                <w:rFonts w:cs="Times New Roman"/>
                <w:color w:val="000000" w:themeColor="text1"/>
                <w:kern w:val="0"/>
                <w:sz w:val="21"/>
                <w:szCs w:val="20"/>
                <w:highlight w:val="none"/>
                <w14:textFill>
                  <w14:solidFill>
                    <w14:schemeClr w14:val="tx1"/>
                  </w14:solidFill>
                </w14:textFill>
              </w:rPr>
              <w:t>0.1</w:t>
            </w:r>
          </w:p>
        </w:tc>
        <w:tc>
          <w:tcPr>
            <w:tcW w:w="2196" w:type="pct"/>
            <w:vAlign w:val="center"/>
          </w:tcPr>
          <w:p>
            <w:pPr>
              <w:widowControl/>
              <w:adjustRightInd/>
              <w:snapToGrid/>
              <w:spacing w:line="240" w:lineRule="auto"/>
              <w:ind w:firstLine="480" w:firstLineChars="200"/>
              <w:jc w:val="center"/>
              <w:rPr>
                <w:rFonts w:cs="Times New Roman"/>
                <w:color w:val="000000" w:themeColor="text1"/>
                <w:kern w:val="0"/>
                <w:sz w:val="21"/>
                <w:szCs w:val="20"/>
                <w:highlight w:val="none"/>
                <w14:textFill>
                  <w14:solidFill>
                    <w14:schemeClr w14:val="tx1"/>
                  </w14:solidFill>
                </w14:textFill>
              </w:rPr>
            </w:pPr>
            <w:r>
              <w:rPr>
                <w:rFonts w:hint="eastAsia"/>
              </w:rPr>
              <w:t>**</w:t>
            </w:r>
          </w:p>
        </w:tc>
        <w:tc>
          <w:tcPr>
            <w:tcW w:w="53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km</w:t>
            </w:r>
          </w:p>
        </w:tc>
        <w:tc>
          <w:tcPr>
            <w:tcW w:w="71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2</w:t>
            </w:r>
          </w:p>
        </w:tc>
        <w:tc>
          <w:tcPr>
            <w:tcW w:w="12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52"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1</w:t>
            </w:r>
            <w:r>
              <w:rPr>
                <w:rFonts w:cs="Times New Roman"/>
                <w:color w:val="000000" w:themeColor="text1"/>
                <w:kern w:val="0"/>
                <w:sz w:val="21"/>
                <w:szCs w:val="20"/>
                <w:highlight w:val="none"/>
                <w14:textFill>
                  <w14:solidFill>
                    <w14:schemeClr w14:val="tx1"/>
                  </w14:solidFill>
                </w14:textFill>
              </w:rPr>
              <w:t>0.2</w:t>
            </w:r>
          </w:p>
        </w:tc>
        <w:tc>
          <w:tcPr>
            <w:tcW w:w="2196" w:type="pct"/>
            <w:vAlign w:val="center"/>
          </w:tcPr>
          <w:p>
            <w:pPr>
              <w:widowControl/>
              <w:adjustRightInd/>
              <w:snapToGrid/>
              <w:spacing w:line="240" w:lineRule="auto"/>
              <w:ind w:firstLine="480" w:firstLineChars="200"/>
              <w:jc w:val="center"/>
              <w:rPr>
                <w:rFonts w:cs="Times New Roman"/>
                <w:color w:val="000000" w:themeColor="text1"/>
                <w:kern w:val="0"/>
                <w:sz w:val="21"/>
                <w:szCs w:val="20"/>
                <w:highlight w:val="none"/>
                <w14:textFill>
                  <w14:solidFill>
                    <w14:schemeClr w14:val="tx1"/>
                  </w14:solidFill>
                </w14:textFill>
              </w:rPr>
            </w:pPr>
            <w:r>
              <w:rPr>
                <w:rFonts w:hint="eastAsia"/>
              </w:rPr>
              <w:t>**</w:t>
            </w:r>
          </w:p>
        </w:tc>
        <w:tc>
          <w:tcPr>
            <w:tcW w:w="53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km</w:t>
            </w:r>
          </w:p>
        </w:tc>
        <w:tc>
          <w:tcPr>
            <w:tcW w:w="71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2</w:t>
            </w:r>
          </w:p>
        </w:tc>
        <w:tc>
          <w:tcPr>
            <w:tcW w:w="12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52"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1</w:t>
            </w:r>
            <w:r>
              <w:rPr>
                <w:rFonts w:cs="Times New Roman"/>
                <w:color w:val="000000" w:themeColor="text1"/>
                <w:kern w:val="0"/>
                <w:sz w:val="21"/>
                <w:szCs w:val="20"/>
                <w:highlight w:val="none"/>
                <w14:textFill>
                  <w14:solidFill>
                    <w14:schemeClr w14:val="tx1"/>
                  </w14:solidFill>
                </w14:textFill>
              </w:rPr>
              <w:t>1</w:t>
            </w:r>
          </w:p>
        </w:tc>
        <w:tc>
          <w:tcPr>
            <w:tcW w:w="2196" w:type="pct"/>
            <w:vAlign w:val="center"/>
          </w:tcPr>
          <w:p>
            <w:pPr>
              <w:widowControl/>
              <w:adjustRightInd/>
              <w:snapToGrid/>
              <w:spacing w:line="240" w:lineRule="auto"/>
              <w:ind w:firstLine="480" w:firstLineChars="200"/>
              <w:jc w:val="center"/>
              <w:rPr>
                <w:rFonts w:cs="Times New Roman"/>
                <w:color w:val="000000" w:themeColor="text1"/>
                <w:kern w:val="0"/>
                <w:sz w:val="21"/>
                <w:szCs w:val="20"/>
                <w:highlight w:val="none"/>
                <w14:textFill>
                  <w14:solidFill>
                    <w14:schemeClr w14:val="tx1"/>
                  </w14:solidFill>
                </w14:textFill>
              </w:rPr>
            </w:pPr>
            <w:r>
              <w:rPr>
                <w:rFonts w:hint="eastAsia"/>
              </w:rPr>
              <w:t>**</w:t>
            </w:r>
          </w:p>
        </w:tc>
        <w:tc>
          <w:tcPr>
            <w:tcW w:w="53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km</w:t>
            </w:r>
          </w:p>
        </w:tc>
        <w:tc>
          <w:tcPr>
            <w:tcW w:w="71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hint="eastAsia" w:cs="Times New Roman"/>
                <w:color w:val="000000" w:themeColor="text1"/>
                <w:kern w:val="0"/>
                <w:sz w:val="21"/>
                <w:szCs w:val="20"/>
                <w:highlight w:val="none"/>
                <w14:textFill>
                  <w14:solidFill>
                    <w14:schemeClr w14:val="tx1"/>
                  </w14:solidFill>
                </w14:textFill>
              </w:rPr>
              <w:t>1</w:t>
            </w:r>
            <w:r>
              <w:rPr>
                <w:rFonts w:cs="Times New Roman"/>
                <w:color w:val="000000" w:themeColor="text1"/>
                <w:kern w:val="0"/>
                <w:sz w:val="21"/>
                <w:szCs w:val="20"/>
                <w:highlight w:val="none"/>
                <w14:textFill>
                  <w14:solidFill>
                    <w14:schemeClr w14:val="tx1"/>
                  </w14:solidFill>
                </w14:textFill>
              </w:rPr>
              <w:t>1.8</w:t>
            </w:r>
          </w:p>
        </w:tc>
        <w:tc>
          <w:tcPr>
            <w:tcW w:w="12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p>
        </w:tc>
      </w:tr>
    </w:tbl>
    <w:p>
      <w:pPr>
        <w:numPr>
          <w:ilvl w:val="0"/>
          <w:numId w:val="11"/>
        </w:numPr>
        <w:adjustRightInd/>
        <w:snapToGrid/>
        <w:spacing w:before="120" w:beforeLines="50"/>
        <w:ind w:firstLineChars="0"/>
        <w:jc w:val="left"/>
        <w:textAlignment w:val="baseline"/>
        <w:rPr>
          <w:rFonts w:cs="Times New Roman"/>
          <w:b/>
          <w:bCs/>
          <w:color w:val="000000" w:themeColor="text1"/>
          <w:kern w:val="0"/>
          <w:szCs w:val="24"/>
          <w:highlight w:val="none"/>
          <w14:textFill>
            <w14:solidFill>
              <w14:schemeClr w14:val="tx1"/>
            </w14:solidFill>
          </w14:textFill>
        </w:rPr>
      </w:pPr>
      <w:r>
        <w:rPr>
          <w:rFonts w:cs="Times New Roman"/>
          <w:b/>
          <w:bCs/>
          <w:color w:val="000000" w:themeColor="text1"/>
          <w:kern w:val="0"/>
          <w:szCs w:val="24"/>
          <w:highlight w:val="none"/>
          <w14:textFill>
            <w14:solidFill>
              <w14:schemeClr w14:val="tx1"/>
            </w14:solidFill>
          </w14:textFill>
        </w:rPr>
        <w:t>临时工程</w:t>
      </w:r>
    </w:p>
    <w:p>
      <w:pPr>
        <w:widowControl/>
        <w:adjustRightInd/>
        <w:snapToGrid/>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本项目周围生活条件较好，项目现场不设置施工营地，现场施工人员食宿租用</w:t>
      </w:r>
      <w:r>
        <w:rPr>
          <w:rFonts w:hint="eastAsia" w:cs="Times New Roman"/>
          <w:color w:val="000000" w:themeColor="text1"/>
          <w:szCs w:val="24"/>
          <w:highlight w:val="none"/>
          <w14:textFill>
            <w14:solidFill>
              <w14:schemeClr w14:val="tx1"/>
            </w14:solidFill>
          </w14:textFill>
        </w:rPr>
        <w:t>施工场地</w:t>
      </w:r>
      <w:r>
        <w:rPr>
          <w:rFonts w:cs="Times New Roman"/>
          <w:color w:val="000000" w:themeColor="text1"/>
          <w:szCs w:val="24"/>
          <w:highlight w:val="none"/>
          <w14:textFill>
            <w14:solidFill>
              <w14:schemeClr w14:val="tx1"/>
            </w14:solidFill>
          </w14:textFill>
        </w:rPr>
        <w:t>周围</w:t>
      </w:r>
      <w:r>
        <w:rPr>
          <w:rFonts w:hint="eastAsia" w:cs="Times New Roman"/>
          <w:color w:val="000000" w:themeColor="text1"/>
          <w:szCs w:val="24"/>
          <w:highlight w:val="none"/>
          <w14:textFill>
            <w14:solidFill>
              <w14:schemeClr w14:val="tx1"/>
            </w14:solidFill>
          </w14:textFill>
        </w:rPr>
        <w:t>民房</w:t>
      </w:r>
      <w:r>
        <w:rPr>
          <w:rFonts w:cs="Times New Roman"/>
          <w:color w:val="000000" w:themeColor="text1"/>
          <w:szCs w:val="24"/>
          <w:highlight w:val="none"/>
          <w14:textFill>
            <w14:solidFill>
              <w14:schemeClr w14:val="tx1"/>
            </w14:solidFill>
          </w14:textFill>
        </w:rPr>
        <w:t>。</w:t>
      </w:r>
    </w:p>
    <w:p>
      <w:pPr>
        <w:widowControl/>
        <w:adjustRightInd/>
        <w:snapToGrid/>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（1）</w:t>
      </w:r>
      <w:r>
        <w:rPr>
          <w:rFonts w:cs="Times New Roman"/>
          <w:color w:val="000000" w:themeColor="text1"/>
          <w:szCs w:val="24"/>
          <w:highlight w:val="none"/>
          <w14:textFill>
            <w14:solidFill>
              <w14:schemeClr w14:val="tx1"/>
            </w14:solidFill>
          </w14:textFill>
        </w:rPr>
        <w:t>施工作业带</w:t>
      </w:r>
    </w:p>
    <w:p>
      <w:pPr>
        <w:widowControl/>
        <w:adjustRightInd/>
        <w:snapToGrid/>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w:t>
      </w:r>
      <w:r>
        <w:rPr>
          <w:rFonts w:hint="eastAsia" w:cs="Times New Roman"/>
          <w:color w:val="000000" w:themeColor="text1"/>
          <w:szCs w:val="24"/>
          <w:highlight w:val="none"/>
          <w14:textFill>
            <w14:solidFill>
              <w14:schemeClr w14:val="tx1"/>
            </w14:solidFill>
          </w14:textFill>
        </w:rPr>
        <w:t>项目</w:t>
      </w:r>
      <w:r>
        <w:rPr>
          <w:rFonts w:cs="Times New Roman"/>
          <w:color w:val="000000" w:themeColor="text1"/>
          <w:szCs w:val="24"/>
          <w:highlight w:val="none"/>
          <w14:textFill>
            <w14:solidFill>
              <w14:schemeClr w14:val="tx1"/>
            </w14:solidFill>
          </w14:textFill>
        </w:rPr>
        <w:t>管道施工作业带</w:t>
      </w:r>
      <w:r>
        <w:rPr>
          <w:rFonts w:hint="eastAsia" w:cs="Times New Roman"/>
          <w:color w:val="000000" w:themeColor="text1"/>
          <w:szCs w:val="24"/>
          <w:highlight w:val="none"/>
          <w14:textFill>
            <w14:solidFill>
              <w14:schemeClr w14:val="tx1"/>
            </w14:solidFill>
          </w14:textFill>
        </w:rPr>
        <w:t>宽度水田为10m、旱地为8m、林地为6m、果园为6m</w:t>
      </w:r>
      <w:r>
        <w:rPr>
          <w:rFonts w:cs="Times New Roman"/>
          <w:color w:val="000000" w:themeColor="text1"/>
          <w:szCs w:val="24"/>
          <w:highlight w:val="none"/>
          <w14:textFill>
            <w14:solidFill>
              <w14:schemeClr w14:val="tx1"/>
            </w14:solidFill>
          </w14:textFill>
        </w:rPr>
        <w:t>。在满足现场机械化施工需要的前提下，应尽量减小施工作业带宽度，同时施工作业带只进行临时性占用土地，施工完毕后应立即恢复原地貌。</w:t>
      </w:r>
    </w:p>
    <w:p>
      <w:pPr>
        <w:widowControl/>
        <w:adjustRightInd/>
        <w:snapToGrid/>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（2）施工便道</w:t>
      </w:r>
    </w:p>
    <w:p>
      <w:pPr>
        <w:widowControl/>
        <w:adjustRightInd/>
        <w:snapToGrid/>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w:t>
      </w:r>
      <w:r>
        <w:rPr>
          <w:rFonts w:hint="eastAsia" w:cs="Times New Roman"/>
          <w:color w:val="000000" w:themeColor="text1"/>
          <w:szCs w:val="24"/>
          <w:highlight w:val="none"/>
          <w14:textFill>
            <w14:solidFill>
              <w14:schemeClr w14:val="tx1"/>
            </w14:solidFill>
          </w14:textFill>
        </w:rPr>
        <w:t>项目管线</w:t>
      </w:r>
      <w:r>
        <w:rPr>
          <w:rFonts w:cs="Times New Roman"/>
          <w:color w:val="000000" w:themeColor="text1"/>
          <w:szCs w:val="24"/>
          <w:highlight w:val="none"/>
          <w14:textFill>
            <w14:solidFill>
              <w14:schemeClr w14:val="tx1"/>
            </w14:solidFill>
          </w14:textFill>
        </w:rPr>
        <w:t>施工可依靠已有道路达到施工场地，部分地段作业带作为施工便道使用条件差，需考虑新建临时施工便道</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新建施工便道</w:t>
      </w:r>
      <w:r>
        <w:rPr>
          <w:rFonts w:hint="eastAsia" w:cs="Times New Roman"/>
          <w:color w:val="000000" w:themeColor="text1"/>
          <w:szCs w:val="24"/>
          <w:highlight w:val="none"/>
          <w14:textFill>
            <w14:solidFill>
              <w14:schemeClr w14:val="tx1"/>
            </w14:solidFill>
          </w14:textFill>
        </w:rPr>
        <w:t>长度约</w:t>
      </w:r>
      <w:r>
        <w:rPr>
          <w:rFonts w:cs="Times New Roman"/>
          <w:color w:val="000000" w:themeColor="text1"/>
          <w:szCs w:val="24"/>
          <w:highlight w:val="none"/>
          <w14:textFill>
            <w14:solidFill>
              <w14:schemeClr w14:val="tx1"/>
            </w14:solidFill>
          </w14:textFill>
        </w:rPr>
        <w:t>2.0km按照普通砂石路等级设计，砂石路面，坡度能适应运送管道，宽度</w:t>
      </w:r>
      <w:r>
        <w:rPr>
          <w:rFonts w:hint="eastAsia" w:cs="Times New Roman"/>
          <w:color w:val="000000" w:themeColor="text1"/>
          <w:szCs w:val="24"/>
          <w:highlight w:val="none"/>
          <w14:textFill>
            <w14:solidFill>
              <w14:schemeClr w14:val="tx1"/>
            </w14:solidFill>
          </w14:textFill>
        </w:rPr>
        <w:t>约</w:t>
      </w:r>
      <w:r>
        <w:rPr>
          <w:rFonts w:cs="Times New Roman"/>
          <w:color w:val="000000" w:themeColor="text1"/>
          <w:szCs w:val="24"/>
          <w:highlight w:val="none"/>
          <w14:textFill>
            <w14:solidFill>
              <w14:schemeClr w14:val="tx1"/>
            </w14:solidFill>
          </w14:textFill>
        </w:rPr>
        <w:t>4m。</w:t>
      </w:r>
    </w:p>
    <w:p>
      <w:pPr>
        <w:widowControl/>
        <w:adjustRightInd/>
        <w:snapToGrid/>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（3）</w:t>
      </w:r>
      <w:r>
        <w:rPr>
          <w:rFonts w:cs="Times New Roman"/>
          <w:color w:val="000000" w:themeColor="text1"/>
          <w:szCs w:val="24"/>
          <w:highlight w:val="none"/>
          <w14:textFill>
            <w14:solidFill>
              <w14:schemeClr w14:val="tx1"/>
            </w14:solidFill>
          </w14:textFill>
        </w:rPr>
        <w:t>堆管场</w:t>
      </w:r>
    </w:p>
    <w:p>
      <w:pPr>
        <w:widowControl/>
        <w:adjustRightInd/>
        <w:snapToGrid/>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w:t>
      </w:r>
      <w:r>
        <w:rPr>
          <w:rFonts w:hint="eastAsia" w:cs="Times New Roman"/>
          <w:color w:val="000000" w:themeColor="text1"/>
          <w:szCs w:val="24"/>
          <w:highlight w:val="none"/>
          <w14:textFill>
            <w14:solidFill>
              <w14:schemeClr w14:val="tx1"/>
            </w14:solidFill>
          </w14:textFill>
        </w:rPr>
        <w:t>项目管线长度较长，考虑每2km设置1处堆管场，</w:t>
      </w:r>
      <w:r>
        <w:rPr>
          <w:rFonts w:cs="Times New Roman"/>
          <w:color w:val="000000" w:themeColor="text1"/>
          <w:szCs w:val="24"/>
          <w:highlight w:val="none"/>
          <w14:textFill>
            <w14:solidFill>
              <w14:schemeClr w14:val="tx1"/>
            </w14:solidFill>
          </w14:textFill>
        </w:rPr>
        <w:t>全线共设置临时堆管场5处，</w:t>
      </w:r>
      <w:r>
        <w:rPr>
          <w:rFonts w:hint="eastAsia" w:cs="Times New Roman"/>
          <w:color w:val="000000" w:themeColor="text1"/>
          <w:szCs w:val="24"/>
          <w:highlight w:val="none"/>
          <w14:textFill>
            <w14:solidFill>
              <w14:schemeClr w14:val="tx1"/>
            </w14:solidFill>
          </w14:textFill>
        </w:rPr>
        <w:t>每处</w:t>
      </w:r>
      <w:r>
        <w:rPr>
          <w:rFonts w:cs="Times New Roman"/>
          <w:color w:val="000000" w:themeColor="text1"/>
          <w:szCs w:val="24"/>
          <w:highlight w:val="none"/>
          <w14:textFill>
            <w14:solidFill>
              <w14:schemeClr w14:val="tx1"/>
            </w14:solidFill>
          </w14:textFill>
        </w:rPr>
        <w:t>临时堆管场面积为</w:t>
      </w:r>
      <w:r>
        <w:rPr>
          <w:rFonts w:hint="eastAsia" w:cs="Times New Roman"/>
          <w:color w:val="000000" w:themeColor="text1"/>
          <w:szCs w:val="24"/>
          <w:highlight w:val="none"/>
          <w14:textFill>
            <w14:solidFill>
              <w14:schemeClr w14:val="tx1"/>
            </w14:solidFill>
          </w14:textFill>
        </w:rPr>
        <w:t>4</w:t>
      </w:r>
      <w:r>
        <w:rPr>
          <w:rFonts w:cs="Times New Roman"/>
          <w:color w:val="000000" w:themeColor="text1"/>
          <w:szCs w:val="24"/>
          <w:highlight w:val="none"/>
          <w14:textFill>
            <w14:solidFill>
              <w14:schemeClr w14:val="tx1"/>
            </w14:solidFill>
          </w14:textFill>
        </w:rPr>
        <w:t>00m</w:t>
      </w:r>
      <w:r>
        <w:rPr>
          <w:rFonts w:cs="Times New Roman"/>
          <w:color w:val="000000" w:themeColor="text1"/>
          <w:szCs w:val="24"/>
          <w:highlight w:val="none"/>
          <w:vertAlign w:val="superscript"/>
          <w14:textFill>
            <w14:solidFill>
              <w14:schemeClr w14:val="tx1"/>
            </w14:solidFill>
          </w14:textFill>
        </w:rPr>
        <w:t>2</w:t>
      </w:r>
      <w:r>
        <w:rPr>
          <w:rFonts w:cs="Times New Roman"/>
          <w:color w:val="000000" w:themeColor="text1"/>
          <w:szCs w:val="24"/>
          <w:highlight w:val="none"/>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2</w:t>
      </w:r>
      <w:r>
        <w:rPr>
          <w:rFonts w:cs="Times New Roman"/>
          <w:color w:val="000000" w:themeColor="text1"/>
          <w:szCs w:val="24"/>
          <w:highlight w:val="none"/>
          <w14:textFill>
            <w14:solidFill>
              <w14:schemeClr w14:val="tx1"/>
            </w14:solidFill>
          </w14:textFill>
        </w:rPr>
        <w:t>0×20m）</w:t>
      </w:r>
      <w:r>
        <w:rPr>
          <w:rFonts w:hint="eastAsia" w:cs="Times New Roman"/>
          <w:color w:val="000000" w:themeColor="text1"/>
          <w:szCs w:val="24"/>
          <w:highlight w:val="none"/>
          <w14:textFill>
            <w14:solidFill>
              <w14:schemeClr w14:val="tx1"/>
            </w14:solidFill>
          </w14:textFill>
        </w:rPr>
        <w:t>，堆管场位置根据现场施工情况确定</w:t>
      </w:r>
      <w:r>
        <w:rPr>
          <w:rFonts w:cs="Times New Roman"/>
          <w:color w:val="000000" w:themeColor="text1"/>
          <w:szCs w:val="24"/>
          <w:highlight w:val="none"/>
          <w14:textFill>
            <w14:solidFill>
              <w14:schemeClr w14:val="tx1"/>
            </w14:solidFill>
          </w14:textFill>
        </w:rPr>
        <w:t>。管道通过机械吊管的方式转运到敷设地点。</w:t>
      </w:r>
    </w:p>
    <w:p>
      <w:pPr>
        <w:widowControl/>
        <w:adjustRightInd/>
        <w:snapToGrid/>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（4）穿越点施工场地</w:t>
      </w:r>
    </w:p>
    <w:p>
      <w:pPr>
        <w:pStyle w:val="118"/>
        <w:spacing w:line="360" w:lineRule="auto"/>
        <w:ind w:firstLine="480" w:firstLineChars="200"/>
        <w:jc w:val="both"/>
        <w:rPr>
          <w:color w:val="000000" w:themeColor="text1"/>
          <w:sz w:val="24"/>
          <w:szCs w:val="21"/>
          <w:highlight w:val="none"/>
          <w14:textFill>
            <w14:solidFill>
              <w14:schemeClr w14:val="tx1"/>
            </w14:solidFill>
          </w14:textFill>
        </w:rPr>
      </w:pPr>
      <w:r>
        <w:rPr>
          <w:rFonts w:hint="eastAsia"/>
          <w:color w:val="000000" w:themeColor="text1"/>
          <w:sz w:val="24"/>
          <w:szCs w:val="21"/>
          <w:highlight w:val="none"/>
          <w14:textFill>
            <w14:solidFill>
              <w14:schemeClr w14:val="tx1"/>
            </w14:solidFill>
          </w14:textFill>
        </w:rPr>
        <w:t>本项目管线拟在</w:t>
      </w:r>
      <w:r>
        <w:rPr>
          <w:color w:val="000000" w:themeColor="text1"/>
          <w:sz w:val="24"/>
          <w:szCs w:val="21"/>
          <w:highlight w:val="none"/>
          <w14:textFill>
            <w14:solidFill>
              <w14:schemeClr w14:val="tx1"/>
            </w14:solidFill>
          </w14:textFill>
        </w:rPr>
        <w:t>穿越G65高速公路</w:t>
      </w:r>
      <w:r>
        <w:rPr>
          <w:rFonts w:hint="eastAsia"/>
          <w:color w:val="000000" w:themeColor="text1"/>
          <w:sz w:val="24"/>
          <w:szCs w:val="21"/>
          <w:highlight w:val="none"/>
          <w14:textFill>
            <w14:solidFill>
              <w14:schemeClr w14:val="tx1"/>
            </w14:solidFill>
          </w14:textFill>
        </w:rPr>
        <w:t>和州河支流</w:t>
      </w:r>
      <w:r>
        <w:rPr>
          <w:color w:val="000000" w:themeColor="text1"/>
          <w:sz w:val="24"/>
          <w:szCs w:val="21"/>
          <w:highlight w:val="none"/>
          <w14:textFill>
            <w14:solidFill>
              <w14:schemeClr w14:val="tx1"/>
            </w14:solidFill>
          </w14:textFill>
        </w:rPr>
        <w:t>定向钻穿越</w:t>
      </w:r>
      <w:r>
        <w:rPr>
          <w:rFonts w:hint="eastAsia"/>
          <w:color w:val="000000" w:themeColor="text1"/>
          <w:sz w:val="24"/>
          <w:szCs w:val="21"/>
          <w:highlight w:val="none"/>
          <w14:textFill>
            <w14:solidFill>
              <w14:schemeClr w14:val="tx1"/>
            </w14:solidFill>
          </w14:textFill>
        </w:rPr>
        <w:t>设置</w:t>
      </w:r>
      <w:r>
        <w:rPr>
          <w:color w:val="000000" w:themeColor="text1"/>
          <w:sz w:val="24"/>
          <w:szCs w:val="21"/>
          <w:highlight w:val="none"/>
          <w14:textFill>
            <w14:solidFill>
              <w14:schemeClr w14:val="tx1"/>
            </w14:solidFill>
          </w14:textFill>
        </w:rPr>
        <w:t>临时施工场地</w:t>
      </w:r>
      <w:r>
        <w:rPr>
          <w:rFonts w:hint="eastAsia"/>
          <w:color w:val="000000" w:themeColor="text1"/>
          <w:sz w:val="24"/>
          <w:szCs w:val="21"/>
          <w:highlight w:val="none"/>
          <w14:textFill>
            <w14:solidFill>
              <w14:schemeClr w14:val="tx1"/>
            </w14:solidFill>
          </w14:textFill>
        </w:rPr>
        <w:t>，在顶管</w:t>
      </w:r>
      <w:r>
        <w:rPr>
          <w:color w:val="000000" w:themeColor="text1"/>
          <w:sz w:val="24"/>
          <w:szCs w:val="21"/>
          <w:highlight w:val="none"/>
          <w14:textFill>
            <w14:solidFill>
              <w14:schemeClr w14:val="tx1"/>
            </w14:solidFill>
          </w14:textFill>
        </w:rPr>
        <w:t>穿越G210国道穿越点两端分别设置1处施工场地</w:t>
      </w:r>
      <w:r>
        <w:rPr>
          <w:rFonts w:hint="eastAsia"/>
          <w:color w:val="000000" w:themeColor="text1"/>
          <w:sz w:val="24"/>
          <w:szCs w:val="21"/>
          <w:highlight w:val="none"/>
          <w14:textFill>
            <w14:solidFill>
              <w14:schemeClr w14:val="tx1"/>
            </w14:solidFill>
          </w14:textFill>
        </w:rPr>
        <w:t>。</w:t>
      </w:r>
    </w:p>
    <w:p>
      <w:pPr>
        <w:widowControl/>
        <w:numPr>
          <w:ilvl w:val="0"/>
          <w:numId w:val="11"/>
        </w:numPr>
        <w:adjustRightInd/>
        <w:snapToGrid/>
        <w:ind w:firstLineChars="0"/>
        <w:jc w:val="left"/>
        <w:textAlignment w:val="baseline"/>
        <w:rPr>
          <w:rFonts w:cs="Times New Roman"/>
          <w:b/>
          <w:bCs/>
          <w:color w:val="000000" w:themeColor="text1"/>
          <w:szCs w:val="21"/>
          <w:highlight w:val="none"/>
          <w14:textFill>
            <w14:solidFill>
              <w14:schemeClr w14:val="tx1"/>
            </w14:solidFill>
          </w14:textFill>
        </w:rPr>
      </w:pPr>
      <w:r>
        <w:rPr>
          <w:rFonts w:cs="Times New Roman"/>
          <w:b/>
          <w:bCs/>
          <w:color w:val="000000" w:themeColor="text1"/>
          <w:szCs w:val="21"/>
          <w:highlight w:val="none"/>
          <w14:textFill>
            <w14:solidFill>
              <w14:schemeClr w14:val="tx1"/>
            </w14:solidFill>
          </w14:textFill>
        </w:rPr>
        <w:t>施工场地平面布置</w:t>
      </w:r>
    </w:p>
    <w:p>
      <w:pPr>
        <w:widowControl/>
        <w:adjustRightInd/>
        <w:snapToGrid/>
        <w:ind w:firstLine="480"/>
        <w:rPr>
          <w:rFonts w:cs="Times New Roman"/>
          <w:color w:val="000000" w:themeColor="text1"/>
          <w:szCs w:val="21"/>
          <w:highlight w:val="none"/>
          <w14:textFill>
            <w14:solidFill>
              <w14:schemeClr w14:val="tx1"/>
            </w14:solidFill>
          </w14:textFill>
        </w:rPr>
      </w:pPr>
      <w:r>
        <w:rPr>
          <w:rFonts w:cs="Times New Roman"/>
          <w:color w:val="000000" w:themeColor="text1"/>
          <w:szCs w:val="21"/>
          <w:highlight w:val="none"/>
          <w14:textFill>
            <w14:solidFill>
              <w14:schemeClr w14:val="tx1"/>
            </w14:solidFill>
          </w14:textFill>
        </w:rPr>
        <w:t>本项目施工平面布置简单，开挖土方及剥离表土堆放在管沟两侧；每2km设置1处堆管场</w:t>
      </w:r>
      <w:r>
        <w:rPr>
          <w:rFonts w:hint="eastAsia" w:cs="Times New Roman"/>
          <w:color w:val="000000" w:themeColor="text1"/>
          <w:szCs w:val="21"/>
          <w:highlight w:val="none"/>
          <w14:textFill>
            <w14:solidFill>
              <w14:schemeClr w14:val="tx1"/>
            </w14:solidFill>
          </w14:textFill>
        </w:rPr>
        <w:t>，位置根据</w:t>
      </w:r>
      <w:r>
        <w:rPr>
          <w:rFonts w:hint="eastAsia" w:cs="Times New Roman"/>
          <w:color w:val="000000" w:themeColor="text1"/>
          <w:szCs w:val="24"/>
          <w:highlight w:val="none"/>
          <w14:textFill>
            <w14:solidFill>
              <w14:schemeClr w14:val="tx1"/>
            </w14:solidFill>
          </w14:textFill>
        </w:rPr>
        <w:t>现场施工情况确定，</w:t>
      </w:r>
      <w:r>
        <w:rPr>
          <w:rFonts w:cs="Times New Roman"/>
          <w:color w:val="000000" w:themeColor="text1"/>
          <w:szCs w:val="24"/>
          <w:highlight w:val="none"/>
          <w14:textFill>
            <w14:solidFill>
              <w14:schemeClr w14:val="tx1"/>
            </w14:solidFill>
          </w14:textFill>
        </w:rPr>
        <w:t>全线共设置临时堆管场5处，</w:t>
      </w:r>
      <w:r>
        <w:rPr>
          <w:rFonts w:hint="eastAsia" w:cs="Times New Roman"/>
          <w:color w:val="000000" w:themeColor="text1"/>
          <w:szCs w:val="24"/>
          <w:highlight w:val="none"/>
          <w14:textFill>
            <w14:solidFill>
              <w14:schemeClr w14:val="tx1"/>
            </w14:solidFill>
          </w14:textFill>
        </w:rPr>
        <w:t>每处</w:t>
      </w:r>
      <w:r>
        <w:rPr>
          <w:rFonts w:cs="Times New Roman"/>
          <w:color w:val="000000" w:themeColor="text1"/>
          <w:szCs w:val="24"/>
          <w:highlight w:val="none"/>
          <w14:textFill>
            <w14:solidFill>
              <w14:schemeClr w14:val="tx1"/>
            </w14:solidFill>
          </w14:textFill>
        </w:rPr>
        <w:t>临时堆管场面积为</w:t>
      </w:r>
      <w:r>
        <w:rPr>
          <w:rFonts w:hint="eastAsia" w:cs="Times New Roman"/>
          <w:color w:val="000000" w:themeColor="text1"/>
          <w:szCs w:val="24"/>
          <w:highlight w:val="none"/>
          <w14:textFill>
            <w14:solidFill>
              <w14:schemeClr w14:val="tx1"/>
            </w14:solidFill>
          </w14:textFill>
        </w:rPr>
        <w:t>4</w:t>
      </w:r>
      <w:r>
        <w:rPr>
          <w:rFonts w:cs="Times New Roman"/>
          <w:color w:val="000000" w:themeColor="text1"/>
          <w:szCs w:val="24"/>
          <w:highlight w:val="none"/>
          <w14:textFill>
            <w14:solidFill>
              <w14:schemeClr w14:val="tx1"/>
            </w14:solidFill>
          </w14:textFill>
        </w:rPr>
        <w:t>00m</w:t>
      </w:r>
      <w:r>
        <w:rPr>
          <w:rFonts w:cs="Times New Roman"/>
          <w:color w:val="000000" w:themeColor="text1"/>
          <w:szCs w:val="24"/>
          <w:highlight w:val="none"/>
          <w:vertAlign w:val="superscript"/>
          <w14:textFill>
            <w14:solidFill>
              <w14:schemeClr w14:val="tx1"/>
            </w14:solidFill>
          </w14:textFill>
        </w:rPr>
        <w:t>2</w:t>
      </w:r>
      <w:r>
        <w:rPr>
          <w:rFonts w:cs="Times New Roman"/>
          <w:color w:val="000000" w:themeColor="text1"/>
          <w:szCs w:val="24"/>
          <w:highlight w:val="none"/>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2</w:t>
      </w:r>
      <w:r>
        <w:rPr>
          <w:rFonts w:cs="Times New Roman"/>
          <w:color w:val="000000" w:themeColor="text1"/>
          <w:szCs w:val="24"/>
          <w:highlight w:val="none"/>
          <w14:textFill>
            <w14:solidFill>
              <w14:schemeClr w14:val="tx1"/>
            </w14:solidFill>
          </w14:textFill>
        </w:rPr>
        <w:t>0×20m）</w:t>
      </w:r>
      <w:r>
        <w:rPr>
          <w:rFonts w:cs="Times New Roman"/>
          <w:color w:val="000000" w:themeColor="text1"/>
          <w:szCs w:val="21"/>
          <w:highlight w:val="none"/>
          <w14:textFill>
            <w14:solidFill>
              <w14:schemeClr w14:val="tx1"/>
            </w14:solidFill>
          </w14:textFill>
        </w:rPr>
        <w:t>；在</w:t>
      </w:r>
      <w:r>
        <w:rPr>
          <w:rFonts w:hint="eastAsia"/>
          <w:color w:val="000000" w:themeColor="text1"/>
          <w:highlight w:val="none"/>
          <w14:textFill>
            <w14:solidFill>
              <w14:schemeClr w14:val="tx1"/>
            </w14:solidFill>
          </w14:textFill>
        </w:rPr>
        <w:t>定向钻穿越G65高速和州河支流三溪河时分别设置临时施工场地，包含入土点操作场地1600m</w:t>
      </w:r>
      <w:r>
        <w:rPr>
          <w:rFonts w:hint="eastAsia"/>
          <w:color w:val="000000" w:themeColor="text1"/>
          <w:highlight w:val="none"/>
          <w:vertAlign w:val="superscript"/>
          <w14:textFill>
            <w14:solidFill>
              <w14:schemeClr w14:val="tx1"/>
            </w14:solidFill>
          </w14:textFill>
        </w:rPr>
        <w:t>2</w:t>
      </w:r>
      <w:r>
        <w:rPr>
          <w:rFonts w:hint="eastAsia"/>
          <w:color w:val="000000" w:themeColor="text1"/>
          <w:highlight w:val="none"/>
          <w14:textFill>
            <w14:solidFill>
              <w14:schemeClr w14:val="tx1"/>
            </w14:solidFill>
          </w14:textFill>
        </w:rPr>
        <w:t>、出土点操作包含操作场地和回拖管道场地2100m</w:t>
      </w:r>
      <w:r>
        <w:rPr>
          <w:rFonts w:hint="eastAsia"/>
          <w:color w:val="000000" w:themeColor="text1"/>
          <w:highlight w:val="none"/>
          <w:vertAlign w:val="superscript"/>
          <w14:textFill>
            <w14:solidFill>
              <w14:schemeClr w14:val="tx1"/>
            </w14:solidFill>
          </w14:textFill>
        </w:rPr>
        <w:t>2</w:t>
      </w:r>
      <w:r>
        <w:rPr>
          <w:rFonts w:hint="eastAsia"/>
          <w:color w:val="000000" w:themeColor="text1"/>
          <w:highlight w:val="none"/>
          <w14:textFill>
            <w14:solidFill>
              <w14:schemeClr w14:val="tx1"/>
            </w14:solidFill>
          </w14:textFill>
        </w:rPr>
        <w:t>，加</w:t>
      </w:r>
      <w:r>
        <w:rPr>
          <w:color w:val="000000" w:themeColor="text1"/>
          <w:highlight w:val="none"/>
          <w14:textFill>
            <w14:solidFill>
              <w14:schemeClr w14:val="tx1"/>
            </w14:solidFill>
          </w14:textFill>
        </w:rPr>
        <w:t>上一般线路施工的临时占地，总计约5400m</w:t>
      </w:r>
      <w:r>
        <w:rPr>
          <w:color w:val="000000" w:themeColor="text1"/>
          <w:highlight w:val="none"/>
          <w:vertAlign w:val="superscript"/>
          <w14:textFill>
            <w14:solidFill>
              <w14:schemeClr w14:val="tx1"/>
            </w14:solidFill>
          </w14:textFill>
        </w:rPr>
        <w:t>2</w:t>
      </w:r>
      <w:r>
        <w:rPr>
          <w:rFonts w:cs="Times New Roman"/>
          <w:color w:val="000000" w:themeColor="text1"/>
          <w:szCs w:val="21"/>
          <w:highlight w:val="none"/>
          <w14:textFill>
            <w14:solidFill>
              <w14:schemeClr w14:val="tx1"/>
            </w14:solidFill>
          </w14:textFill>
        </w:rPr>
        <w:t>，</w:t>
      </w:r>
      <w:r>
        <w:rPr>
          <w:color w:val="000000" w:themeColor="text1"/>
          <w:highlight w:val="none"/>
          <w14:textFill>
            <w14:solidFill>
              <w14:schemeClr w14:val="tx1"/>
            </w14:solidFill>
          </w14:textFill>
        </w:rPr>
        <w:t>顶管穿越</w:t>
      </w:r>
      <w:r>
        <w:rPr>
          <w:rFonts w:hint="eastAsia"/>
          <w:color w:val="000000" w:themeColor="text1"/>
          <w:highlight w:val="none"/>
          <w14:textFill>
            <w14:solidFill>
              <w14:schemeClr w14:val="tx1"/>
            </w14:solidFill>
          </w14:textFill>
        </w:rPr>
        <w:t>G210国道时</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在</w:t>
      </w:r>
      <w:r>
        <w:rPr>
          <w:color w:val="000000" w:themeColor="text1"/>
          <w:highlight w:val="none"/>
          <w14:textFill>
            <w14:solidFill>
              <w14:schemeClr w14:val="tx1"/>
            </w14:solidFill>
          </w14:textFill>
        </w:rPr>
        <w:t>穿越点两端分别设置</w:t>
      </w:r>
      <w:r>
        <w:rPr>
          <w:rFonts w:eastAsia="Times New Roman"/>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处施工场地，施工场地尺寸为</w:t>
      </w:r>
      <w:r>
        <w:rPr>
          <w:rFonts w:eastAsia="Times New Roman"/>
          <w:color w:val="000000" w:themeColor="text1"/>
          <w:highlight w:val="none"/>
          <w14:textFill>
            <w14:solidFill>
              <w14:schemeClr w14:val="tx1"/>
            </w14:solidFill>
          </w14:textFill>
        </w:rPr>
        <w:t>30m×30m</w:t>
      </w:r>
      <w:r>
        <w:rPr>
          <w:color w:val="000000" w:themeColor="text1"/>
          <w:highlight w:val="none"/>
          <w14:textFill>
            <w14:solidFill>
              <w14:schemeClr w14:val="tx1"/>
            </w14:solidFill>
          </w14:textFill>
        </w:rPr>
        <w:t>。</w:t>
      </w:r>
      <w:r>
        <w:rPr>
          <w:rFonts w:cs="Times New Roman"/>
          <w:color w:val="000000" w:themeColor="text1"/>
          <w:szCs w:val="21"/>
          <w:highlight w:val="none"/>
          <w14:textFill>
            <w14:solidFill>
              <w14:schemeClr w14:val="tx1"/>
            </w14:solidFill>
          </w14:textFill>
        </w:rPr>
        <w:t>同时，在施工便道使用条件差的地段临时设置砂石路面的施工便道，</w:t>
      </w:r>
      <w:r>
        <w:rPr>
          <w:color w:val="000000" w:themeColor="text1"/>
          <w:highlight w:val="none"/>
          <w14:textFill>
            <w14:solidFill>
              <w14:schemeClr w14:val="tx1"/>
            </w14:solidFill>
          </w14:textFill>
        </w:rPr>
        <w:t>新建施工便道2km，改建施工便道2km</w:t>
      </w:r>
      <w:r>
        <w:rPr>
          <w:rFonts w:cs="Times New Roman"/>
          <w:color w:val="000000" w:themeColor="text1"/>
          <w:szCs w:val="21"/>
          <w:highlight w:val="none"/>
          <w14:textFill>
            <w14:solidFill>
              <w14:schemeClr w14:val="tx1"/>
            </w14:solidFill>
          </w14:textFill>
        </w:rPr>
        <w:t>。</w:t>
      </w:r>
    </w:p>
    <w:p>
      <w:pPr>
        <w:pStyle w:val="5"/>
        <w:spacing w:before="120"/>
        <w:ind w:firstLine="480"/>
        <w:rPr>
          <w:color w:val="000000" w:themeColor="text1"/>
          <w:highlight w:val="none"/>
          <w:lang w:eastAsia="zh-CN"/>
          <w14:textFill>
            <w14:solidFill>
              <w14:schemeClr w14:val="tx1"/>
            </w14:solidFill>
          </w14:textFill>
        </w:rPr>
      </w:pPr>
      <w:bookmarkStart w:id="136" w:name="_Toc850"/>
      <w:r>
        <w:rPr>
          <w:rFonts w:hint="eastAsia"/>
          <w:color w:val="000000" w:themeColor="text1"/>
          <w:highlight w:val="none"/>
          <w:lang w:eastAsia="zh-CN"/>
          <w14:textFill>
            <w14:solidFill>
              <w14:schemeClr w14:val="tx1"/>
            </w14:solidFill>
          </w14:textFill>
        </w:rPr>
        <w:t>施工组织方案及施工时序</w:t>
      </w:r>
      <w:bookmarkEnd w:id="136"/>
    </w:p>
    <w:p>
      <w:pPr>
        <w:pStyle w:val="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施工营地</w:t>
      </w:r>
    </w:p>
    <w:p>
      <w:pPr>
        <w:pStyle w:val="211"/>
        <w:adjustRightInd/>
        <w:spacing w:line="360" w:lineRule="auto"/>
        <w:ind w:firstLine="480" w:firstLineChars="200"/>
        <w:jc w:val="both"/>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施工过程中，建设单位安排少量的技术人员进行指导，施工人员主要雇佣当地居民施工，站场施工及管道敷设均不设置施工营地，技术人员主要回城镇解决吃住，当地居民</w:t>
      </w:r>
      <w:r>
        <w:rPr>
          <w:rFonts w:hint="eastAsia"/>
          <w:color w:val="000000" w:themeColor="text1"/>
          <w:highlight w:val="none"/>
          <w14:textFill>
            <w14:solidFill>
              <w14:schemeClr w14:val="tx1"/>
            </w14:solidFill>
          </w14:textFill>
        </w:rPr>
        <w:t>、施工人员</w:t>
      </w:r>
      <w:r>
        <w:rPr>
          <w:color w:val="000000" w:themeColor="text1"/>
          <w:highlight w:val="none"/>
          <w14:textFill>
            <w14:solidFill>
              <w14:schemeClr w14:val="tx1"/>
            </w14:solidFill>
          </w14:textFill>
        </w:rPr>
        <w:t>主要回家</w:t>
      </w:r>
      <w:r>
        <w:rPr>
          <w:rFonts w:hint="eastAsia"/>
          <w:color w:val="000000" w:themeColor="text1"/>
          <w:highlight w:val="none"/>
          <w14:textFill>
            <w14:solidFill>
              <w14:schemeClr w14:val="tx1"/>
            </w14:solidFill>
          </w14:textFill>
        </w:rPr>
        <w:t>或租用当地民房</w:t>
      </w:r>
      <w:r>
        <w:rPr>
          <w:color w:val="000000" w:themeColor="text1"/>
          <w:highlight w:val="none"/>
          <w14:textFill>
            <w14:solidFill>
              <w14:schemeClr w14:val="tx1"/>
            </w14:solidFill>
          </w14:textFill>
        </w:rPr>
        <w:t>解决吃住，站场施工及管道敷设均不设置施工营地、生活区。</w:t>
      </w:r>
    </w:p>
    <w:p>
      <w:pPr>
        <w:pStyle w:val="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施工时序</w:t>
      </w:r>
    </w:p>
    <w:p>
      <w:pPr>
        <w:pStyle w:val="211"/>
        <w:adjustRightInd/>
        <w:spacing w:line="360" w:lineRule="auto"/>
        <w:ind w:firstLine="480" w:firstLineChars="200"/>
        <w:jc w:val="both"/>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本项目场站建设工期预计</w:t>
      </w:r>
      <w:r>
        <w:rPr>
          <w:rFonts w:hint="eastAsia" w:ascii="Times New Roman" w:hAnsi="Times New Roman" w:cs="Times New Roman"/>
          <w:color w:val="000000" w:themeColor="text1"/>
          <w:highlight w:val="none"/>
          <w14:textFill>
            <w14:solidFill>
              <w14:schemeClr w14:val="tx1"/>
            </w14:solidFill>
          </w14:textFill>
        </w:rPr>
        <w:t>1</w:t>
      </w:r>
      <w:r>
        <w:rPr>
          <w:rFonts w:ascii="Times New Roman" w:hAnsi="Times New Roman" w:cs="Times New Roman"/>
          <w:color w:val="000000" w:themeColor="text1"/>
          <w:highlight w:val="none"/>
          <w14:textFill>
            <w14:solidFill>
              <w14:schemeClr w14:val="tx1"/>
            </w14:solidFill>
          </w14:textFill>
        </w:rPr>
        <w:t>个月，管线施工工期预计4个月，管道施工采用</w:t>
      </w:r>
      <w:r>
        <w:rPr>
          <w:rFonts w:cs="Times New Roman"/>
          <w:color w:val="000000" w:themeColor="text1"/>
          <w:highlight w:val="none"/>
          <w14:textFill>
            <w14:solidFill>
              <w14:schemeClr w14:val="tx1"/>
            </w14:solidFill>
          </w14:textFill>
        </w:rPr>
        <w:t>“开挖一段、敷设一段”</w:t>
      </w:r>
      <w:r>
        <w:rPr>
          <w:rFonts w:ascii="Times New Roman" w:hAnsi="Times New Roman" w:cs="Times New Roman"/>
          <w:color w:val="000000" w:themeColor="text1"/>
          <w:highlight w:val="none"/>
          <w14:textFill>
            <w14:solidFill>
              <w14:schemeClr w14:val="tx1"/>
            </w14:solidFill>
          </w14:textFill>
        </w:rPr>
        <w:t>的方式分段施工。场站、管线施工可同步进行。</w:t>
      </w:r>
    </w:p>
    <w:p>
      <w:pPr>
        <w:pStyle w:val="5"/>
        <w:spacing w:before="120"/>
        <w:ind w:firstLine="480"/>
        <w:rPr>
          <w:color w:val="000000" w:themeColor="text1"/>
          <w:highlight w:val="none"/>
          <w14:textFill>
            <w14:solidFill>
              <w14:schemeClr w14:val="tx1"/>
            </w14:solidFill>
          </w14:textFill>
        </w:rPr>
      </w:pPr>
      <w:bookmarkStart w:id="137" w:name="_Toc22038"/>
      <w:r>
        <w:rPr>
          <w:color w:val="000000" w:themeColor="text1"/>
          <w:highlight w:val="none"/>
          <w14:textFill>
            <w14:solidFill>
              <w14:schemeClr w14:val="tx1"/>
            </w14:solidFill>
          </w14:textFill>
        </w:rPr>
        <w:t>公辅工程及配套设施</w:t>
      </w:r>
      <w:bookmarkEnd w:id="137"/>
    </w:p>
    <w:p>
      <w:pPr>
        <w:pStyle w:val="6"/>
        <w:spacing w:before="120"/>
        <w:rPr>
          <w:color w:val="000000" w:themeColor="text1"/>
          <w:highlight w:val="none"/>
          <w14:textFill>
            <w14:solidFill>
              <w14:schemeClr w14:val="tx1"/>
            </w14:solidFill>
          </w14:textFill>
        </w:rPr>
      </w:pPr>
      <w:bookmarkStart w:id="138" w:name="_Toc53238887"/>
      <w:r>
        <w:rPr>
          <w:color w:val="000000" w:themeColor="text1"/>
          <w:highlight w:val="none"/>
          <w14:textFill>
            <w14:solidFill>
              <w14:schemeClr w14:val="tx1"/>
            </w14:solidFill>
          </w14:textFill>
        </w:rPr>
        <w:t>自动控制</w:t>
      </w:r>
      <w:bookmarkEnd w:id="138"/>
    </w:p>
    <w:p>
      <w:pPr>
        <w:pStyle w:val="153"/>
        <w:ind w:firstLine="480"/>
        <w:rPr>
          <w:color w:val="000000" w:themeColor="text1"/>
          <w:highlight w:val="none"/>
          <w14:textFill>
            <w14:solidFill>
              <w14:schemeClr w14:val="tx1"/>
            </w14:solidFill>
          </w14:textFill>
        </w:rPr>
      </w:pPr>
      <w:bookmarkStart w:id="139" w:name="bookmark73"/>
      <w:bookmarkEnd w:id="139"/>
      <w:r>
        <w:rPr>
          <w:color w:val="000000" w:themeColor="text1"/>
          <w:highlight w:val="none"/>
          <w14:textFill>
            <w14:solidFill>
              <w14:schemeClr w14:val="tx1"/>
            </w14:solidFill>
          </w14:textFill>
        </w:rPr>
        <w:t>在工艺装置区及井口可能引起天然气泄漏处分别设置固定式可燃气体探测器进行可燃气体检测，检测气体泄漏情况并</w:t>
      </w:r>
      <w:r>
        <w:rPr>
          <w:rFonts w:hint="eastAsia"/>
          <w:color w:val="000000" w:themeColor="text1"/>
          <w:highlight w:val="none"/>
          <w14:textFill>
            <w14:solidFill>
              <w14:schemeClr w14:val="tx1"/>
            </w14:solidFill>
          </w14:textFill>
        </w:rPr>
        <w:t>报警</w:t>
      </w:r>
      <w:r>
        <w:rPr>
          <w:color w:val="000000" w:themeColor="text1"/>
          <w:highlight w:val="none"/>
          <w14:textFill>
            <w14:solidFill>
              <w14:schemeClr w14:val="tx1"/>
            </w14:solidFill>
          </w14:textFill>
        </w:rPr>
        <w:t>，信号传至橇装值班房内可燃气体报警控制器显示及报警。在站场内配置便携式气体检测仪，操作人员巡检时应随身佩戴，用于人工巡检井场时检测气体的浓度。</w:t>
      </w:r>
    </w:p>
    <w:p>
      <w:pPr>
        <w:pStyle w:val="6"/>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通信工程</w:t>
      </w:r>
    </w:p>
    <w:p>
      <w:pPr>
        <w:pStyle w:val="153"/>
        <w:ind w:firstLine="480"/>
        <w:rPr>
          <w:color w:val="000000" w:themeColor="text1"/>
          <w:highlight w:val="none"/>
          <w14:textFill>
            <w14:solidFill>
              <w14:schemeClr w14:val="tx1"/>
            </w14:solidFill>
          </w14:textFill>
        </w:rPr>
      </w:pPr>
      <w:bookmarkStart w:id="140" w:name="_Toc53238907"/>
      <w:r>
        <w:rPr>
          <w:rFonts w:hint="eastAsia"/>
          <w:color w:val="000000" w:themeColor="text1"/>
          <w:highlight w:val="none"/>
          <w14:textFill>
            <w14:solidFill>
              <w14:schemeClr w14:val="tx1"/>
            </w14:solidFill>
          </w14:textFill>
        </w:rPr>
        <w:t>井场内设置视频监控系统，对井场进行二十四小时不间断监控。系统采用数字化网络系统结构，系统由监控前端、信号传输、显示/存储部分组成。</w:t>
      </w:r>
    </w:p>
    <w:p>
      <w:pPr>
        <w:pStyle w:val="153"/>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监控前端：前端选用1080P高清摄像机，H.265视频编码标准，非防爆区采用1080P高清红外摄像机，防爆区采用防爆型1080P高清红外摄像机；前端主要设置在出入口处、工艺装置区等重要区域，采用立杆安装方式。</w:t>
      </w:r>
    </w:p>
    <w:p>
      <w:pPr>
        <w:pStyle w:val="153"/>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信号传输：监控信号采用双绞线传输。室外光缆随仪表桥架敷设至摄像机附近后穿保护钢管DN25引上。室内网线穿在金属线槽内敷设。</w:t>
      </w:r>
    </w:p>
    <w:p>
      <w:pPr>
        <w:pStyle w:val="153"/>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显示及存储：采用NVR硬盘录像机储存，H.265压缩格式，图像存储时间30天。在值班室设置监控工作站，对站场的视频监控数据进行显示和管理，同时接收明1井台传送的视频监控数据</w:t>
      </w:r>
      <w:r>
        <w:rPr>
          <w:color w:val="000000" w:themeColor="text1"/>
          <w:highlight w:val="none"/>
          <w14:textFill>
            <w14:solidFill>
              <w14:schemeClr w14:val="tx1"/>
            </w14:solidFill>
          </w14:textFill>
        </w:rPr>
        <w:t>。</w:t>
      </w:r>
    </w:p>
    <w:p>
      <w:pPr>
        <w:pStyle w:val="6"/>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供配电</w:t>
      </w:r>
      <w:bookmarkEnd w:id="140"/>
    </w:p>
    <w:p>
      <w:pPr>
        <w:autoSpaceDE w:val="0"/>
        <w:autoSpaceDN w:val="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站外设一台油浸式变压器S20-M-315/10/0.4，站内设一座橇装低压配电室，装置区设1台防爆配电箱，为装置区用电负荷供电，橇装房均自带配电箱，为用电负荷供电。</w:t>
      </w:r>
    </w:p>
    <w:p>
      <w:pPr>
        <w:pStyle w:val="72"/>
        <w:spacing w:before="120"/>
        <w:ind w:firstLine="480"/>
        <w:rPr>
          <w:color w:val="000000" w:themeColor="text1"/>
          <w:highlight w:val="none"/>
          <w14:textFill>
            <w14:solidFill>
              <w14:schemeClr w14:val="tx1"/>
            </w14:solidFill>
          </w14:textFill>
        </w:rPr>
      </w:pPr>
      <w:bookmarkStart w:id="141" w:name="_Toc53238917"/>
      <w:r>
        <w:rPr>
          <w:color w:val="000000" w:themeColor="text1"/>
          <w:highlight w:val="none"/>
          <w14:textFill>
            <w14:solidFill>
              <w14:schemeClr w14:val="tx1"/>
            </w14:solidFill>
          </w14:textFill>
        </w:rPr>
        <w:t>给排水</w:t>
      </w:r>
      <w:bookmarkEnd w:id="141"/>
    </w:p>
    <w:p>
      <w:pPr>
        <w:ind w:firstLine="480"/>
        <w:rPr>
          <w:color w:val="000000" w:themeColor="text1"/>
          <w:highlight w:val="none"/>
          <w14:textFill>
            <w14:solidFill>
              <w14:schemeClr w14:val="tx1"/>
            </w14:solidFill>
          </w14:textFill>
        </w:rPr>
      </w:pPr>
      <w:bookmarkStart w:id="142" w:name="_Toc53238920"/>
      <w:r>
        <w:rPr>
          <w:color w:val="000000" w:themeColor="text1"/>
          <w:highlight w:val="none"/>
          <w14:textFill>
            <w14:solidFill>
              <w14:schemeClr w14:val="tx1"/>
            </w14:solidFill>
          </w14:textFill>
        </w:rPr>
        <w:t>（1）给水</w:t>
      </w:r>
      <w:bookmarkEnd w:id="142"/>
    </w:p>
    <w:p>
      <w:pPr>
        <w:ind w:firstLine="480"/>
        <w:rPr>
          <w:rFonts w:ascii="宋体" w:hAnsi="宋体" w:cs="宋体"/>
          <w:bCs/>
          <w:color w:val="000000" w:themeColor="text1"/>
          <w:kern w:val="11"/>
          <w:highlight w:val="none"/>
          <w14:textFill>
            <w14:solidFill>
              <w14:schemeClr w14:val="tx1"/>
            </w14:solidFill>
          </w14:textFill>
        </w:rPr>
      </w:pPr>
      <w:r>
        <w:rPr>
          <w:rFonts w:hint="eastAsia" w:ascii="宋体" w:hAnsi="宋体" w:cs="宋体"/>
          <w:bCs/>
          <w:color w:val="000000" w:themeColor="text1"/>
          <w:kern w:val="11"/>
          <w:highlight w:val="none"/>
          <w14:textFill>
            <w14:solidFill>
              <w14:schemeClr w14:val="tx1"/>
            </w14:solidFill>
          </w14:textFill>
        </w:rPr>
        <w:t>运营期站内生活用水考虑采用高架水箱供水，车拉水补水的方式供给。</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（2）排水</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地表雨水</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根据场地自然坡度，就地散排出站外。</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分离气田水：原料气通过新建分离器进行气液分离，分离气田水暂存污水罐，定期由密闭罐车拉运至赵家坝污水</w:t>
      </w:r>
      <w:r>
        <w:rPr>
          <w:rFonts w:hint="eastAsia"/>
          <w:color w:val="000000" w:themeColor="text1"/>
          <w:highlight w:val="none"/>
          <w:lang w:eastAsia="zh-CN"/>
          <w14:textFill>
            <w14:solidFill>
              <w14:schemeClr w14:val="tx1"/>
            </w14:solidFill>
          </w14:textFill>
        </w:rPr>
        <w:t>处理站</w:t>
      </w:r>
      <w:r>
        <w:rPr>
          <w:rFonts w:hint="eastAsia"/>
          <w:color w:val="000000" w:themeColor="text1"/>
          <w:highlight w:val="none"/>
          <w14:textFill>
            <w14:solidFill>
              <w14:schemeClr w14:val="tx1"/>
            </w14:solidFill>
          </w14:textFill>
        </w:rPr>
        <w:t>达标后管输至普光3井回注站回注，不外排。</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生活污水：经生态厕所收集后定期由密闭罐车拉运至周边生活污水处理厂处理。</w:t>
      </w:r>
    </w:p>
    <w:p>
      <w:pPr>
        <w:pStyle w:val="72"/>
        <w:spacing w:before="12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消防工程</w:t>
      </w:r>
    </w:p>
    <w:p>
      <w:pPr>
        <w:adjustRightInd/>
        <w:ind w:firstLine="480"/>
        <w:rPr>
          <w:color w:val="000000" w:themeColor="text1"/>
          <w:szCs w:val="24"/>
          <w:highlight w:val="none"/>
          <w14:textFill>
            <w14:solidFill>
              <w14:schemeClr w14:val="tx1"/>
            </w14:solidFill>
          </w14:textFill>
        </w:rPr>
      </w:pPr>
      <w:bookmarkStart w:id="143" w:name="_Toc7393"/>
      <w:r>
        <w:rPr>
          <w:rFonts w:hint="eastAsia"/>
          <w:color w:val="000000" w:themeColor="text1"/>
          <w:szCs w:val="24"/>
          <w:highlight w:val="none"/>
          <w14:textFill>
            <w14:solidFill>
              <w14:schemeClr w14:val="tx1"/>
            </w14:solidFill>
          </w14:textFill>
        </w:rPr>
        <w:t>1、</w:t>
      </w:r>
      <w:r>
        <w:rPr>
          <w:color w:val="000000" w:themeColor="text1"/>
          <w:szCs w:val="24"/>
          <w:highlight w:val="none"/>
          <w14:textFill>
            <w14:solidFill>
              <w14:schemeClr w14:val="tx1"/>
            </w14:solidFill>
          </w14:textFill>
        </w:rPr>
        <w:t>周围消防力量</w:t>
      </w:r>
      <w:bookmarkEnd w:id="143"/>
    </w:p>
    <w:p>
      <w:pPr>
        <w:adjustRightInd/>
        <w:ind w:firstLine="480"/>
        <w:rPr>
          <w:color w:val="000000" w:themeColor="text1"/>
          <w:szCs w:val="24"/>
          <w:highlight w:val="none"/>
          <w14:textFill>
            <w14:solidFill>
              <w14:schemeClr w14:val="tx1"/>
            </w14:solidFill>
          </w14:textFill>
        </w:rPr>
      </w:pPr>
      <w:r>
        <w:rPr>
          <w:rFonts w:hint="eastAsia"/>
          <w:color w:val="000000" w:themeColor="text1"/>
          <w:szCs w:val="24"/>
          <w:highlight w:val="none"/>
          <w14:textFill>
            <w14:solidFill>
              <w14:schemeClr w14:val="tx1"/>
            </w14:solidFill>
          </w14:textFill>
        </w:rPr>
        <w:t>本项目试采站</w:t>
      </w:r>
      <w:r>
        <w:rPr>
          <w:color w:val="000000" w:themeColor="text1"/>
          <w:szCs w:val="24"/>
          <w:highlight w:val="none"/>
          <w14:textFill>
            <w14:solidFill>
              <w14:schemeClr w14:val="tx1"/>
            </w14:solidFill>
          </w14:textFill>
        </w:rPr>
        <w:t>位于四川省</w:t>
      </w:r>
      <w:r>
        <w:rPr>
          <w:rFonts w:hint="eastAsia"/>
          <w:color w:val="000000" w:themeColor="text1"/>
          <w:szCs w:val="24"/>
          <w:highlight w:val="none"/>
          <w14:textFill>
            <w14:solidFill>
              <w14:schemeClr w14:val="tx1"/>
            </w14:solidFill>
          </w14:textFill>
        </w:rPr>
        <w:t>达州市宣汉县</w:t>
      </w:r>
      <w:r>
        <w:rPr>
          <w:rFonts w:hint="eastAsia" w:cs="Times New Roman"/>
          <w:bCs/>
          <w:color w:val="000000" w:themeColor="text1"/>
          <w:szCs w:val="24"/>
          <w:highlight w:val="none"/>
          <w:lang w:eastAsia="zh-CN"/>
          <w14:textFill>
            <w14:solidFill>
              <w14:schemeClr w14:val="tx1"/>
            </w14:solidFill>
          </w14:textFill>
        </w:rPr>
        <w:t>**</w:t>
      </w:r>
      <w:r>
        <w:rPr>
          <w:color w:val="000000" w:themeColor="text1"/>
          <w:szCs w:val="24"/>
          <w:highlight w:val="none"/>
          <w14:textFill>
            <w14:solidFill>
              <w14:schemeClr w14:val="tx1"/>
            </w14:solidFill>
          </w14:textFill>
        </w:rPr>
        <w:t>，</w:t>
      </w:r>
      <w:r>
        <w:rPr>
          <w:rFonts w:hint="eastAsia"/>
          <w:color w:val="000000" w:themeColor="text1"/>
          <w:szCs w:val="24"/>
          <w:highlight w:val="none"/>
          <w14:textFill>
            <w14:solidFill>
              <w14:schemeClr w14:val="tx1"/>
            </w14:solidFill>
          </w14:textFill>
        </w:rPr>
        <w:t>试采站</w:t>
      </w:r>
      <w:r>
        <w:rPr>
          <w:color w:val="000000" w:themeColor="text1"/>
          <w:szCs w:val="24"/>
          <w:highlight w:val="none"/>
          <w14:textFill>
            <w14:solidFill>
              <w14:schemeClr w14:val="tx1"/>
            </w14:solidFill>
          </w14:textFill>
        </w:rPr>
        <w:t>距离</w:t>
      </w:r>
      <w:r>
        <w:rPr>
          <w:rFonts w:hint="eastAsia"/>
          <w:color w:val="000000" w:themeColor="text1"/>
          <w:szCs w:val="24"/>
          <w:highlight w:val="none"/>
          <w14:textFill>
            <w14:solidFill>
              <w14:schemeClr w14:val="tx1"/>
            </w14:solidFill>
          </w14:textFill>
        </w:rPr>
        <w:t>宣汉</w:t>
      </w:r>
      <w:r>
        <w:rPr>
          <w:color w:val="000000" w:themeColor="text1"/>
          <w:szCs w:val="24"/>
          <w:highlight w:val="none"/>
          <w14:textFill>
            <w14:solidFill>
              <w14:schemeClr w14:val="tx1"/>
            </w14:solidFill>
          </w14:textFill>
        </w:rPr>
        <w:t>县消防大队约16km，</w:t>
      </w:r>
      <w:r>
        <w:rPr>
          <w:rFonts w:hint="eastAsia"/>
          <w:color w:val="000000" w:themeColor="text1"/>
          <w:szCs w:val="24"/>
          <w:highlight w:val="none"/>
          <w14:textFill>
            <w14:solidFill>
              <w14:schemeClr w14:val="tx1"/>
            </w14:solidFill>
          </w14:textFill>
        </w:rPr>
        <w:t>驾车</w:t>
      </w:r>
      <w:r>
        <w:rPr>
          <w:color w:val="000000" w:themeColor="text1"/>
          <w:szCs w:val="24"/>
          <w:highlight w:val="none"/>
          <w14:textFill>
            <w14:solidFill>
              <w14:schemeClr w14:val="tx1"/>
            </w14:solidFill>
          </w14:textFill>
        </w:rPr>
        <w:t>30min可到达</w:t>
      </w:r>
      <w:r>
        <w:rPr>
          <w:rFonts w:hint="eastAsia"/>
          <w:color w:val="000000" w:themeColor="text1"/>
          <w:szCs w:val="24"/>
          <w:highlight w:val="none"/>
          <w14:textFill>
            <w14:solidFill>
              <w14:schemeClr w14:val="tx1"/>
            </w14:solidFill>
          </w14:textFill>
        </w:rPr>
        <w:t>，</w:t>
      </w:r>
      <w:r>
        <w:rPr>
          <w:color w:val="000000" w:themeColor="text1"/>
          <w:szCs w:val="24"/>
          <w:highlight w:val="none"/>
          <w14:textFill>
            <w14:solidFill>
              <w14:schemeClr w14:val="tx1"/>
            </w14:solidFill>
          </w14:textFill>
        </w:rPr>
        <w:t>可依托</w:t>
      </w:r>
      <w:r>
        <w:rPr>
          <w:rFonts w:hint="eastAsia"/>
          <w:color w:val="000000" w:themeColor="text1"/>
          <w:szCs w:val="24"/>
          <w:highlight w:val="none"/>
          <w14:textFill>
            <w14:solidFill>
              <w14:schemeClr w14:val="tx1"/>
            </w14:solidFill>
          </w14:textFill>
        </w:rPr>
        <w:t>宣汉县</w:t>
      </w:r>
      <w:r>
        <w:rPr>
          <w:color w:val="000000" w:themeColor="text1"/>
          <w:szCs w:val="24"/>
          <w:highlight w:val="none"/>
          <w14:textFill>
            <w14:solidFill>
              <w14:schemeClr w14:val="tx1"/>
            </w14:solidFill>
          </w14:textFill>
        </w:rPr>
        <w:t>消防大队的消防力量。</w:t>
      </w:r>
    </w:p>
    <w:p>
      <w:pPr>
        <w:pStyle w:val="19"/>
        <w:spacing w:line="360" w:lineRule="auto"/>
        <w:ind w:firstLine="480" w:firstLineChars="200"/>
        <w:jc w:val="both"/>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目前</w:t>
      </w:r>
      <w:r>
        <w:rPr>
          <w:rFonts w:hint="eastAsia" w:ascii="Times New Roman" w:hAnsi="Times New Roman"/>
          <w:color w:val="000000" w:themeColor="text1"/>
          <w:highlight w:val="none"/>
          <w:lang w:eastAsia="zh-CN"/>
          <w14:textFill>
            <w14:solidFill>
              <w14:schemeClr w14:val="tx1"/>
            </w14:solidFill>
          </w14:textFill>
        </w:rPr>
        <w:t>宣汉</w:t>
      </w:r>
      <w:r>
        <w:rPr>
          <w:rFonts w:ascii="Times New Roman" w:hAnsi="Times New Roman"/>
          <w:color w:val="000000" w:themeColor="text1"/>
          <w:highlight w:val="none"/>
          <w:lang w:eastAsia="zh-CN"/>
          <w14:textFill>
            <w14:solidFill>
              <w14:schemeClr w14:val="tx1"/>
            </w14:solidFill>
          </w14:textFill>
        </w:rPr>
        <w:t>县消防大队配置有完善的消防设施，人员配备充足。井场应与消防队紧密联系，并设置消防报警电话，最大限度</w:t>
      </w:r>
      <w:r>
        <w:rPr>
          <w:rFonts w:hint="eastAsia" w:ascii="Times New Roman" w:hAnsi="Times New Roman"/>
          <w:color w:val="000000" w:themeColor="text1"/>
          <w:highlight w:val="none"/>
          <w:lang w:eastAsia="zh-CN"/>
          <w14:textFill>
            <w14:solidFill>
              <w14:schemeClr w14:val="tx1"/>
            </w14:solidFill>
          </w14:textFill>
        </w:rPr>
        <w:t>地</w:t>
      </w:r>
      <w:r>
        <w:rPr>
          <w:rFonts w:ascii="Times New Roman" w:hAnsi="Times New Roman"/>
          <w:color w:val="000000" w:themeColor="text1"/>
          <w:highlight w:val="none"/>
          <w:lang w:eastAsia="zh-CN"/>
          <w14:textFill>
            <w14:solidFill>
              <w14:schemeClr w14:val="tx1"/>
            </w14:solidFill>
          </w14:textFill>
        </w:rPr>
        <w:t>利用当地的消防力量。</w:t>
      </w:r>
    </w:p>
    <w:p>
      <w:pPr>
        <w:adjustRightInd/>
        <w:ind w:firstLine="480"/>
        <w:rPr>
          <w:color w:val="000000" w:themeColor="text1"/>
          <w:szCs w:val="24"/>
          <w:highlight w:val="none"/>
          <w14:textFill>
            <w14:solidFill>
              <w14:schemeClr w14:val="tx1"/>
            </w14:solidFill>
          </w14:textFill>
        </w:rPr>
      </w:pPr>
      <w:bookmarkStart w:id="144" w:name="_Toc17875"/>
      <w:r>
        <w:rPr>
          <w:rFonts w:hint="eastAsia"/>
          <w:color w:val="000000" w:themeColor="text1"/>
          <w:szCs w:val="24"/>
          <w:highlight w:val="none"/>
          <w14:textFill>
            <w14:solidFill>
              <w14:schemeClr w14:val="tx1"/>
            </w14:solidFill>
          </w14:textFill>
        </w:rPr>
        <w:t>2、</w:t>
      </w:r>
      <w:r>
        <w:rPr>
          <w:color w:val="000000" w:themeColor="text1"/>
          <w:szCs w:val="24"/>
          <w:highlight w:val="none"/>
          <w14:textFill>
            <w14:solidFill>
              <w14:schemeClr w14:val="tx1"/>
            </w14:solidFill>
          </w14:textFill>
        </w:rPr>
        <w:t>消防设施</w:t>
      </w:r>
      <w:bookmarkEnd w:id="144"/>
    </w:p>
    <w:p>
      <w:pPr>
        <w:adjustRightInd/>
        <w:ind w:firstLine="480"/>
        <w:rPr>
          <w:color w:val="000000" w:themeColor="text1"/>
          <w:highlight w:val="none"/>
          <w14:textFill>
            <w14:solidFill>
              <w14:schemeClr w14:val="tx1"/>
            </w14:solidFill>
          </w14:textFill>
        </w:rPr>
      </w:pPr>
      <w:bookmarkStart w:id="145" w:name="bookmark77"/>
      <w:bookmarkEnd w:id="145"/>
      <w:r>
        <w:rPr>
          <w:rFonts w:hint="eastAsia"/>
          <w:color w:val="000000" w:themeColor="text1"/>
          <w:highlight w:val="none"/>
          <w14:textFill>
            <w14:solidFill>
              <w14:schemeClr w14:val="tx1"/>
            </w14:solidFill>
          </w14:textFill>
        </w:rPr>
        <w:t>雷页1井试采站为</w:t>
      </w:r>
      <w:r>
        <w:rPr>
          <w:color w:val="000000" w:themeColor="text1"/>
          <w:highlight w:val="none"/>
          <w14:textFill>
            <w14:solidFill>
              <w14:schemeClr w14:val="tx1"/>
            </w14:solidFill>
          </w14:textFill>
        </w:rPr>
        <w:t>五级</w:t>
      </w:r>
      <w:r>
        <w:rPr>
          <w:rFonts w:hint="eastAsia"/>
          <w:color w:val="000000" w:themeColor="text1"/>
          <w:highlight w:val="none"/>
          <w14:textFill>
            <w14:solidFill>
              <w14:schemeClr w14:val="tx1"/>
            </w14:solidFill>
          </w14:textFill>
        </w:rPr>
        <w:t>天然气</w:t>
      </w:r>
      <w:r>
        <w:rPr>
          <w:color w:val="000000" w:themeColor="text1"/>
          <w:highlight w:val="none"/>
          <w14:textFill>
            <w14:solidFill>
              <w14:schemeClr w14:val="tx1"/>
            </w14:solidFill>
          </w14:textFill>
        </w:rPr>
        <w:t>站</w:t>
      </w:r>
      <w:r>
        <w:rPr>
          <w:rFonts w:hint="eastAsia"/>
          <w:color w:val="000000" w:themeColor="text1"/>
          <w:highlight w:val="none"/>
          <w14:textFill>
            <w14:solidFill>
              <w14:schemeClr w14:val="tx1"/>
            </w14:solidFill>
          </w14:textFill>
        </w:rPr>
        <w:t>场</w:t>
      </w:r>
      <w:r>
        <w:rPr>
          <w:color w:val="000000" w:themeColor="text1"/>
          <w:highlight w:val="none"/>
          <w14:textFill>
            <w14:solidFill>
              <w14:schemeClr w14:val="tx1"/>
            </w14:solidFill>
          </w14:textFill>
        </w:rPr>
        <w:t>。根据GB50183-2004第8.1.2条：五级油、气井场站可不设消防给水设施。根据GB50140-2005第3.1.2条对火灾种类的划分，本站火灾种类主要为B、C类。根据GB50140-2005第7章</w:t>
      </w:r>
      <w:r>
        <w:rPr>
          <w:rFonts w:hint="eastAsia"/>
          <w:color w:val="000000" w:themeColor="text1"/>
          <w:highlight w:val="none"/>
          <w14:textFill>
            <w14:solidFill>
              <w14:schemeClr w14:val="tx1"/>
            </w14:solidFill>
          </w14:textFill>
        </w:rPr>
        <w:t>要求</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雷页1试采站内设置4具MF/ABC8手提式干粉灭火器、1具MFT/ABC20手推式干粉灭火器、1具MTZ/7手提式二氧化碳灭火器</w:t>
      </w:r>
      <w:r>
        <w:rPr>
          <w:color w:val="000000" w:themeColor="text1"/>
          <w:highlight w:val="none"/>
          <w14:textFill>
            <w14:solidFill>
              <w14:schemeClr w14:val="tx1"/>
            </w14:solidFill>
          </w14:textFill>
        </w:rPr>
        <w:t>，用于扑灭初期火灾。</w:t>
      </w:r>
    </w:p>
    <w:p>
      <w:pPr>
        <w:pStyle w:val="5"/>
        <w:spacing w:before="120"/>
        <w:ind w:firstLine="480"/>
        <w:rPr>
          <w:color w:val="000000" w:themeColor="text1"/>
          <w:highlight w:val="none"/>
          <w14:textFill>
            <w14:solidFill>
              <w14:schemeClr w14:val="tx1"/>
            </w14:solidFill>
          </w14:textFill>
        </w:rPr>
      </w:pPr>
      <w:bookmarkStart w:id="146" w:name="_Toc10635"/>
      <w:r>
        <w:rPr>
          <w:color w:val="000000" w:themeColor="text1"/>
          <w:highlight w:val="none"/>
          <w14:textFill>
            <w14:solidFill>
              <w14:schemeClr w14:val="tx1"/>
            </w14:solidFill>
          </w14:textFill>
        </w:rPr>
        <w:t>工程占地</w:t>
      </w:r>
      <w:r>
        <w:rPr>
          <w:rFonts w:hint="eastAsia"/>
          <w:color w:val="000000" w:themeColor="text1"/>
          <w:highlight w:val="none"/>
          <w14:textFill>
            <w14:solidFill>
              <w14:schemeClr w14:val="tx1"/>
            </w14:solidFill>
          </w14:textFill>
        </w:rPr>
        <w:t>及土石方工程</w:t>
      </w:r>
      <w:bookmarkEnd w:id="146"/>
    </w:p>
    <w:p>
      <w:pPr>
        <w:pStyle w:val="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占地面积及类型</w:t>
      </w:r>
    </w:p>
    <w:p>
      <w:pPr>
        <w:snapToGrid/>
        <w:ind w:firstLine="480"/>
        <w:rPr>
          <w:rFonts w:cs="Times New Roman"/>
          <w:bCs/>
          <w:color w:val="000000" w:themeColor="text1"/>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本项目占地均为临时占地，占地面积共12.1005hm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，不涉及拆迁安置。试采站位于雷页1井场西侧，紧邻雷页1井场，临时占地面积为0.2805hm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；管线敷设临时占地为11.82hm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。具体占地情况见下表</w:t>
      </w:r>
      <w:r>
        <w:rPr>
          <w:rFonts w:cs="Times New Roman"/>
          <w:bCs/>
          <w:color w:val="000000" w:themeColor="text1"/>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工程占地类型一览表单位：</w:t>
      </w:r>
      <w:r>
        <w:rPr>
          <w:color w:val="000000" w:themeColor="text1"/>
          <w:highlight w:val="none"/>
          <w14:textFill>
            <w14:solidFill>
              <w14:schemeClr w14:val="tx1"/>
            </w14:solidFill>
          </w14:textFill>
        </w:rPr>
        <w:t>hm</w:t>
      </w:r>
      <w:r>
        <w:rPr>
          <w:color w:val="000000" w:themeColor="text1"/>
          <w:highlight w:val="none"/>
          <w:vertAlign w:val="superscript"/>
          <w14:textFill>
            <w14:solidFill>
              <w14:schemeClr w14:val="tx1"/>
            </w14:solidFill>
          </w14:textFill>
        </w:rPr>
        <w:t>2</w:t>
      </w:r>
    </w:p>
    <w:tbl>
      <w:tblPr>
        <w:tblStyle w:val="41"/>
        <w:tblW w:w="503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1"/>
        <w:gridCol w:w="883"/>
        <w:gridCol w:w="886"/>
        <w:gridCol w:w="1141"/>
        <w:gridCol w:w="1126"/>
        <w:gridCol w:w="855"/>
        <w:gridCol w:w="824"/>
        <w:gridCol w:w="810"/>
        <w:gridCol w:w="9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647" w:type="pct"/>
            <w:vMerge w:val="restart"/>
            <w:shd w:val="clear" w:color="auto" w:fill="auto"/>
            <w:vAlign w:val="center"/>
          </w:tcPr>
          <w:p>
            <w:pPr>
              <w:widowControl/>
              <w:spacing w:line="240" w:lineRule="auto"/>
              <w:ind w:firstLine="0" w:firstLineChars="0"/>
              <w:jc w:val="center"/>
              <w:textAlignment w:val="baseline"/>
              <w:rPr>
                <w:rFonts w:cs="Times New Roman"/>
                <w:b/>
                <w:bCs/>
                <w:color w:val="000000" w:themeColor="text1"/>
                <w:sz w:val="21"/>
                <w:szCs w:val="20"/>
                <w:highlight w:val="none"/>
                <w14:textFill>
                  <w14:solidFill>
                    <w14:schemeClr w14:val="tx1"/>
                  </w14:solidFill>
                </w14:textFill>
              </w:rPr>
            </w:pPr>
            <w:r>
              <w:rPr>
                <w:rFonts w:cs="Times New Roman"/>
                <w:b/>
                <w:bCs/>
                <w:color w:val="000000" w:themeColor="text1"/>
                <w:sz w:val="21"/>
                <w:szCs w:val="20"/>
                <w:highlight w:val="none"/>
                <w:lang w:bidi="ar"/>
                <w14:textFill>
                  <w14:solidFill>
                    <w14:schemeClr w14:val="tx1"/>
                  </w14:solidFill>
                </w14:textFill>
              </w:rPr>
              <w:t>名称</w:t>
            </w:r>
          </w:p>
        </w:tc>
        <w:tc>
          <w:tcPr>
            <w:tcW w:w="1031" w:type="pct"/>
            <w:gridSpan w:val="2"/>
            <w:shd w:val="clear" w:color="auto" w:fill="auto"/>
            <w:vAlign w:val="center"/>
          </w:tcPr>
          <w:p>
            <w:pPr>
              <w:widowControl/>
              <w:spacing w:line="240" w:lineRule="auto"/>
              <w:ind w:firstLine="0" w:firstLineChars="0"/>
              <w:jc w:val="center"/>
              <w:textAlignment w:val="baseline"/>
              <w:rPr>
                <w:rFonts w:cs="Times New Roman"/>
                <w:b/>
                <w:bCs/>
                <w:color w:val="000000" w:themeColor="text1"/>
                <w:sz w:val="21"/>
                <w:szCs w:val="20"/>
                <w:highlight w:val="none"/>
                <w14:textFill>
                  <w14:solidFill>
                    <w14:schemeClr w14:val="tx1"/>
                  </w14:solidFill>
                </w14:textFill>
              </w:rPr>
            </w:pPr>
            <w:r>
              <w:rPr>
                <w:rFonts w:cs="Times New Roman"/>
                <w:b/>
                <w:bCs/>
                <w:color w:val="000000" w:themeColor="text1"/>
                <w:sz w:val="21"/>
                <w:szCs w:val="20"/>
                <w:highlight w:val="none"/>
                <w:lang w:bidi="ar"/>
                <w14:textFill>
                  <w14:solidFill>
                    <w14:schemeClr w14:val="tx1"/>
                  </w14:solidFill>
                </w14:textFill>
              </w:rPr>
              <w:t>耕地</w:t>
            </w:r>
          </w:p>
        </w:tc>
        <w:tc>
          <w:tcPr>
            <w:tcW w:w="665" w:type="pct"/>
            <w:vMerge w:val="restart"/>
            <w:shd w:val="clear" w:color="auto" w:fill="auto"/>
            <w:vAlign w:val="center"/>
          </w:tcPr>
          <w:p>
            <w:pPr>
              <w:widowControl/>
              <w:spacing w:line="240" w:lineRule="auto"/>
              <w:ind w:firstLine="0" w:firstLineChars="0"/>
              <w:jc w:val="center"/>
              <w:textAlignment w:val="baseline"/>
              <w:rPr>
                <w:rFonts w:cs="Times New Roman"/>
                <w:b/>
                <w:bCs/>
                <w:color w:val="000000" w:themeColor="text1"/>
                <w:sz w:val="21"/>
                <w:szCs w:val="20"/>
                <w:highlight w:val="none"/>
                <w14:textFill>
                  <w14:solidFill>
                    <w14:schemeClr w14:val="tx1"/>
                  </w14:solidFill>
                </w14:textFill>
              </w:rPr>
            </w:pPr>
            <w:r>
              <w:rPr>
                <w:rFonts w:cs="Times New Roman"/>
                <w:b/>
                <w:bCs/>
                <w:color w:val="000000" w:themeColor="text1"/>
                <w:sz w:val="21"/>
                <w:szCs w:val="20"/>
                <w:highlight w:val="none"/>
                <w:lang w:bidi="ar"/>
                <w14:textFill>
                  <w14:solidFill>
                    <w14:schemeClr w14:val="tx1"/>
                  </w14:solidFill>
                </w14:textFill>
              </w:rPr>
              <w:t>乔木林地</w:t>
            </w:r>
          </w:p>
        </w:tc>
        <w:tc>
          <w:tcPr>
            <w:tcW w:w="656" w:type="pct"/>
            <w:vMerge w:val="restart"/>
            <w:shd w:val="clear" w:color="auto" w:fill="auto"/>
            <w:vAlign w:val="center"/>
          </w:tcPr>
          <w:p>
            <w:pPr>
              <w:widowControl/>
              <w:spacing w:line="240" w:lineRule="auto"/>
              <w:ind w:firstLine="0" w:firstLineChars="0"/>
              <w:jc w:val="center"/>
              <w:textAlignment w:val="baseline"/>
              <w:rPr>
                <w:rFonts w:cs="Times New Roman"/>
                <w:b/>
                <w:bCs/>
                <w:color w:val="000000" w:themeColor="text1"/>
                <w:sz w:val="21"/>
                <w:szCs w:val="20"/>
                <w:highlight w:val="none"/>
                <w:lang w:bidi="ar"/>
                <w14:textFill>
                  <w14:solidFill>
                    <w14:schemeClr w14:val="tx1"/>
                  </w14:solidFill>
                </w14:textFill>
              </w:rPr>
            </w:pPr>
            <w:r>
              <w:rPr>
                <w:rFonts w:cs="Times New Roman"/>
                <w:b/>
                <w:bCs/>
                <w:color w:val="000000" w:themeColor="text1"/>
                <w:sz w:val="21"/>
                <w:szCs w:val="20"/>
                <w:highlight w:val="none"/>
                <w:lang w:bidi="ar"/>
                <w14:textFill>
                  <w14:solidFill>
                    <w14:schemeClr w14:val="tx1"/>
                  </w14:solidFill>
                </w14:textFill>
              </w:rPr>
              <w:t>灌木林地</w:t>
            </w:r>
          </w:p>
        </w:tc>
        <w:tc>
          <w:tcPr>
            <w:tcW w:w="498" w:type="pct"/>
            <w:vMerge w:val="restart"/>
            <w:shd w:val="clear" w:color="auto" w:fill="auto"/>
            <w:vAlign w:val="center"/>
          </w:tcPr>
          <w:p>
            <w:pPr>
              <w:widowControl/>
              <w:spacing w:line="240" w:lineRule="auto"/>
              <w:ind w:firstLine="0" w:firstLineChars="0"/>
              <w:jc w:val="center"/>
              <w:textAlignment w:val="baseline"/>
              <w:rPr>
                <w:rFonts w:cs="Times New Roman"/>
                <w:b/>
                <w:bCs/>
                <w:color w:val="000000" w:themeColor="text1"/>
                <w:sz w:val="21"/>
                <w:szCs w:val="20"/>
                <w:highlight w:val="none"/>
                <w14:textFill>
                  <w14:solidFill>
                    <w14:schemeClr w14:val="tx1"/>
                  </w14:solidFill>
                </w14:textFill>
              </w:rPr>
            </w:pPr>
            <w:r>
              <w:rPr>
                <w:rFonts w:cs="Times New Roman"/>
                <w:b/>
                <w:bCs/>
                <w:color w:val="000000" w:themeColor="text1"/>
                <w:sz w:val="21"/>
                <w:szCs w:val="20"/>
                <w:highlight w:val="none"/>
                <w:lang w:bidi="ar"/>
                <w14:textFill>
                  <w14:solidFill>
                    <w14:schemeClr w14:val="tx1"/>
                  </w14:solidFill>
                </w14:textFill>
              </w:rPr>
              <w:t>草地</w:t>
            </w:r>
          </w:p>
        </w:tc>
        <w:tc>
          <w:tcPr>
            <w:tcW w:w="480" w:type="pct"/>
            <w:vMerge w:val="restart"/>
            <w:shd w:val="clear" w:color="auto" w:fill="auto"/>
            <w:vAlign w:val="center"/>
          </w:tcPr>
          <w:p>
            <w:pPr>
              <w:widowControl/>
              <w:spacing w:line="240" w:lineRule="auto"/>
              <w:ind w:firstLine="0" w:firstLineChars="0"/>
              <w:jc w:val="center"/>
              <w:textAlignment w:val="baseline"/>
              <w:rPr>
                <w:rFonts w:cs="Times New Roman"/>
                <w:b/>
                <w:bCs/>
                <w:color w:val="000000" w:themeColor="text1"/>
                <w:sz w:val="21"/>
                <w:szCs w:val="20"/>
                <w:highlight w:val="none"/>
                <w:lang w:bidi="ar"/>
                <w14:textFill>
                  <w14:solidFill>
                    <w14:schemeClr w14:val="tx1"/>
                  </w14:solidFill>
                </w14:textFill>
              </w:rPr>
            </w:pPr>
            <w:r>
              <w:rPr>
                <w:rFonts w:cs="Times New Roman"/>
                <w:b/>
                <w:bCs/>
                <w:color w:val="000000" w:themeColor="text1"/>
                <w:sz w:val="21"/>
                <w:szCs w:val="20"/>
                <w:highlight w:val="none"/>
                <w:lang w:bidi="ar"/>
                <w14:textFill>
                  <w14:solidFill>
                    <w14:schemeClr w14:val="tx1"/>
                  </w14:solidFill>
                </w14:textFill>
              </w:rPr>
              <w:t>水面</w:t>
            </w:r>
          </w:p>
        </w:tc>
        <w:tc>
          <w:tcPr>
            <w:tcW w:w="472" w:type="pct"/>
            <w:vMerge w:val="restart"/>
            <w:shd w:val="clear" w:color="auto" w:fill="auto"/>
            <w:vAlign w:val="center"/>
          </w:tcPr>
          <w:p>
            <w:pPr>
              <w:widowControl/>
              <w:spacing w:line="240" w:lineRule="auto"/>
              <w:ind w:firstLine="0" w:firstLineChars="0"/>
              <w:jc w:val="center"/>
              <w:textAlignment w:val="baseline"/>
              <w:rPr>
                <w:rFonts w:cs="Times New Roman"/>
                <w:b/>
                <w:bCs/>
                <w:color w:val="000000" w:themeColor="text1"/>
                <w:sz w:val="21"/>
                <w:szCs w:val="20"/>
                <w:highlight w:val="none"/>
                <w14:textFill>
                  <w14:solidFill>
                    <w14:schemeClr w14:val="tx1"/>
                  </w14:solidFill>
                </w14:textFill>
              </w:rPr>
            </w:pPr>
            <w:r>
              <w:rPr>
                <w:rFonts w:cs="Times New Roman"/>
                <w:b/>
                <w:bCs/>
                <w:color w:val="000000" w:themeColor="text1"/>
                <w:sz w:val="21"/>
                <w:szCs w:val="20"/>
                <w:highlight w:val="none"/>
                <w14:textFill>
                  <w14:solidFill>
                    <w14:schemeClr w14:val="tx1"/>
                  </w14:solidFill>
                </w14:textFill>
              </w:rPr>
              <w:t>其他</w:t>
            </w:r>
          </w:p>
        </w:tc>
        <w:tc>
          <w:tcPr>
            <w:tcW w:w="550" w:type="pct"/>
            <w:vMerge w:val="restart"/>
            <w:shd w:val="clear" w:color="auto" w:fill="auto"/>
            <w:vAlign w:val="center"/>
          </w:tcPr>
          <w:p>
            <w:pPr>
              <w:widowControl/>
              <w:spacing w:line="240" w:lineRule="auto"/>
              <w:ind w:firstLine="0" w:firstLineChars="0"/>
              <w:jc w:val="center"/>
              <w:textAlignment w:val="baseline"/>
              <w:rPr>
                <w:rFonts w:cs="Times New Roman"/>
                <w:b/>
                <w:bCs/>
                <w:color w:val="000000" w:themeColor="text1"/>
                <w:sz w:val="21"/>
                <w:szCs w:val="20"/>
                <w:highlight w:val="none"/>
                <w14:textFill>
                  <w14:solidFill>
                    <w14:schemeClr w14:val="tx1"/>
                  </w14:solidFill>
                </w14:textFill>
              </w:rPr>
            </w:pPr>
            <w:r>
              <w:rPr>
                <w:rFonts w:cs="Times New Roman"/>
                <w:b/>
                <w:bCs/>
                <w:color w:val="000000" w:themeColor="text1"/>
                <w:sz w:val="21"/>
                <w:szCs w:val="20"/>
                <w:highlight w:val="none"/>
                <w:lang w:bidi="ar"/>
                <w14:textFill>
                  <w14:solidFill>
                    <w14:schemeClr w14:val="tx1"/>
                  </w14:solidFill>
                </w14:textFill>
              </w:rPr>
              <w:t>合计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647" w:type="pct"/>
            <w:vMerge w:val="continue"/>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515" w:type="pct"/>
            <w:shd w:val="clear" w:color="auto" w:fill="auto"/>
            <w:vAlign w:val="center"/>
          </w:tcPr>
          <w:p>
            <w:pPr>
              <w:widowControl/>
              <w:spacing w:line="240" w:lineRule="auto"/>
              <w:ind w:firstLine="0" w:firstLineChars="0"/>
              <w:jc w:val="center"/>
              <w:textAlignment w:val="baseline"/>
              <w:rPr>
                <w:rFonts w:cs="Times New Roman"/>
                <w:b/>
                <w:bCs/>
                <w:color w:val="000000" w:themeColor="text1"/>
                <w:sz w:val="21"/>
                <w:szCs w:val="20"/>
                <w:highlight w:val="none"/>
                <w14:textFill>
                  <w14:solidFill>
                    <w14:schemeClr w14:val="tx1"/>
                  </w14:solidFill>
                </w14:textFill>
              </w:rPr>
            </w:pPr>
            <w:r>
              <w:rPr>
                <w:rFonts w:cs="Times New Roman"/>
                <w:b/>
                <w:bCs/>
                <w:color w:val="000000" w:themeColor="text1"/>
                <w:sz w:val="21"/>
                <w:szCs w:val="20"/>
                <w:highlight w:val="none"/>
                <w:lang w:bidi="ar"/>
                <w14:textFill>
                  <w14:solidFill>
                    <w14:schemeClr w14:val="tx1"/>
                  </w14:solidFill>
                </w14:textFill>
              </w:rPr>
              <w:t>水田</w:t>
            </w:r>
          </w:p>
        </w:tc>
        <w:tc>
          <w:tcPr>
            <w:tcW w:w="516" w:type="pct"/>
            <w:shd w:val="clear" w:color="auto" w:fill="auto"/>
            <w:vAlign w:val="center"/>
          </w:tcPr>
          <w:p>
            <w:pPr>
              <w:widowControl/>
              <w:spacing w:line="240" w:lineRule="auto"/>
              <w:ind w:firstLine="0" w:firstLineChars="0"/>
              <w:jc w:val="center"/>
              <w:textAlignment w:val="baseline"/>
              <w:rPr>
                <w:rFonts w:cs="Times New Roman"/>
                <w:b/>
                <w:bCs/>
                <w:color w:val="000000" w:themeColor="text1"/>
                <w:sz w:val="21"/>
                <w:szCs w:val="20"/>
                <w:highlight w:val="none"/>
                <w14:textFill>
                  <w14:solidFill>
                    <w14:schemeClr w14:val="tx1"/>
                  </w14:solidFill>
                </w14:textFill>
              </w:rPr>
            </w:pPr>
            <w:r>
              <w:rPr>
                <w:rFonts w:cs="Times New Roman"/>
                <w:b/>
                <w:bCs/>
                <w:color w:val="000000" w:themeColor="text1"/>
                <w:sz w:val="21"/>
                <w:szCs w:val="20"/>
                <w:highlight w:val="none"/>
                <w:lang w:bidi="ar"/>
                <w14:textFill>
                  <w14:solidFill>
                    <w14:schemeClr w14:val="tx1"/>
                  </w14:solidFill>
                </w14:textFill>
              </w:rPr>
              <w:t>旱地</w:t>
            </w:r>
          </w:p>
        </w:tc>
        <w:tc>
          <w:tcPr>
            <w:tcW w:w="665" w:type="pct"/>
            <w:vMerge w:val="continue"/>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656" w:type="pct"/>
            <w:vMerge w:val="continue"/>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498" w:type="pct"/>
            <w:vMerge w:val="continue"/>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480" w:type="pct"/>
            <w:vMerge w:val="continue"/>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472" w:type="pct"/>
            <w:vMerge w:val="continue"/>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550" w:type="pct"/>
            <w:vMerge w:val="continue"/>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7"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试采站</w:t>
            </w:r>
          </w:p>
        </w:tc>
        <w:tc>
          <w:tcPr>
            <w:tcW w:w="515"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0.0762</w:t>
            </w:r>
          </w:p>
        </w:tc>
        <w:tc>
          <w:tcPr>
            <w:tcW w:w="516"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w:t>
            </w:r>
          </w:p>
        </w:tc>
        <w:tc>
          <w:tcPr>
            <w:tcW w:w="665"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w:t>
            </w:r>
          </w:p>
        </w:tc>
        <w:tc>
          <w:tcPr>
            <w:tcW w:w="656"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w:t>
            </w:r>
          </w:p>
        </w:tc>
        <w:tc>
          <w:tcPr>
            <w:tcW w:w="498"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w:t>
            </w:r>
          </w:p>
        </w:tc>
        <w:tc>
          <w:tcPr>
            <w:tcW w:w="480"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0.2043</w:t>
            </w:r>
          </w:p>
        </w:tc>
        <w:tc>
          <w:tcPr>
            <w:tcW w:w="472"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w:t>
            </w:r>
          </w:p>
        </w:tc>
        <w:tc>
          <w:tcPr>
            <w:tcW w:w="550"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0.2805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7"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施工作业带</w:t>
            </w:r>
          </w:p>
        </w:tc>
        <w:tc>
          <w:tcPr>
            <w:tcW w:w="515"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5.3136</w:t>
            </w:r>
          </w:p>
        </w:tc>
        <w:tc>
          <w:tcPr>
            <w:tcW w:w="516"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0.8424</w:t>
            </w:r>
          </w:p>
        </w:tc>
        <w:tc>
          <w:tcPr>
            <w:tcW w:w="665"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2.5008</w:t>
            </w:r>
          </w:p>
        </w:tc>
        <w:tc>
          <w:tcPr>
            <w:tcW w:w="656"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0.2893</w:t>
            </w:r>
          </w:p>
        </w:tc>
        <w:tc>
          <w:tcPr>
            <w:tcW w:w="498"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0.2259</w:t>
            </w:r>
          </w:p>
        </w:tc>
        <w:tc>
          <w:tcPr>
            <w:tcW w:w="480"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0.0347</w:t>
            </w:r>
          </w:p>
        </w:tc>
        <w:tc>
          <w:tcPr>
            <w:tcW w:w="472"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0.2335</w:t>
            </w:r>
          </w:p>
        </w:tc>
        <w:tc>
          <w:tcPr>
            <w:tcW w:w="550"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9.44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7"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施工便道</w:t>
            </w:r>
          </w:p>
        </w:tc>
        <w:tc>
          <w:tcPr>
            <w:tcW w:w="515"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0.4304</w:t>
            </w:r>
          </w:p>
        </w:tc>
        <w:tc>
          <w:tcPr>
            <w:tcW w:w="516"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0.3696</w:t>
            </w:r>
          </w:p>
        </w:tc>
        <w:tc>
          <w:tcPr>
            <w:tcW w:w="665"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w:t>
            </w:r>
          </w:p>
        </w:tc>
        <w:tc>
          <w:tcPr>
            <w:tcW w:w="656"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w:t>
            </w:r>
          </w:p>
        </w:tc>
        <w:tc>
          <w:tcPr>
            <w:tcW w:w="498"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w:t>
            </w:r>
          </w:p>
        </w:tc>
        <w:tc>
          <w:tcPr>
            <w:tcW w:w="480"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w:t>
            </w:r>
          </w:p>
        </w:tc>
        <w:tc>
          <w:tcPr>
            <w:tcW w:w="472"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w:t>
            </w:r>
          </w:p>
        </w:tc>
        <w:tc>
          <w:tcPr>
            <w:tcW w:w="550"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7"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堆管场</w:t>
            </w:r>
          </w:p>
        </w:tc>
        <w:tc>
          <w:tcPr>
            <w:tcW w:w="515"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0.0765</w:t>
            </w:r>
          </w:p>
        </w:tc>
        <w:tc>
          <w:tcPr>
            <w:tcW w:w="516"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0.1235</w:t>
            </w:r>
          </w:p>
        </w:tc>
        <w:tc>
          <w:tcPr>
            <w:tcW w:w="665"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w:t>
            </w:r>
          </w:p>
        </w:tc>
        <w:tc>
          <w:tcPr>
            <w:tcW w:w="656"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w:t>
            </w:r>
          </w:p>
        </w:tc>
        <w:tc>
          <w:tcPr>
            <w:tcW w:w="498"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w:t>
            </w:r>
          </w:p>
        </w:tc>
        <w:tc>
          <w:tcPr>
            <w:tcW w:w="480"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w:t>
            </w:r>
          </w:p>
        </w:tc>
        <w:tc>
          <w:tcPr>
            <w:tcW w:w="472"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w:t>
            </w:r>
          </w:p>
        </w:tc>
        <w:tc>
          <w:tcPr>
            <w:tcW w:w="550"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7"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穿越点施工场地</w:t>
            </w:r>
          </w:p>
        </w:tc>
        <w:tc>
          <w:tcPr>
            <w:tcW w:w="515"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0.5488</w:t>
            </w:r>
          </w:p>
        </w:tc>
        <w:tc>
          <w:tcPr>
            <w:tcW w:w="516"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0.8312</w:t>
            </w:r>
          </w:p>
        </w:tc>
        <w:tc>
          <w:tcPr>
            <w:tcW w:w="665"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w:t>
            </w:r>
          </w:p>
        </w:tc>
        <w:tc>
          <w:tcPr>
            <w:tcW w:w="656"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w:t>
            </w:r>
          </w:p>
        </w:tc>
        <w:tc>
          <w:tcPr>
            <w:tcW w:w="498"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w:t>
            </w:r>
          </w:p>
        </w:tc>
        <w:tc>
          <w:tcPr>
            <w:tcW w:w="480"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w:t>
            </w:r>
          </w:p>
        </w:tc>
        <w:tc>
          <w:tcPr>
            <w:tcW w:w="472"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w:t>
            </w:r>
          </w:p>
        </w:tc>
        <w:tc>
          <w:tcPr>
            <w:tcW w:w="550"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1.38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7"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合计</w:t>
            </w:r>
          </w:p>
        </w:tc>
        <w:tc>
          <w:tcPr>
            <w:tcW w:w="515"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6.4455</w:t>
            </w:r>
          </w:p>
        </w:tc>
        <w:tc>
          <w:tcPr>
            <w:tcW w:w="516"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2.1667</w:t>
            </w:r>
          </w:p>
        </w:tc>
        <w:tc>
          <w:tcPr>
            <w:tcW w:w="665"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2.5008</w:t>
            </w:r>
          </w:p>
        </w:tc>
        <w:tc>
          <w:tcPr>
            <w:tcW w:w="656"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0.2893</w:t>
            </w:r>
          </w:p>
        </w:tc>
        <w:tc>
          <w:tcPr>
            <w:tcW w:w="498"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0.2259</w:t>
            </w:r>
          </w:p>
        </w:tc>
        <w:tc>
          <w:tcPr>
            <w:tcW w:w="480"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0.239</w:t>
            </w:r>
          </w:p>
        </w:tc>
        <w:tc>
          <w:tcPr>
            <w:tcW w:w="472"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0.2335</w:t>
            </w:r>
          </w:p>
        </w:tc>
        <w:tc>
          <w:tcPr>
            <w:tcW w:w="550"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12.1005</w:t>
            </w:r>
          </w:p>
        </w:tc>
      </w:tr>
    </w:tbl>
    <w:p>
      <w:pPr>
        <w:pStyle w:val="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土石方平衡</w:t>
      </w:r>
    </w:p>
    <w:p>
      <w:pPr>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（1）表土剥离</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w:t>
      </w:r>
      <w:r>
        <w:rPr>
          <w:color w:val="000000" w:themeColor="text1"/>
          <w:highlight w:val="none"/>
          <w14:textFill>
            <w14:solidFill>
              <w14:schemeClr w14:val="tx1"/>
            </w14:solidFill>
          </w14:textFill>
        </w:rPr>
        <w:t>项目建设内容包括</w:t>
      </w:r>
      <w:r>
        <w:rPr>
          <w:rFonts w:hint="eastAsia"/>
          <w:color w:val="000000" w:themeColor="text1"/>
          <w:highlight w:val="none"/>
          <w14:textFill>
            <w14:solidFill>
              <w14:schemeClr w14:val="tx1"/>
            </w14:solidFill>
          </w14:textFill>
        </w:rPr>
        <w:t>试采站场</w:t>
      </w:r>
      <w:r>
        <w:rPr>
          <w:color w:val="000000" w:themeColor="text1"/>
          <w:highlight w:val="none"/>
          <w14:textFill>
            <w14:solidFill>
              <w14:schemeClr w14:val="tx1"/>
            </w14:solidFill>
          </w14:textFill>
        </w:rPr>
        <w:t>和管线工程两部分，试采</w:t>
      </w:r>
      <w:r>
        <w:rPr>
          <w:rFonts w:hint="eastAsia"/>
          <w:color w:val="000000" w:themeColor="text1"/>
          <w:highlight w:val="none"/>
          <w14:textFill>
            <w14:solidFill>
              <w14:schemeClr w14:val="tx1"/>
            </w14:solidFill>
          </w14:textFill>
        </w:rPr>
        <w:t>站场利用</w:t>
      </w:r>
      <w:r>
        <w:rPr>
          <w:color w:val="000000" w:themeColor="text1"/>
          <w:highlight w:val="none"/>
          <w14:textFill>
            <w14:solidFill>
              <w14:schemeClr w14:val="tx1"/>
            </w14:solidFill>
          </w14:textFill>
        </w:rPr>
        <w:t>现有</w:t>
      </w:r>
      <w:r>
        <w:rPr>
          <w:rFonts w:hint="eastAsia"/>
          <w:color w:val="000000" w:themeColor="text1"/>
          <w:highlight w:val="none"/>
          <w14:textFill>
            <w14:solidFill>
              <w14:schemeClr w14:val="tx1"/>
            </w14:solidFill>
          </w14:textFill>
        </w:rPr>
        <w:t>站场西侧鱼塘填平后作为装置区。</w:t>
      </w:r>
    </w:p>
    <w:p>
      <w:pPr>
        <w:ind w:firstLine="480"/>
        <w:rPr>
          <w:rFonts w:cs="Times New Roman"/>
          <w:color w:val="000000" w:themeColor="text1"/>
          <w:szCs w:val="24"/>
          <w:highlight w:val="none"/>
          <w14:textFill>
            <w14:solidFill>
              <w14:schemeClr w14:val="tx1"/>
            </w14:solidFill>
          </w14:textFill>
        </w:rPr>
      </w:pPr>
      <w:r>
        <w:rPr>
          <w:color w:val="000000" w:themeColor="text1"/>
          <w:highlight w:val="none"/>
          <w14:textFill>
            <w14:solidFill>
              <w14:schemeClr w14:val="tx1"/>
            </w14:solidFill>
          </w14:textFill>
        </w:rPr>
        <w:t>管道敷设过程中，主要采用</w:t>
      </w:r>
      <w:r>
        <w:rPr>
          <w:rFonts w:ascii="宋体" w:hAnsi="宋体" w:cs="Times New Roman"/>
          <w:color w:val="000000" w:themeColor="text1"/>
          <w:highlight w:val="none"/>
          <w14:textFill>
            <w14:solidFill>
              <w14:schemeClr w14:val="tx1"/>
            </w14:solidFill>
          </w14:textFill>
        </w:rPr>
        <w:t>“开挖一段、敷设一段”</w:t>
      </w:r>
      <w:r>
        <w:rPr>
          <w:color w:val="000000" w:themeColor="text1"/>
          <w:highlight w:val="none"/>
          <w14:textFill>
            <w14:solidFill>
              <w14:schemeClr w14:val="tx1"/>
            </w14:solidFill>
          </w14:textFill>
        </w:rPr>
        <w:t>的方式分段施工，以减少水土流失</w:t>
      </w:r>
      <w:r>
        <w:rPr>
          <w:rFonts w:hint="eastAsia"/>
          <w:color w:val="000000" w:themeColor="text1"/>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根据项目设计资料可知，本项目施工期剥离表土总计约8280m</w:t>
      </w:r>
      <w:r>
        <w:rPr>
          <w:rFonts w:cs="Times New Roman"/>
          <w:bCs/>
          <w:color w:val="000000" w:themeColor="text1"/>
          <w:szCs w:val="24"/>
          <w:highlight w:val="none"/>
          <w:vertAlign w:val="superscript"/>
          <w14:textFill>
            <w14:solidFill>
              <w14:schemeClr w14:val="tx1"/>
            </w14:solidFill>
          </w14:textFill>
        </w:rPr>
        <w:t>3</w:t>
      </w:r>
      <w:r>
        <w:rPr>
          <w:rFonts w:cs="Times New Roman"/>
          <w:bCs/>
          <w:color w:val="000000" w:themeColor="text1"/>
          <w:szCs w:val="24"/>
          <w:highlight w:val="none"/>
          <w14:textFill>
            <w14:solidFill>
              <w14:schemeClr w14:val="tx1"/>
            </w14:solidFill>
          </w14:textFill>
        </w:rPr>
        <w:t>，回填表土8280m</w:t>
      </w:r>
      <w:r>
        <w:rPr>
          <w:rFonts w:cs="Times New Roman"/>
          <w:bCs/>
          <w:color w:val="000000" w:themeColor="text1"/>
          <w:szCs w:val="24"/>
          <w:highlight w:val="none"/>
          <w:vertAlign w:val="superscript"/>
          <w14:textFill>
            <w14:solidFill>
              <w14:schemeClr w14:val="tx1"/>
            </w14:solidFill>
          </w14:textFill>
        </w:rPr>
        <w:t>3</w:t>
      </w:r>
      <w:r>
        <w:rPr>
          <w:rFonts w:cs="Times New Roman"/>
          <w:bCs/>
          <w:color w:val="000000" w:themeColor="text1"/>
          <w:szCs w:val="24"/>
          <w:highlight w:val="none"/>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管道施工</w:t>
      </w:r>
      <w:r>
        <w:rPr>
          <w:rFonts w:cs="Times New Roman"/>
          <w:bCs/>
          <w:color w:val="000000" w:themeColor="text1"/>
          <w:szCs w:val="24"/>
          <w:highlight w:val="none"/>
          <w14:textFill>
            <w14:solidFill>
              <w14:schemeClr w14:val="tx1"/>
            </w14:solidFill>
          </w14:textFill>
        </w:rPr>
        <w:t>剥离</w:t>
      </w:r>
      <w:r>
        <w:rPr>
          <w:rFonts w:hint="eastAsia" w:cs="Times New Roman"/>
          <w:bCs/>
          <w:color w:val="000000" w:themeColor="text1"/>
          <w:szCs w:val="24"/>
          <w:highlight w:val="none"/>
          <w14:textFill>
            <w14:solidFill>
              <w14:schemeClr w14:val="tx1"/>
            </w14:solidFill>
          </w14:textFill>
        </w:rPr>
        <w:t>的</w:t>
      </w:r>
      <w:r>
        <w:rPr>
          <w:rFonts w:cs="Times New Roman"/>
          <w:bCs/>
          <w:color w:val="000000" w:themeColor="text1"/>
          <w:szCs w:val="24"/>
          <w:highlight w:val="none"/>
          <w14:textFill>
            <w14:solidFill>
              <w14:schemeClr w14:val="tx1"/>
            </w14:solidFill>
          </w14:textFill>
        </w:rPr>
        <w:t>表土就近堆放于</w:t>
      </w:r>
      <w:r>
        <w:rPr>
          <w:rFonts w:hint="eastAsia" w:cs="Times New Roman"/>
          <w:bCs/>
          <w:color w:val="000000" w:themeColor="text1"/>
          <w:szCs w:val="24"/>
          <w:highlight w:val="none"/>
          <w14:textFill>
            <w14:solidFill>
              <w14:schemeClr w14:val="tx1"/>
            </w14:solidFill>
          </w14:textFill>
        </w:rPr>
        <w:t>管沟两侧</w:t>
      </w:r>
      <w:r>
        <w:rPr>
          <w:rFonts w:cs="Times New Roman"/>
          <w:bCs/>
          <w:color w:val="000000" w:themeColor="text1"/>
          <w:szCs w:val="24"/>
          <w:highlight w:val="none"/>
          <w14:textFill>
            <w14:solidFill>
              <w14:schemeClr w14:val="tx1"/>
            </w14:solidFill>
          </w14:textFill>
        </w:rPr>
        <w:t>，采用密目网对其进行遮盖，定期洒水保持土壤的含水量</w:t>
      </w:r>
      <w:r>
        <w:rPr>
          <w:rFonts w:hint="eastAsia" w:cs="Times New Roman"/>
          <w:bCs/>
          <w:color w:val="000000" w:themeColor="text1"/>
          <w:szCs w:val="24"/>
          <w:highlight w:val="none"/>
          <w14:textFill>
            <w14:solidFill>
              <w14:schemeClr w14:val="tx1"/>
            </w14:solidFill>
          </w14:textFill>
        </w:rPr>
        <w:t>，管道敷设后及时回填</w:t>
      </w:r>
      <w:r>
        <w:rPr>
          <w:rFonts w:cs="Times New Roman"/>
          <w:bCs/>
          <w:color w:val="000000" w:themeColor="text1"/>
          <w:szCs w:val="24"/>
          <w:highlight w:val="none"/>
          <w14:textFill>
            <w14:solidFill>
              <w14:schemeClr w14:val="tx1"/>
            </w14:solidFill>
          </w14:textFill>
        </w:rPr>
        <w:t>。</w:t>
      </w:r>
    </w:p>
    <w:p>
      <w:pPr>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（2）土石方</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根据设计</w:t>
      </w:r>
      <w:r>
        <w:rPr>
          <w:rFonts w:hint="eastAsia"/>
          <w:color w:val="000000" w:themeColor="text1"/>
          <w:highlight w:val="none"/>
          <w14:textFill>
            <w14:solidFill>
              <w14:schemeClr w14:val="tx1"/>
            </w14:solidFill>
          </w14:textFill>
        </w:rPr>
        <w:t>资料</w:t>
      </w:r>
      <w:r>
        <w:rPr>
          <w:color w:val="000000" w:themeColor="text1"/>
          <w:highlight w:val="none"/>
          <w14:textFill>
            <w14:solidFill>
              <w14:schemeClr w14:val="tx1"/>
            </w14:solidFill>
          </w14:textFill>
        </w:rPr>
        <w:t>可知，项目</w:t>
      </w:r>
      <w:r>
        <w:rPr>
          <w:rFonts w:hint="eastAsia"/>
          <w:color w:val="000000" w:themeColor="text1"/>
          <w:highlight w:val="none"/>
          <w14:textFill>
            <w14:solidFill>
              <w14:schemeClr w14:val="tx1"/>
            </w14:solidFill>
          </w14:textFill>
        </w:rPr>
        <w:t>试采站</w:t>
      </w:r>
      <w:r>
        <w:rPr>
          <w:color w:val="000000" w:themeColor="text1"/>
          <w:highlight w:val="none"/>
          <w14:textFill>
            <w14:solidFill>
              <w14:schemeClr w14:val="tx1"/>
            </w14:solidFill>
          </w14:textFill>
        </w:rPr>
        <w:t>设备基础等土石方总开挖方量300m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，总填方量2500m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借</w:t>
      </w:r>
      <w:r>
        <w:rPr>
          <w:color w:val="000000" w:themeColor="text1"/>
          <w:highlight w:val="none"/>
          <w14:textFill>
            <w14:solidFill>
              <w14:schemeClr w14:val="tx1"/>
            </w14:solidFill>
          </w14:textFill>
        </w:rPr>
        <w:t>方约</w:t>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200m</w:t>
      </w:r>
      <w:r>
        <w:rPr>
          <w:color w:val="000000" w:themeColor="text1"/>
          <w:highlight w:val="none"/>
          <w:vertAlign w:val="superscript"/>
          <w14:textFill>
            <w14:solidFill>
              <w14:schemeClr w14:val="tx1"/>
            </w14:solidFill>
          </w14:textFill>
        </w:rPr>
        <w:t>3</w:t>
      </w:r>
      <w:r>
        <w:rPr>
          <w:rFonts w:hint="eastAsia"/>
          <w:color w:val="000000" w:themeColor="text1"/>
          <w:highlight w:val="none"/>
          <w14:textFill>
            <w14:solidFill>
              <w14:schemeClr w14:val="tx1"/>
            </w14:solidFill>
          </w14:textFill>
        </w:rPr>
        <w:t>，借方主要来自管线施工时的余方。</w:t>
      </w:r>
      <w:r>
        <w:rPr>
          <w:color w:val="000000" w:themeColor="text1"/>
          <w:highlight w:val="none"/>
          <w14:textFill>
            <w14:solidFill>
              <w14:schemeClr w14:val="tx1"/>
            </w14:solidFill>
          </w14:textFill>
        </w:rPr>
        <w:t>剥离表土集中堆放至表土堆场，表土用于后期生态恢复，综合利用</w:t>
      </w:r>
      <w:r>
        <w:rPr>
          <w:rFonts w:hint="eastAsia"/>
          <w:color w:val="000000" w:themeColor="text1"/>
          <w:highlight w:val="none"/>
          <w14:textFill>
            <w14:solidFill>
              <w14:schemeClr w14:val="tx1"/>
            </w14:solidFill>
          </w14:textFill>
        </w:rPr>
        <w:t>；管道工程挖方</w:t>
      </w:r>
      <w:r>
        <w:rPr>
          <w:bCs/>
          <w:color w:val="000000" w:themeColor="text1"/>
          <w:highlight w:val="none"/>
          <w14:textFill>
            <w14:solidFill>
              <w14:schemeClr w14:val="tx1"/>
            </w14:solidFill>
          </w14:textFill>
        </w:rPr>
        <w:t>87347</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rFonts w:hint="eastAsia"/>
          <w:color w:val="000000" w:themeColor="text1"/>
          <w:highlight w:val="none"/>
          <w14:textFill>
            <w14:solidFill>
              <w14:schemeClr w14:val="tx1"/>
            </w14:solidFill>
          </w14:textFill>
        </w:rPr>
        <w:t>后在管沟两侧堆放，用于管沟和鱼塘回填</w:t>
      </w:r>
      <w:r>
        <w:rPr>
          <w:color w:val="000000" w:themeColor="text1"/>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项目土石方平衡见</w:t>
      </w:r>
      <w:r>
        <w:rPr>
          <w:rFonts w:hint="eastAsia"/>
          <w:color w:val="000000" w:themeColor="text1"/>
          <w:highlight w:val="none"/>
          <w14:textFill>
            <w14:solidFill>
              <w14:schemeClr w14:val="tx1"/>
            </w14:solidFill>
          </w14:textFill>
        </w:rPr>
        <w:t>下表</w:t>
      </w:r>
      <w:r>
        <w:rPr>
          <w:color w:val="000000" w:themeColor="text1"/>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本项目土石方平衡一览表</w:t>
      </w:r>
    </w:p>
    <w:tbl>
      <w:tblPr>
        <w:tblStyle w:val="4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81"/>
        <w:gridCol w:w="1160"/>
        <w:gridCol w:w="1226"/>
        <w:gridCol w:w="1542"/>
        <w:gridCol w:w="839"/>
        <w:gridCol w:w="15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 w:hRule="atLeast"/>
        </w:trPr>
        <w:tc>
          <w:tcPr>
            <w:tcW w:w="1279"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项目</w:t>
            </w:r>
          </w:p>
        </w:tc>
        <w:tc>
          <w:tcPr>
            <w:tcW w:w="680"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挖方</w:t>
            </w:r>
          </w:p>
        </w:tc>
        <w:tc>
          <w:tcPr>
            <w:tcW w:w="719"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填方</w:t>
            </w:r>
          </w:p>
        </w:tc>
        <w:tc>
          <w:tcPr>
            <w:tcW w:w="904"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借方（调方）</w:t>
            </w:r>
          </w:p>
        </w:tc>
        <w:tc>
          <w:tcPr>
            <w:tcW w:w="492"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余方</w:t>
            </w:r>
          </w:p>
        </w:tc>
        <w:tc>
          <w:tcPr>
            <w:tcW w:w="925"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 w:hRule="atLeast"/>
        </w:trPr>
        <w:tc>
          <w:tcPr>
            <w:tcW w:w="1279"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试采站工程</w:t>
            </w:r>
          </w:p>
        </w:tc>
        <w:tc>
          <w:tcPr>
            <w:tcW w:w="680"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300</w:t>
            </w:r>
          </w:p>
        </w:tc>
        <w:tc>
          <w:tcPr>
            <w:tcW w:w="719" w:type="pct"/>
            <w:vAlign w:val="center"/>
          </w:tcPr>
          <w:p>
            <w:pPr>
              <w:widowControl/>
              <w:adjustRightInd/>
              <w:snapToGrid/>
              <w:spacing w:line="240" w:lineRule="auto"/>
              <w:ind w:firstLine="0" w:firstLineChars="0"/>
              <w:jc w:val="center"/>
              <w:rPr>
                <w:rFonts w:cs="Times New Roman"/>
                <w:bCs/>
                <w:color w:val="000000" w:themeColor="text1"/>
                <w:sz w:val="21"/>
                <w:szCs w:val="20"/>
                <w:highlight w:val="none"/>
                <w14:textFill>
                  <w14:solidFill>
                    <w14:schemeClr w14:val="tx1"/>
                  </w14:solidFill>
                </w14:textFill>
              </w:rPr>
            </w:pPr>
            <w:r>
              <w:rPr>
                <w:rFonts w:cs="Times New Roman"/>
                <w:bCs/>
                <w:color w:val="000000" w:themeColor="text1"/>
                <w:sz w:val="21"/>
                <w:szCs w:val="20"/>
                <w:highlight w:val="none"/>
                <w14:textFill>
                  <w14:solidFill>
                    <w14:schemeClr w14:val="tx1"/>
                  </w14:solidFill>
                </w14:textFill>
              </w:rPr>
              <w:t>2500</w:t>
            </w:r>
          </w:p>
        </w:tc>
        <w:tc>
          <w:tcPr>
            <w:tcW w:w="90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2200</w:t>
            </w:r>
          </w:p>
        </w:tc>
        <w:tc>
          <w:tcPr>
            <w:tcW w:w="49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925" w:type="pct"/>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挖填方平衡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 w:hRule="atLeast"/>
        </w:trPr>
        <w:tc>
          <w:tcPr>
            <w:tcW w:w="1279"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小计</w:t>
            </w:r>
          </w:p>
        </w:tc>
        <w:tc>
          <w:tcPr>
            <w:tcW w:w="680" w:type="pct"/>
            <w:vAlign w:val="bottom"/>
          </w:tcPr>
          <w:p>
            <w:pPr>
              <w:widowControl/>
              <w:adjustRightInd/>
              <w:snapToGrid/>
              <w:spacing w:line="240" w:lineRule="auto"/>
              <w:ind w:firstLine="0" w:firstLineChars="0"/>
              <w:jc w:val="center"/>
              <w:rPr>
                <w:rFonts w:cs="Times New Roman"/>
                <w:bCs/>
                <w:color w:val="000000" w:themeColor="text1"/>
                <w:sz w:val="21"/>
                <w:szCs w:val="20"/>
                <w:highlight w:val="none"/>
                <w14:textFill>
                  <w14:solidFill>
                    <w14:schemeClr w14:val="tx1"/>
                  </w14:solidFill>
                </w14:textFill>
              </w:rPr>
            </w:pPr>
            <w:r>
              <w:rPr>
                <w:rFonts w:cs="Times New Roman"/>
                <w:bCs/>
                <w:color w:val="000000" w:themeColor="text1"/>
                <w:sz w:val="21"/>
                <w:szCs w:val="20"/>
                <w:highlight w:val="none"/>
                <w14:textFill>
                  <w14:solidFill>
                    <w14:schemeClr w14:val="tx1"/>
                  </w14:solidFill>
                </w14:textFill>
              </w:rPr>
              <w:t>300</w:t>
            </w:r>
          </w:p>
        </w:tc>
        <w:tc>
          <w:tcPr>
            <w:tcW w:w="719" w:type="pct"/>
            <w:vAlign w:val="bottom"/>
          </w:tcPr>
          <w:p>
            <w:pPr>
              <w:widowControl/>
              <w:adjustRightInd/>
              <w:snapToGrid/>
              <w:spacing w:line="240" w:lineRule="auto"/>
              <w:ind w:firstLine="0" w:firstLineChars="0"/>
              <w:jc w:val="center"/>
              <w:rPr>
                <w:rFonts w:cs="Times New Roman"/>
                <w:bCs/>
                <w:color w:val="000000" w:themeColor="text1"/>
                <w:sz w:val="21"/>
                <w:szCs w:val="20"/>
                <w:highlight w:val="none"/>
                <w14:textFill>
                  <w14:solidFill>
                    <w14:schemeClr w14:val="tx1"/>
                  </w14:solidFill>
                </w14:textFill>
              </w:rPr>
            </w:pPr>
            <w:r>
              <w:rPr>
                <w:rFonts w:cs="Times New Roman"/>
                <w:bCs/>
                <w:color w:val="000000" w:themeColor="text1"/>
                <w:sz w:val="21"/>
                <w:szCs w:val="20"/>
                <w:highlight w:val="none"/>
                <w14:textFill>
                  <w14:solidFill>
                    <w14:schemeClr w14:val="tx1"/>
                  </w14:solidFill>
                </w14:textFill>
              </w:rPr>
              <w:t>2500</w:t>
            </w:r>
          </w:p>
        </w:tc>
        <w:tc>
          <w:tcPr>
            <w:tcW w:w="904" w:type="pct"/>
            <w:vAlign w:val="bottom"/>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2200</w:t>
            </w:r>
          </w:p>
        </w:tc>
        <w:tc>
          <w:tcPr>
            <w:tcW w:w="492" w:type="pct"/>
            <w:vAlign w:val="bottom"/>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w:t>
            </w:r>
          </w:p>
        </w:tc>
        <w:tc>
          <w:tcPr>
            <w:tcW w:w="925" w:type="pct"/>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 w:hRule="atLeast"/>
        </w:trPr>
        <w:tc>
          <w:tcPr>
            <w:tcW w:w="1279"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管道工程</w:t>
            </w:r>
          </w:p>
        </w:tc>
        <w:tc>
          <w:tcPr>
            <w:tcW w:w="680"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87347</w:t>
            </w:r>
          </w:p>
        </w:tc>
        <w:tc>
          <w:tcPr>
            <w:tcW w:w="719"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w:t>
            </w:r>
            <w:r>
              <w:rPr>
                <w:rFonts w:hint="eastAsia"/>
                <w:color w:val="000000" w:themeColor="text1"/>
                <w:highlight w:val="none"/>
                <w14:textFill>
                  <w14:solidFill>
                    <w14:schemeClr w14:val="tx1"/>
                  </w14:solidFill>
                </w14:textFill>
              </w:rPr>
              <w:t>51</w:t>
            </w:r>
            <w:r>
              <w:rPr>
                <w:color w:val="000000" w:themeColor="text1"/>
                <w:highlight w:val="none"/>
                <w14:textFill>
                  <w14:solidFill>
                    <w14:schemeClr w14:val="tx1"/>
                  </w14:solidFill>
                </w14:textFill>
              </w:rPr>
              <w:t>47</w:t>
            </w:r>
          </w:p>
        </w:tc>
        <w:tc>
          <w:tcPr>
            <w:tcW w:w="90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w:t>
            </w:r>
          </w:p>
        </w:tc>
        <w:tc>
          <w:tcPr>
            <w:tcW w:w="492"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2200</w:t>
            </w:r>
          </w:p>
        </w:tc>
        <w:tc>
          <w:tcPr>
            <w:tcW w:w="925" w:type="pct"/>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 w:hRule="atLeast"/>
        </w:trPr>
        <w:tc>
          <w:tcPr>
            <w:tcW w:w="1279"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小计</w:t>
            </w:r>
          </w:p>
        </w:tc>
        <w:tc>
          <w:tcPr>
            <w:tcW w:w="680"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w:t>
            </w:r>
            <w:r>
              <w:rPr>
                <w:rFonts w:hint="eastAsia"/>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t>347</w:t>
            </w:r>
          </w:p>
        </w:tc>
        <w:tc>
          <w:tcPr>
            <w:tcW w:w="719"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w:t>
            </w:r>
            <w:r>
              <w:rPr>
                <w:rFonts w:hint="eastAsia"/>
                <w:color w:val="000000" w:themeColor="text1"/>
                <w:highlight w:val="none"/>
                <w14:textFill>
                  <w14:solidFill>
                    <w14:schemeClr w14:val="tx1"/>
                  </w14:solidFill>
                </w14:textFill>
              </w:rPr>
              <w:t>51</w:t>
            </w:r>
            <w:r>
              <w:rPr>
                <w:color w:val="000000" w:themeColor="text1"/>
                <w:highlight w:val="none"/>
                <w14:textFill>
                  <w14:solidFill>
                    <w14:schemeClr w14:val="tx1"/>
                  </w14:solidFill>
                </w14:textFill>
              </w:rPr>
              <w:t>47</w:t>
            </w:r>
          </w:p>
        </w:tc>
        <w:tc>
          <w:tcPr>
            <w:tcW w:w="90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w:t>
            </w:r>
          </w:p>
        </w:tc>
        <w:tc>
          <w:tcPr>
            <w:tcW w:w="492"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2200</w:t>
            </w:r>
          </w:p>
        </w:tc>
        <w:tc>
          <w:tcPr>
            <w:tcW w:w="925" w:type="pct"/>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 w:hRule="atLeast"/>
        </w:trPr>
        <w:tc>
          <w:tcPr>
            <w:tcW w:w="1279"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合计</w:t>
            </w:r>
          </w:p>
        </w:tc>
        <w:tc>
          <w:tcPr>
            <w:tcW w:w="680" w:type="pct"/>
            <w:vAlign w:val="center"/>
          </w:tcPr>
          <w:p>
            <w:pPr>
              <w:widowControl/>
              <w:adjustRightInd/>
              <w:snapToGrid/>
              <w:spacing w:line="240" w:lineRule="auto"/>
              <w:ind w:firstLine="0" w:firstLineChars="0"/>
              <w:jc w:val="center"/>
              <w:rPr>
                <w:rFonts w:cs="Times New Roman"/>
                <w:bCs/>
                <w:color w:val="000000" w:themeColor="text1"/>
                <w:sz w:val="21"/>
                <w:szCs w:val="20"/>
                <w:highlight w:val="none"/>
                <w14:textFill>
                  <w14:solidFill>
                    <w14:schemeClr w14:val="tx1"/>
                  </w14:solidFill>
                </w14:textFill>
              </w:rPr>
            </w:pPr>
            <w:r>
              <w:rPr>
                <w:rFonts w:cs="Times New Roman"/>
                <w:bCs/>
                <w:color w:val="000000" w:themeColor="text1"/>
                <w:sz w:val="21"/>
                <w:szCs w:val="20"/>
                <w:highlight w:val="none"/>
                <w14:textFill>
                  <w14:solidFill>
                    <w14:schemeClr w14:val="tx1"/>
                  </w14:solidFill>
                </w14:textFill>
              </w:rPr>
              <w:t>87647</w:t>
            </w:r>
          </w:p>
        </w:tc>
        <w:tc>
          <w:tcPr>
            <w:tcW w:w="719" w:type="pct"/>
            <w:vAlign w:val="center"/>
          </w:tcPr>
          <w:p>
            <w:pPr>
              <w:widowControl/>
              <w:adjustRightInd/>
              <w:snapToGrid/>
              <w:spacing w:line="240" w:lineRule="auto"/>
              <w:ind w:firstLine="0" w:firstLineChars="0"/>
              <w:jc w:val="center"/>
              <w:rPr>
                <w:rFonts w:cs="Times New Roman"/>
                <w:bCs/>
                <w:color w:val="000000" w:themeColor="text1"/>
                <w:sz w:val="21"/>
                <w:szCs w:val="20"/>
                <w:highlight w:val="none"/>
                <w14:textFill>
                  <w14:solidFill>
                    <w14:schemeClr w14:val="tx1"/>
                  </w14:solidFill>
                </w14:textFill>
              </w:rPr>
            </w:pPr>
            <w:r>
              <w:rPr>
                <w:rFonts w:cs="Times New Roman"/>
                <w:bCs/>
                <w:color w:val="000000" w:themeColor="text1"/>
                <w:sz w:val="21"/>
                <w:szCs w:val="20"/>
                <w:highlight w:val="none"/>
                <w14:textFill>
                  <w14:solidFill>
                    <w14:schemeClr w14:val="tx1"/>
                  </w14:solidFill>
                </w14:textFill>
              </w:rPr>
              <w:t>8</w:t>
            </w:r>
            <w:r>
              <w:rPr>
                <w:rFonts w:hint="eastAsia" w:cs="Times New Roman"/>
                <w:bCs/>
                <w:color w:val="000000" w:themeColor="text1"/>
                <w:sz w:val="21"/>
                <w:szCs w:val="20"/>
                <w:highlight w:val="none"/>
                <w14:textFill>
                  <w14:solidFill>
                    <w14:schemeClr w14:val="tx1"/>
                  </w14:solidFill>
                </w14:textFill>
              </w:rPr>
              <w:t>76</w:t>
            </w:r>
            <w:r>
              <w:rPr>
                <w:rFonts w:cs="Times New Roman"/>
                <w:bCs/>
                <w:color w:val="000000" w:themeColor="text1"/>
                <w:sz w:val="21"/>
                <w:szCs w:val="20"/>
                <w:highlight w:val="none"/>
                <w14:textFill>
                  <w14:solidFill>
                    <w14:schemeClr w14:val="tx1"/>
                  </w14:solidFill>
                </w14:textFill>
              </w:rPr>
              <w:t>47</w:t>
            </w:r>
          </w:p>
        </w:tc>
        <w:tc>
          <w:tcPr>
            <w:tcW w:w="90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w:t>
            </w:r>
          </w:p>
        </w:tc>
        <w:tc>
          <w:tcPr>
            <w:tcW w:w="49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925" w:type="pct"/>
            <w:vMerge w:val="continue"/>
            <w:vAlign w:val="center"/>
          </w:tcPr>
          <w:p>
            <w:pPr>
              <w:pStyle w:val="118"/>
              <w:rPr>
                <w:color w:val="000000" w:themeColor="text1"/>
                <w:highlight w:val="none"/>
                <w14:textFill>
                  <w14:solidFill>
                    <w14:schemeClr w14:val="tx1"/>
                  </w14:solidFill>
                </w14:textFill>
              </w:rPr>
            </w:pPr>
          </w:p>
        </w:tc>
      </w:tr>
    </w:tbl>
    <w:p>
      <w:pPr>
        <w:spacing w:before="120" w:beforeLines="5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从上表可以看出，本项目</w:t>
      </w:r>
      <w:r>
        <w:rPr>
          <w:rFonts w:hint="eastAsia"/>
          <w:color w:val="000000" w:themeColor="text1"/>
          <w:highlight w:val="none"/>
          <w14:textFill>
            <w14:solidFill>
              <w14:schemeClr w14:val="tx1"/>
            </w14:solidFill>
          </w14:textFill>
        </w:rPr>
        <w:t>挖填方平衡，</w:t>
      </w:r>
      <w:r>
        <w:rPr>
          <w:color w:val="000000" w:themeColor="text1"/>
          <w:highlight w:val="none"/>
          <w14:textFill>
            <w14:solidFill>
              <w14:schemeClr w14:val="tx1"/>
            </w14:solidFill>
          </w14:textFill>
        </w:rPr>
        <w:t>无弃方产生。</w:t>
      </w:r>
    </w:p>
    <w:bookmarkEnd w:id="135"/>
    <w:p>
      <w:pPr>
        <w:pStyle w:val="5"/>
        <w:spacing w:before="12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原辅材料消耗</w:t>
      </w:r>
    </w:p>
    <w:p>
      <w:pPr>
        <w:autoSpaceDE w:val="0"/>
        <w:autoSpaceDN w:val="0"/>
        <w:ind w:firstLine="480"/>
        <w:textAlignment w:val="baseline"/>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项目试采期为天然气的试采，控制系统消耗一定的电能，水套加热炉加热系统消耗一定的天然气，试采工程主要原辅材料消耗情况见下</w:t>
      </w:r>
      <w:r>
        <w:rPr>
          <w:rFonts w:hint="eastAsia" w:cs="Times New Roman"/>
          <w:color w:val="000000" w:themeColor="text1"/>
          <w:szCs w:val="24"/>
          <w:highlight w:val="none"/>
          <w14:textFill>
            <w14:solidFill>
              <w14:schemeClr w14:val="tx1"/>
            </w14:solidFill>
          </w14:textFill>
        </w:rPr>
        <w:t>表</w:t>
      </w:r>
      <w:r>
        <w:rPr>
          <w:rFonts w:cs="Times New Roman"/>
          <w:color w:val="000000" w:themeColor="text1"/>
          <w:szCs w:val="24"/>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bookmarkStart w:id="147" w:name="_Ref142593390"/>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fldChar w:fldCharType="end"/>
      </w:r>
      <w:bookmarkEnd w:id="147"/>
      <w:r>
        <w:rPr>
          <w:rFonts w:hint="eastAsia"/>
          <w:color w:val="000000" w:themeColor="text1"/>
          <w:highlight w:val="none"/>
          <w14:textFill>
            <w14:solidFill>
              <w14:schemeClr w14:val="tx1"/>
            </w14:solidFill>
          </w14:textFill>
        </w:rPr>
        <w:t>试采工程材料消耗一览表</w:t>
      </w:r>
    </w:p>
    <w:tbl>
      <w:tblPr>
        <w:tblStyle w:val="41"/>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4"/>
        <w:gridCol w:w="992"/>
        <w:gridCol w:w="993"/>
        <w:gridCol w:w="1275"/>
        <w:gridCol w:w="1134"/>
        <w:gridCol w:w="31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704"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类别</w:t>
            </w:r>
          </w:p>
        </w:tc>
        <w:tc>
          <w:tcPr>
            <w:tcW w:w="992"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序号</w:t>
            </w:r>
          </w:p>
        </w:tc>
        <w:tc>
          <w:tcPr>
            <w:tcW w:w="99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名称</w:t>
            </w:r>
          </w:p>
        </w:tc>
        <w:tc>
          <w:tcPr>
            <w:tcW w:w="1275"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单位</w:t>
            </w:r>
          </w:p>
        </w:tc>
        <w:tc>
          <w:tcPr>
            <w:tcW w:w="1134"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数量</w:t>
            </w:r>
          </w:p>
        </w:tc>
        <w:tc>
          <w:tcPr>
            <w:tcW w:w="3124"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能源</w:t>
            </w:r>
          </w:p>
        </w:tc>
        <w:tc>
          <w:tcPr>
            <w:tcW w:w="99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99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天然气</w:t>
            </w:r>
          </w:p>
        </w:tc>
        <w:tc>
          <w:tcPr>
            <w:tcW w:w="127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万m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/a</w:t>
            </w:r>
          </w:p>
        </w:tc>
        <w:tc>
          <w:tcPr>
            <w:tcW w:w="1134"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25</w:t>
            </w:r>
          </w:p>
        </w:tc>
        <w:tc>
          <w:tcPr>
            <w:tcW w:w="3124"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水套加热炉消耗燃气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Merge w:val="continue"/>
            <w:vAlign w:val="center"/>
          </w:tcPr>
          <w:p>
            <w:pPr>
              <w:pStyle w:val="118"/>
              <w:rPr>
                <w:color w:val="000000" w:themeColor="text1"/>
                <w:highlight w:val="none"/>
                <w14:textFill>
                  <w14:solidFill>
                    <w14:schemeClr w14:val="tx1"/>
                  </w14:solidFill>
                </w14:textFill>
              </w:rPr>
            </w:pPr>
          </w:p>
        </w:tc>
        <w:tc>
          <w:tcPr>
            <w:tcW w:w="99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99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电</w:t>
            </w:r>
          </w:p>
        </w:tc>
        <w:tc>
          <w:tcPr>
            <w:tcW w:w="127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万</w:t>
            </w:r>
            <w:r>
              <w:rPr>
                <w:rFonts w:hint="eastAsia"/>
                <w:color w:val="000000" w:themeColor="text1"/>
                <w:highlight w:val="none"/>
                <w14:textFill>
                  <w14:solidFill>
                    <w14:schemeClr w14:val="tx1"/>
                  </w14:solidFill>
                </w14:textFill>
              </w:rPr>
              <w:t>kW</w:t>
            </w:r>
            <w:r>
              <w:rPr>
                <w:color w:val="000000" w:themeColor="text1"/>
                <w:highlight w:val="none"/>
                <w14:textFill>
                  <w14:solidFill>
                    <w14:schemeClr w14:val="tx1"/>
                  </w14:solidFill>
                </w14:textFill>
              </w:rPr>
              <w:t>·h/a</w:t>
            </w:r>
          </w:p>
        </w:tc>
        <w:tc>
          <w:tcPr>
            <w:tcW w:w="1134"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3124"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当地电网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耗材</w:t>
            </w:r>
          </w:p>
        </w:tc>
        <w:tc>
          <w:tcPr>
            <w:tcW w:w="992"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w:t>
            </w:r>
          </w:p>
        </w:tc>
        <w:tc>
          <w:tcPr>
            <w:tcW w:w="993"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管材</w:t>
            </w:r>
          </w:p>
        </w:tc>
        <w:tc>
          <w:tcPr>
            <w:tcW w:w="1275"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km</w:t>
            </w:r>
          </w:p>
        </w:tc>
        <w:tc>
          <w:tcPr>
            <w:tcW w:w="1134"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11.8</w:t>
            </w:r>
          </w:p>
        </w:tc>
        <w:tc>
          <w:tcPr>
            <w:tcW w:w="3124"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本项目至魏兴计量站集输管道</w:t>
            </w:r>
            <w:r>
              <w:rPr>
                <w:color w:val="000000" w:themeColor="text1"/>
                <w:highlight w:val="none"/>
                <w14:textFill>
                  <w14:solidFill>
                    <w14:schemeClr w14:val="tx1"/>
                  </w14:solidFill>
                </w14:textFill>
              </w:rPr>
              <w:t>11.8</w:t>
            </w:r>
            <w:r>
              <w:rPr>
                <w:rFonts w:hint="eastAsia"/>
                <w:color w:val="000000" w:themeColor="text1"/>
                <w:highlight w:val="none"/>
                <w14:textFill>
                  <w14:solidFill>
                    <w14:schemeClr w14:val="tx1"/>
                  </w14:solidFill>
                </w14:textFill>
              </w:rPr>
              <w:t>km</w:t>
            </w:r>
          </w:p>
        </w:tc>
      </w:tr>
    </w:tbl>
    <w:p>
      <w:pPr>
        <w:pStyle w:val="5"/>
        <w:spacing w:before="120"/>
        <w:ind w:firstLine="480"/>
        <w:rPr>
          <w:b/>
          <w:color w:val="000000" w:themeColor="text1"/>
          <w:highlight w:val="none"/>
          <w:lang w:eastAsia="zh-CN"/>
          <w14:textFill>
            <w14:solidFill>
              <w14:schemeClr w14:val="tx1"/>
            </w14:solidFill>
          </w14:textFill>
        </w:rPr>
      </w:pPr>
      <w:bookmarkStart w:id="148" w:name="_bookmark19"/>
      <w:bookmarkEnd w:id="148"/>
      <w:bookmarkStart w:id="149" w:name="3.3建设项目环境影响因素分析"/>
      <w:bookmarkEnd w:id="149"/>
      <w:bookmarkStart w:id="150" w:name="_Toc120173106"/>
      <w:r>
        <w:rPr>
          <w:color w:val="000000" w:themeColor="text1"/>
          <w:highlight w:val="none"/>
          <w:lang w:eastAsia="zh-CN"/>
          <w14:textFill>
            <w14:solidFill>
              <w14:schemeClr w14:val="tx1"/>
            </w14:solidFill>
          </w14:textFill>
        </w:rPr>
        <w:t>劳动定员及工作制度</w:t>
      </w:r>
      <w:bookmarkEnd w:id="150"/>
    </w:p>
    <w:p>
      <w:pPr>
        <w:ind w:firstLine="480"/>
        <w:rPr>
          <w:rFonts w:eastAsia="黑体"/>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施工期总工期120天，其中</w:t>
      </w:r>
      <w:r>
        <w:rPr>
          <w:rFonts w:hint="eastAsia"/>
          <w:color w:val="000000" w:themeColor="text1"/>
          <w:highlight w:val="none"/>
          <w14:textFill>
            <w14:solidFill>
              <w14:schemeClr w14:val="tx1"/>
            </w14:solidFill>
          </w14:textFill>
        </w:rPr>
        <w:t>试采站建设</w:t>
      </w:r>
      <w:r>
        <w:rPr>
          <w:color w:val="000000" w:themeColor="text1"/>
          <w:highlight w:val="none"/>
          <w14:textFill>
            <w14:solidFill>
              <w14:schemeClr w14:val="tx1"/>
            </w14:solidFill>
          </w14:textFill>
        </w:rPr>
        <w:t>工程</w:t>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0天，</w:t>
      </w:r>
      <w:r>
        <w:rPr>
          <w:rFonts w:hint="eastAsia"/>
          <w:color w:val="000000" w:themeColor="text1"/>
          <w:highlight w:val="none"/>
          <w14:textFill>
            <w14:solidFill>
              <w14:schemeClr w14:val="tx1"/>
            </w14:solidFill>
          </w14:textFill>
        </w:rPr>
        <w:t>管道施工</w:t>
      </w:r>
      <w:r>
        <w:rPr>
          <w:color w:val="000000" w:themeColor="text1"/>
          <w:highlight w:val="none"/>
          <w14:textFill>
            <w14:solidFill>
              <w14:schemeClr w14:val="tx1"/>
            </w14:solidFill>
          </w14:textFill>
        </w:rPr>
        <w:t>工程120天。</w:t>
      </w:r>
      <w:r>
        <w:rPr>
          <w:rFonts w:cs="Times New Roman"/>
          <w:color w:val="000000" w:themeColor="text1"/>
          <w:highlight w:val="none"/>
          <w14:textFill>
            <w14:solidFill>
              <w14:schemeClr w14:val="tx1"/>
            </w14:solidFill>
          </w14:textFill>
        </w:rPr>
        <w:t>场站、管线施工可同步进行。</w:t>
      </w:r>
    </w:p>
    <w:p>
      <w:pPr>
        <w:ind w:firstLine="480"/>
        <w:rPr>
          <w:rFonts w:eastAsia="黑体"/>
          <w:color w:val="000000" w:themeColor="text1"/>
          <w:highlight w:val="none"/>
          <w14:textFill>
            <w14:solidFill>
              <w14:schemeClr w14:val="tx1"/>
            </w14:solidFill>
          </w14:textFill>
        </w:rPr>
      </w:pPr>
      <w:r>
        <w:rPr>
          <w:rFonts w:eastAsia="黑体"/>
          <w:color w:val="000000" w:themeColor="text1"/>
          <w:highlight w:val="none"/>
          <w14:textFill>
            <w14:solidFill>
              <w14:schemeClr w14:val="tx1"/>
            </w14:solidFill>
          </w14:textFill>
        </w:rPr>
        <w:t>1、</w:t>
      </w:r>
      <w:r>
        <w:rPr>
          <w:rFonts w:hint="eastAsia" w:eastAsia="黑体"/>
          <w:color w:val="000000" w:themeColor="text1"/>
          <w:highlight w:val="none"/>
          <w14:textFill>
            <w14:solidFill>
              <w14:schemeClr w14:val="tx1"/>
            </w14:solidFill>
          </w14:textFill>
        </w:rPr>
        <w:t>试采站建设</w:t>
      </w:r>
      <w:r>
        <w:rPr>
          <w:rFonts w:eastAsia="黑体"/>
          <w:color w:val="000000" w:themeColor="text1"/>
          <w:highlight w:val="none"/>
          <w14:textFill>
            <w14:solidFill>
              <w14:schemeClr w14:val="tx1"/>
            </w14:solidFill>
          </w14:textFill>
        </w:rPr>
        <w:t>工程</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为土建施工，由专业施工单位组织当地民工施工作业为主，高峰时每天施工人员约</w:t>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0人，施工工期约</w:t>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0天，白天施工，夜间不作业。</w:t>
      </w:r>
    </w:p>
    <w:p>
      <w:pPr>
        <w:ind w:firstLine="480"/>
        <w:rPr>
          <w:rFonts w:eastAsia="黑体"/>
          <w:color w:val="000000" w:themeColor="text1"/>
          <w:highlight w:val="none"/>
          <w14:textFill>
            <w14:solidFill>
              <w14:schemeClr w14:val="tx1"/>
            </w14:solidFill>
          </w14:textFill>
        </w:rPr>
      </w:pPr>
      <w:r>
        <w:rPr>
          <w:rFonts w:eastAsia="黑体"/>
          <w:color w:val="000000" w:themeColor="text1"/>
          <w:highlight w:val="none"/>
          <w14:textFill>
            <w14:solidFill>
              <w14:schemeClr w14:val="tx1"/>
            </w14:solidFill>
          </w14:textFill>
        </w:rPr>
        <w:t>2、</w:t>
      </w:r>
      <w:r>
        <w:rPr>
          <w:rFonts w:hint="eastAsia" w:eastAsia="黑体"/>
          <w:color w:val="000000" w:themeColor="text1"/>
          <w:highlight w:val="none"/>
          <w14:textFill>
            <w14:solidFill>
              <w14:schemeClr w14:val="tx1"/>
            </w14:solidFill>
          </w14:textFill>
        </w:rPr>
        <w:t>管道施工</w:t>
      </w:r>
      <w:r>
        <w:rPr>
          <w:rFonts w:eastAsia="黑体"/>
          <w:color w:val="000000" w:themeColor="text1"/>
          <w:highlight w:val="none"/>
          <w14:textFill>
            <w14:solidFill>
              <w14:schemeClr w14:val="tx1"/>
            </w14:solidFill>
          </w14:textFill>
        </w:rPr>
        <w:t>工程</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地面工程高峰施工期约</w:t>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0人，施工工期约120天，仅白天施工，夜间不作业。</w:t>
      </w:r>
    </w:p>
    <w:p>
      <w:pPr>
        <w:spacing w:before="120" w:beforeLines="50"/>
        <w:ind w:firstLine="480"/>
        <w:rPr>
          <w:rFonts w:eastAsia="黑体"/>
          <w:color w:val="000000" w:themeColor="text1"/>
          <w:highlight w:val="none"/>
          <w14:textFill>
            <w14:solidFill>
              <w14:schemeClr w14:val="tx1"/>
            </w14:solidFill>
          </w14:textFill>
        </w:rPr>
      </w:pPr>
      <w:r>
        <w:rPr>
          <w:rFonts w:eastAsia="黑体"/>
          <w:color w:val="000000" w:themeColor="text1"/>
          <w:highlight w:val="none"/>
          <w14:textFill>
            <w14:solidFill>
              <w14:schemeClr w14:val="tx1"/>
            </w14:solidFill>
          </w14:textFill>
        </w:rPr>
        <w:t>3、试采工程</w:t>
      </w:r>
    </w:p>
    <w:p>
      <w:pPr>
        <w:ind w:firstLine="480"/>
        <w:rPr>
          <w:color w:val="000000" w:themeColor="text1"/>
          <w:highlight w:val="none"/>
          <w14:textFill>
            <w14:solidFill>
              <w14:schemeClr w14:val="tx1"/>
            </w14:solidFill>
          </w14:textFill>
        </w:rPr>
      </w:pPr>
      <w:bookmarkStart w:id="151" w:name="_Hlk88749992"/>
      <w:r>
        <w:rPr>
          <w:rFonts w:hint="eastAsia"/>
          <w:color w:val="000000" w:themeColor="text1"/>
          <w:highlight w:val="none"/>
          <w14:textFill>
            <w14:solidFill>
              <w14:schemeClr w14:val="tx1"/>
            </w14:solidFill>
          </w14:textFill>
        </w:rPr>
        <w:t>雷页1井试采</w:t>
      </w:r>
      <w:r>
        <w:rPr>
          <w:color w:val="000000" w:themeColor="text1"/>
          <w:highlight w:val="none"/>
          <w14:textFill>
            <w14:solidFill>
              <w14:schemeClr w14:val="tx1"/>
            </w14:solidFill>
          </w14:textFill>
        </w:rPr>
        <w:t>站</w:t>
      </w:r>
      <w:r>
        <w:rPr>
          <w:rFonts w:hint="eastAsia"/>
          <w:color w:val="000000" w:themeColor="text1"/>
          <w:highlight w:val="none"/>
          <w14:textFill>
            <w14:solidFill>
              <w14:schemeClr w14:val="tx1"/>
            </w14:solidFill>
          </w14:textFill>
        </w:rPr>
        <w:t>按有人值守，试采期定员10人，每班</w:t>
      </w:r>
      <w:r>
        <w:rPr>
          <w:color w:val="000000" w:themeColor="text1"/>
          <w:highlight w:val="none"/>
          <w14:textFill>
            <w14:solidFill>
              <w14:schemeClr w14:val="tx1"/>
            </w14:solidFill>
          </w14:textFill>
        </w:rPr>
        <w:t>2</w:t>
      </w:r>
      <w:r>
        <w:rPr>
          <w:rFonts w:hint="eastAsia"/>
          <w:color w:val="000000" w:themeColor="text1"/>
          <w:highlight w:val="none"/>
          <w14:textFill>
            <w14:solidFill>
              <w14:schemeClr w14:val="tx1"/>
            </w14:solidFill>
          </w14:textFill>
        </w:rPr>
        <w:t>人，采用五班四倒</w:t>
      </w:r>
      <w:r>
        <w:rPr>
          <w:color w:val="000000" w:themeColor="text1"/>
          <w:highlight w:val="none"/>
          <w14:textFill>
            <w14:solidFill>
              <w14:schemeClr w14:val="tx1"/>
            </w14:solidFill>
          </w14:textFill>
        </w:rPr>
        <w:t>，年运行365天。</w:t>
      </w:r>
      <w:bookmarkEnd w:id="151"/>
    </w:p>
    <w:p>
      <w:pPr>
        <w:pStyle w:val="4"/>
        <w:spacing w:before="120"/>
        <w:rPr>
          <w:color w:val="000000" w:themeColor="text1"/>
          <w:highlight w:val="none"/>
          <w:lang w:eastAsia="zh-CN"/>
          <w14:textFill>
            <w14:solidFill>
              <w14:schemeClr w14:val="tx1"/>
            </w14:solidFill>
          </w14:textFill>
        </w:rPr>
      </w:pPr>
      <w:bookmarkStart w:id="152" w:name="_Toc5030"/>
      <w:r>
        <w:rPr>
          <w:color w:val="000000" w:themeColor="text1"/>
          <w:highlight w:val="none"/>
          <w:lang w:eastAsia="zh-CN"/>
          <w14:textFill>
            <w14:solidFill>
              <w14:schemeClr w14:val="tx1"/>
            </w14:solidFill>
          </w14:textFill>
        </w:rPr>
        <w:t>建设项目工程分析</w:t>
      </w:r>
      <w:bookmarkEnd w:id="152"/>
    </w:p>
    <w:p>
      <w:pPr>
        <w:ind w:firstLine="480"/>
        <w:rPr>
          <w:rFonts w:cs="Times New Roman"/>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根据项目的工程特点，本项目的环境影响因素可分为施工期和营运期两个阶段。施工期的主要工程活动是站场和集输管线的建设。营运期主要工程活动为天然气的试采和输送。</w:t>
      </w:r>
    </w:p>
    <w:p>
      <w:pPr>
        <w:pStyle w:val="5"/>
        <w:spacing w:before="120"/>
        <w:ind w:firstLine="480"/>
        <w:rPr>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试采站工程施工期工艺流程及产污环节</w:t>
      </w:r>
    </w:p>
    <w:p>
      <w:pPr>
        <w:pStyle w:val="60"/>
        <w:rPr>
          <w:color w:val="000000" w:themeColor="text1"/>
          <w:highlight w:val="none"/>
          <w14:textFill>
            <w14:solidFill>
              <w14:schemeClr w14:val="tx1"/>
            </w14:solidFill>
          </w14:textFill>
        </w:rPr>
      </w:pPr>
      <w:r>
        <w:rPr>
          <w:rFonts w:eastAsia="宋体"/>
          <w:color w:val="000000" w:themeColor="text1"/>
          <w:highlight w:val="none"/>
          <w14:textFill>
            <w14:solidFill>
              <w14:schemeClr w14:val="tx1"/>
            </w14:solidFill>
          </w14:textFill>
        </w:rPr>
        <w:object>
          <v:shape id="_x0000_i1025" o:spt="75" type="#_x0000_t75" style="height:108.7pt;width:375.6pt;" o:ole="t" filled="f" o:preferrelative="t" stroked="f" coordsize="21600,21600">
            <v:path/>
            <v:fill on="f" focussize="0,0"/>
            <v:stroke on="f" joinstyle="miter"/>
            <v:imagedata r:id="rId51" o:title=""/>
            <o:lock v:ext="edit" aspectratio="f"/>
            <w10:wrap type="none"/>
            <w10:anchorlock/>
          </v:shape>
          <o:OLEObject Type="Embed" ProgID="Visio.Drawing.15" ShapeID="_x0000_i1025" DrawAspect="Content" ObjectID="_1468075725" r:id="rId50">
            <o:LockedField>false</o:LockedField>
          </o:OLEObject>
        </w:object>
      </w:r>
    </w:p>
    <w:p>
      <w:pPr>
        <w:pStyle w:val="76"/>
        <w:rPr>
          <w:color w:val="000000" w:themeColor="text1"/>
          <w:highlight w:val="none"/>
          <w14:textFill>
            <w14:solidFill>
              <w14:schemeClr w14:val="tx1"/>
            </w14:solidFill>
          </w14:textFill>
        </w:rPr>
      </w:pPr>
      <w:bookmarkStart w:id="153" w:name="_Ref142593685"/>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bookmarkEnd w:id="153"/>
      <w:r>
        <w:rPr>
          <w:rFonts w:hint="eastAsia"/>
          <w:color w:val="000000" w:themeColor="text1"/>
          <w:highlight w:val="none"/>
          <w14:textFill>
            <w14:solidFill>
              <w14:schemeClr w14:val="tx1"/>
            </w14:solidFill>
          </w14:textFill>
        </w:rPr>
        <w:t>项目工艺概况图</w:t>
      </w:r>
    </w:p>
    <w:p>
      <w:pPr>
        <w:pStyle w:val="39"/>
        <w:spacing w:after="0"/>
        <w:ind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w:t>
      </w:r>
      <w:r>
        <w:rPr>
          <w:rFonts w:hint="eastAsia"/>
          <w:color w:val="000000" w:themeColor="text1"/>
          <w:szCs w:val="21"/>
          <w:highlight w:val="none"/>
          <w14:textFill>
            <w14:solidFill>
              <w14:schemeClr w14:val="tx1"/>
            </w14:solidFill>
          </w14:textFill>
        </w:rPr>
        <w:t>试采站在对雷页1井站场西侧鱼塘填平后进行建设，新建试采站南北长55.5m，东西宽40m，放空区南北、东西长10m，</w:t>
      </w:r>
      <w:r>
        <w:rPr>
          <w:color w:val="000000" w:themeColor="text1"/>
          <w:highlight w:val="none"/>
          <w14:textFill>
            <w14:solidFill>
              <w14:schemeClr w14:val="tx1"/>
            </w14:solidFill>
          </w14:textFill>
        </w:rPr>
        <w:t>拟在</w:t>
      </w:r>
      <w:r>
        <w:rPr>
          <w:rFonts w:hint="eastAsia"/>
          <w:color w:val="000000" w:themeColor="text1"/>
          <w:highlight w:val="none"/>
          <w14:textFill>
            <w14:solidFill>
              <w14:schemeClr w14:val="tx1"/>
            </w14:solidFill>
          </w14:textFill>
        </w:rPr>
        <w:t>试采站</w:t>
      </w:r>
      <w:r>
        <w:rPr>
          <w:color w:val="000000" w:themeColor="text1"/>
          <w:highlight w:val="none"/>
          <w14:textFill>
            <w14:solidFill>
              <w14:schemeClr w14:val="tx1"/>
            </w14:solidFill>
          </w14:textFill>
        </w:rPr>
        <w:t>内建设地面采气设施及站内管线。施工过程主要包括</w:t>
      </w:r>
      <w:r>
        <w:rPr>
          <w:rFonts w:hint="eastAsia"/>
          <w:color w:val="000000" w:themeColor="text1"/>
          <w:highlight w:val="none"/>
          <w14:textFill>
            <w14:solidFill>
              <w14:schemeClr w14:val="tx1"/>
            </w14:solidFill>
          </w14:textFill>
        </w:rPr>
        <w:t>场站回填、</w:t>
      </w:r>
      <w:r>
        <w:rPr>
          <w:color w:val="000000" w:themeColor="text1"/>
          <w:highlight w:val="none"/>
          <w14:textFill>
            <w14:solidFill>
              <w14:schemeClr w14:val="tx1"/>
            </w14:solidFill>
          </w14:textFill>
        </w:rPr>
        <w:t>设备基础开挖、集输工艺装置区设备安装及站内管道安装、设备及管道防腐、试压、验收等，</w:t>
      </w:r>
      <w:r>
        <w:rPr>
          <w:rFonts w:hint="eastAsia"/>
          <w:color w:val="000000" w:themeColor="text1"/>
          <w:highlight w:val="none"/>
          <w14:textFill>
            <w14:solidFill>
              <w14:schemeClr w14:val="tx1"/>
            </w14:solidFill>
          </w14:textFill>
        </w:rPr>
        <w:t>站场</w:t>
      </w:r>
      <w:r>
        <w:rPr>
          <w:color w:val="000000" w:themeColor="text1"/>
          <w:highlight w:val="none"/>
          <w14:textFill>
            <w14:solidFill>
              <w14:schemeClr w14:val="tx1"/>
            </w14:solidFill>
          </w14:textFill>
        </w:rPr>
        <w:t>建设</w:t>
      </w:r>
      <w:r>
        <w:rPr>
          <w:rFonts w:hint="eastAsia"/>
          <w:color w:val="000000" w:themeColor="text1"/>
          <w:highlight w:val="none"/>
          <w14:textFill>
            <w14:solidFill>
              <w14:schemeClr w14:val="tx1"/>
            </w14:solidFill>
          </w14:textFill>
        </w:rPr>
        <w:t>临时</w:t>
      </w:r>
      <w:r>
        <w:rPr>
          <w:color w:val="000000" w:themeColor="text1"/>
          <w:highlight w:val="none"/>
          <w14:textFill>
            <w14:solidFill>
              <w14:schemeClr w14:val="tx1"/>
            </w14:solidFill>
          </w14:textFill>
        </w:rPr>
        <w:t>改变了土地使用功能，主要对占地农业生产造成一定影响。</w:t>
      </w:r>
    </w:p>
    <w:p>
      <w:pPr>
        <w:pStyle w:val="39"/>
        <w:spacing w:after="0"/>
        <w:ind w:firstLine="480" w:firstLineChars="20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站内管道安装工艺与集输管道施工工艺类似，本章节不做详细描述，具体见3.</w:t>
      </w:r>
      <w:r>
        <w:rPr>
          <w:color w:val="000000" w:themeColor="text1"/>
          <w:highlight w:val="none"/>
          <w14:textFill>
            <w14:solidFill>
              <w14:schemeClr w14:val="tx1"/>
            </w14:solidFill>
          </w14:textFill>
        </w:rPr>
        <w:t>3</w:t>
      </w:r>
      <w:r>
        <w:rPr>
          <w:rFonts w:hint="eastAsia"/>
          <w:color w:val="000000" w:themeColor="text1"/>
          <w:highlight w:val="none"/>
          <w14:textFill>
            <w14:solidFill>
              <w14:schemeClr w14:val="tx1"/>
            </w14:solidFill>
          </w14:textFill>
        </w:rPr>
        <w:t>.2章节。站内</w:t>
      </w:r>
      <w:r>
        <w:rPr>
          <w:color w:val="000000" w:themeColor="text1"/>
          <w:highlight w:val="none"/>
          <w14:textFill>
            <w14:solidFill>
              <w14:schemeClr w14:val="tx1"/>
            </w14:solidFill>
          </w14:textFill>
        </w:rPr>
        <w:t>设备、管道安装完毕、焊缝无损检验合格后，对系统进行吹扫，站内管道吹扫介质为</w:t>
      </w:r>
      <w:r>
        <w:rPr>
          <w:rFonts w:hint="eastAsia"/>
          <w:color w:val="000000" w:themeColor="text1"/>
          <w:highlight w:val="none"/>
          <w14:textFill>
            <w14:solidFill>
              <w14:schemeClr w14:val="tx1"/>
            </w14:solidFill>
          </w14:textFill>
        </w:rPr>
        <w:t>氮气</w:t>
      </w:r>
      <w:r>
        <w:rPr>
          <w:color w:val="000000" w:themeColor="text1"/>
          <w:highlight w:val="none"/>
          <w14:textFill>
            <w14:solidFill>
              <w14:schemeClr w14:val="tx1"/>
            </w14:solidFill>
          </w14:textFill>
        </w:rPr>
        <w:t>，当吹出气体无铁锈、尘土、石块、水等脏物时为吹扫合格。无损检验和吹扫合格后，分压力系统进行试压。强度试压介质为中性洁净水。</w:t>
      </w:r>
      <w:r>
        <w:rPr>
          <w:rFonts w:hint="eastAsia"/>
          <w:color w:val="000000" w:themeColor="text1"/>
          <w:highlight w:val="none"/>
          <w14:textFill>
            <w14:solidFill>
              <w14:schemeClr w14:val="tx1"/>
            </w14:solidFill>
          </w14:textFill>
        </w:rPr>
        <w:t>试压完成后，</w:t>
      </w:r>
      <w:r>
        <w:rPr>
          <w:color w:val="000000" w:themeColor="text1"/>
          <w:highlight w:val="none"/>
          <w14:textFill>
            <w14:solidFill>
              <w14:schemeClr w14:val="tx1"/>
            </w14:solidFill>
          </w14:textFill>
        </w:rPr>
        <w:t>站内工艺管道、工艺设备干燥采用氮气进行吹扫。</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本项目在已建魏兴计量站站内仅增加一套截断放空及调压阀组，不涉及其余施工活动，该施工活动施工期短（小于等于1天）、工程量小，施工结束后施工影响随之消失，本报告不对该施工活动进行分析。</w:t>
      </w:r>
    </w:p>
    <w:p>
      <w:pPr>
        <w:pStyle w:val="5"/>
        <w:spacing w:before="120"/>
        <w:ind w:firstLine="480"/>
        <w:rPr>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管线工程施工期工艺流程及产污环节</w:t>
      </w:r>
    </w:p>
    <w:p>
      <w:pPr>
        <w:adjustRightInd/>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管道敷设施工一般顺序为：测量定线、清理和平整施工场地、开挖管沟、管道组装焊接、管道补伤防腐、管道无损检验、下沟、清管试压测径、扫水置换、施工区生态恢复。</w:t>
      </w:r>
    </w:p>
    <w:p>
      <w:pPr>
        <w:adjustRightInd/>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管道施工的一般流程见图3.3-</w:t>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w:t>
      </w:r>
    </w:p>
    <w:p>
      <w:pPr>
        <w:pStyle w:val="6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object>
          <v:shape id="_x0000_i1026" o:spt="75" type="#_x0000_t75" style="height:230.95pt;width:377.65pt;" o:ole="t" filled="f" o:preferrelative="t" stroked="f" coordsize="21600,21600">
            <v:path/>
            <v:fill on="f" focussize="0,0"/>
            <v:stroke on="f" joinstyle="miter"/>
            <v:imagedata r:id="rId53" o:title=""/>
            <o:lock v:ext="edit" aspectratio="f"/>
            <w10:wrap type="none"/>
            <w10:anchorlock/>
          </v:shape>
          <o:OLEObject Type="Embed" ProgID="Visio.Drawing.15" ShapeID="_x0000_i1026" DrawAspect="Content" ObjectID="_1468075726" r:id="rId52">
            <o:LockedField>false</o:LockedField>
          </o:OLEObject>
        </w:object>
      </w:r>
    </w:p>
    <w:p>
      <w:pPr>
        <w:pStyle w:val="76"/>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本项目管道施工期工艺流程及产污环节示意图</w:t>
      </w:r>
    </w:p>
    <w:p>
      <w:pPr>
        <w:adjustRightInd/>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（1）施工作业带清理平整</w:t>
      </w:r>
      <w:r>
        <w:rPr>
          <w:rFonts w:hint="eastAsia"/>
          <w:b/>
          <w:bCs/>
          <w:color w:val="000000" w:themeColor="text1"/>
          <w:highlight w:val="none"/>
          <w14:textFill>
            <w14:solidFill>
              <w14:schemeClr w14:val="tx1"/>
            </w14:solidFill>
          </w14:textFill>
        </w:rPr>
        <w:t>、新建及整修施工便道</w:t>
      </w:r>
    </w:p>
    <w:p>
      <w:pPr>
        <w:adjustRightInd/>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首先要对施工作业带进行清理和平整，以便施工人员、车辆和机械设备通行。本项目施工作业带</w:t>
      </w:r>
      <w:r>
        <w:rPr>
          <w:rFonts w:hint="eastAsia"/>
          <w:color w:val="000000" w:themeColor="text1"/>
          <w:highlight w:val="none"/>
          <w14:textFill>
            <w14:solidFill>
              <w14:schemeClr w14:val="tx1"/>
            </w14:solidFill>
          </w14:textFill>
        </w:rPr>
        <w:t>宽度</w:t>
      </w:r>
      <w:r>
        <w:rPr>
          <w:rFonts w:hint="eastAsia"/>
          <w:color w:val="000000" w:themeColor="text1"/>
          <w:szCs w:val="24"/>
          <w:highlight w:val="none"/>
          <w14:textFill>
            <w14:solidFill>
              <w14:schemeClr w14:val="tx1"/>
            </w14:solidFill>
          </w14:textFill>
        </w:rPr>
        <w:t>水田为10m、旱地为8m、林地为6m、果园为6m</w:t>
      </w:r>
      <w:r>
        <w:rPr>
          <w:color w:val="000000" w:themeColor="text1"/>
          <w:highlight w:val="none"/>
          <w14:textFill>
            <w14:solidFill>
              <w14:schemeClr w14:val="tx1"/>
            </w14:solidFill>
          </w14:textFill>
        </w:rPr>
        <w:t>，一般采用机械施工方式，作业带内表土</w:t>
      </w:r>
      <w:r>
        <w:rPr>
          <w:rFonts w:hint="eastAsia"/>
          <w:color w:val="000000" w:themeColor="text1"/>
          <w:highlight w:val="none"/>
          <w14:textFill>
            <w14:solidFill>
              <w14:schemeClr w14:val="tx1"/>
            </w14:solidFill>
          </w14:textFill>
        </w:rPr>
        <w:t>剥离，开挖土石方</w:t>
      </w:r>
      <w:r>
        <w:rPr>
          <w:color w:val="000000" w:themeColor="text1"/>
          <w:highlight w:val="none"/>
          <w14:textFill>
            <w14:solidFill>
              <w14:schemeClr w14:val="tx1"/>
            </w14:solidFill>
          </w14:textFill>
        </w:rPr>
        <w:t>采用分层开挖、分层堆放的原则，将施工作业带内表土</w:t>
      </w:r>
      <w:r>
        <w:rPr>
          <w:rFonts w:hint="eastAsia"/>
          <w:color w:val="000000" w:themeColor="text1"/>
          <w:highlight w:val="none"/>
          <w14:textFill>
            <w14:solidFill>
              <w14:schemeClr w14:val="tx1"/>
            </w14:solidFill>
          </w14:textFill>
        </w:rPr>
        <w:t>、开挖土石方</w:t>
      </w:r>
      <w:r>
        <w:rPr>
          <w:color w:val="000000" w:themeColor="text1"/>
          <w:highlight w:val="none"/>
          <w14:textFill>
            <w14:solidFill>
              <w14:schemeClr w14:val="tx1"/>
            </w14:solidFill>
          </w14:textFill>
        </w:rPr>
        <w:t>临时堆放在作业带两侧，靠近作业带边界，并在其表面覆盖篷布遮挡，防止水土流失</w:t>
      </w:r>
      <w:r>
        <w:rPr>
          <w:rFonts w:hint="eastAsia"/>
          <w:color w:val="000000" w:themeColor="text1"/>
          <w:highlight w:val="none"/>
          <w14:textFill>
            <w14:solidFill>
              <w14:schemeClr w14:val="tx1"/>
            </w14:solidFill>
          </w14:textFill>
        </w:rPr>
        <w:t>。表土在作业带内靠管沟侧堆存，开挖土石方在作业带内靠作业带边界侧堆存</w:t>
      </w:r>
      <w:r>
        <w:rPr>
          <w:color w:val="000000" w:themeColor="text1"/>
          <w:highlight w:val="none"/>
          <w14:textFill>
            <w14:solidFill>
              <w14:schemeClr w14:val="tx1"/>
            </w14:solidFill>
          </w14:textFill>
        </w:rPr>
        <w:t>。本项目需新建</w:t>
      </w:r>
      <w:r>
        <w:rPr>
          <w:rFonts w:hint="eastAsia"/>
          <w:color w:val="000000" w:themeColor="text1"/>
          <w:highlight w:val="none"/>
          <w14:textFill>
            <w14:solidFill>
              <w14:schemeClr w14:val="tx1"/>
            </w14:solidFill>
          </w14:textFill>
        </w:rPr>
        <w:t>总长为</w:t>
      </w:r>
      <w:r>
        <w:rPr>
          <w:color w:val="000000" w:themeColor="text1"/>
          <w:highlight w:val="none"/>
          <w14:textFill>
            <w14:solidFill>
              <w14:schemeClr w14:val="tx1"/>
            </w14:solidFill>
          </w14:textFill>
        </w:rPr>
        <w:t>2</w:t>
      </w:r>
      <w:r>
        <w:rPr>
          <w:rFonts w:hint="eastAsia"/>
          <w:color w:val="000000" w:themeColor="text1"/>
          <w:highlight w:val="none"/>
          <w14:textFill>
            <w14:solidFill>
              <w14:schemeClr w14:val="tx1"/>
            </w14:solidFill>
          </w14:textFill>
        </w:rPr>
        <w:t>000</w:t>
      </w:r>
      <w:r>
        <w:rPr>
          <w:color w:val="000000" w:themeColor="text1"/>
          <w:highlight w:val="none"/>
          <w14:textFill>
            <w14:solidFill>
              <w14:schemeClr w14:val="tx1"/>
            </w14:solidFill>
          </w14:textFill>
        </w:rPr>
        <w:t>m</w:t>
      </w:r>
      <w:r>
        <w:rPr>
          <w:rFonts w:hint="eastAsia"/>
          <w:color w:val="000000" w:themeColor="text1"/>
          <w:highlight w:val="none"/>
          <w14:textFill>
            <w14:solidFill>
              <w14:schemeClr w14:val="tx1"/>
            </w14:solidFill>
          </w14:textFill>
        </w:rPr>
        <w:t>施工便道，整修施工便道2</w:t>
      </w:r>
      <w:r>
        <w:rPr>
          <w:color w:val="000000" w:themeColor="text1"/>
          <w:highlight w:val="none"/>
          <w14:textFill>
            <w14:solidFill>
              <w14:schemeClr w14:val="tx1"/>
            </w14:solidFill>
          </w14:textFill>
        </w:rPr>
        <w:t>000</w:t>
      </w:r>
      <w:r>
        <w:rPr>
          <w:rFonts w:hint="eastAsia"/>
          <w:color w:val="000000" w:themeColor="text1"/>
          <w:highlight w:val="none"/>
          <w14:textFill>
            <w14:solidFill>
              <w14:schemeClr w14:val="tx1"/>
            </w14:solidFill>
          </w14:textFill>
        </w:rPr>
        <w:t>m</w:t>
      </w:r>
      <w:r>
        <w:rPr>
          <w:color w:val="000000" w:themeColor="text1"/>
          <w:highlight w:val="none"/>
          <w14:textFill>
            <w14:solidFill>
              <w14:schemeClr w14:val="tx1"/>
            </w14:solidFill>
          </w14:textFill>
        </w:rPr>
        <w:t>，用挖掘机平整</w:t>
      </w:r>
      <w:r>
        <w:rPr>
          <w:rFonts w:hint="eastAsia"/>
          <w:color w:val="000000" w:themeColor="text1"/>
          <w:highlight w:val="none"/>
          <w14:textFill>
            <w14:solidFill>
              <w14:schemeClr w14:val="tx1"/>
            </w14:solidFill>
          </w14:textFill>
        </w:rPr>
        <w:t>新建施工便道</w:t>
      </w:r>
      <w:r>
        <w:rPr>
          <w:color w:val="000000" w:themeColor="text1"/>
          <w:highlight w:val="none"/>
          <w14:textFill>
            <w14:solidFill>
              <w14:schemeClr w14:val="tx1"/>
            </w14:solidFill>
          </w14:textFill>
        </w:rPr>
        <w:t>区域，表层铺设厚度200mm的块石，面层铺厚度200mm的砂夹石，并碾压密实。</w:t>
      </w:r>
    </w:p>
    <w:p>
      <w:pPr>
        <w:adjustRightInd/>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（2）开挖管沟、</w:t>
      </w:r>
      <w:r>
        <w:rPr>
          <w:rFonts w:hint="eastAsia"/>
          <w:b/>
          <w:bCs/>
          <w:color w:val="000000" w:themeColor="text1"/>
          <w:highlight w:val="none"/>
          <w14:textFill>
            <w14:solidFill>
              <w14:schemeClr w14:val="tx1"/>
            </w14:solidFill>
          </w14:textFill>
        </w:rPr>
        <w:t>穿越点施工场地</w:t>
      </w:r>
    </w:p>
    <w:p>
      <w:pPr>
        <w:adjustRightInd/>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在地势平坦、交通便利等可利用机械作业的地段，管沟开挖采用挖掘机完成，在</w:t>
      </w:r>
      <w:r>
        <w:rPr>
          <w:rFonts w:hint="eastAsia"/>
          <w:color w:val="000000" w:themeColor="text1"/>
          <w:highlight w:val="none"/>
          <w14:textFill>
            <w14:solidFill>
              <w14:schemeClr w14:val="tx1"/>
            </w14:solidFill>
          </w14:textFill>
        </w:rPr>
        <w:t>地势陡峭、施工机械难以进场区域以及穿越已有线路区域，</w:t>
      </w:r>
      <w:r>
        <w:rPr>
          <w:color w:val="000000" w:themeColor="text1"/>
          <w:highlight w:val="none"/>
          <w14:textFill>
            <w14:solidFill>
              <w14:schemeClr w14:val="tx1"/>
            </w14:solidFill>
          </w14:textFill>
        </w:rPr>
        <w:t>由人工开挖，挖出来的土石方暂时堆放到管沟两侧供后续回填，临时堆放土石方与管沟距离不应小于</w:t>
      </w:r>
      <w:r>
        <w:rPr>
          <w:rFonts w:hint="eastAsia"/>
          <w:color w:val="000000" w:themeColor="text1"/>
          <w:highlight w:val="none"/>
          <w14:textFill>
            <w14:solidFill>
              <w14:schemeClr w14:val="tx1"/>
            </w14:solidFill>
          </w14:textFill>
        </w:rPr>
        <w:t>0.5</w:t>
      </w:r>
      <w:r>
        <w:rPr>
          <w:color w:val="000000" w:themeColor="text1"/>
          <w:highlight w:val="none"/>
          <w14:textFill>
            <w14:solidFill>
              <w14:schemeClr w14:val="tx1"/>
            </w14:solidFill>
          </w14:textFill>
        </w:rPr>
        <w:t>m，土石方表面覆盖篷布遮挡，防止水土流失。管沟根据管道埋深决定，线路在一般地段敷设时，水田段管顶埋深≥0.8m，旱地段管顶埋深≥0.8m，荒坡及石方区管顶埋深≥0.5m。</w:t>
      </w:r>
      <w:r>
        <w:rPr>
          <w:rFonts w:hint="eastAsia"/>
          <w:color w:val="000000" w:themeColor="text1"/>
          <w:highlight w:val="none"/>
          <w14:textFill>
            <w14:solidFill>
              <w14:schemeClr w14:val="tx1"/>
            </w14:solidFill>
          </w14:textFill>
        </w:rPr>
        <w:t>穿越小型沟渠时，埋深由洪水冲刷线、河床类型决定；穿越水泥公路时，钢筋混凝土套管顶距路面埋深不小于1.2m</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施工场地产生的剥离表土堆放在场地内表土堆放区，表面覆盖篷布遮挡，周围设置挡水围堰，防止水土流失。</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一般地段管道施工方式断面见图3.</w:t>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w:t>
      </w:r>
    </w:p>
    <w:p>
      <w:pPr>
        <w:pStyle w:val="212"/>
        <w:spacing w:before="120" w:beforeLines="50"/>
        <w:ind w:firstLine="482"/>
        <w:jc w:val="both"/>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679744" behindDoc="0" locked="0" layoutInCell="1" allowOverlap="1">
                <wp:simplePos x="0" y="0"/>
                <wp:positionH relativeFrom="column">
                  <wp:posOffset>38100</wp:posOffset>
                </wp:positionH>
                <wp:positionV relativeFrom="paragraph">
                  <wp:posOffset>2729230</wp:posOffset>
                </wp:positionV>
                <wp:extent cx="5271770" cy="635"/>
                <wp:effectExtent l="0" t="0" r="0" b="0"/>
                <wp:wrapTopAndBottom/>
                <wp:docPr id="1368344646" name="文本框 1"/>
                <wp:cNvGraphicFramePr/>
                <a:graphic xmlns:a="http://schemas.openxmlformats.org/drawingml/2006/main">
                  <a:graphicData uri="http://schemas.microsoft.com/office/word/2010/wordprocessingShape">
                    <wps:wsp>
                      <wps:cNvSpPr txBox="1"/>
                      <wps:spPr>
                        <a:xfrm>
                          <a:off x="0" y="0"/>
                          <a:ext cx="5271770" cy="635"/>
                        </a:xfrm>
                        <a:prstGeom prst="rect">
                          <a:avLst/>
                        </a:prstGeom>
                        <a:solidFill>
                          <a:prstClr val="white"/>
                        </a:solidFill>
                        <a:ln>
                          <a:noFill/>
                        </a:ln>
                      </wps:spPr>
                      <wps:txbx>
                        <w:txbxContent>
                          <w:p>
                            <w:pPr>
                              <w:pStyle w:val="14"/>
                              <w:rPr>
                                <w:rFonts w:ascii="黑体" w:hAnsi="黑体" w:cs="黑体"/>
                                <w:kern w:val="0"/>
                                <w:sz w:val="24"/>
                                <w:szCs w:val="20"/>
                              </w:rPr>
                            </w:pPr>
                            <w:r>
                              <w:rPr>
                                <w:rFonts w:hint="eastAsia"/>
                              </w:rPr>
                              <w:t>图</w:t>
                            </w:r>
                            <w:r>
                              <w:fldChar w:fldCharType="begin"/>
                            </w:r>
                            <w:r>
                              <w:instrText xml:space="preserve"> </w:instrText>
                            </w:r>
                            <w:r>
                              <w:rPr>
                                <w:rFonts w:hint="eastAsia"/>
                              </w:rPr>
                              <w:instrText xml:space="preserve">STYLEREF 2 \s</w:instrText>
                            </w:r>
                            <w:r>
                              <w:instrText xml:space="preserve"> </w:instrText>
                            </w:r>
                            <w:r>
                              <w:fldChar w:fldCharType="separate"/>
                            </w:r>
                            <w:r>
                              <w:t>3.3</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3</w:t>
                            </w:r>
                            <w:r>
                              <w:fldChar w:fldCharType="end"/>
                            </w:r>
                            <w:r>
                              <w:rPr>
                                <w:rFonts w:hint="eastAsia"/>
                              </w:rPr>
                              <w:t xml:space="preserve"> 一般地段管道施工方式断面示意图</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left:3pt;margin-top:214.9pt;height:0.05pt;width:415.1pt;mso-wrap-distance-bottom:0pt;mso-wrap-distance-top:0pt;z-index:251679744;mso-width-relative:page;mso-height-relative:page;" fillcolor="#FFFFFF" filled="t" stroked="f" coordsize="21600,21600" o:gfxdata="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PB1+g3ZAAAACQEAAA8AAAAAAAAAAQAgAAAA&#10;IgAAAGRycy9kb3ducmV2LnhtbFBLAQIUABQAAAAIAIdO4kCNfSPAQwIAAHsEAAAOAAAAAAAAAAEA&#10;IAAAACgBAABkcnMvZTJvRG9jLnhtbFBLBQYAAAAABgAGAFkBAADdBQAAAAA=&#10;">
                <v:fill on="t" focussize="0,0"/>
                <v:stroke on="f"/>
                <v:imagedata o:title=""/>
                <o:lock v:ext="edit" aspectratio="f"/>
                <v:textbox inset="0mm,0mm,0mm,0mm" style="mso-fit-shape-to-text:t;">
                  <w:txbxContent>
                    <w:p>
                      <w:pPr>
                        <w:pStyle w:val="14"/>
                        <w:rPr>
                          <w:rFonts w:ascii="黑体" w:hAnsi="黑体" w:cs="黑体"/>
                          <w:kern w:val="0"/>
                          <w:sz w:val="24"/>
                          <w:szCs w:val="20"/>
                        </w:rPr>
                      </w:pPr>
                      <w:r>
                        <w:rPr>
                          <w:rFonts w:hint="eastAsia"/>
                        </w:rPr>
                        <w:t>图</w:t>
                      </w:r>
                      <w:r>
                        <w:fldChar w:fldCharType="begin"/>
                      </w:r>
                      <w:r>
                        <w:instrText xml:space="preserve"> </w:instrText>
                      </w:r>
                      <w:r>
                        <w:rPr>
                          <w:rFonts w:hint="eastAsia"/>
                        </w:rPr>
                        <w:instrText xml:space="preserve">STYLEREF 2 \s</w:instrText>
                      </w:r>
                      <w:r>
                        <w:instrText xml:space="preserve"> </w:instrText>
                      </w:r>
                      <w:r>
                        <w:fldChar w:fldCharType="separate"/>
                      </w:r>
                      <w:r>
                        <w:t>3.3</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3</w:t>
                      </w:r>
                      <w:r>
                        <w:fldChar w:fldCharType="end"/>
                      </w:r>
                      <w:r>
                        <w:rPr>
                          <w:rFonts w:hint="eastAsia"/>
                        </w:rPr>
                        <w:t xml:space="preserve"> 一般地段管道施工方式断面示意图</w:t>
                      </w:r>
                    </w:p>
                  </w:txbxContent>
                </v:textbox>
                <w10:wrap type="topAndBottom"/>
              </v:shape>
            </w:pict>
          </mc:Fallback>
        </mc:AlternateContent>
      </w:r>
      <w:r>
        <w:rPr>
          <w:rFonts w:hint="eastAsia" w:ascii="黑体" w:hAnsi="黑体" w:cs="黑体"/>
          <w:color w:val="000000" w:themeColor="text1"/>
          <w:highlight w:val="none"/>
          <w14:textFill>
            <w14:solidFill>
              <w14:schemeClr w14:val="tx1"/>
            </w14:solidFill>
          </w14:textFill>
        </w:rPr>
        <w:drawing>
          <wp:anchor distT="0" distB="0" distL="114300" distR="114300" simplePos="0" relativeHeight="251678720" behindDoc="0" locked="0" layoutInCell="1" allowOverlap="1">
            <wp:simplePos x="0" y="0"/>
            <wp:positionH relativeFrom="column">
              <wp:posOffset>38100</wp:posOffset>
            </wp:positionH>
            <wp:positionV relativeFrom="paragraph">
              <wp:posOffset>121920</wp:posOffset>
            </wp:positionV>
            <wp:extent cx="5271770" cy="2550160"/>
            <wp:effectExtent l="9525" t="9525" r="14605" b="12065"/>
            <wp:wrapTopAndBottom/>
            <wp:docPr id="142114021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140213" name="图片 18"/>
                    <pic:cNvPicPr>
                      <a:picLocks noChangeAspect="1"/>
                    </pic:cNvPicPr>
                  </pic:nvPicPr>
                  <pic:blipFill>
                    <a:blip r:embed="rId54"/>
                    <a:stretch>
                      <a:fillRect/>
                    </a:stretch>
                  </pic:blipFill>
                  <pic:spPr>
                    <a:xfrm>
                      <a:off x="0" y="0"/>
                      <a:ext cx="5271770" cy="2550160"/>
                    </a:xfrm>
                    <a:prstGeom prst="rect">
                      <a:avLst/>
                    </a:prstGeom>
                    <a:noFill/>
                    <a:ln>
                      <a:solidFill>
                        <a:schemeClr val="tx1"/>
                      </a:solidFill>
                    </a:ln>
                  </pic:spPr>
                </pic:pic>
              </a:graphicData>
            </a:graphic>
          </wp:anchor>
        </w:drawing>
      </w:r>
      <w:r>
        <w:rPr>
          <w:color w:val="000000" w:themeColor="text1"/>
          <w:highlight w:val="none"/>
          <w14:textFill>
            <w14:solidFill>
              <w14:schemeClr w14:val="tx1"/>
            </w14:solidFill>
          </w14:textFill>
        </w:rPr>
        <w:t>（3）管道组装焊接</w:t>
      </w:r>
    </w:p>
    <w:p>
      <w:pPr>
        <w:adjustRightInd/>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管材运输到场地后可暂时堆放在堆管场内，采用运输车辆和起重设备进行管材的卸车、搬运和布管，按照管沟方向对管材进行布管，采用弹性敷设和热煨弯管两种形式来满足管道平面转向及纵向变坡安装要求。</w:t>
      </w:r>
    </w:p>
    <w:p>
      <w:pPr>
        <w:adjustRightInd/>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管材在管沟上方组装好后，进行管材检查、刷管、对口、焊接、焊口检查作业。</w:t>
      </w:r>
    </w:p>
    <w:p>
      <w:pPr>
        <w:adjustRightInd/>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管材在进行对口焊接组装前，应进行焊接工艺评定试验（参照《现场设备、工业管道焊接工程施工规范》(GB50236-2011)、《钢质管道焊接及验收》</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GB/T31032-2014</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等现行的相关标准执行），在其评定合格后，才能进行现场组焊。本工程推荐采用</w:t>
      </w:r>
      <w:r>
        <w:rPr>
          <w:rFonts w:hint="eastAsia"/>
          <w:color w:val="000000" w:themeColor="text1"/>
          <w:highlight w:val="none"/>
          <w14:textFill>
            <w14:solidFill>
              <w14:schemeClr w14:val="tx1"/>
            </w14:solidFill>
          </w14:textFill>
        </w:rPr>
        <w:t>氩弧焊</w:t>
      </w:r>
      <w:r>
        <w:rPr>
          <w:color w:val="000000" w:themeColor="text1"/>
          <w:highlight w:val="none"/>
          <w14:textFill>
            <w14:solidFill>
              <w14:schemeClr w14:val="tx1"/>
            </w14:solidFill>
          </w14:textFill>
        </w:rPr>
        <w:t>焊接方式，手工</w:t>
      </w:r>
      <w:r>
        <w:rPr>
          <w:rFonts w:hint="eastAsia"/>
          <w:color w:val="000000" w:themeColor="text1"/>
          <w:highlight w:val="none"/>
          <w14:textFill>
            <w14:solidFill>
              <w14:schemeClr w14:val="tx1"/>
            </w14:solidFill>
          </w14:textFill>
        </w:rPr>
        <w:t>电弧焊填充</w:t>
      </w:r>
      <w:r>
        <w:rPr>
          <w:color w:val="000000" w:themeColor="text1"/>
          <w:highlight w:val="none"/>
          <w14:textFill>
            <w14:solidFill>
              <w14:schemeClr w14:val="tx1"/>
            </w14:solidFill>
          </w14:textFill>
        </w:rPr>
        <w:t>盖面。</w:t>
      </w:r>
    </w:p>
    <w:p>
      <w:pPr>
        <w:adjustRightInd/>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（4）管道补口、补伤、防腐</w:t>
      </w:r>
    </w:p>
    <w:p>
      <w:pPr>
        <w:pStyle w:val="19"/>
        <w:numPr>
          <w:ilvl w:val="255"/>
          <w:numId w:val="0"/>
        </w:numPr>
        <w:spacing w:line="360" w:lineRule="auto"/>
        <w:ind w:firstLine="480" w:firstLineChars="200"/>
        <w:jc w:val="both"/>
        <w:rPr>
          <w:rFonts w:ascii="Times New Roman" w:hAnsi="Times New Roman"/>
          <w:color w:val="000000" w:themeColor="text1"/>
          <w:highlight w:val="none"/>
          <w:lang w:eastAsia="zh-CN"/>
          <w14:textFill>
            <w14:solidFill>
              <w14:schemeClr w14:val="tx1"/>
            </w14:solidFill>
          </w14:textFill>
        </w:rPr>
      </w:pPr>
      <w:r>
        <w:rPr>
          <w:rFonts w:hint="eastAsia" w:ascii="Times New Roman" w:hAnsi="Times New Roman"/>
          <w:color w:val="000000" w:themeColor="text1"/>
          <w:highlight w:val="none"/>
          <w:lang w:eastAsia="zh-CN"/>
          <w14:textFill>
            <w14:solidFill>
              <w14:schemeClr w14:val="tx1"/>
            </w14:solidFill>
          </w14:textFill>
        </w:rPr>
        <w:t>站外埋地集输管线采用常温型加强级三层PE防腐层，其中底层为熔结环氧粉末，中间层为胶粘剂层</w:t>
      </w:r>
      <w:r>
        <w:rPr>
          <w:rFonts w:hint="eastAsia"/>
          <w:color w:val="000000" w:themeColor="text1"/>
          <w:highlight w:val="none"/>
          <w:lang w:eastAsia="zh-CN"/>
          <w14:textFill>
            <w14:solidFill>
              <w14:schemeClr w14:val="tx1"/>
            </w14:solidFill>
          </w14:textFill>
        </w:rPr>
        <w:t>；热煨弯管防腐层推荐采用“无溶剂液体环氧涂料+聚乙烯热收缩缠绕带”的涂层结构</w:t>
      </w:r>
      <w:r>
        <w:rPr>
          <w:rFonts w:ascii="Times New Roman" w:hAnsi="Times New Roman"/>
          <w:color w:val="000000" w:themeColor="text1"/>
          <w:highlight w:val="none"/>
          <w:lang w:eastAsia="zh-CN"/>
          <w14:textFill>
            <w14:solidFill>
              <w14:schemeClr w14:val="tx1"/>
            </w14:solidFill>
          </w14:textFill>
        </w:rPr>
        <w:t>。</w:t>
      </w:r>
    </w:p>
    <w:p>
      <w:pPr>
        <w:adjustRightInd/>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（5）无损检验</w:t>
      </w:r>
    </w:p>
    <w:p>
      <w:pPr>
        <w:adjustRightInd/>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管材焊接完成后，进行管道检验工作。应先根据相关规范要求进行外观检查，符合要求后才能进行焊缝内部的无损探伤。</w:t>
      </w:r>
    </w:p>
    <w:p>
      <w:pPr>
        <w:adjustRightInd/>
        <w:ind w:firstLine="480"/>
        <w:rPr>
          <w:b/>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本工程焊口在外观检验合格后，应对所有的管道环焊缝进行100%的超声波探伤，和100%X射线照相复验。检测应符合《石油天然气钢质管道无损检测》</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SY/T 4109-2020）的相关规定，达到Ⅱ级及以上为合格。焊缝在同一部位的返修，不得超过1次，否则应将该焊缝切除。不允许有根部未熔合、未焊透缺陷，根部缺陷不合格不允许返修，应割开重焊。返修时应严格按照《焊接工艺规程》中有关要求进行。从事无损探伤人员必须持有国家有关部门颁发的并与其工作相适应的资格证书。无损探伤人员亦必须具有劳动部门颁发的Ⅰ级及其以上资格证，射线探伤人员应具有Ⅱ级及其以上资格证。管线试压装置及连接管线焊口均应进行射线检测，检测方法及质量要求应与主管线相同。</w:t>
      </w:r>
      <w:r>
        <w:rPr>
          <w:rFonts w:hint="eastAsia" w:cs="Times New Roman"/>
          <w:b/>
          <w:color w:val="000000" w:themeColor="text1"/>
          <w:szCs w:val="24"/>
          <w:highlight w:val="none"/>
          <w14:textFill>
            <w14:solidFill>
              <w14:schemeClr w14:val="tx1"/>
            </w14:solidFill>
          </w14:textFill>
        </w:rPr>
        <w:t>其中采用的X射线探伤不属于本次评价内容，按照相关要求另行完善环保手续</w:t>
      </w:r>
      <w:r>
        <w:rPr>
          <w:b/>
          <w:bCs/>
          <w:color w:val="000000" w:themeColor="text1"/>
          <w:highlight w:val="none"/>
          <w14:textFill>
            <w14:solidFill>
              <w14:schemeClr w14:val="tx1"/>
            </w14:solidFill>
          </w14:textFill>
        </w:rPr>
        <w:t>。</w:t>
      </w:r>
    </w:p>
    <w:p>
      <w:pPr>
        <w:adjustRightInd/>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（6）管道下沟、清管、试压及测径</w:t>
      </w:r>
    </w:p>
    <w:p>
      <w:pPr>
        <w:adjustRightInd/>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下沟：在管道下沟之前，首先进行管沟的清理工作，去除石块，在石方段还要铺垫细砂土，沟壁应考虑草袋等填垫物，平缓下沟，避免损伤绝缘层和使管道受力不均</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然后用机械设备将管道下至管沟内</w:t>
      </w:r>
      <w:r>
        <w:rPr>
          <w:rFonts w:hint="eastAsia"/>
          <w:color w:val="000000" w:themeColor="text1"/>
          <w:highlight w:val="none"/>
          <w14:textFill>
            <w14:solidFill>
              <w14:schemeClr w14:val="tx1"/>
            </w14:solidFill>
          </w14:textFill>
        </w:rPr>
        <w:t>中心位置</w:t>
      </w:r>
      <w:r>
        <w:rPr>
          <w:color w:val="000000" w:themeColor="text1"/>
          <w:highlight w:val="none"/>
          <w14:textFill>
            <w14:solidFill>
              <w14:schemeClr w14:val="tx1"/>
            </w14:solidFill>
          </w14:textFill>
        </w:rPr>
        <w:t>。如出现管底局部悬空应用细土填塞，不得出现浅埋</w:t>
      </w:r>
      <w:r>
        <w:rPr>
          <w:rFonts w:hint="eastAsia"/>
          <w:color w:val="000000" w:themeColor="text1"/>
          <w:highlight w:val="none"/>
          <w14:textFill>
            <w14:solidFill>
              <w14:schemeClr w14:val="tx1"/>
            </w14:solidFill>
          </w14:textFill>
        </w:rPr>
        <w:t>。</w:t>
      </w:r>
    </w:p>
    <w:p>
      <w:pPr>
        <w:adjustRightInd/>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清管：管道试压前，应采用清管球进行临时清管，清管次数不得小于2次，以开口端</w:t>
      </w:r>
      <w:r>
        <w:rPr>
          <w:rFonts w:hint="eastAsia"/>
          <w:color w:val="000000" w:themeColor="text1"/>
          <w:highlight w:val="none"/>
          <w14:textFill>
            <w14:solidFill>
              <w14:schemeClr w14:val="tx1"/>
            </w14:solidFill>
          </w14:textFill>
        </w:rPr>
        <w:t>不再</w:t>
      </w:r>
      <w:r>
        <w:rPr>
          <w:color w:val="000000" w:themeColor="text1"/>
          <w:highlight w:val="none"/>
          <w14:textFill>
            <w14:solidFill>
              <w14:schemeClr w14:val="tx1"/>
            </w14:solidFill>
          </w14:textFill>
        </w:rPr>
        <w:t>排除杂物为合格。</w:t>
      </w:r>
      <w:r>
        <w:rPr>
          <w:rFonts w:hint="eastAsia"/>
          <w:color w:val="000000" w:themeColor="text1"/>
          <w:highlight w:val="none"/>
          <w14:textFill>
            <w14:solidFill>
              <w14:schemeClr w14:val="tx1"/>
            </w14:solidFill>
          </w14:textFill>
        </w:rPr>
        <w:t>因本项目管道长度较长，采用分段清管方式，</w:t>
      </w:r>
      <w:r>
        <w:rPr>
          <w:color w:val="000000" w:themeColor="text1"/>
          <w:highlight w:val="none"/>
          <w14:textFill>
            <w14:solidFill>
              <w14:schemeClr w14:val="tx1"/>
            </w14:solidFill>
          </w14:textFill>
        </w:rPr>
        <w:t>管道清管采用</w:t>
      </w:r>
      <w:r>
        <w:rPr>
          <w:rFonts w:hint="eastAsia"/>
          <w:color w:val="000000" w:themeColor="text1"/>
          <w:highlight w:val="none"/>
          <w14:textFill>
            <w14:solidFill>
              <w14:schemeClr w14:val="tx1"/>
            </w14:solidFill>
          </w14:textFill>
        </w:rPr>
        <w:t>氮气</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新建</w:t>
      </w:r>
      <w:r>
        <w:rPr>
          <w:color w:val="000000" w:themeColor="text1"/>
          <w:highlight w:val="none"/>
          <w14:textFill>
            <w14:solidFill>
              <w14:schemeClr w14:val="tx1"/>
            </w14:solidFill>
          </w14:textFill>
        </w:rPr>
        <w:t>管道</w:t>
      </w:r>
      <w:r>
        <w:rPr>
          <w:rFonts w:hint="eastAsia"/>
          <w:color w:val="000000" w:themeColor="text1"/>
          <w:highlight w:val="none"/>
          <w14:textFill>
            <w14:solidFill>
              <w14:schemeClr w14:val="tx1"/>
            </w14:solidFill>
          </w14:textFill>
        </w:rPr>
        <w:t>管段</w:t>
      </w:r>
      <w:r>
        <w:rPr>
          <w:color w:val="000000" w:themeColor="text1"/>
          <w:highlight w:val="none"/>
          <w14:textFill>
            <w14:solidFill>
              <w14:schemeClr w14:val="tx1"/>
            </w14:solidFill>
          </w14:textFill>
        </w:rPr>
        <w:t>两端为封堵状态，清管扫线设临时清管器收发装置，在</w:t>
      </w:r>
      <w:r>
        <w:rPr>
          <w:rFonts w:hint="eastAsia"/>
          <w:color w:val="000000" w:themeColor="text1"/>
          <w:highlight w:val="none"/>
          <w14:textFill>
            <w14:solidFill>
              <w14:schemeClr w14:val="tx1"/>
            </w14:solidFill>
          </w14:textFill>
        </w:rPr>
        <w:t>分段</w:t>
      </w:r>
      <w:r>
        <w:rPr>
          <w:color w:val="000000" w:themeColor="text1"/>
          <w:highlight w:val="none"/>
          <w14:textFill>
            <w14:solidFill>
              <w14:schemeClr w14:val="tx1"/>
            </w14:solidFill>
          </w14:textFill>
        </w:rPr>
        <w:t>管道</w:t>
      </w:r>
      <w:r>
        <w:rPr>
          <w:rFonts w:hint="eastAsia"/>
          <w:color w:val="000000" w:themeColor="text1"/>
          <w:highlight w:val="none"/>
          <w14:textFill>
            <w14:solidFill>
              <w14:schemeClr w14:val="tx1"/>
            </w14:solidFill>
          </w14:textFill>
        </w:rPr>
        <w:t>起</w:t>
      </w:r>
      <w:r>
        <w:rPr>
          <w:color w:val="000000" w:themeColor="text1"/>
          <w:highlight w:val="none"/>
          <w14:textFill>
            <w14:solidFill>
              <w14:schemeClr w14:val="tx1"/>
            </w14:solidFill>
          </w14:textFill>
        </w:rPr>
        <w:t>点设置进气（水）口，</w:t>
      </w:r>
      <w:r>
        <w:rPr>
          <w:rFonts w:hint="eastAsia"/>
          <w:color w:val="000000" w:themeColor="text1"/>
          <w:highlight w:val="none"/>
          <w14:textFill>
            <w14:solidFill>
              <w14:schemeClr w14:val="tx1"/>
            </w14:solidFill>
          </w14:textFill>
        </w:rPr>
        <w:t>分段管道终点</w:t>
      </w:r>
      <w:r>
        <w:rPr>
          <w:color w:val="000000" w:themeColor="text1"/>
          <w:highlight w:val="none"/>
          <w14:textFill>
            <w14:solidFill>
              <w14:schemeClr w14:val="tx1"/>
            </w14:solidFill>
          </w14:textFill>
        </w:rPr>
        <w:t>设置出气（水）口，施工场地周围开阔，该装置周围50m内没有居民和建筑物，四周临时设置安全警示标志，清管所用</w:t>
      </w:r>
      <w:r>
        <w:rPr>
          <w:rFonts w:hint="eastAsia"/>
          <w:color w:val="000000" w:themeColor="text1"/>
          <w:highlight w:val="none"/>
          <w14:textFill>
            <w14:solidFill>
              <w14:schemeClr w14:val="tx1"/>
            </w14:solidFill>
          </w14:textFill>
        </w:rPr>
        <w:t>氮气</w:t>
      </w:r>
      <w:r>
        <w:rPr>
          <w:color w:val="000000" w:themeColor="text1"/>
          <w:highlight w:val="none"/>
          <w14:textFill>
            <w14:solidFill>
              <w14:schemeClr w14:val="tx1"/>
            </w14:solidFill>
          </w14:textFill>
        </w:rPr>
        <w:t>直接通过出气口排放至大气环境。</w:t>
      </w:r>
    </w:p>
    <w:p>
      <w:pPr>
        <w:adjustRightInd/>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试压：本项目管道线路应进行强度试压及严密性试压</w:t>
      </w:r>
      <w:r>
        <w:rPr>
          <w:rFonts w:hint="eastAsia"/>
          <w:color w:val="000000" w:themeColor="text1"/>
          <w:highlight w:val="none"/>
          <w14:textFill>
            <w14:solidFill>
              <w14:schemeClr w14:val="tx1"/>
            </w14:solidFill>
          </w14:textFill>
        </w:rPr>
        <w:t>，试压均采用清水，分段进行试压</w:t>
      </w:r>
      <w:r>
        <w:rPr>
          <w:color w:val="000000" w:themeColor="text1"/>
          <w:highlight w:val="none"/>
          <w14:textFill>
            <w14:solidFill>
              <w14:schemeClr w14:val="tx1"/>
            </w14:solidFill>
          </w14:textFill>
        </w:rPr>
        <w:t>。</w:t>
      </w:r>
    </w:p>
    <w:p>
      <w:pPr>
        <w:adjustRightInd/>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管线</w:t>
      </w:r>
      <w:r>
        <w:rPr>
          <w:color w:val="000000" w:themeColor="text1"/>
          <w:highlight w:val="none"/>
          <w14:textFill>
            <w14:solidFill>
              <w14:schemeClr w14:val="tx1"/>
            </w14:solidFill>
          </w14:textFill>
        </w:rPr>
        <w:t>强度试验压力应大于设计内压力的1.5倍，即9.4</w:t>
      </w: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MPa，升压应缓慢，当压力升至0.3倍和0.6倍强度试验压力时，应分别停止升压，稳压30min，并检查有无异常情况，若无异常情况继续升压；达到强度试验压力后，稳压4h，以无泄漏、目测无变形为合格。进行严密性试压时将压力缓慢降至</w:t>
      </w:r>
      <w:r>
        <w:rPr>
          <w:rFonts w:hint="eastAsia"/>
          <w:color w:val="000000" w:themeColor="text1"/>
          <w:highlight w:val="none"/>
          <w14:textFill>
            <w14:solidFill>
              <w14:schemeClr w14:val="tx1"/>
            </w14:solidFill>
          </w14:textFill>
        </w:rPr>
        <w:t>管道设计</w:t>
      </w:r>
      <w:r>
        <w:rPr>
          <w:color w:val="000000" w:themeColor="text1"/>
          <w:highlight w:val="none"/>
          <w14:textFill>
            <w14:solidFill>
              <w14:schemeClr w14:val="tx1"/>
            </w14:solidFill>
          </w14:textFill>
        </w:rPr>
        <w:t>压力，稳压24h，</w:t>
      </w:r>
      <w:r>
        <w:rPr>
          <w:rFonts w:hint="eastAsia"/>
          <w:color w:val="000000" w:themeColor="text1"/>
          <w:highlight w:val="none"/>
          <w14:textFill>
            <w14:solidFill>
              <w14:schemeClr w14:val="tx1"/>
            </w14:solidFill>
          </w14:textFill>
        </w:rPr>
        <w:t>无泄漏</w:t>
      </w:r>
      <w:r>
        <w:rPr>
          <w:color w:val="000000" w:themeColor="text1"/>
          <w:highlight w:val="none"/>
          <w14:textFill>
            <w14:solidFill>
              <w14:schemeClr w14:val="tx1"/>
            </w14:solidFill>
          </w14:textFill>
        </w:rPr>
        <w:t>、目测无变形、压降不大于1%的严密性试验压力且不大于0.1MPa为合格</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当因温度变化或其他因素影响试压的准确性时，应延长稳压时间。</w:t>
      </w:r>
    </w:p>
    <w:p>
      <w:pPr>
        <w:adjustRightInd/>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试压废水主要污染物为SS，污染因子单一，试压废水从管道</w:t>
      </w:r>
      <w:r>
        <w:rPr>
          <w:rFonts w:hint="eastAsia"/>
          <w:color w:val="000000" w:themeColor="text1"/>
          <w:highlight w:val="none"/>
          <w14:textFill>
            <w14:solidFill>
              <w14:schemeClr w14:val="tx1"/>
            </w14:solidFill>
          </w14:textFill>
        </w:rPr>
        <w:t>终</w:t>
      </w:r>
      <w:r>
        <w:rPr>
          <w:color w:val="000000" w:themeColor="text1"/>
          <w:highlight w:val="none"/>
          <w14:textFill>
            <w14:solidFill>
              <w14:schemeClr w14:val="tx1"/>
            </w14:solidFill>
          </w14:textFill>
        </w:rPr>
        <w:t>点设置的出水口排出，经沉淀池收集处理后，后回用于设备、车辆冲洗和场地洒水降尘。</w:t>
      </w:r>
    </w:p>
    <w:p>
      <w:pPr>
        <w:adjustRightInd/>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测径：</w:t>
      </w:r>
      <w:r>
        <w:rPr>
          <w:rFonts w:hint="eastAsia"/>
          <w:color w:val="000000" w:themeColor="text1"/>
          <w:highlight w:val="none"/>
          <w14:textFill>
            <w14:solidFill>
              <w14:schemeClr w14:val="tx1"/>
            </w14:solidFill>
          </w14:textFill>
        </w:rPr>
        <w:t>氮气</w:t>
      </w:r>
      <w:r>
        <w:rPr>
          <w:color w:val="000000" w:themeColor="text1"/>
          <w:highlight w:val="none"/>
          <w14:textFill>
            <w14:solidFill>
              <w14:schemeClr w14:val="tx1"/>
            </w14:solidFill>
          </w14:textFill>
        </w:rPr>
        <w:t>清管合格后，应在试压前后分别进行测径。测径宜采用铝制测径板，直径为试压段中最大壁厚钢管或者弯管内径的92.5%，当测径板通过管段后，无变形、褶皱可判为合格。</w:t>
      </w:r>
    </w:p>
    <w:p>
      <w:pPr>
        <w:adjustRightInd/>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（7）扫水</w:t>
      </w:r>
    </w:p>
    <w:p>
      <w:pPr>
        <w:adjustRightInd/>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试压合格后，</w:t>
      </w:r>
      <w:r>
        <w:rPr>
          <w:rFonts w:hint="eastAsia"/>
          <w:color w:val="000000" w:themeColor="text1"/>
          <w:highlight w:val="none"/>
          <w14:textFill>
            <w14:solidFill>
              <w14:schemeClr w14:val="tx1"/>
            </w14:solidFill>
          </w14:textFill>
        </w:rPr>
        <w:t>再</w:t>
      </w:r>
      <w:r>
        <w:rPr>
          <w:color w:val="000000" w:themeColor="text1"/>
          <w:highlight w:val="none"/>
          <w14:textFill>
            <w14:solidFill>
              <w14:schemeClr w14:val="tx1"/>
            </w14:solidFill>
          </w14:textFill>
        </w:rPr>
        <w:t>用</w:t>
      </w:r>
      <w:r>
        <w:rPr>
          <w:rFonts w:hint="eastAsia"/>
          <w:color w:val="000000" w:themeColor="text1"/>
          <w:highlight w:val="none"/>
          <w14:textFill>
            <w14:solidFill>
              <w14:schemeClr w14:val="tx1"/>
            </w14:solidFill>
          </w14:textFill>
        </w:rPr>
        <w:t>氮气</w:t>
      </w:r>
      <w:r>
        <w:rPr>
          <w:color w:val="000000" w:themeColor="text1"/>
          <w:highlight w:val="none"/>
          <w14:textFill>
            <w14:solidFill>
              <w14:schemeClr w14:val="tx1"/>
            </w14:solidFill>
          </w14:textFill>
        </w:rPr>
        <w:t>推动清管器进行排水吹扫，以不再排出游离水为合格。在环境温度低于5℃时，水压试验应采取防冻措施，试压完成后应立即对被试管段进行扫水清管，并将试压设备及阀门内的水排尽，余水经出水口排入沉淀池，收集处理后回用于设备、车辆冲洗和场地洒水降尘。</w:t>
      </w:r>
    </w:p>
    <w:p>
      <w:pPr>
        <w:adjustRightInd/>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r>
        <w:rPr>
          <w:b/>
          <w:bCs/>
          <w:color w:val="000000" w:themeColor="text1"/>
          <w:highlight w:val="none"/>
          <w14:textFill>
            <w14:solidFill>
              <w14:schemeClr w14:val="tx1"/>
            </w14:solidFill>
          </w14:textFill>
        </w:rPr>
        <w:t>8）氮气置换</w:t>
      </w:r>
    </w:p>
    <w:p>
      <w:pPr>
        <w:pStyle w:val="19"/>
        <w:spacing w:line="360" w:lineRule="auto"/>
        <w:ind w:firstLine="480" w:firstLineChars="200"/>
        <w:jc w:val="both"/>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管道</w:t>
      </w:r>
      <w:r>
        <w:rPr>
          <w:rFonts w:hint="eastAsia" w:ascii="Times New Roman" w:hAnsi="Times New Roman"/>
          <w:color w:val="000000" w:themeColor="text1"/>
          <w:highlight w:val="none"/>
          <w:lang w:eastAsia="zh-CN"/>
          <w14:textFill>
            <w14:solidFill>
              <w14:schemeClr w14:val="tx1"/>
            </w14:solidFill>
          </w14:textFill>
        </w:rPr>
        <w:t>正式</w:t>
      </w:r>
      <w:r>
        <w:rPr>
          <w:rFonts w:ascii="Times New Roman" w:hAnsi="Times New Roman"/>
          <w:color w:val="000000" w:themeColor="text1"/>
          <w:highlight w:val="none"/>
          <w:lang w:eastAsia="zh-CN"/>
          <w14:textFill>
            <w14:solidFill>
              <w14:schemeClr w14:val="tx1"/>
            </w14:solidFill>
          </w14:textFill>
        </w:rPr>
        <w:t>投入运行前，须用干燥氮气进行置换空气工作，以保证安全。氮气注入被置换管道的温度不应低于5℃，置换过程中，管道内的气体流速不应大于5m/s，置换管道末端应配备气体含量检测设备。进行氮气置换时当置换管道末端放</w:t>
      </w:r>
      <w:r>
        <w:rPr>
          <w:rFonts w:hint="eastAsia" w:ascii="Times New Roman" w:hAnsi="Times New Roman"/>
          <w:color w:val="000000" w:themeColor="text1"/>
          <w:highlight w:val="none"/>
          <w:lang w:eastAsia="zh-CN"/>
          <w14:textFill>
            <w14:solidFill>
              <w14:schemeClr w14:val="tx1"/>
            </w14:solidFill>
          </w14:textFill>
        </w:rPr>
        <w:t>空</w:t>
      </w:r>
      <w:r>
        <w:rPr>
          <w:rFonts w:ascii="Times New Roman" w:hAnsi="Times New Roman"/>
          <w:color w:val="000000" w:themeColor="text1"/>
          <w:highlight w:val="none"/>
          <w:lang w:eastAsia="zh-CN"/>
          <w14:textFill>
            <w14:solidFill>
              <w14:schemeClr w14:val="tx1"/>
            </w14:solidFill>
          </w14:textFill>
        </w:rPr>
        <w:t>管口气体含氧量不大于2%时即可认为置换合格。</w:t>
      </w:r>
    </w:p>
    <w:p>
      <w:pPr>
        <w:adjustRightInd/>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w:t>
      </w:r>
      <w:r>
        <w:rPr>
          <w:rFonts w:hint="eastAsia"/>
          <w:b/>
          <w:bCs/>
          <w:color w:val="000000" w:themeColor="text1"/>
          <w:highlight w:val="none"/>
          <w14:textFill>
            <w14:solidFill>
              <w14:schemeClr w14:val="tx1"/>
            </w14:solidFill>
          </w14:textFill>
        </w:rPr>
        <w:t>9</w:t>
      </w:r>
      <w:r>
        <w:rPr>
          <w:b/>
          <w:bCs/>
          <w:color w:val="000000" w:themeColor="text1"/>
          <w:highlight w:val="none"/>
          <w14:textFill>
            <w14:solidFill>
              <w14:schemeClr w14:val="tx1"/>
            </w14:solidFill>
          </w14:textFill>
        </w:rPr>
        <w:t>）生态恢复</w:t>
      </w:r>
    </w:p>
    <w:p>
      <w:pPr>
        <w:adjustRightInd/>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全部工程完工后，设备撤离现场，清除隔油沉砂池底和沉淀池底的水泥块，运输到当地</w:t>
      </w:r>
      <w:r>
        <w:rPr>
          <w:rFonts w:hint="eastAsia"/>
          <w:color w:val="000000" w:themeColor="text1"/>
          <w:highlight w:val="none"/>
          <w14:textFill>
            <w14:solidFill>
              <w14:schemeClr w14:val="tx1"/>
            </w14:solidFill>
          </w14:textFill>
        </w:rPr>
        <w:t>建筑弃渣</w:t>
      </w:r>
      <w:r>
        <w:rPr>
          <w:color w:val="000000" w:themeColor="text1"/>
          <w:highlight w:val="none"/>
          <w14:textFill>
            <w14:solidFill>
              <w14:schemeClr w14:val="tx1"/>
            </w14:solidFill>
          </w14:textFill>
        </w:rPr>
        <w:t>堆场。管道管沟</w:t>
      </w:r>
      <w:r>
        <w:rPr>
          <w:rFonts w:hint="eastAsia"/>
          <w:color w:val="000000" w:themeColor="text1"/>
          <w:highlight w:val="none"/>
          <w14:textFill>
            <w14:solidFill>
              <w14:schemeClr w14:val="tx1"/>
            </w14:solidFill>
          </w14:textFill>
        </w:rPr>
        <w:t>及施工场地</w:t>
      </w:r>
      <w:r>
        <w:rPr>
          <w:color w:val="000000" w:themeColor="text1"/>
          <w:highlight w:val="none"/>
          <w14:textFill>
            <w14:solidFill>
              <w14:schemeClr w14:val="tx1"/>
            </w14:solidFill>
          </w14:textFill>
        </w:rPr>
        <w:t>采用机械设备</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人工回填</w:t>
      </w:r>
      <w:r>
        <w:rPr>
          <w:rFonts w:hint="eastAsia"/>
          <w:color w:val="000000" w:themeColor="text1"/>
          <w:highlight w:val="none"/>
          <w14:textFill>
            <w14:solidFill>
              <w14:schemeClr w14:val="tx1"/>
            </w14:solidFill>
          </w14:textFill>
        </w:rPr>
        <w:t>（穿越已有管道部分必须采用人工回填）</w:t>
      </w:r>
      <w:r>
        <w:rPr>
          <w:color w:val="000000" w:themeColor="text1"/>
          <w:highlight w:val="none"/>
          <w14:textFill>
            <w14:solidFill>
              <w14:schemeClr w14:val="tx1"/>
            </w14:solidFill>
          </w14:textFill>
        </w:rPr>
        <w:t>，回填均使用开挖土石方，管沟区域回填后需超过自然地面至少0.3m，在管沟的回填过程中，严格按照回填操作规范进行，以避免在回填操作过程中破坏管道的绝缘防腐层，留下事故隐患。作业带两侧堆放的表土全部分层回填，对临时</w:t>
      </w:r>
      <w:r>
        <w:rPr>
          <w:rFonts w:hint="eastAsia"/>
          <w:color w:val="000000" w:themeColor="text1"/>
          <w:highlight w:val="none"/>
          <w14:textFill>
            <w14:solidFill>
              <w14:schemeClr w14:val="tx1"/>
            </w14:solidFill>
          </w14:textFill>
        </w:rPr>
        <w:t>施工便道</w:t>
      </w:r>
      <w:r>
        <w:rPr>
          <w:color w:val="000000" w:themeColor="text1"/>
          <w:highlight w:val="none"/>
          <w14:textFill>
            <w14:solidFill>
              <w14:schemeClr w14:val="tx1"/>
            </w14:solidFill>
          </w14:textFill>
        </w:rPr>
        <w:t>、堆管场、施工作业带等施工迹地及时进行生态恢复措施，</w:t>
      </w:r>
      <w:r>
        <w:rPr>
          <w:rFonts w:hint="eastAsia"/>
          <w:color w:val="000000" w:themeColor="text1"/>
          <w:highlight w:val="none"/>
          <w14:textFill>
            <w14:solidFill>
              <w14:schemeClr w14:val="tx1"/>
            </w14:solidFill>
          </w14:textFill>
        </w:rPr>
        <w:t>严格按照本项目《土地复垦方案》进行土地复垦，</w:t>
      </w:r>
      <w:r>
        <w:rPr>
          <w:color w:val="000000" w:themeColor="text1"/>
          <w:highlight w:val="none"/>
          <w14:textFill>
            <w14:solidFill>
              <w14:schemeClr w14:val="tx1"/>
            </w14:solidFill>
          </w14:textFill>
        </w:rPr>
        <w:t>占用</w:t>
      </w:r>
      <w:r>
        <w:rPr>
          <w:rFonts w:hint="eastAsia"/>
          <w:color w:val="000000" w:themeColor="text1"/>
          <w:highlight w:val="none"/>
          <w14:textFill>
            <w14:solidFill>
              <w14:schemeClr w14:val="tx1"/>
            </w14:solidFill>
          </w14:textFill>
        </w:rPr>
        <w:t>耕地</w:t>
      </w:r>
      <w:r>
        <w:rPr>
          <w:color w:val="000000" w:themeColor="text1"/>
          <w:highlight w:val="none"/>
          <w14:textFill>
            <w14:solidFill>
              <w14:schemeClr w14:val="tx1"/>
            </w14:solidFill>
          </w14:textFill>
        </w:rPr>
        <w:t>部分恢复为</w:t>
      </w:r>
      <w:r>
        <w:rPr>
          <w:rFonts w:hint="eastAsia"/>
          <w:color w:val="000000" w:themeColor="text1"/>
          <w:highlight w:val="none"/>
          <w14:textFill>
            <w14:solidFill>
              <w14:schemeClr w14:val="tx1"/>
            </w14:solidFill>
          </w14:textFill>
        </w:rPr>
        <w:t>耕地</w:t>
      </w:r>
      <w:r>
        <w:rPr>
          <w:color w:val="000000" w:themeColor="text1"/>
          <w:highlight w:val="none"/>
          <w14:textFill>
            <w14:solidFill>
              <w14:schemeClr w14:val="tx1"/>
            </w14:solidFill>
          </w14:textFill>
        </w:rPr>
        <w:t>，占用林地的按照林地复垦方向，撒播种草、恢复植被，严禁在管道两侧5m范围内种植深根植物。</w:t>
      </w:r>
    </w:p>
    <w:p>
      <w:pPr>
        <w:adjustRightInd/>
        <w:ind w:firstLine="482"/>
        <w:rPr>
          <w:b/>
          <w:bCs/>
          <w:color w:val="000000" w:themeColor="text1"/>
          <w:highlight w:val="none"/>
          <w14:textFill>
            <w14:solidFill>
              <w14:schemeClr w14:val="tx1"/>
            </w14:solidFill>
          </w14:textFill>
        </w:rPr>
      </w:pPr>
      <w:bookmarkStart w:id="154" w:name="_Toc27405"/>
      <w:bookmarkStart w:id="155" w:name="_Toc28342"/>
      <w:r>
        <w:rPr>
          <w:b/>
          <w:bCs/>
          <w:color w:val="000000" w:themeColor="text1"/>
          <w:highlight w:val="none"/>
          <w14:textFill>
            <w14:solidFill>
              <w14:schemeClr w14:val="tx1"/>
            </w14:solidFill>
          </w14:textFill>
        </w:rPr>
        <w:t>（10）特殊施工工艺介绍</w:t>
      </w:r>
      <w:bookmarkEnd w:id="154"/>
      <w:bookmarkEnd w:id="155"/>
    </w:p>
    <w:p>
      <w:pPr>
        <w:adjustRightInd/>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①G65高速穿越工程</w:t>
      </w:r>
    </w:p>
    <w:p>
      <w:pPr>
        <w:adjustRightInd/>
        <w:ind w:firstLine="480"/>
        <w:rPr>
          <w:rFonts w:cs="Times New Roman"/>
          <w:color w:val="000000" w:themeColor="text1"/>
          <w:szCs w:val="21"/>
          <w:highlight w:val="none"/>
          <w14:textFill>
            <w14:solidFill>
              <w14:schemeClr w14:val="tx1"/>
            </w14:solidFill>
          </w14:textFill>
        </w:rPr>
      </w:pPr>
      <w:r>
        <w:rPr>
          <w:rFonts w:hint="eastAsia" w:cs="Times New Roman"/>
          <w:color w:val="000000" w:themeColor="text1"/>
          <w:szCs w:val="21"/>
          <w:highlight w:val="none"/>
          <w14:textFill>
            <w14:solidFill>
              <w14:schemeClr w14:val="tx1"/>
            </w14:solidFill>
          </w14:textFill>
        </w:rPr>
        <w:t>集输管线穿越G</w:t>
      </w:r>
      <w:r>
        <w:rPr>
          <w:rFonts w:cs="Times New Roman"/>
          <w:color w:val="000000" w:themeColor="text1"/>
          <w:szCs w:val="21"/>
          <w:highlight w:val="none"/>
          <w14:textFill>
            <w14:solidFill>
              <w14:schemeClr w14:val="tx1"/>
            </w14:solidFill>
          </w14:textFill>
        </w:rPr>
        <w:t>65</w:t>
      </w:r>
      <w:r>
        <w:rPr>
          <w:rFonts w:hint="eastAsia" w:cs="Times New Roman"/>
          <w:color w:val="000000" w:themeColor="text1"/>
          <w:szCs w:val="21"/>
          <w:highlight w:val="none"/>
          <w14:textFill>
            <w14:solidFill>
              <w14:schemeClr w14:val="tx1"/>
            </w14:solidFill>
          </w14:textFill>
        </w:rPr>
        <w:t>高速1次，穿越位置见下图。</w:t>
      </w:r>
    </w:p>
    <w:p>
      <w:pPr>
        <w:pStyle w:val="60"/>
        <w:keepNex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p>
      <w:pPr>
        <w:pStyle w:val="76"/>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本项目外输管线与G65高速交叉点位置图</w:t>
      </w:r>
    </w:p>
    <w:p>
      <w:pPr>
        <w:adjustRightInd/>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A.穿越方式比选</w:t>
      </w:r>
    </w:p>
    <w:p>
      <w:pPr>
        <w:adjustRightInd/>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四川省交通厅关于印发〈穿（跨）越高速公路建设工程技术要求〉的通知》川交函〔2014〕572号第四条第1款、第2款“1.禁止利用公路桥梁（含桥下空间）、公路隧道、涵洞铺设原油管道、天然气管道等输送易燃、易爆或其他有毒有害气体、液体的管道。2.原油管道、天然气输送管道穿（跨）越高速公路时，应新建下穿专用通道穿越”规定，结合穿越处地形，因而本项目不考虑管道跨越G65高速公路，也不考虑利用涵洞穿越G65高速，提出2个穿越方案进行比选。</w:t>
      </w:r>
    </w:p>
    <w:p>
      <w:pPr>
        <w:adjustRightInd/>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方案一，采用定向钻方式通过高速公路；方案二，采用顶管方式通过高速公路，方案一、二位置见下图。</w:t>
      </w:r>
    </w:p>
    <w:p>
      <w:pPr>
        <w:pStyle w:val="6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p>
      <w:pPr>
        <w:pStyle w:val="76"/>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G65高速穿越方案一</w:t>
      </w:r>
      <w:r>
        <w:rPr>
          <w:rFonts w:hint="eastAsia"/>
          <w:color w:val="000000" w:themeColor="text1"/>
          <w:highlight w:val="none"/>
          <w14:textFill>
            <w14:solidFill>
              <w14:schemeClr w14:val="tx1"/>
            </w14:solidFill>
          </w14:textFill>
        </w:rPr>
        <w:t>、二示意图</w:t>
      </w:r>
    </w:p>
    <w:p>
      <w:pPr>
        <w:adjustRightInd/>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方案一、二优缺点比选见下表。</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G65高速穿越施工方案比选表</w:t>
      </w:r>
    </w:p>
    <w:tbl>
      <w:tblPr>
        <w:tblStyle w:val="4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96"/>
        <w:gridCol w:w="2835"/>
        <w:gridCol w:w="37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6" w:type="dxa"/>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比选项目</w:t>
            </w:r>
          </w:p>
        </w:tc>
        <w:tc>
          <w:tcPr>
            <w:tcW w:w="2835" w:type="dxa"/>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方案一：定向钻穿越</w:t>
            </w:r>
          </w:p>
        </w:tc>
        <w:tc>
          <w:tcPr>
            <w:tcW w:w="3769" w:type="dxa"/>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方案二：顶管穿越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施工临时占地</w:t>
            </w:r>
          </w:p>
        </w:tc>
        <w:tc>
          <w:tcPr>
            <w:tcW w:w="2835"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400</w:t>
            </w:r>
            <w:r>
              <w:rPr>
                <w:rFonts w:hint="eastAsia"/>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2</w:t>
            </w:r>
          </w:p>
        </w:tc>
        <w:tc>
          <w:tcPr>
            <w:tcW w:w="3769"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t>180</w:t>
            </w:r>
            <w:r>
              <w:rPr>
                <w:rFonts w:hint="eastAsia"/>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施工难度</w:t>
            </w:r>
          </w:p>
        </w:tc>
        <w:tc>
          <w:tcPr>
            <w:tcW w:w="2835"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定向钻是成熟的施工技术，在场地平整、钻机就位后即可开始施工，难度小</w:t>
            </w:r>
          </w:p>
        </w:tc>
        <w:tc>
          <w:tcPr>
            <w:tcW w:w="3769"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泥水平衡顶管是成熟的施工技术，施工难度小；但在顶进施工前需先完成顶进坑、接收坑的施工，由于施工地形的原因，顶进坑较深（约8m），因而相对方案一难度较大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对高速公路影响</w:t>
            </w:r>
          </w:p>
        </w:tc>
        <w:tc>
          <w:tcPr>
            <w:tcW w:w="2835"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在路面以下约25m深处施工，对高速公路基本无影响</w:t>
            </w:r>
          </w:p>
        </w:tc>
        <w:tc>
          <w:tcPr>
            <w:tcW w:w="3769"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在路面以下约11m深处施工，对高速公路基本无影响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施工周期</w:t>
            </w:r>
          </w:p>
        </w:tc>
        <w:tc>
          <w:tcPr>
            <w:tcW w:w="2835"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包括场地平整、钻机就位、调试等，施工周期约30天</w:t>
            </w:r>
          </w:p>
        </w:tc>
        <w:tc>
          <w:tcPr>
            <w:tcW w:w="3769"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操作坑施工完后养护周期为28天，在操作坑养护完成后开始顶管，总周期约60天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工程费</w:t>
            </w:r>
          </w:p>
        </w:tc>
        <w:tc>
          <w:tcPr>
            <w:tcW w:w="2835"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46.2</w:t>
            </w:r>
            <w:r>
              <w:rPr>
                <w:rFonts w:hint="eastAsia"/>
                <w:color w:val="000000" w:themeColor="text1"/>
                <w:highlight w:val="none"/>
                <w14:textFill>
                  <w14:solidFill>
                    <w14:schemeClr w14:val="tx1"/>
                  </w14:solidFill>
                </w14:textFill>
              </w:rPr>
              <w:t>万元</w:t>
            </w:r>
          </w:p>
        </w:tc>
        <w:tc>
          <w:tcPr>
            <w:tcW w:w="3769"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54.5</w:t>
            </w:r>
            <w:r>
              <w:rPr>
                <w:rFonts w:hint="eastAsia"/>
                <w:color w:val="000000" w:themeColor="text1"/>
                <w:highlight w:val="none"/>
                <w14:textFill>
                  <w14:solidFill>
                    <w14:schemeClr w14:val="tx1"/>
                  </w14:solidFill>
                </w14:textFill>
              </w:rPr>
              <w:t>万元</w:t>
            </w:r>
          </w:p>
        </w:tc>
      </w:tr>
    </w:tbl>
    <w:p>
      <w:pPr>
        <w:adjustRightInd/>
        <w:spacing w:before="120" w:beforeLines="5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从上表可以看出，从施工临时占地、施工难度、施工周期等方面看，方案一占优，因而G65高速穿越推荐方案一。</w:t>
      </w:r>
    </w:p>
    <w:p>
      <w:pPr>
        <w:adjustRightInd/>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B.穿越位置及外环境关系：</w:t>
      </w:r>
    </w:p>
    <w:p>
      <w:pPr>
        <w:adjustRightInd/>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G65穿越点东侧为北斗村，西侧为冉家沟村；由于东侧地势整体比西侧高，为缩小G65高速穿越点两侧地势的高差，便于穿越施工的顺利进行，将穿越轴线选择在乡村公路南侧约165m处，该处东侧地势低洼，可缩小与西侧地形的高差。根据现场地形，将东侧作为定向钻入土点，西侧坡脚作为定向钻出土点，在出土点侧顺定向钻轴线方向为回拖场地。入土点距G65高速公路路边约65m，出土点距G65高速公路路边约185m，与高速公路成64°夹角。穿越位置见下图。</w:t>
      </w:r>
    </w:p>
    <w:p>
      <w:pPr>
        <w:pStyle w:val="60"/>
        <w:keepNex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p>
      <w:pPr>
        <w:pStyle w:val="14"/>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G65高速</w:t>
      </w:r>
      <w:r>
        <w:rPr>
          <w:color w:val="000000" w:themeColor="text1"/>
          <w:highlight w:val="none"/>
          <w14:textFill>
            <w14:solidFill>
              <w14:schemeClr w14:val="tx1"/>
            </w14:solidFill>
          </w14:textFill>
        </w:rPr>
        <w:t>穿越</w:t>
      </w:r>
      <w:r>
        <w:rPr>
          <w:rFonts w:hint="eastAsia"/>
          <w:color w:val="000000" w:themeColor="text1"/>
          <w:highlight w:val="none"/>
          <w14:textFill>
            <w14:solidFill>
              <w14:schemeClr w14:val="tx1"/>
            </w14:solidFill>
          </w14:textFill>
        </w:rPr>
        <w:t>位置示意图</w:t>
      </w:r>
    </w:p>
    <w:p>
      <w:pPr>
        <w:adjustRightInd/>
        <w:spacing w:before="120" w:beforeLines="5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G65高速定向钻长度为240m，穿越轴线两侧高差约19m，东侧高程为387m，西侧高程为368m。定向钻穿越入土端、出土端、回拖场地周边外环境及地形见下图。</w:t>
      </w:r>
    </w:p>
    <w:p>
      <w:pPr>
        <w:pStyle w:val="14"/>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p>
      <w:pPr>
        <w:pStyle w:val="14"/>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G65高速定向钻</w:t>
      </w:r>
      <w:r>
        <w:rPr>
          <w:rFonts w:hint="eastAsia"/>
          <w:color w:val="000000" w:themeColor="text1"/>
          <w:highlight w:val="none"/>
          <w14:textFill>
            <w14:solidFill>
              <w14:schemeClr w14:val="tx1"/>
            </w14:solidFill>
          </w14:textFill>
        </w:rPr>
        <w:t>处地形和外环境</w:t>
      </w:r>
    </w:p>
    <w:p>
      <w:pPr>
        <w:adjustRightInd/>
        <w:spacing w:before="120" w:beforeLines="5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C.定向钻工艺描述：</w:t>
      </w:r>
    </w:p>
    <w:p>
      <w:pPr>
        <w:adjustRightInd/>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本次对</w:t>
      </w:r>
      <w:r>
        <w:rPr>
          <w:rFonts w:hint="eastAsia"/>
          <w:color w:val="000000" w:themeColor="text1"/>
          <w:highlight w:val="none"/>
          <w14:textFill>
            <w14:solidFill>
              <w14:schemeClr w14:val="tx1"/>
            </w14:solidFill>
          </w14:textFill>
        </w:rPr>
        <w:t>穿越G65高速</w:t>
      </w:r>
      <w:r>
        <w:rPr>
          <w:color w:val="000000" w:themeColor="text1"/>
          <w:highlight w:val="none"/>
          <w14:textFill>
            <w14:solidFill>
              <w14:schemeClr w14:val="tx1"/>
            </w14:solidFill>
          </w14:textFill>
        </w:rPr>
        <w:t>采取定向钻穿越，</w:t>
      </w:r>
      <w:r>
        <w:rPr>
          <w:rFonts w:hint="eastAsia"/>
          <w:color w:val="000000" w:themeColor="text1"/>
          <w:highlight w:val="none"/>
          <w14:textFill>
            <w14:solidFill>
              <w14:schemeClr w14:val="tx1"/>
            </w14:solidFill>
          </w14:textFill>
        </w:rPr>
        <w:t>穿越1次，定向钻穿越段长度为2</w:t>
      </w:r>
      <w:r>
        <w:rPr>
          <w:color w:val="000000" w:themeColor="text1"/>
          <w:highlight w:val="none"/>
          <w14:textFill>
            <w14:solidFill>
              <w14:schemeClr w14:val="tx1"/>
            </w14:solidFill>
          </w14:textFill>
        </w:rPr>
        <w:t>4</w:t>
      </w:r>
      <w:r>
        <w:rPr>
          <w:rFonts w:hint="eastAsia"/>
          <w:color w:val="000000" w:themeColor="text1"/>
          <w:highlight w:val="none"/>
          <w14:textFill>
            <w14:solidFill>
              <w14:schemeClr w14:val="tx1"/>
            </w14:solidFill>
          </w14:textFill>
        </w:rPr>
        <w:t>0m，</w:t>
      </w:r>
      <w:r>
        <w:rPr>
          <w:color w:val="000000" w:themeColor="text1"/>
          <w:highlight w:val="none"/>
          <w14:textFill>
            <w14:solidFill>
              <w14:schemeClr w14:val="tx1"/>
            </w14:solidFill>
          </w14:textFill>
        </w:rPr>
        <w:t>定向钻作为非开挖的一种施工工法，已在天然气管道穿越中得到了广泛应用。具体定向钻施工过程为：首先用泥浆通过钻杆推动钻头旋转破土前进，按照设计的管道穿越曲线钻导向孔。当钻杆进尺达十余根时，开始下冲洗管，并使钻杆与冲洗管交替钻进。在钻进过程中，随时通过控向装置掌握钻头所处位置，通过调整弯管壳的方向。使导向孔符合设计曲线。导向孔完成和冲洗管出土后，钻杆全部抽回，在冲洗管出土端，连接上切削刀、扩孔器、旋转接头和已预制好的管道，然后开始连接回拖，即在扩孔器扩孔的同时，将钻台上的卡盘向上移动，拉动扩孔器和管道前进，管道就逐渐地被敷设在扩大的孔中，直到管端在入土点露出，完成管道的穿越。钻孔和扩孔的泥屑均随泥浆返回地面。</w:t>
      </w:r>
    </w:p>
    <w:p>
      <w:pPr>
        <w:adjustRightInd/>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施工中泥浆起护壁、润滑、冷却和冲洗钻头、清扫土屑、传递动力等作用，</w:t>
      </w:r>
      <w:r>
        <w:rPr>
          <w:rFonts w:hint="eastAsia"/>
          <w:color w:val="000000" w:themeColor="text1"/>
          <w:highlight w:val="none"/>
          <w14:textFill>
            <w14:solidFill>
              <w14:schemeClr w14:val="tx1"/>
            </w14:solidFill>
          </w14:textFill>
        </w:rPr>
        <w:t>成分</w:t>
      </w:r>
      <w:r>
        <w:rPr>
          <w:color w:val="000000" w:themeColor="text1"/>
          <w:highlight w:val="none"/>
          <w14:textFill>
            <w14:solidFill>
              <w14:schemeClr w14:val="tx1"/>
            </w14:solidFill>
          </w14:textFill>
        </w:rPr>
        <w:t>一般主要为膨润土和清水、少量（一般为5%左右）的添加剂（碳酸钠等），泥浆在施工期间设置泥浆坑，重复利用，工程完成后剩余泥浆作为废物处置。定向钻穿越不开挖扰动</w:t>
      </w:r>
      <w:r>
        <w:rPr>
          <w:rFonts w:hint="eastAsia"/>
          <w:color w:val="000000" w:themeColor="text1"/>
          <w:highlight w:val="none"/>
          <w14:textFill>
            <w14:solidFill>
              <w14:schemeClr w14:val="tx1"/>
            </w14:solidFill>
          </w14:textFill>
        </w:rPr>
        <w:t>高速公路</w:t>
      </w:r>
      <w:r>
        <w:rPr>
          <w:color w:val="000000" w:themeColor="text1"/>
          <w:highlight w:val="none"/>
          <w14:textFill>
            <w14:solidFill>
              <w14:schemeClr w14:val="tx1"/>
            </w14:solidFill>
          </w14:textFill>
        </w:rPr>
        <w:t>，对</w:t>
      </w:r>
      <w:r>
        <w:rPr>
          <w:rFonts w:hint="eastAsia"/>
          <w:color w:val="000000" w:themeColor="text1"/>
          <w:highlight w:val="none"/>
          <w14:textFill>
            <w14:solidFill>
              <w14:schemeClr w14:val="tx1"/>
            </w14:solidFill>
          </w14:textFill>
        </w:rPr>
        <w:t>高速公路</w:t>
      </w:r>
      <w:r>
        <w:rPr>
          <w:color w:val="000000" w:themeColor="text1"/>
          <w:highlight w:val="none"/>
          <w14:textFill>
            <w14:solidFill>
              <w14:schemeClr w14:val="tx1"/>
            </w14:solidFill>
          </w14:textFill>
        </w:rPr>
        <w:t>影响很小，扰动地表面积小，土石方开挖量小，施工周期短。</w:t>
      </w:r>
    </w:p>
    <w:p>
      <w:pPr>
        <w:pStyle w:val="6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483735" cy="4857750"/>
            <wp:effectExtent l="0" t="0" r="12065" b="0"/>
            <wp:docPr id="77235838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358383" name="图片 20"/>
                    <pic:cNvPicPr>
                      <a:picLocks noChangeAspect="1"/>
                    </pic:cNvPicPr>
                  </pic:nvPicPr>
                  <pic:blipFill>
                    <a:blip r:embed="rId55"/>
                    <a:stretch>
                      <a:fillRect/>
                    </a:stretch>
                  </pic:blipFill>
                  <pic:spPr>
                    <a:xfrm>
                      <a:off x="0" y="0"/>
                      <a:ext cx="4483735" cy="4857750"/>
                    </a:xfrm>
                    <a:prstGeom prst="rect">
                      <a:avLst/>
                    </a:prstGeom>
                    <a:noFill/>
                    <a:ln>
                      <a:noFill/>
                    </a:ln>
                  </pic:spPr>
                </pic:pic>
              </a:graphicData>
            </a:graphic>
          </wp:inline>
        </w:drawing>
      </w:r>
    </w:p>
    <w:p>
      <w:pPr>
        <w:pStyle w:val="14"/>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图 </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定向钻施工方式穿越示意图</w:t>
      </w:r>
    </w:p>
    <w:p>
      <w:pPr>
        <w:adjustRightInd/>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②G210国道</w:t>
      </w:r>
      <w:r>
        <w:rPr>
          <w:color w:val="000000" w:themeColor="text1"/>
          <w:highlight w:val="none"/>
          <w14:textFill>
            <w14:solidFill>
              <w14:schemeClr w14:val="tx1"/>
            </w14:solidFill>
          </w14:textFill>
        </w:rPr>
        <w:t>穿越工程</w:t>
      </w:r>
    </w:p>
    <w:p>
      <w:pPr>
        <w:adjustRightInd/>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本项目管道穿越G</w:t>
      </w:r>
      <w:r>
        <w:rPr>
          <w:color w:val="000000" w:themeColor="text1"/>
          <w:highlight w:val="none"/>
          <w14:textFill>
            <w14:solidFill>
              <w14:schemeClr w14:val="tx1"/>
            </w14:solidFill>
          </w14:textFill>
        </w:rPr>
        <w:t>210</w:t>
      </w:r>
      <w:r>
        <w:rPr>
          <w:rFonts w:hint="eastAsia"/>
          <w:color w:val="000000" w:themeColor="text1"/>
          <w:highlight w:val="none"/>
          <w14:textFill>
            <w14:solidFill>
              <w14:schemeClr w14:val="tx1"/>
            </w14:solidFill>
          </w14:textFill>
        </w:rPr>
        <w:t>国道1次，穿越长度</w:t>
      </w:r>
      <w:r>
        <w:rPr>
          <w:color w:val="000000" w:themeColor="text1"/>
          <w:highlight w:val="none"/>
          <w14:textFill>
            <w14:solidFill>
              <w14:schemeClr w14:val="tx1"/>
            </w14:solidFill>
          </w14:textFill>
        </w:rPr>
        <w:t>35</w:t>
      </w:r>
      <w:r>
        <w:rPr>
          <w:rFonts w:hint="eastAsia"/>
          <w:color w:val="000000" w:themeColor="text1"/>
          <w:highlight w:val="none"/>
          <w14:textFill>
            <w14:solidFill>
              <w14:schemeClr w14:val="tx1"/>
            </w14:solidFill>
          </w14:textFill>
        </w:rPr>
        <w:t>m，鉴于穿越长度较短，管道采用机械（泥水平衡）顶管方式通过国道。</w:t>
      </w:r>
    </w:p>
    <w:p>
      <w:pPr>
        <w:pStyle w:val="211"/>
        <w:adjustRightInd/>
        <w:spacing w:line="360" w:lineRule="auto"/>
        <w:ind w:firstLine="480" w:firstLineChars="200"/>
        <w:jc w:val="both"/>
        <w:rPr>
          <w:rFonts w:ascii="Times New Roman" w:hAnsi="Times New Roman" w:cs="Times New Roman"/>
          <w:color w:val="000000" w:themeColor="text1"/>
          <w:highlight w:val="none"/>
          <w14:textFill>
            <w14:solidFill>
              <w14:schemeClr w14:val="tx1"/>
            </w14:solidFill>
          </w14:textFill>
        </w:rPr>
      </w:pPr>
      <w:r>
        <w:rPr>
          <w:rFonts w:hint="eastAsia" w:ascii="Times New Roman" w:hAnsi="Times New Roman" w:cs="Times New Roman"/>
          <w:color w:val="000000" w:themeColor="text1"/>
          <w:highlight w:val="none"/>
          <w14:textFill>
            <w14:solidFill>
              <w14:schemeClr w14:val="tx1"/>
            </w14:solidFill>
          </w14:textFill>
        </w:rPr>
        <w:t>将G210国道东侧作为顶进坑，西侧作为接收坑，管道从东侧顶管穿越G210国道后，顺国道西侧向北敷设一段（远离高架桥），然后向西穿越宽约12m的河沟，至魏兴站。管线穿越G210国道时加套管，套管选用DRCPⅢ1200×2000GB/T11836钢筋混凝土套管，执行标准《混凝土和钢筋混凝土排水管》GB/T11836，顶进用钢筋混凝土套管材料采用C50钢筋混凝土制作，套管内环形空间采用C1泡沫混凝土填满。套管长度超过G210国道路边不小于2m。</w:t>
      </w:r>
    </w:p>
    <w:p>
      <w:pPr>
        <w:pStyle w:val="211"/>
        <w:adjustRightInd/>
        <w:spacing w:line="360" w:lineRule="auto"/>
        <w:ind w:firstLine="480" w:firstLineChars="200"/>
        <w:jc w:val="both"/>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施工单位拟采用大推力的千斤顶直接将预制套管压入土层中，再在管内采用人工或机械掏挖土石、清除余土而成管的施工方法。主要分为测量放线、开挖工作坑、铺设导向轨道、安装液压千斤顶、吊放混凝土预制管、挖土、顶管、再挖土、再顶管、竣工验收等工序。</w:t>
      </w:r>
      <w:r>
        <w:rPr>
          <w:rFonts w:hint="eastAsia" w:ascii="Times New Roman" w:hAnsi="Times New Roman" w:cs="Times New Roman"/>
          <w:color w:val="000000" w:themeColor="text1"/>
          <w:highlight w:val="none"/>
          <w14:textFill>
            <w14:solidFill>
              <w14:schemeClr w14:val="tx1"/>
            </w14:solidFill>
          </w14:textFill>
        </w:rPr>
        <w:t>顶管过程中需使用泥浆进行润滑等作用。</w:t>
      </w:r>
    </w:p>
    <w:p>
      <w:pPr>
        <w:pStyle w:val="6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943475" cy="1819275"/>
            <wp:effectExtent l="0" t="0" r="9525" b="9525"/>
            <wp:docPr id="2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8"/>
                    <pic:cNvPicPr>
                      <a:picLocks noChangeAspect="1"/>
                    </pic:cNvPicPr>
                  </pic:nvPicPr>
                  <pic:blipFill>
                    <a:blip r:embed="rId56"/>
                    <a:stretch>
                      <a:fillRect/>
                    </a:stretch>
                  </pic:blipFill>
                  <pic:spPr>
                    <a:xfrm>
                      <a:off x="0" y="0"/>
                      <a:ext cx="4943475" cy="1819275"/>
                    </a:xfrm>
                    <a:prstGeom prst="rect">
                      <a:avLst/>
                    </a:prstGeom>
                    <a:noFill/>
                    <a:ln>
                      <a:noFill/>
                    </a:ln>
                  </pic:spPr>
                </pic:pic>
              </a:graphicData>
            </a:graphic>
          </wp:inline>
        </w:drawing>
      </w:r>
    </w:p>
    <w:p>
      <w:pPr>
        <w:pStyle w:val="14"/>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STYLEREF 2 \s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SEQ 图 \* ARABIC \s 2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顶管施工工艺穿越水泥公路剖面示意图</w:t>
      </w:r>
    </w:p>
    <w:p>
      <w:pPr>
        <w:adjustRightInd/>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③其他乡村道路穿越工程</w:t>
      </w:r>
    </w:p>
    <w:p>
      <w:pPr>
        <w:pStyle w:val="211"/>
        <w:adjustRightInd/>
        <w:spacing w:line="360" w:lineRule="auto"/>
        <w:ind w:firstLine="480" w:firstLineChars="200"/>
        <w:jc w:val="both"/>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本工程穿越</w:t>
      </w:r>
      <w:r>
        <w:rPr>
          <w:rFonts w:ascii="Times New Roman" w:hAnsi="Times New Roman" w:cs="Times New Roman"/>
          <w:color w:val="000000" w:themeColor="text1"/>
          <w:szCs w:val="21"/>
          <w:highlight w:val="none"/>
          <w14:textFill>
            <w14:solidFill>
              <w14:schemeClr w14:val="tx1"/>
            </w14:solidFill>
          </w14:textFill>
        </w:rPr>
        <w:t>乡村公路23次，穿越长度共234m，</w:t>
      </w:r>
      <w:r>
        <w:rPr>
          <w:rFonts w:ascii="Times New Roman" w:hAnsi="Times New Roman" w:cs="Times New Roman"/>
          <w:color w:val="000000" w:themeColor="text1"/>
          <w:highlight w:val="none"/>
          <w14:textFill>
            <w14:solidFill>
              <w14:schemeClr w14:val="tx1"/>
            </w14:solidFill>
          </w14:textFill>
        </w:rPr>
        <w:t>采用开挖加套管保护的穿越方式施工。开挖穿越套管规格为</w:t>
      </w:r>
      <w:r>
        <w:rPr>
          <w:rFonts w:ascii="Times New Roman" w:hAnsi="Times New Roman" w:cs="Times New Roman"/>
          <w:color w:val="000000" w:themeColor="text1"/>
          <w:szCs w:val="21"/>
          <w:highlight w:val="none"/>
          <w14:textFill>
            <w14:solidFill>
              <w14:schemeClr w14:val="tx1"/>
            </w14:solidFill>
          </w14:textFill>
        </w:rPr>
        <w:t>DRCPⅢ1000×2000GB/T11836钢筋混凝土套管</w:t>
      </w:r>
      <w:r>
        <w:rPr>
          <w:rFonts w:ascii="Times New Roman" w:hAnsi="Times New Roman" w:cs="Times New Roman"/>
          <w:color w:val="000000" w:themeColor="text1"/>
          <w:highlight w:val="none"/>
          <w14:textFill>
            <w14:solidFill>
              <w14:schemeClr w14:val="tx1"/>
            </w14:solidFill>
          </w14:textFill>
        </w:rPr>
        <w:t>，套管顶距路面埋深不小于1.2m，接口采用钢承口管接口，满足《混凝土和钢筋混凝土排水管》（GB/T118536-2009）</w:t>
      </w:r>
      <w:r>
        <w:rPr>
          <w:rFonts w:hint="eastAsia" w:ascii="Times New Roman" w:hAnsi="Times New Roman" w:cs="Times New Roman"/>
          <w:color w:val="000000" w:themeColor="text1"/>
          <w:highlight w:val="none"/>
          <w14:textFill>
            <w14:solidFill>
              <w14:schemeClr w14:val="tx1"/>
            </w14:solidFill>
          </w14:textFill>
        </w:rPr>
        <w:t>要求。</w:t>
      </w:r>
    </w:p>
    <w:p>
      <w:pPr>
        <w:pStyle w:val="211"/>
        <w:keepNext/>
        <w:ind w:firstLine="56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086350" cy="2286000"/>
            <wp:effectExtent l="0" t="0" r="0" b="0"/>
            <wp:docPr id="2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9"/>
                    <pic:cNvPicPr>
                      <a:picLocks noChangeAspect="1"/>
                    </pic:cNvPicPr>
                  </pic:nvPicPr>
                  <pic:blipFill>
                    <a:blip r:embed="rId57"/>
                    <a:stretch>
                      <a:fillRect/>
                    </a:stretch>
                  </pic:blipFill>
                  <pic:spPr>
                    <a:xfrm>
                      <a:off x="0" y="0"/>
                      <a:ext cx="5086350" cy="2286000"/>
                    </a:xfrm>
                    <a:prstGeom prst="rect">
                      <a:avLst/>
                    </a:prstGeom>
                    <a:noFill/>
                    <a:ln>
                      <a:noFill/>
                    </a:ln>
                  </pic:spPr>
                </pic:pic>
              </a:graphicData>
            </a:graphic>
          </wp:inline>
        </w:drawing>
      </w:r>
    </w:p>
    <w:p>
      <w:pPr>
        <w:pStyle w:val="14"/>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STYLEREF 2 \s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SEQ 图 \* ARABIC \s 2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10</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大开挖</w:t>
      </w:r>
      <w:r>
        <w:rPr>
          <w:color w:val="000000" w:themeColor="text1"/>
          <w:highlight w:val="none"/>
          <w14:textFill>
            <w14:solidFill>
              <w14:schemeClr w14:val="tx1"/>
            </w14:solidFill>
          </w14:textFill>
        </w:rPr>
        <w:t>+套管施工工艺穿越机耕道剖面示意图</w:t>
      </w:r>
    </w:p>
    <w:p>
      <w:pPr>
        <w:adjustRightInd/>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④州河支流穿越</w:t>
      </w:r>
    </w:p>
    <w:p>
      <w:pPr>
        <w:adjustRightInd/>
        <w:ind w:firstLine="480"/>
        <w:rPr>
          <w:rFonts w:cs="Times New Roman"/>
          <w:color w:val="000000" w:themeColor="text1"/>
          <w:szCs w:val="21"/>
          <w:highlight w:val="none"/>
          <w14:textFill>
            <w14:solidFill>
              <w14:schemeClr w14:val="tx1"/>
            </w14:solidFill>
          </w14:textFill>
        </w:rPr>
      </w:pPr>
      <w:r>
        <w:rPr>
          <w:rFonts w:hint="eastAsia" w:cs="Times New Roman"/>
          <w:color w:val="000000" w:themeColor="text1"/>
          <w:szCs w:val="21"/>
          <w:highlight w:val="none"/>
          <w14:textFill>
            <w14:solidFill>
              <w14:schemeClr w14:val="tx1"/>
            </w14:solidFill>
          </w14:textFill>
        </w:rPr>
        <w:t>集输管线穿越州河支流1次，穿越处河流水面宽度约3</w:t>
      </w:r>
      <w:r>
        <w:rPr>
          <w:rFonts w:cs="Times New Roman"/>
          <w:color w:val="000000" w:themeColor="text1"/>
          <w:szCs w:val="21"/>
          <w:highlight w:val="none"/>
          <w14:textFill>
            <w14:solidFill>
              <w14:schemeClr w14:val="tx1"/>
            </w14:solidFill>
          </w14:textFill>
        </w:rPr>
        <w:t>5</w:t>
      </w:r>
      <w:r>
        <w:rPr>
          <w:rFonts w:hint="eastAsia" w:cs="Times New Roman"/>
          <w:color w:val="000000" w:themeColor="text1"/>
          <w:szCs w:val="21"/>
          <w:highlight w:val="none"/>
          <w14:textFill>
            <w14:solidFill>
              <w14:schemeClr w14:val="tx1"/>
            </w14:solidFill>
          </w14:textFill>
        </w:rPr>
        <w:t>m，穿越位置见下图。</w:t>
      </w:r>
    </w:p>
    <w:p>
      <w:pPr>
        <w:pStyle w:val="60"/>
        <w:rPr>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w:t>
      </w:r>
    </w:p>
    <w:p>
      <w:pPr>
        <w:pStyle w:val="76"/>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本项目外输管线与</w:t>
      </w:r>
      <w:r>
        <w:rPr>
          <w:rFonts w:hint="eastAsia"/>
          <w:color w:val="000000" w:themeColor="text1"/>
          <w:highlight w:val="none"/>
          <w14:textFill>
            <w14:solidFill>
              <w14:schemeClr w14:val="tx1"/>
            </w14:solidFill>
          </w14:textFill>
        </w:rPr>
        <w:t>州河支流</w:t>
      </w:r>
      <w:r>
        <w:rPr>
          <w:color w:val="000000" w:themeColor="text1"/>
          <w:highlight w:val="none"/>
          <w14:textFill>
            <w14:solidFill>
              <w14:schemeClr w14:val="tx1"/>
            </w14:solidFill>
          </w14:textFill>
        </w:rPr>
        <w:t>交叉点位置图</w:t>
      </w:r>
    </w:p>
    <w:p>
      <w:pPr>
        <w:adjustRightInd/>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A.穿越方式比选</w:t>
      </w:r>
    </w:p>
    <w:p>
      <w:pPr>
        <w:adjustRightInd/>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根据穿越点地形，按三个方案（定向钻、桁架、大开挖）进行比选。</w:t>
      </w:r>
    </w:p>
    <w:p>
      <w:pPr>
        <w:adjustRightInd/>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方案一，采用定向钻方式穿越；方案二，采用桁架方式穿越；方案三，采用大开挖方式穿越。3个方案优缺点比选见下表。</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施工方案比选表</w:t>
      </w:r>
    </w:p>
    <w:tbl>
      <w:tblPr>
        <w:tblStyle w:val="4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2"/>
        <w:gridCol w:w="2070"/>
        <w:gridCol w:w="2640"/>
        <w:gridCol w:w="23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2" w:type="dxa"/>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比选项目</w:t>
            </w:r>
          </w:p>
        </w:tc>
        <w:tc>
          <w:tcPr>
            <w:tcW w:w="2070" w:type="dxa"/>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方案一：定向钻穿越</w:t>
            </w:r>
          </w:p>
        </w:tc>
        <w:tc>
          <w:tcPr>
            <w:tcW w:w="2640" w:type="dxa"/>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方案二：桁架穿越</w:t>
            </w:r>
          </w:p>
        </w:tc>
        <w:tc>
          <w:tcPr>
            <w:tcW w:w="2388" w:type="dxa"/>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大开挖方案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2"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穿（跨）越长度</w:t>
            </w:r>
          </w:p>
        </w:tc>
        <w:tc>
          <w:tcPr>
            <w:tcW w:w="2070"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穿越长度</w:t>
            </w:r>
            <w:r>
              <w:rPr>
                <w:color w:val="000000" w:themeColor="text1"/>
                <w:highlight w:val="none"/>
                <w14:textFill>
                  <w14:solidFill>
                    <w14:schemeClr w14:val="tx1"/>
                  </w14:solidFill>
                </w14:textFill>
              </w:rPr>
              <w:t>270</w:t>
            </w:r>
            <w:r>
              <w:rPr>
                <w:rFonts w:hint="eastAsia"/>
                <w:color w:val="000000" w:themeColor="text1"/>
                <w:highlight w:val="none"/>
                <w14:textFill>
                  <w14:solidFill>
                    <w14:schemeClr w14:val="tx1"/>
                  </w14:solidFill>
                </w14:textFill>
              </w:rPr>
              <w:t>m</w:t>
            </w:r>
          </w:p>
        </w:tc>
        <w:tc>
          <w:tcPr>
            <w:tcW w:w="2640"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跨越长度</w:t>
            </w:r>
            <w:r>
              <w:rPr>
                <w:color w:val="000000" w:themeColor="text1"/>
                <w:highlight w:val="none"/>
                <w14:textFill>
                  <w14:solidFill>
                    <w14:schemeClr w14:val="tx1"/>
                  </w14:solidFill>
                </w14:textFill>
              </w:rPr>
              <w:t>55</w:t>
            </w:r>
            <w:r>
              <w:rPr>
                <w:rFonts w:hint="eastAsia"/>
                <w:color w:val="000000" w:themeColor="text1"/>
                <w:highlight w:val="none"/>
                <w14:textFill>
                  <w14:solidFill>
                    <w14:schemeClr w14:val="tx1"/>
                  </w14:solidFill>
                </w14:textFill>
              </w:rPr>
              <w:t>m</w:t>
            </w:r>
          </w:p>
        </w:tc>
        <w:tc>
          <w:tcPr>
            <w:tcW w:w="2388"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穿越长度6</w:t>
            </w:r>
            <w:r>
              <w:rPr>
                <w:color w:val="000000" w:themeColor="text1"/>
                <w:highlight w:val="none"/>
                <w14:textFill>
                  <w14:solidFill>
                    <w14:schemeClr w14:val="tx1"/>
                  </w14:solidFill>
                </w14:textFill>
              </w:rPr>
              <w:t>0</w:t>
            </w:r>
            <w:r>
              <w:rPr>
                <w:rFonts w:hint="eastAsia"/>
                <w:color w:val="000000" w:themeColor="text1"/>
                <w:highlight w:val="none"/>
                <w14:textFill>
                  <w14:solidFill>
                    <w14:schemeClr w14:val="tx1"/>
                  </w14:solidFill>
                </w14:textFill>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2"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对环境的影响</w:t>
            </w:r>
          </w:p>
        </w:tc>
        <w:tc>
          <w:tcPr>
            <w:tcW w:w="2070"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泥浆循环使用并进行回收，对环境基本无影响</w:t>
            </w:r>
          </w:p>
        </w:tc>
        <w:tc>
          <w:tcPr>
            <w:tcW w:w="2640"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桁架基础施工，对环境有一定影响</w:t>
            </w:r>
          </w:p>
        </w:tc>
        <w:tc>
          <w:tcPr>
            <w:tcW w:w="2388"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大开挖对河床及河岸破坏较大，对环境影响较大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2"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施工难度</w:t>
            </w:r>
          </w:p>
        </w:tc>
        <w:tc>
          <w:tcPr>
            <w:tcW w:w="2070"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入土端场地较小，钻机等摆放有一定难度，需要经验丰富的施工队伍</w:t>
            </w:r>
          </w:p>
        </w:tc>
        <w:tc>
          <w:tcPr>
            <w:tcW w:w="2640"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桁架跨越东侧施工作业面较小</w:t>
            </w:r>
          </w:p>
        </w:tc>
        <w:tc>
          <w:tcPr>
            <w:tcW w:w="2388"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河水较深，约2m左右，围堰及管沟开挖难度较大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2"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施工时间</w:t>
            </w:r>
          </w:p>
        </w:tc>
        <w:tc>
          <w:tcPr>
            <w:tcW w:w="2070"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不受季节影响，一年四季均可施工</w:t>
            </w:r>
          </w:p>
        </w:tc>
        <w:tc>
          <w:tcPr>
            <w:tcW w:w="2640"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不受季节影响，一年四季均可施工</w:t>
            </w:r>
          </w:p>
        </w:tc>
        <w:tc>
          <w:tcPr>
            <w:tcW w:w="2388"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需在枯水期施工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2"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对下游电站的影响</w:t>
            </w:r>
          </w:p>
        </w:tc>
        <w:tc>
          <w:tcPr>
            <w:tcW w:w="2070"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对河水无扰动，对下游水电站无影响</w:t>
            </w:r>
          </w:p>
        </w:tc>
        <w:tc>
          <w:tcPr>
            <w:tcW w:w="2640"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对河水无扰动，对下游水电站无影响</w:t>
            </w:r>
          </w:p>
        </w:tc>
        <w:tc>
          <w:tcPr>
            <w:tcW w:w="2388"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将河水局部隔断进行穿越施工，对下游水电站有一定影响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2"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管道检维修</w:t>
            </w:r>
          </w:p>
        </w:tc>
        <w:tc>
          <w:tcPr>
            <w:tcW w:w="2070"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管道深埋地下，不方便检修，但出现问题的概率也较小</w:t>
            </w:r>
          </w:p>
        </w:tc>
        <w:tc>
          <w:tcPr>
            <w:tcW w:w="2640"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管道在地面敷设，方便检修；但同时遭破坏的概率也较大，存在一定的安全隐患</w:t>
            </w:r>
          </w:p>
        </w:tc>
        <w:tc>
          <w:tcPr>
            <w:tcW w:w="2388"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管道埋地，不方便检修；同时，如果稳管措施不当或施工质量有问题，则管道有可能漂浮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2"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施工周期</w:t>
            </w:r>
          </w:p>
        </w:tc>
        <w:tc>
          <w:tcPr>
            <w:tcW w:w="2070"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场地平整、钻机就位等，30天左右即可完成</w:t>
            </w:r>
          </w:p>
        </w:tc>
        <w:tc>
          <w:tcPr>
            <w:tcW w:w="2640"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桁架可预制完成后在现场安装，施工周期约45天</w:t>
            </w:r>
          </w:p>
        </w:tc>
        <w:tc>
          <w:tcPr>
            <w:tcW w:w="2388"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2～3个月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2"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工程费</w:t>
            </w:r>
          </w:p>
        </w:tc>
        <w:tc>
          <w:tcPr>
            <w:tcW w:w="2070"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123</w:t>
            </w:r>
            <w:r>
              <w:rPr>
                <w:rFonts w:hint="eastAsia"/>
                <w:color w:val="000000" w:themeColor="text1"/>
                <w:highlight w:val="none"/>
                <w14:textFill>
                  <w14:solidFill>
                    <w14:schemeClr w14:val="tx1"/>
                  </w14:solidFill>
                </w14:textFill>
              </w:rPr>
              <w:t>万元</w:t>
            </w:r>
          </w:p>
        </w:tc>
        <w:tc>
          <w:tcPr>
            <w:tcW w:w="2640"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165</w:t>
            </w:r>
            <w:r>
              <w:rPr>
                <w:rFonts w:hint="eastAsia"/>
                <w:color w:val="000000" w:themeColor="text1"/>
                <w:highlight w:val="none"/>
                <w14:textFill>
                  <w14:solidFill>
                    <w14:schemeClr w14:val="tx1"/>
                  </w14:solidFill>
                </w14:textFill>
              </w:rPr>
              <w:t>万元</w:t>
            </w:r>
          </w:p>
        </w:tc>
        <w:tc>
          <w:tcPr>
            <w:tcW w:w="2388"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t>0</w:t>
            </w:r>
            <w:r>
              <w:rPr>
                <w:rFonts w:hint="eastAsia"/>
                <w:color w:val="000000" w:themeColor="text1"/>
                <w:highlight w:val="none"/>
                <w14:textFill>
                  <w14:solidFill>
                    <w14:schemeClr w14:val="tx1"/>
                  </w14:solidFill>
                </w14:textFill>
              </w:rPr>
              <w:t>万</w:t>
            </w:r>
          </w:p>
        </w:tc>
      </w:tr>
    </w:tbl>
    <w:p>
      <w:pPr>
        <w:adjustRightInd/>
        <w:spacing w:before="120" w:beforeLines="5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从上表可以看出，从施工难度、施工时间、对环境的影响几方面看，方案一占优，因而州河支流穿越推荐方案一（定向钻穿越方案）。</w:t>
      </w:r>
    </w:p>
    <w:p>
      <w:pPr>
        <w:adjustRightInd/>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B.穿越位置及外环境：</w:t>
      </w:r>
    </w:p>
    <w:p>
      <w:pPr>
        <w:adjustRightInd/>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州河支流三溪河穿越点在雷页1平台的西侧约2.2km处的大湾村，位于全线的最低点。穿越处河流水面宽度约35m，西侧紧靠河边是一宽约4m道路，再向西有一长约150m、向西北方向的沟谷，州河东侧沿河岸边有一长约80m，宽约26m的缓坡；穿越处南侧约220m是一长度约50m的可过车的中型桥梁，该河流下游设有水电站。根据现场地形和外环境，以州河支流的西侧谷地作为定向钻入土点，东侧缓坡作为回拖场地。为便于回拖管线布置，定向钻轨迹为斜穿河流，交叉角度约45°。定向钻入土端角度20°，出土端角度12°，曲率半径1200D，长度约270m。东侧出土点回拖场地较短，约100m左右。穿越位置见下图。</w:t>
      </w:r>
    </w:p>
    <w:p>
      <w:pPr>
        <w:pStyle w:val="6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p>
      <w:pPr>
        <w:pStyle w:val="14"/>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管线</w:t>
      </w:r>
      <w:r>
        <w:rPr>
          <w:color w:val="000000" w:themeColor="text1"/>
          <w:highlight w:val="none"/>
          <w14:textFill>
            <w14:solidFill>
              <w14:schemeClr w14:val="tx1"/>
            </w14:solidFill>
          </w14:textFill>
        </w:rPr>
        <w:t>穿越</w:t>
      </w:r>
      <w:r>
        <w:rPr>
          <w:rFonts w:hint="eastAsia"/>
          <w:color w:val="000000" w:themeColor="text1"/>
          <w:highlight w:val="none"/>
          <w14:textFill>
            <w14:solidFill>
              <w14:schemeClr w14:val="tx1"/>
            </w14:solidFill>
          </w14:textFill>
        </w:rPr>
        <w:t>三溪河位置示意图</w:t>
      </w:r>
    </w:p>
    <w:p>
      <w:pPr>
        <w:adjustRightInd/>
        <w:spacing w:before="120" w:beforeLines="5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周边外环境及地形见下图</w:t>
      </w:r>
      <w:r>
        <w:rPr>
          <w:rFonts w:hint="eastAsia"/>
          <w:color w:val="000000" w:themeColor="text1"/>
          <w:highlight w:val="none"/>
          <w:lang w:val="en-US" w:eastAsia="zh-CN"/>
          <w14:textFill>
            <w14:solidFill>
              <w14:schemeClr w14:val="tx1"/>
            </w14:solidFill>
          </w14:textFill>
        </w:rPr>
        <w:t>3.3-13</w:t>
      </w:r>
      <w:r>
        <w:rPr>
          <w:rFonts w:hint="eastAsia"/>
          <w:color w:val="000000" w:themeColor="text1"/>
          <w:highlight w:val="none"/>
          <w14:textFill>
            <w14:solidFill>
              <w14:schemeClr w14:val="tx1"/>
            </w14:solidFill>
          </w14:textFill>
        </w:rPr>
        <w:t>。</w:t>
      </w:r>
    </w:p>
    <w:p>
      <w:pPr>
        <w:keepNext/>
        <w:adjustRightInd/>
        <w:spacing w:before="120" w:beforeLines="50"/>
        <w:ind w:firstLine="480"/>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p>
      <w:pPr>
        <w:pStyle w:val="14"/>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管线穿越三溪河位置</w:t>
      </w:r>
    </w:p>
    <w:p>
      <w:pPr>
        <w:adjustRightInd/>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C.定向钻工艺描述：</w:t>
      </w:r>
    </w:p>
    <w:p>
      <w:pPr>
        <w:adjustRightInd/>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本次对穿越州河支流采取定向钻穿越，穿越1次，定向钻穿越段长度为2</w:t>
      </w:r>
      <w:r>
        <w:rPr>
          <w:color w:val="000000" w:themeColor="text1"/>
          <w:highlight w:val="none"/>
          <w14:textFill>
            <w14:solidFill>
              <w14:schemeClr w14:val="tx1"/>
            </w14:solidFill>
          </w14:textFill>
        </w:rPr>
        <w:t>7</w:t>
      </w:r>
      <w:r>
        <w:rPr>
          <w:rFonts w:hint="eastAsia"/>
          <w:color w:val="000000" w:themeColor="text1"/>
          <w:highlight w:val="none"/>
          <w14:textFill>
            <w14:solidFill>
              <w14:schemeClr w14:val="tx1"/>
            </w14:solidFill>
          </w14:textFill>
        </w:rPr>
        <w:t>0m，定向钻作为非开挖的一种施工工法，已在天然气管道穿越中得到了广泛应用。具体定向钻施工过程与前文G65高速穿越一致。</w:t>
      </w:r>
    </w:p>
    <w:p>
      <w:pPr>
        <w:adjustRightInd/>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⑤穿越沟渠</w:t>
      </w:r>
    </w:p>
    <w:p>
      <w:pPr>
        <w:adjustRightInd/>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根据设计资料，本项目集输管道穿</w:t>
      </w:r>
      <w:r>
        <w:rPr>
          <w:color w:val="000000" w:themeColor="text1"/>
          <w:highlight w:val="none"/>
          <w14:textFill>
            <w14:solidFill>
              <w14:schemeClr w14:val="tx1"/>
            </w14:solidFill>
          </w14:textFill>
        </w:rPr>
        <w:t>越</w:t>
      </w:r>
      <w:r>
        <w:rPr>
          <w:rFonts w:hint="eastAsia"/>
          <w:color w:val="000000" w:themeColor="text1"/>
          <w:highlight w:val="none"/>
          <w14:textFill>
            <w14:solidFill>
              <w14:schemeClr w14:val="tx1"/>
            </w14:solidFill>
          </w14:textFill>
        </w:rPr>
        <w:t>小型</w:t>
      </w:r>
      <w:r>
        <w:rPr>
          <w:color w:val="000000" w:themeColor="text1"/>
          <w:highlight w:val="none"/>
          <w14:textFill>
            <w14:solidFill>
              <w14:schemeClr w14:val="tx1"/>
            </w14:solidFill>
          </w14:textFill>
        </w:rPr>
        <w:t>沟渠13次，</w:t>
      </w:r>
      <w:r>
        <w:rPr>
          <w:rFonts w:hint="eastAsia"/>
          <w:color w:val="000000" w:themeColor="text1"/>
          <w:highlight w:val="none"/>
          <w14:textFill>
            <w14:solidFill>
              <w14:schemeClr w14:val="tx1"/>
            </w14:solidFill>
          </w14:textFill>
        </w:rPr>
        <w:t>穿越沟渠宽度在</w:t>
      </w:r>
      <w:r>
        <w:rPr>
          <w:color w:val="000000" w:themeColor="text1"/>
          <w:highlight w:val="none"/>
          <w14:textFill>
            <w14:solidFill>
              <w14:schemeClr w14:val="tx1"/>
            </w14:solidFill>
          </w14:textFill>
        </w:rPr>
        <w:t>2</w:t>
      </w:r>
      <w:r>
        <w:rPr>
          <w:rFonts w:hint="eastAsia"/>
          <w:color w:val="000000" w:themeColor="text1"/>
          <w:highlight w:val="none"/>
          <w14:textFill>
            <w14:solidFill>
              <w14:schemeClr w14:val="tx1"/>
            </w14:solidFill>
          </w14:textFill>
        </w:rPr>
        <w:t>m～</w:t>
      </w:r>
      <w:r>
        <w:rPr>
          <w:color w:val="000000" w:themeColor="text1"/>
          <w:highlight w:val="none"/>
          <w14:textFill>
            <w14:solidFill>
              <w14:schemeClr w14:val="tx1"/>
            </w14:solidFill>
          </w14:textFill>
        </w:rPr>
        <w:t>10</w:t>
      </w:r>
      <w:r>
        <w:rPr>
          <w:rFonts w:hint="eastAsia"/>
          <w:color w:val="000000" w:themeColor="text1"/>
          <w:highlight w:val="none"/>
          <w14:textFill>
            <w14:solidFill>
              <w14:schemeClr w14:val="tx1"/>
            </w14:solidFill>
          </w14:textFill>
        </w:rPr>
        <w:t>m不等，</w:t>
      </w:r>
      <w:r>
        <w:rPr>
          <w:color w:val="000000" w:themeColor="text1"/>
          <w:highlight w:val="none"/>
          <w14:textFill>
            <w14:solidFill>
              <w14:schemeClr w14:val="tx1"/>
            </w14:solidFill>
          </w14:textFill>
        </w:rPr>
        <w:t>穿越长度共计</w:t>
      </w:r>
      <w:r>
        <w:rPr>
          <w:rFonts w:hint="eastAsia"/>
          <w:color w:val="000000" w:themeColor="text1"/>
          <w:highlight w:val="none"/>
          <w14:textFill>
            <w14:solidFill>
              <w14:schemeClr w14:val="tx1"/>
            </w14:solidFill>
          </w14:textFill>
        </w:rPr>
        <w:t>约9</w:t>
      </w:r>
      <w:r>
        <w:rPr>
          <w:color w:val="000000" w:themeColor="text1"/>
          <w:highlight w:val="none"/>
          <w14:textFill>
            <w14:solidFill>
              <w14:schemeClr w14:val="tx1"/>
            </w14:solidFill>
          </w14:textFill>
        </w:rPr>
        <w:t>0m。管道穿越沟渠时管道埋深为稳定层下1.0m（管顶距稳定层表面），或基岩下0.5m，管段下沟前应先填200mm厚的砂类土或细土垫层。</w:t>
      </w:r>
    </w:p>
    <w:p>
      <w:pPr>
        <w:adjustRightInd/>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管线穿越沟渠一般为</w:t>
      </w:r>
      <w:r>
        <w:rPr>
          <w:rFonts w:hint="eastAsia"/>
          <w:color w:val="000000" w:themeColor="text1"/>
          <w:highlight w:val="none"/>
          <w14:textFill>
            <w14:solidFill>
              <w14:schemeClr w14:val="tx1"/>
            </w14:solidFill>
          </w14:textFill>
        </w:rPr>
        <w:t>大开挖</w:t>
      </w:r>
      <w:r>
        <w:rPr>
          <w:color w:val="000000" w:themeColor="text1"/>
          <w:highlight w:val="none"/>
          <w14:textFill>
            <w14:solidFill>
              <w14:schemeClr w14:val="tx1"/>
            </w14:solidFill>
          </w14:textFill>
        </w:rPr>
        <w:t>方式，根据河流的地形、水文和地质条件、施工场地和设备，</w:t>
      </w:r>
      <w:r>
        <w:rPr>
          <w:rFonts w:hint="eastAsia"/>
          <w:color w:val="000000" w:themeColor="text1"/>
          <w:highlight w:val="none"/>
          <w14:textFill>
            <w14:solidFill>
              <w14:schemeClr w14:val="tx1"/>
            </w14:solidFill>
          </w14:textFill>
        </w:rPr>
        <w:t>采用</w:t>
      </w:r>
      <w:r>
        <w:rPr>
          <w:color w:val="000000" w:themeColor="text1"/>
          <w:highlight w:val="none"/>
          <w14:textFill>
            <w14:solidFill>
              <w14:schemeClr w14:val="tx1"/>
            </w14:solidFill>
          </w14:textFill>
        </w:rPr>
        <w:t>大开挖的施工方</w:t>
      </w:r>
      <w:r>
        <w:rPr>
          <w:rFonts w:hint="eastAsia"/>
          <w:color w:val="000000" w:themeColor="text1"/>
          <w:highlight w:val="none"/>
          <w14:textFill>
            <w14:solidFill>
              <w14:schemeClr w14:val="tx1"/>
            </w14:solidFill>
          </w14:textFill>
        </w:rPr>
        <w:t>式，根据施工计划，穿越工程施工时段尽量选择当地沟渠枯水期</w:t>
      </w:r>
      <w:r>
        <w:rPr>
          <w:rFonts w:hint="eastAsia"/>
          <w:color w:val="000000" w:themeColor="text1"/>
          <w:highlight w:val="none"/>
          <w:lang w:val="en-US" w:eastAsia="zh-CN"/>
          <w14:textFill>
            <w14:solidFill>
              <w14:schemeClr w14:val="tx1"/>
            </w14:solidFill>
          </w14:textFill>
        </w:rPr>
        <w:t>或者沟渠水量较少时</w:t>
      </w:r>
      <w:r>
        <w:rPr>
          <w:rFonts w:hint="eastAsia"/>
          <w:color w:val="000000" w:themeColor="text1"/>
          <w:highlight w:val="none"/>
          <w14:textFill>
            <w14:solidFill>
              <w14:schemeClr w14:val="tx1"/>
            </w14:solidFill>
          </w14:textFill>
        </w:rPr>
        <w:t>，在做好岸坡护岸稳管措施后，可有效降低施工过程对沟渠地表水的扰动。为防止管道在下沟后上浮，管道在下沟后均应及时进行配重，配重方式根据现场实际情况采用现浇混凝土或装配式加重块方式进行稳管。对基岩河床，采取现浇混凝土方式稳管；对于砂、卵、砾石河床，可采用混凝土压重块稳管；对于土质河床，可采用编织袋稳管。穿越段两岸做好护坡、护岸措施，与自然地貌衔接好，护岸应置于稳定的地基上。</w:t>
      </w:r>
    </w:p>
    <w:p>
      <w:pPr>
        <w:pStyle w:val="211"/>
        <w:adjustRightInd/>
        <w:spacing w:line="360" w:lineRule="auto"/>
        <w:ind w:firstLine="480" w:firstLineChars="200"/>
        <w:jc w:val="both"/>
        <w:rPr>
          <w:rFonts w:ascii="Times New Roman" w:hAnsi="Times New Roman" w:cs="Times New Roman"/>
          <w:color w:val="000000" w:themeColor="text1"/>
          <w:highlight w:val="none"/>
          <w14:textFill>
            <w14:solidFill>
              <w14:schemeClr w14:val="tx1"/>
            </w14:solidFill>
          </w14:textFill>
        </w:rPr>
      </w:pPr>
      <w:r>
        <w:rPr>
          <w:rFonts w:hint="eastAsia" w:ascii="Times New Roman" w:hAnsi="Times New Roman" w:cs="Times New Roman"/>
          <w:color w:val="000000" w:themeColor="text1"/>
          <w:highlight w:val="none"/>
          <w14:textFill>
            <w14:solidFill>
              <w14:schemeClr w14:val="tx1"/>
            </w14:solidFill>
          </w14:textFill>
        </w:rPr>
        <w:t>⑥</w:t>
      </w:r>
      <w:r>
        <w:rPr>
          <w:rFonts w:ascii="Times New Roman" w:hAnsi="Times New Roman" w:cs="Times New Roman"/>
          <w:color w:val="000000" w:themeColor="text1"/>
          <w:highlight w:val="none"/>
          <w14:textFill>
            <w14:solidFill>
              <w14:schemeClr w14:val="tx1"/>
            </w14:solidFill>
          </w14:textFill>
        </w:rPr>
        <w:t>穿越林地施工</w:t>
      </w:r>
      <w:r>
        <w:rPr>
          <w:rFonts w:hint="eastAsia" w:ascii="Times New Roman" w:hAnsi="Times New Roman" w:cs="Times New Roman"/>
          <w:color w:val="000000" w:themeColor="text1"/>
          <w:highlight w:val="none"/>
          <w14:textFill>
            <w14:solidFill>
              <w14:schemeClr w14:val="tx1"/>
            </w14:solidFill>
          </w14:textFill>
        </w:rPr>
        <w:t>工艺要求</w:t>
      </w:r>
    </w:p>
    <w:p>
      <w:pPr>
        <w:pStyle w:val="211"/>
        <w:adjustRightInd/>
        <w:spacing w:line="360" w:lineRule="auto"/>
        <w:ind w:firstLine="480" w:firstLineChars="200"/>
        <w:jc w:val="both"/>
        <w:rPr>
          <w:rFonts w:ascii="Times New Roman" w:hAnsi="Times New Roman" w:cs="Times New Roman"/>
          <w:color w:val="000000" w:themeColor="text1"/>
          <w:highlight w:val="none"/>
          <w14:textFill>
            <w14:solidFill>
              <w14:schemeClr w14:val="tx1"/>
            </w14:solidFill>
          </w14:textFill>
        </w:rPr>
      </w:pPr>
      <w:r>
        <w:rPr>
          <w:rFonts w:hint="eastAsia" w:ascii="Times New Roman" w:hAnsi="Times New Roman" w:cs="Times New Roman"/>
          <w:color w:val="000000" w:themeColor="text1"/>
          <w:highlight w:val="none"/>
          <w14:textFill>
            <w14:solidFill>
              <w14:schemeClr w14:val="tx1"/>
            </w14:solidFill>
          </w14:textFill>
        </w:rPr>
        <w:t>1）</w:t>
      </w:r>
      <w:r>
        <w:rPr>
          <w:rFonts w:ascii="Times New Roman" w:hAnsi="Times New Roman" w:cs="Times New Roman"/>
          <w:color w:val="000000" w:themeColor="text1"/>
          <w:highlight w:val="none"/>
          <w14:textFill>
            <w14:solidFill>
              <w14:schemeClr w14:val="tx1"/>
            </w14:solidFill>
          </w14:textFill>
        </w:rPr>
        <w:t>穿越林区施工时，首先应减小施工作业带宽度，减少对林区的破坏；</w:t>
      </w:r>
    </w:p>
    <w:p>
      <w:pPr>
        <w:pStyle w:val="211"/>
        <w:adjustRightInd/>
        <w:spacing w:line="360" w:lineRule="auto"/>
        <w:ind w:firstLine="480" w:firstLineChars="200"/>
        <w:jc w:val="both"/>
        <w:rPr>
          <w:rFonts w:ascii="Times New Roman" w:hAnsi="Times New Roman" w:cs="Times New Roman"/>
          <w:color w:val="000000" w:themeColor="text1"/>
          <w:highlight w:val="none"/>
          <w14:textFill>
            <w14:solidFill>
              <w14:schemeClr w14:val="tx1"/>
            </w14:solidFill>
          </w14:textFill>
        </w:rPr>
      </w:pPr>
      <w:r>
        <w:rPr>
          <w:rFonts w:hint="eastAsia" w:ascii="Times New Roman" w:hAnsi="Times New Roman" w:cs="Times New Roman"/>
          <w:color w:val="000000" w:themeColor="text1"/>
          <w:highlight w:val="none"/>
          <w14:textFill>
            <w14:solidFill>
              <w14:schemeClr w14:val="tx1"/>
            </w14:solidFill>
          </w14:textFill>
        </w:rPr>
        <w:t>2）</w:t>
      </w:r>
      <w:r>
        <w:rPr>
          <w:rFonts w:ascii="Times New Roman" w:hAnsi="Times New Roman" w:cs="Times New Roman"/>
          <w:color w:val="000000" w:themeColor="text1"/>
          <w:highlight w:val="none"/>
          <w14:textFill>
            <w14:solidFill>
              <w14:schemeClr w14:val="tx1"/>
            </w14:solidFill>
          </w14:textFill>
        </w:rPr>
        <w:t>对于穿越林地的管道施工，应预先编制施工安全预案，确保林地内的施工安全。</w:t>
      </w:r>
    </w:p>
    <w:p>
      <w:pPr>
        <w:pStyle w:val="211"/>
        <w:adjustRightInd/>
        <w:spacing w:line="360" w:lineRule="auto"/>
        <w:ind w:firstLine="480" w:firstLineChars="200"/>
        <w:jc w:val="both"/>
        <w:rPr>
          <w:rFonts w:ascii="Times New Roman" w:hAnsi="Times New Roman" w:cs="Times New Roman"/>
          <w:color w:val="000000" w:themeColor="text1"/>
          <w:highlight w:val="none"/>
          <w14:textFill>
            <w14:solidFill>
              <w14:schemeClr w14:val="tx1"/>
            </w14:solidFill>
          </w14:textFill>
        </w:rPr>
      </w:pPr>
      <w:r>
        <w:rPr>
          <w:rFonts w:hint="eastAsia" w:ascii="Times New Roman" w:hAnsi="Times New Roman" w:cs="Times New Roman"/>
          <w:color w:val="000000" w:themeColor="text1"/>
          <w:highlight w:val="none"/>
          <w14:textFill>
            <w14:solidFill>
              <w14:schemeClr w14:val="tx1"/>
            </w14:solidFill>
          </w14:textFill>
        </w:rPr>
        <w:t>3）</w:t>
      </w:r>
      <w:r>
        <w:rPr>
          <w:rFonts w:ascii="Times New Roman" w:hAnsi="Times New Roman" w:cs="Times New Roman"/>
          <w:color w:val="000000" w:themeColor="text1"/>
          <w:highlight w:val="none"/>
          <w14:textFill>
            <w14:solidFill>
              <w14:schemeClr w14:val="tx1"/>
            </w14:solidFill>
          </w14:textFill>
        </w:rPr>
        <w:t>管沟开挖严禁采用爆破方式进行</w:t>
      </w:r>
      <w:r>
        <w:rPr>
          <w:rFonts w:hint="eastAsia" w:ascii="Times New Roman" w:hAnsi="Times New Roman" w:cs="Times New Roman"/>
          <w:color w:val="000000" w:themeColor="text1"/>
          <w:highlight w:val="none"/>
          <w14:textFill>
            <w14:solidFill>
              <w14:schemeClr w14:val="tx1"/>
            </w14:solidFill>
          </w14:textFill>
        </w:rPr>
        <w:t>，在靠近特殊林地段施工时，采用人工开挖方式，准确把握施工范围，避免占用特殊林地</w:t>
      </w:r>
      <w:r>
        <w:rPr>
          <w:rFonts w:ascii="Times New Roman" w:hAnsi="Times New Roman" w:cs="Times New Roman"/>
          <w:color w:val="000000" w:themeColor="text1"/>
          <w:highlight w:val="none"/>
          <w14:textFill>
            <w14:solidFill>
              <w14:schemeClr w14:val="tx1"/>
            </w14:solidFill>
          </w14:textFill>
        </w:rPr>
        <w:t>；管沟成型组焊前，应清除管沟附近的树枝、树叶，组焊采用沟下焊方式；</w:t>
      </w:r>
    </w:p>
    <w:p>
      <w:pPr>
        <w:pStyle w:val="211"/>
        <w:adjustRightInd/>
        <w:spacing w:line="360" w:lineRule="auto"/>
        <w:ind w:firstLine="480" w:firstLineChars="200"/>
        <w:jc w:val="both"/>
        <w:rPr>
          <w:rFonts w:ascii="Times New Roman" w:hAnsi="Times New Roman" w:cs="Times New Roman"/>
          <w:color w:val="000000" w:themeColor="text1"/>
          <w:highlight w:val="none"/>
          <w14:textFill>
            <w14:solidFill>
              <w14:schemeClr w14:val="tx1"/>
            </w14:solidFill>
          </w14:textFill>
        </w:rPr>
      </w:pPr>
      <w:r>
        <w:rPr>
          <w:rFonts w:hint="eastAsia" w:ascii="Times New Roman" w:hAnsi="Times New Roman" w:cs="Times New Roman"/>
          <w:color w:val="000000" w:themeColor="text1"/>
          <w:highlight w:val="none"/>
          <w14:textFill>
            <w14:solidFill>
              <w14:schemeClr w14:val="tx1"/>
            </w14:solidFill>
          </w14:textFill>
        </w:rPr>
        <w:t>4）</w:t>
      </w:r>
      <w:r>
        <w:rPr>
          <w:rFonts w:ascii="Times New Roman" w:hAnsi="Times New Roman" w:cs="Times New Roman"/>
          <w:color w:val="000000" w:themeColor="text1"/>
          <w:highlight w:val="none"/>
          <w14:textFill>
            <w14:solidFill>
              <w14:schemeClr w14:val="tx1"/>
            </w14:solidFill>
          </w14:textFill>
        </w:rPr>
        <w:t>焊接过程中，应对焊接区一定范围设置临时的隔阻材料（如钢板等），防止电弧和火花进入林区；严禁在林边或林内吸烟、引弧；对于材料中的易燃物质，应设置于空旷的场地且远离焊接区；</w:t>
      </w:r>
    </w:p>
    <w:p>
      <w:pPr>
        <w:ind w:firstLine="480"/>
        <w:rPr>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5）</w:t>
      </w:r>
      <w:r>
        <w:rPr>
          <w:rFonts w:cs="Times New Roman"/>
          <w:color w:val="000000" w:themeColor="text1"/>
          <w:highlight w:val="none"/>
          <w14:textFill>
            <w14:solidFill>
              <w14:schemeClr w14:val="tx1"/>
            </w14:solidFill>
          </w14:textFill>
        </w:rPr>
        <w:t>施工中应配备一定数量的移动灭火器</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⑦管线交叉段</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管道与原有埋地输气管、通信光缆等交叉时，应从原有管道下方通过。对于与埋地管道交叉穿越， 垂直净距不小于0.3m；对于埋地光（电）缆穿越，垂直净距不小于0.5m。施工时还需对穿越的电（光）缆和管道采取妥善的保护措施。</w:t>
      </w:r>
    </w:p>
    <w:p>
      <w:pPr>
        <w:ind w:firstLine="482"/>
        <w:rPr>
          <w:rFonts w:cs="Times New Roman"/>
          <w:b/>
          <w:color w:val="000000" w:themeColor="text1"/>
          <w:szCs w:val="24"/>
          <w:highlight w:val="none"/>
          <w14:textFill>
            <w14:solidFill>
              <w14:schemeClr w14:val="tx1"/>
            </w14:solidFill>
          </w14:textFill>
        </w:rPr>
      </w:pPr>
      <w:r>
        <w:rPr>
          <w:rFonts w:hint="eastAsia" w:cs="Times New Roman"/>
          <w:b/>
          <w:color w:val="000000" w:themeColor="text1"/>
          <w:szCs w:val="24"/>
          <w:highlight w:val="none"/>
          <w14:textFill>
            <w14:solidFill>
              <w14:schemeClr w14:val="tx1"/>
            </w14:solidFill>
          </w14:textFill>
        </w:rPr>
        <w:t>清管、探伤、试压合格及氮气置换完成后进行集输工程，本项目施工期间不设施工营地。</w:t>
      </w:r>
      <w:bookmarkStart w:id="156" w:name="_Hlk161406326"/>
      <w:r>
        <w:rPr>
          <w:rFonts w:hint="eastAsia" w:cs="Times New Roman"/>
          <w:b/>
          <w:color w:val="000000" w:themeColor="text1"/>
          <w:szCs w:val="24"/>
          <w:highlight w:val="none"/>
          <w14:textFill>
            <w14:solidFill>
              <w14:schemeClr w14:val="tx1"/>
            </w14:solidFill>
          </w14:textFill>
        </w:rPr>
        <w:t>其中采用的X射线探伤不属于本次评价内容，按照相关要求另行完善环保手续。</w:t>
      </w:r>
      <w:bookmarkEnd w:id="156"/>
    </w:p>
    <w:p>
      <w:pPr>
        <w:pStyle w:val="5"/>
        <w:spacing w:before="120"/>
        <w:ind w:firstLine="480"/>
        <w:rPr>
          <w:b/>
          <w:color w:val="000000" w:themeColor="text1"/>
          <w:highlight w:val="none"/>
          <w:lang w:eastAsia="zh-CN"/>
          <w14:textFill>
            <w14:solidFill>
              <w14:schemeClr w14:val="tx1"/>
            </w14:solidFill>
          </w14:textFill>
        </w:rPr>
      </w:pPr>
      <w:bookmarkStart w:id="157" w:name="3.3.2营运期污染源"/>
      <w:bookmarkEnd w:id="157"/>
      <w:bookmarkStart w:id="158" w:name="_Toc120173109"/>
      <w:r>
        <w:rPr>
          <w:color w:val="000000" w:themeColor="text1"/>
          <w:highlight w:val="none"/>
          <w:lang w:eastAsia="zh-CN"/>
          <w14:textFill>
            <w14:solidFill>
              <w14:schemeClr w14:val="tx1"/>
            </w14:solidFill>
          </w14:textFill>
        </w:rPr>
        <w:t>试采期</w:t>
      </w:r>
      <w:bookmarkEnd w:id="158"/>
      <w:r>
        <w:rPr>
          <w:rFonts w:hint="eastAsia"/>
          <w:color w:val="000000" w:themeColor="text1"/>
          <w:highlight w:val="none"/>
          <w:lang w:eastAsia="zh-CN"/>
          <w14:textFill>
            <w14:solidFill>
              <w14:schemeClr w14:val="tx1"/>
            </w14:solidFill>
          </w14:textFill>
        </w:rPr>
        <w:t>试采站工艺流程及产污环节</w:t>
      </w:r>
    </w:p>
    <w:p>
      <w:pPr>
        <w:widowControl/>
        <w:ind w:firstLine="48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本工程新建试采场站一座，</w:t>
      </w:r>
      <w:r>
        <w:rPr>
          <w:rFonts w:hint="eastAsia" w:cs="Arial"/>
          <w:color w:val="000000" w:themeColor="text1"/>
          <w:szCs w:val="24"/>
          <w:highlight w:val="none"/>
          <w14:textFill>
            <w14:solidFill>
              <w14:schemeClr w14:val="tx1"/>
            </w14:solidFill>
          </w14:textFill>
        </w:rPr>
        <w:t>站场内</w:t>
      </w:r>
      <w:r>
        <w:rPr>
          <w:rFonts w:hint="eastAsia"/>
          <w:color w:val="000000" w:themeColor="text1"/>
          <w:highlight w:val="none"/>
          <w14:textFill>
            <w14:solidFill>
              <w14:schemeClr w14:val="tx1"/>
            </w14:solidFill>
          </w14:textFill>
        </w:rPr>
        <w:t>包括</w:t>
      </w:r>
      <w:r>
        <w:rPr>
          <w:rFonts w:hint="eastAsia"/>
          <w:color w:val="000000" w:themeColor="text1"/>
          <w:szCs w:val="21"/>
          <w:highlight w:val="none"/>
          <w14:textFill>
            <w14:solidFill>
              <w14:schemeClr w14:val="tx1"/>
            </w14:solidFill>
          </w14:textFill>
        </w:rPr>
        <w:t>设置工艺装置区、污水罐区、辅助生产区和放空区及各类阀门</w:t>
      </w:r>
      <w:r>
        <w:rPr>
          <w:rFonts w:hint="eastAsia"/>
          <w:bCs/>
          <w:color w:val="000000" w:themeColor="text1"/>
          <w:szCs w:val="24"/>
          <w:highlight w:val="none"/>
          <w14:textFill>
            <w14:solidFill>
              <w14:schemeClr w14:val="tx1"/>
            </w14:solidFill>
          </w14:textFill>
        </w:rPr>
        <w:t>，不新增占地。</w:t>
      </w:r>
    </w:p>
    <w:p>
      <w:pPr>
        <w:ind w:firstLine="48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雷页1井试采原料气经井口针阀一级节流至</w:t>
      </w:r>
      <w:r>
        <w:rPr>
          <w:color w:val="000000" w:themeColor="text1"/>
          <w:szCs w:val="21"/>
          <w:highlight w:val="none"/>
          <w14:textFill>
            <w14:solidFill>
              <w14:schemeClr w14:val="tx1"/>
            </w14:solidFill>
          </w14:textFill>
        </w:rPr>
        <w:t>15</w:t>
      </w:r>
      <w:r>
        <w:rPr>
          <w:rFonts w:hint="eastAsia"/>
          <w:color w:val="000000" w:themeColor="text1"/>
          <w:szCs w:val="21"/>
          <w:highlight w:val="none"/>
          <w14:textFill>
            <w14:solidFill>
              <w14:schemeClr w14:val="tx1"/>
            </w14:solidFill>
          </w14:textFill>
        </w:rPr>
        <w:t>.0MPa以下，通过水套炉加热至</w:t>
      </w:r>
      <w:r>
        <w:rPr>
          <w:color w:val="000000" w:themeColor="text1"/>
          <w:szCs w:val="21"/>
          <w:highlight w:val="none"/>
          <w14:textFill>
            <w14:solidFill>
              <w14:schemeClr w14:val="tx1"/>
            </w14:solidFill>
          </w14:textFill>
        </w:rPr>
        <w:t>36.5</w:t>
      </w:r>
      <w:r>
        <w:rPr>
          <w:rFonts w:hint="eastAsia"/>
          <w:color w:val="000000" w:themeColor="text1"/>
          <w:szCs w:val="21"/>
          <w:highlight w:val="none"/>
          <w14:textFill>
            <w14:solidFill>
              <w14:schemeClr w14:val="tx1"/>
            </w14:solidFill>
          </w14:textFill>
        </w:rPr>
        <w:t>℃，二级节流至</w:t>
      </w:r>
      <w:r>
        <w:rPr>
          <w:color w:val="000000" w:themeColor="text1"/>
          <w:szCs w:val="21"/>
          <w:highlight w:val="none"/>
          <w14:textFill>
            <w14:solidFill>
              <w14:schemeClr w14:val="tx1"/>
            </w14:solidFill>
          </w14:textFill>
        </w:rPr>
        <w:t>5.7</w:t>
      </w:r>
      <w:r>
        <w:rPr>
          <w:rFonts w:hint="eastAsia"/>
          <w:color w:val="000000" w:themeColor="text1"/>
          <w:szCs w:val="21"/>
          <w:highlight w:val="none"/>
          <w14:textFill>
            <w14:solidFill>
              <w14:schemeClr w14:val="tx1"/>
            </w14:solidFill>
          </w14:textFill>
        </w:rPr>
        <w:t>MPa，采用重力式分离器进行分离对气水进行分离。分离出的天然气和明1井台来气再经分子筛脱水装置进一步脱水，脱水后经新建的雷页1井～魏兴计量站集输管线混输至魏兴计量站；分离气田水暂存于污水罐，定期由密闭罐车拉运至赵家坝污水</w:t>
      </w:r>
      <w:r>
        <w:rPr>
          <w:rFonts w:hint="eastAsia"/>
          <w:color w:val="000000" w:themeColor="text1"/>
          <w:szCs w:val="21"/>
          <w:highlight w:val="none"/>
          <w:lang w:eastAsia="zh-CN"/>
          <w14:textFill>
            <w14:solidFill>
              <w14:schemeClr w14:val="tx1"/>
            </w14:solidFill>
          </w14:textFill>
        </w:rPr>
        <w:t>处理站</w:t>
      </w:r>
      <w:r>
        <w:rPr>
          <w:rFonts w:hint="eastAsia"/>
          <w:color w:val="000000" w:themeColor="text1"/>
          <w:szCs w:val="21"/>
          <w:highlight w:val="none"/>
          <w14:textFill>
            <w14:solidFill>
              <w14:schemeClr w14:val="tx1"/>
            </w14:solidFill>
          </w14:textFill>
        </w:rPr>
        <w:t>达标后管输至普光3井回注站回注，不外排。</w:t>
      </w:r>
    </w:p>
    <w:p>
      <w:pPr>
        <w:ind w:firstLine="48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雷页1井试采站内装置及站内管道事故及检修放空废气经本项目新建放空立管高空燃烧后排放。</w:t>
      </w:r>
    </w:p>
    <w:p>
      <w:pPr>
        <w:ind w:firstLine="480"/>
        <w:rPr>
          <w:rFonts w:cs="Times New Roman"/>
          <w:bCs/>
          <w:color w:val="000000" w:themeColor="text1"/>
          <w:szCs w:val="24"/>
          <w:highlight w:val="none"/>
          <w14:textFill>
            <w14:solidFill>
              <w14:schemeClr w14:val="tx1"/>
            </w14:solidFill>
          </w14:textFill>
        </w:rPr>
      </w:pPr>
      <w:r>
        <w:rPr>
          <w:color w:val="000000" w:themeColor="text1"/>
          <w:szCs w:val="21"/>
          <w:highlight w:val="none"/>
          <w14:textFill>
            <w14:solidFill>
              <w14:schemeClr w14:val="tx1"/>
            </w14:solidFill>
          </w14:textFill>
        </w:rPr>
        <w:t>工艺流程</w:t>
      </w:r>
      <w:r>
        <w:rPr>
          <w:rFonts w:hint="eastAsia"/>
          <w:color w:val="000000" w:themeColor="text1"/>
          <w:szCs w:val="21"/>
          <w:highlight w:val="none"/>
          <w14:textFill>
            <w14:solidFill>
              <w14:schemeClr w14:val="tx1"/>
            </w14:solidFill>
          </w14:textFill>
        </w:rPr>
        <w:t>及产污环节见</w:t>
      </w:r>
      <w:r>
        <w:rPr>
          <w:color w:val="000000" w:themeColor="text1"/>
          <w:szCs w:val="21"/>
          <w:highlight w:val="none"/>
          <w14:textFill>
            <w14:solidFill>
              <w14:schemeClr w14:val="tx1"/>
            </w14:solidFill>
          </w14:textFill>
        </w:rPr>
        <w:t>图</w:t>
      </w:r>
      <w:r>
        <w:rPr>
          <w:rFonts w:hint="eastAsia"/>
          <w:color w:val="000000" w:themeColor="text1"/>
          <w:szCs w:val="21"/>
          <w:highlight w:val="none"/>
          <w14:textFill>
            <w14:solidFill>
              <w14:schemeClr w14:val="tx1"/>
            </w14:solidFill>
          </w14:textFill>
        </w:rPr>
        <w:t>3.2-1</w:t>
      </w:r>
      <w:r>
        <w:rPr>
          <w:rFonts w:cs="Times New Roman"/>
          <w:bCs/>
          <w:color w:val="000000" w:themeColor="text1"/>
          <w:szCs w:val="24"/>
          <w:highlight w:val="none"/>
          <w14:textFill>
            <w14:solidFill>
              <w14:schemeClr w14:val="tx1"/>
            </w14:solidFill>
          </w14:textFill>
        </w:rPr>
        <w:t>。</w:t>
      </w:r>
    </w:p>
    <w:p>
      <w:pPr>
        <w:pStyle w:val="60"/>
        <w:keepNex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p>
      <w:pPr>
        <w:pStyle w:val="196"/>
        <w:rPr>
          <w:color w:val="000000" w:themeColor="text1"/>
          <w:highlight w:val="none"/>
          <w14:textFill>
            <w14:solidFill>
              <w14:schemeClr w14:val="tx1"/>
            </w14:solidFill>
          </w14:textFill>
        </w:rPr>
      </w:pPr>
      <w:r>
        <w:rPr>
          <w:rStyle w:val="77"/>
          <w:rFonts w:ascii="Times New Roman"/>
          <w:color w:val="000000" w:themeColor="text1"/>
          <w:highlight w:val="none"/>
          <w14:textFill>
            <w14:solidFill>
              <w14:schemeClr w14:val="tx1"/>
            </w14:solidFill>
          </w14:textFill>
        </w:rPr>
        <w:t>图</w:t>
      </w:r>
      <w:r>
        <w:rPr>
          <w:rStyle w:val="77"/>
          <w:rFonts w:ascii="Times New Roman"/>
          <w:color w:val="000000" w:themeColor="text1"/>
          <w:highlight w:val="none"/>
          <w14:textFill>
            <w14:solidFill>
              <w14:schemeClr w14:val="tx1"/>
            </w14:solidFill>
          </w14:textFill>
        </w:rPr>
        <w:fldChar w:fldCharType="begin"/>
      </w:r>
      <w:r>
        <w:rPr>
          <w:rStyle w:val="77"/>
          <w:rFonts w:ascii="Times New Roman"/>
          <w:color w:val="000000" w:themeColor="text1"/>
          <w:highlight w:val="none"/>
          <w14:textFill>
            <w14:solidFill>
              <w14:schemeClr w14:val="tx1"/>
            </w14:solidFill>
          </w14:textFill>
        </w:rPr>
        <w:instrText xml:space="preserve"> STYLEREF 2 \s </w:instrText>
      </w:r>
      <w:r>
        <w:rPr>
          <w:rStyle w:val="77"/>
          <w:rFonts w:ascii="Times New Roman"/>
          <w:color w:val="000000" w:themeColor="text1"/>
          <w:highlight w:val="none"/>
          <w14:textFill>
            <w14:solidFill>
              <w14:schemeClr w14:val="tx1"/>
            </w14:solidFill>
          </w14:textFill>
        </w:rPr>
        <w:fldChar w:fldCharType="separate"/>
      </w:r>
      <w:r>
        <w:rPr>
          <w:rStyle w:val="77"/>
          <w:rFonts w:ascii="Times New Roman"/>
          <w:color w:val="000000" w:themeColor="text1"/>
          <w:highlight w:val="none"/>
          <w14:textFill>
            <w14:solidFill>
              <w14:schemeClr w14:val="tx1"/>
            </w14:solidFill>
          </w14:textFill>
        </w:rPr>
        <w:t>3.3</w:t>
      </w:r>
      <w:r>
        <w:rPr>
          <w:rStyle w:val="77"/>
          <w:rFonts w:ascii="Times New Roman"/>
          <w:color w:val="000000" w:themeColor="text1"/>
          <w:highlight w:val="none"/>
          <w14:textFill>
            <w14:solidFill>
              <w14:schemeClr w14:val="tx1"/>
            </w14:solidFill>
          </w14:textFill>
        </w:rPr>
        <w:fldChar w:fldCharType="end"/>
      </w:r>
      <w:r>
        <w:rPr>
          <w:rStyle w:val="77"/>
          <w:rFonts w:ascii="Times New Roman"/>
          <w:color w:val="000000" w:themeColor="text1"/>
          <w:highlight w:val="none"/>
          <w14:textFill>
            <w14:solidFill>
              <w14:schemeClr w14:val="tx1"/>
            </w14:solidFill>
          </w14:textFill>
        </w:rPr>
        <w:noBreakHyphen/>
      </w:r>
      <w:r>
        <w:rPr>
          <w:rStyle w:val="77"/>
          <w:rFonts w:ascii="Times New Roman"/>
          <w:color w:val="000000" w:themeColor="text1"/>
          <w:highlight w:val="none"/>
          <w14:textFill>
            <w14:solidFill>
              <w14:schemeClr w14:val="tx1"/>
            </w14:solidFill>
          </w14:textFill>
        </w:rPr>
        <w:fldChar w:fldCharType="begin"/>
      </w:r>
      <w:r>
        <w:rPr>
          <w:rStyle w:val="77"/>
          <w:rFonts w:ascii="Times New Roman"/>
          <w:color w:val="000000" w:themeColor="text1"/>
          <w:highlight w:val="none"/>
          <w14:textFill>
            <w14:solidFill>
              <w14:schemeClr w14:val="tx1"/>
            </w14:solidFill>
          </w14:textFill>
        </w:rPr>
        <w:instrText xml:space="preserve"> SEQ 图 \* ARABIC \s 2 </w:instrText>
      </w:r>
      <w:r>
        <w:rPr>
          <w:rStyle w:val="77"/>
          <w:rFonts w:ascii="Times New Roman"/>
          <w:color w:val="000000" w:themeColor="text1"/>
          <w:highlight w:val="none"/>
          <w14:textFill>
            <w14:solidFill>
              <w14:schemeClr w14:val="tx1"/>
            </w14:solidFill>
          </w14:textFill>
        </w:rPr>
        <w:fldChar w:fldCharType="separate"/>
      </w:r>
      <w:r>
        <w:rPr>
          <w:rStyle w:val="77"/>
          <w:rFonts w:ascii="Times New Roman"/>
          <w:color w:val="000000" w:themeColor="text1"/>
          <w:highlight w:val="none"/>
          <w14:textFill>
            <w14:solidFill>
              <w14:schemeClr w14:val="tx1"/>
            </w14:solidFill>
          </w14:textFill>
        </w:rPr>
        <w:t>14</w:t>
      </w:r>
      <w:r>
        <w:rPr>
          <w:rStyle w:val="77"/>
          <w:rFonts w:ascii="Times New Roman"/>
          <w:color w:val="000000" w:themeColor="text1"/>
          <w:highlight w:val="none"/>
          <w14:textFill>
            <w14:solidFill>
              <w14:schemeClr w14:val="tx1"/>
            </w14:solidFill>
          </w14:textFill>
        </w:rPr>
        <w:fldChar w:fldCharType="end"/>
      </w:r>
      <w:r>
        <w:rPr>
          <w:rStyle w:val="77"/>
          <w:rFonts w:ascii="Times New Roman"/>
          <w:color w:val="000000" w:themeColor="text1"/>
          <w:highlight w:val="none"/>
          <w14:textFill>
            <w14:solidFill>
              <w14:schemeClr w14:val="tx1"/>
            </w14:solidFill>
          </w14:textFill>
        </w:rPr>
        <w:t>试采期工</w:t>
      </w:r>
      <w:r>
        <w:rPr>
          <w:rFonts w:ascii="Times New Roman"/>
          <w:color w:val="000000" w:themeColor="text1"/>
          <w:highlight w:val="none"/>
          <w14:textFill>
            <w14:solidFill>
              <w14:schemeClr w14:val="tx1"/>
            </w14:solidFill>
          </w14:textFill>
        </w:rPr>
        <w:t>艺流</w:t>
      </w:r>
      <w:r>
        <w:rPr>
          <w:rFonts w:hint="eastAsia"/>
          <w:color w:val="000000" w:themeColor="text1"/>
          <w:highlight w:val="none"/>
          <w14:textFill>
            <w14:solidFill>
              <w14:schemeClr w14:val="tx1"/>
            </w14:solidFill>
          </w14:textFill>
        </w:rPr>
        <w:t>程及产污节点图</w:t>
      </w:r>
    </w:p>
    <w:p>
      <w:pPr>
        <w:snapToGrid/>
        <w:ind w:firstLine="480"/>
        <w:textAlignment w:val="baseline"/>
        <w:rPr>
          <w:rFonts w:cs="Times New Roman"/>
          <w:color w:val="000000" w:themeColor="text1"/>
          <w:kern w:val="0"/>
          <w:szCs w:val="21"/>
          <w:highlight w:val="none"/>
          <w14:textFill>
            <w14:solidFill>
              <w14:schemeClr w14:val="tx1"/>
            </w14:solidFill>
          </w14:textFill>
        </w:rPr>
      </w:pPr>
      <w:r>
        <w:rPr>
          <w:rFonts w:hint="eastAsia" w:cs="Times New Roman"/>
          <w:color w:val="000000" w:themeColor="text1"/>
          <w:kern w:val="0"/>
          <w:szCs w:val="21"/>
          <w:highlight w:val="none"/>
          <w14:textFill>
            <w14:solidFill>
              <w14:schemeClr w14:val="tx1"/>
            </w14:solidFill>
          </w14:textFill>
        </w:rPr>
        <w:t>1、雷页1井试采站</w:t>
      </w:r>
    </w:p>
    <w:p>
      <w:pPr>
        <w:snapToGrid/>
        <w:ind w:firstLine="480"/>
        <w:textAlignment w:val="baseline"/>
        <w:rPr>
          <w:rFonts w:cs="Times New Roman"/>
          <w:color w:val="000000" w:themeColor="text1"/>
          <w:kern w:val="0"/>
          <w:szCs w:val="21"/>
          <w:highlight w:val="none"/>
          <w14:textFill>
            <w14:solidFill>
              <w14:schemeClr w14:val="tx1"/>
            </w14:solidFill>
          </w14:textFill>
        </w:rPr>
      </w:pPr>
      <w:r>
        <w:rPr>
          <w:rFonts w:hint="eastAsia" w:cs="Times New Roman"/>
          <w:color w:val="000000" w:themeColor="text1"/>
          <w:kern w:val="0"/>
          <w:szCs w:val="21"/>
          <w:highlight w:val="none"/>
          <w14:textFill>
            <w14:solidFill>
              <w14:schemeClr w14:val="tx1"/>
            </w14:solidFill>
          </w14:textFill>
        </w:rPr>
        <w:t>雷页1井试采站位于现有雷页1井井场西侧，不涉及钻井工程。站场内主要设置工艺装置区、污水罐区、辅助生产区和放空区及各类阀门。</w:t>
      </w:r>
    </w:p>
    <w:p>
      <w:pPr>
        <w:adjustRightInd/>
        <w:snapToGrid/>
        <w:spacing w:before="120" w:beforeLines="50"/>
        <w:ind w:firstLine="480"/>
        <w:textAlignment w:val="baseline"/>
        <w:rPr>
          <w:rFonts w:cs="Times New Roman"/>
          <w:color w:val="000000" w:themeColor="text1"/>
          <w:kern w:val="0"/>
          <w:szCs w:val="20"/>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（1）</w:t>
      </w:r>
      <w:r>
        <w:rPr>
          <w:rFonts w:hint="eastAsia" w:cs="Times New Roman"/>
          <w:color w:val="000000" w:themeColor="text1"/>
          <w:kern w:val="0"/>
          <w:szCs w:val="20"/>
          <w:highlight w:val="none"/>
          <w14:textFill>
            <w14:solidFill>
              <w14:schemeClr w14:val="tx1"/>
            </w14:solidFill>
          </w14:textFill>
        </w:rPr>
        <w:t>水套加热炉</w:t>
      </w:r>
    </w:p>
    <w:p>
      <w:pPr>
        <w:adjustRightInd/>
        <w:snapToGrid/>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kern w:val="0"/>
          <w:szCs w:val="20"/>
          <w:highlight w:val="none"/>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w:t>
      </w:r>
    </w:p>
    <w:p>
      <w:pPr>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（2）分子筛脱水装置</w:t>
      </w:r>
      <w:r>
        <w:rPr>
          <w:rFonts w:cs="Times New Roman"/>
          <w:color w:val="000000" w:themeColor="text1"/>
          <w:szCs w:val="24"/>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分子筛脱水装置利用1套马3块脱水装置，处理气量为10×10</w:t>
      </w:r>
      <w:r>
        <w:rPr>
          <w:rFonts w:hint="eastAsia"/>
          <w:color w:val="000000" w:themeColor="text1"/>
          <w:highlight w:val="none"/>
          <w:vertAlign w:val="superscript"/>
          <w14:textFill>
            <w14:solidFill>
              <w14:schemeClr w14:val="tx1"/>
            </w14:solidFill>
          </w14:textFill>
        </w:rPr>
        <w:t>4</w:t>
      </w:r>
      <w:r>
        <w:rPr>
          <w:rFonts w:hint="eastAsia"/>
          <w:color w:val="000000" w:themeColor="text1"/>
          <w:highlight w:val="none"/>
          <w14:textFill>
            <w14:solidFill>
              <w14:schemeClr w14:val="tx1"/>
            </w14:solidFill>
          </w14:textFill>
        </w:rPr>
        <w:t>m</w:t>
      </w:r>
      <w:r>
        <w:rPr>
          <w:rFonts w:hint="eastAsia"/>
          <w:color w:val="000000" w:themeColor="text1"/>
          <w:highlight w:val="none"/>
          <w:vertAlign w:val="superscript"/>
          <w14:textFill>
            <w14:solidFill>
              <w14:schemeClr w14:val="tx1"/>
            </w14:solidFill>
          </w14:textFill>
        </w:rPr>
        <w:t>3</w:t>
      </w:r>
      <w:r>
        <w:rPr>
          <w:rFonts w:hint="eastAsia"/>
          <w:color w:val="000000" w:themeColor="text1"/>
          <w:highlight w:val="none"/>
          <w14:textFill>
            <w14:solidFill>
              <w14:schemeClr w14:val="tx1"/>
            </w14:solidFill>
          </w14:textFill>
        </w:rPr>
        <w:t>/d，设计压力6.3MPa；另新购1套同样规模的分子筛脱水装置，总处理气量为20×10</w:t>
      </w:r>
      <w:r>
        <w:rPr>
          <w:rFonts w:hint="eastAsia"/>
          <w:color w:val="000000" w:themeColor="text1"/>
          <w:highlight w:val="none"/>
          <w:vertAlign w:val="superscript"/>
          <w14:textFill>
            <w14:solidFill>
              <w14:schemeClr w14:val="tx1"/>
            </w14:solidFill>
          </w14:textFill>
        </w:rPr>
        <w:t>4</w:t>
      </w:r>
      <w:r>
        <w:rPr>
          <w:rFonts w:hint="eastAsia"/>
          <w:color w:val="000000" w:themeColor="text1"/>
          <w:highlight w:val="none"/>
          <w14:textFill>
            <w14:solidFill>
              <w14:schemeClr w14:val="tx1"/>
            </w14:solidFill>
          </w14:textFill>
        </w:rPr>
        <w:t>m</w:t>
      </w:r>
      <w:r>
        <w:rPr>
          <w:rFonts w:hint="eastAsia"/>
          <w:color w:val="000000" w:themeColor="text1"/>
          <w:highlight w:val="none"/>
          <w:vertAlign w:val="superscript"/>
          <w14:textFill>
            <w14:solidFill>
              <w14:schemeClr w14:val="tx1"/>
            </w14:solidFill>
          </w14:textFill>
        </w:rPr>
        <w:t>3</w:t>
      </w:r>
      <w:r>
        <w:rPr>
          <w:rFonts w:hint="eastAsia"/>
          <w:color w:val="000000" w:themeColor="text1"/>
          <w:highlight w:val="none"/>
          <w14:textFill>
            <w14:solidFill>
              <w14:schemeClr w14:val="tx1"/>
            </w14:solidFill>
          </w14:textFill>
        </w:rPr>
        <w:t>/d，满足本项目需要。</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分子筛脱水装置为闭式循环加热再生吸附式，橇内设置有双塔，一塔工作、一塔再生；橇块设有PLC控制器，能自动控制分子筛再生过程。主要监控内容如下：加热器出口温度与加热器开关联锁，当加热器出口温度低于低温设定值时开启加热器，当温度高于高温设定值时关闭加热器；将风冷器出口温度与风冷器开关联锁，当风冷器出口温度高于高温设定值时开启风冷器，当温度低于低温设定值时关闭风冷器</w:t>
      </w:r>
      <w:r>
        <w:rPr>
          <w:color w:val="000000" w:themeColor="text1"/>
          <w:highlight w:val="none"/>
          <w14:textFill>
            <w14:solidFill>
              <w14:schemeClr w14:val="tx1"/>
            </w14:solidFill>
          </w14:textFill>
        </w:rPr>
        <w:t>。</w:t>
      </w:r>
    </w:p>
    <w:p>
      <w:pPr>
        <w:adjustRightInd/>
        <w:snapToGrid/>
        <w:spacing w:before="120" w:beforeLines="50"/>
        <w:ind w:firstLine="482"/>
        <w:textAlignment w:val="baseline"/>
        <w:rPr>
          <w:rFonts w:ascii="Calibri" w:hAnsi="Calibri" w:cs="Times New Roman"/>
          <w:b/>
          <w:bCs/>
          <w:color w:val="000000" w:themeColor="text1"/>
          <w:kern w:val="0"/>
          <w:szCs w:val="20"/>
          <w:highlight w:val="none"/>
          <w14:textFill>
            <w14:solidFill>
              <w14:schemeClr w14:val="tx1"/>
            </w14:solidFill>
          </w14:textFill>
        </w:rPr>
      </w:pPr>
      <w:r>
        <w:rPr>
          <w:rFonts w:hint="eastAsia" w:ascii="Calibri" w:hAnsi="Calibri" w:cs="Times New Roman"/>
          <w:b/>
          <w:bCs/>
          <w:color w:val="000000" w:themeColor="text1"/>
          <w:kern w:val="0"/>
          <w:szCs w:val="20"/>
          <w:highlight w:val="none"/>
          <w14:textFill>
            <w14:solidFill>
              <w14:schemeClr w14:val="tx1"/>
            </w14:solidFill>
          </w14:textFill>
        </w:rPr>
        <w:t>产污环节：</w:t>
      </w:r>
    </w:p>
    <w:p>
      <w:pPr>
        <w:snapToGrid/>
        <w:ind w:firstLine="480"/>
        <w:textAlignment w:val="baseline"/>
        <w:rPr>
          <w:rFonts w:ascii="Calibri" w:hAnsi="Calibri" w:cs="Times New Roman"/>
          <w:color w:val="000000" w:themeColor="text1"/>
          <w:kern w:val="0"/>
          <w:szCs w:val="20"/>
          <w:highlight w:val="none"/>
          <w14:textFill>
            <w14:solidFill>
              <w14:schemeClr w14:val="tx1"/>
            </w14:solidFill>
          </w14:textFill>
        </w:rPr>
      </w:pPr>
      <w:r>
        <w:rPr>
          <w:rFonts w:hint="eastAsia" w:ascii="Calibri" w:hAnsi="Calibri" w:cs="Times New Roman"/>
          <w:color w:val="000000" w:themeColor="text1"/>
          <w:kern w:val="0"/>
          <w:szCs w:val="20"/>
          <w:highlight w:val="none"/>
          <w14:textFill>
            <w14:solidFill>
              <w14:schemeClr w14:val="tx1"/>
            </w14:solidFill>
          </w14:textFill>
        </w:rPr>
        <w:t>废气：①水套加热炉以天然气（雷页1井产气）为燃料，会产生燃烧废气；②运行过程中站场内各设备阀门处会产生少量逸散的非甲烷总烃，以无组织形式进入大气环境。③设备开停机、检修等非正常工况下排放的天然气放空废气。</w:t>
      </w:r>
    </w:p>
    <w:p>
      <w:pPr>
        <w:snapToGrid/>
        <w:ind w:firstLine="480"/>
        <w:textAlignment w:val="baseline"/>
        <w:rPr>
          <w:rFonts w:ascii="Calibri" w:hAnsi="Calibri" w:cs="Times New Roman"/>
          <w:color w:val="000000" w:themeColor="text1"/>
          <w:kern w:val="0"/>
          <w:szCs w:val="20"/>
          <w:highlight w:val="none"/>
          <w14:textFill>
            <w14:solidFill>
              <w14:schemeClr w14:val="tx1"/>
            </w14:solidFill>
          </w14:textFill>
        </w:rPr>
      </w:pPr>
      <w:r>
        <w:rPr>
          <w:rFonts w:hint="eastAsia" w:ascii="Calibri" w:hAnsi="Calibri" w:cs="Times New Roman"/>
          <w:color w:val="000000" w:themeColor="text1"/>
          <w:kern w:val="0"/>
          <w:szCs w:val="20"/>
          <w:highlight w:val="none"/>
          <w14:textFill>
            <w14:solidFill>
              <w14:schemeClr w14:val="tx1"/>
            </w14:solidFill>
          </w14:textFill>
        </w:rPr>
        <w:t>废水：工艺装置分离器分离出的天然气中的气田水。</w:t>
      </w:r>
    </w:p>
    <w:p>
      <w:pPr>
        <w:snapToGrid/>
        <w:ind w:firstLine="480"/>
        <w:textAlignment w:val="baseline"/>
        <w:rPr>
          <w:rFonts w:ascii="Calibri" w:hAnsi="Calibri" w:cs="Times New Roman"/>
          <w:color w:val="000000" w:themeColor="text1"/>
          <w:kern w:val="0"/>
          <w:szCs w:val="20"/>
          <w:highlight w:val="none"/>
          <w14:textFill>
            <w14:solidFill>
              <w14:schemeClr w14:val="tx1"/>
            </w14:solidFill>
          </w14:textFill>
        </w:rPr>
      </w:pPr>
      <w:r>
        <w:rPr>
          <w:rFonts w:hint="eastAsia" w:ascii="Calibri" w:hAnsi="Calibri" w:cs="Times New Roman"/>
          <w:color w:val="000000" w:themeColor="text1"/>
          <w:kern w:val="0"/>
          <w:szCs w:val="20"/>
          <w:highlight w:val="none"/>
          <w14:textFill>
            <w14:solidFill>
              <w14:schemeClr w14:val="tx1"/>
            </w14:solidFill>
          </w14:textFill>
        </w:rPr>
        <w:t>噪声：设施设备运行噪声。</w:t>
      </w:r>
    </w:p>
    <w:p>
      <w:pPr>
        <w:snapToGrid/>
        <w:ind w:firstLine="480"/>
        <w:textAlignment w:val="baseline"/>
        <w:rPr>
          <w:rFonts w:ascii="Calibri" w:hAnsi="Calibri" w:cs="Times New Roman"/>
          <w:color w:val="000000" w:themeColor="text1"/>
          <w:kern w:val="0"/>
          <w:szCs w:val="20"/>
          <w:highlight w:val="none"/>
          <w14:textFill>
            <w14:solidFill>
              <w14:schemeClr w14:val="tx1"/>
            </w14:solidFill>
          </w14:textFill>
        </w:rPr>
      </w:pPr>
      <w:r>
        <w:rPr>
          <w:rFonts w:hint="eastAsia" w:ascii="Calibri" w:hAnsi="Calibri" w:cs="Times New Roman"/>
          <w:color w:val="000000" w:themeColor="text1"/>
          <w:kern w:val="0"/>
          <w:szCs w:val="20"/>
          <w:highlight w:val="none"/>
          <w14:textFill>
            <w14:solidFill>
              <w14:schemeClr w14:val="tx1"/>
            </w14:solidFill>
          </w14:textFill>
        </w:rPr>
        <w:t>固废：①分子筛脱水装置产生的废分子筛；②分离器废渣；③管线</w:t>
      </w:r>
      <w:r>
        <w:rPr>
          <w:rFonts w:hint="eastAsia" w:cs="Times New Roman"/>
          <w:color w:val="000000" w:themeColor="text1"/>
          <w:szCs w:val="21"/>
          <w:highlight w:val="none"/>
          <w14:textFill>
            <w14:solidFill>
              <w14:schemeClr w14:val="tx1"/>
            </w14:solidFill>
          </w14:textFill>
        </w:rPr>
        <w:t>清管/检修废渣</w:t>
      </w:r>
      <w:r>
        <w:rPr>
          <w:rFonts w:hint="eastAsia" w:ascii="Calibri" w:hAnsi="Calibri" w:cs="Times New Roman"/>
          <w:color w:val="000000" w:themeColor="text1"/>
          <w:kern w:val="0"/>
          <w:szCs w:val="20"/>
          <w:highlight w:val="none"/>
          <w14:textFill>
            <w14:solidFill>
              <w14:schemeClr w14:val="tx1"/>
            </w14:solidFill>
          </w14:textFill>
        </w:rPr>
        <w:t>。</w:t>
      </w:r>
    </w:p>
    <w:p>
      <w:pPr>
        <w:pStyle w:val="5"/>
        <w:spacing w:before="120"/>
        <w:ind w:firstLine="480"/>
        <w:rPr>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集输管道试采期工艺流程及产污环节</w:t>
      </w:r>
    </w:p>
    <w:p>
      <w:pPr>
        <w:pStyle w:val="13"/>
        <w:adjustRightInd/>
        <w:spacing w:line="360" w:lineRule="auto"/>
        <w:ind w:firstLine="480" w:firstLineChars="200"/>
        <w:jc w:val="both"/>
        <w:rPr>
          <w:rFonts w:ascii="Times New Roman" w:hAnsi="Times New Roman"/>
          <w:color w:val="000000" w:themeColor="text1"/>
          <w:sz w:val="24"/>
          <w:szCs w:val="21"/>
          <w:highlight w:val="none"/>
          <w14:textFill>
            <w14:solidFill>
              <w14:schemeClr w14:val="tx1"/>
            </w14:solidFill>
          </w14:textFill>
        </w:rPr>
      </w:pPr>
      <w:r>
        <w:rPr>
          <w:rFonts w:ascii="Times New Roman" w:hAnsi="Times New Roman"/>
          <w:color w:val="000000" w:themeColor="text1"/>
          <w:sz w:val="24"/>
          <w:szCs w:val="21"/>
          <w:highlight w:val="none"/>
          <w14:textFill>
            <w14:solidFill>
              <w14:schemeClr w14:val="tx1"/>
            </w14:solidFill>
          </w14:textFill>
        </w:rPr>
        <w:t>本项目集输管道为埋地输送，工艺流程为将节流加热</w:t>
      </w:r>
      <w:r>
        <w:rPr>
          <w:rFonts w:hint="eastAsia" w:ascii="Times New Roman" w:hAnsi="Times New Roman"/>
          <w:color w:val="000000" w:themeColor="text1"/>
          <w:sz w:val="24"/>
          <w:szCs w:val="21"/>
          <w:highlight w:val="none"/>
          <w14:textFill>
            <w14:solidFill>
              <w14:schemeClr w14:val="tx1"/>
            </w14:solidFill>
          </w14:textFill>
        </w:rPr>
        <w:t>脱水</w:t>
      </w:r>
      <w:r>
        <w:rPr>
          <w:rFonts w:ascii="Times New Roman" w:hAnsi="Times New Roman"/>
          <w:color w:val="000000" w:themeColor="text1"/>
          <w:sz w:val="24"/>
          <w:szCs w:val="21"/>
          <w:highlight w:val="none"/>
          <w14:textFill>
            <w14:solidFill>
              <w14:schemeClr w14:val="tx1"/>
            </w14:solidFill>
          </w14:textFill>
        </w:rPr>
        <w:t>后的</w:t>
      </w:r>
      <w:r>
        <w:rPr>
          <w:rFonts w:hint="eastAsia" w:ascii="Times New Roman" w:hAnsi="Times New Roman"/>
          <w:color w:val="000000" w:themeColor="text1"/>
          <w:sz w:val="24"/>
          <w:szCs w:val="21"/>
          <w:highlight w:val="none"/>
          <w14:textFill>
            <w14:solidFill>
              <w14:schemeClr w14:val="tx1"/>
            </w14:solidFill>
          </w14:textFill>
        </w:rPr>
        <w:t>雷页1</w:t>
      </w:r>
      <w:r>
        <w:rPr>
          <w:rFonts w:ascii="Times New Roman" w:hAnsi="Times New Roman"/>
          <w:color w:val="000000" w:themeColor="text1"/>
          <w:sz w:val="24"/>
          <w:szCs w:val="21"/>
          <w:highlight w:val="none"/>
          <w14:textFill>
            <w14:solidFill>
              <w14:schemeClr w14:val="tx1"/>
            </w14:solidFill>
          </w14:textFill>
        </w:rPr>
        <w:t>井原料气输至</w:t>
      </w:r>
      <w:r>
        <w:rPr>
          <w:rFonts w:hint="eastAsia" w:ascii="Times New Roman" w:hAnsi="Times New Roman"/>
          <w:color w:val="000000" w:themeColor="text1"/>
          <w:sz w:val="24"/>
          <w:szCs w:val="21"/>
          <w:highlight w:val="none"/>
          <w14:textFill>
            <w14:solidFill>
              <w14:schemeClr w14:val="tx1"/>
            </w14:solidFill>
          </w14:textFill>
        </w:rPr>
        <w:t>魏兴计量</w:t>
      </w:r>
      <w:r>
        <w:rPr>
          <w:rFonts w:ascii="Times New Roman" w:hAnsi="Times New Roman"/>
          <w:color w:val="000000" w:themeColor="text1"/>
          <w:sz w:val="24"/>
          <w:szCs w:val="21"/>
          <w:highlight w:val="none"/>
          <w14:textFill>
            <w14:solidFill>
              <w14:schemeClr w14:val="tx1"/>
            </w14:solidFill>
          </w14:textFill>
        </w:rPr>
        <w:t>站。运营期正常工况下无噪声及“三废”产生。清管检修等非正常工况或事故条件下，集输管道中的原料气依托下游</w:t>
      </w:r>
      <w:r>
        <w:rPr>
          <w:rFonts w:hint="eastAsia" w:ascii="Times New Roman" w:hAnsi="Times New Roman"/>
          <w:color w:val="000000" w:themeColor="text1"/>
          <w:sz w:val="24"/>
          <w:szCs w:val="21"/>
          <w:highlight w:val="none"/>
          <w14:textFill>
            <w14:solidFill>
              <w14:schemeClr w14:val="tx1"/>
            </w14:solidFill>
          </w14:textFill>
        </w:rPr>
        <w:t>魏兴计量站</w:t>
      </w:r>
      <w:r>
        <w:rPr>
          <w:rFonts w:ascii="Times New Roman" w:hAnsi="Times New Roman"/>
          <w:color w:val="000000" w:themeColor="text1"/>
          <w:sz w:val="24"/>
          <w:szCs w:val="21"/>
          <w:highlight w:val="none"/>
          <w14:textFill>
            <w14:solidFill>
              <w14:schemeClr w14:val="tx1"/>
            </w14:solidFill>
          </w14:textFill>
        </w:rPr>
        <w:t>设置的放空立管燃烧后排放。</w:t>
      </w:r>
    </w:p>
    <w:p>
      <w:pPr>
        <w:adjustRightInd/>
        <w:ind w:firstLine="480"/>
        <w:rPr>
          <w:rFonts w:eastAsiaTheme="minorEastAsia"/>
          <w:b/>
          <w:bCs/>
          <w:color w:val="000000" w:themeColor="text1"/>
          <w:highlight w:val="none"/>
          <w14:textFill>
            <w14:solidFill>
              <w14:schemeClr w14:val="tx1"/>
            </w14:solidFill>
          </w14:textFill>
        </w:rPr>
      </w:pPr>
      <w:r>
        <w:rPr>
          <w:rFonts w:hint="eastAsia" w:eastAsiaTheme="minorEastAsia"/>
          <w:b/>
          <w:bCs/>
          <w:color w:val="000000" w:themeColor="text1"/>
          <w:highlight w:val="none"/>
          <w14:textFill>
            <w14:solidFill>
              <w14:schemeClr w14:val="tx1"/>
            </w14:solidFill>
          </w14:textFill>
        </w:rPr>
        <w:t>产污环节：</w:t>
      </w:r>
    </w:p>
    <w:p>
      <w:pPr>
        <w:adjustRightInd/>
        <w:ind w:firstLine="480"/>
        <w:rPr>
          <w:rFonts w:cs="Times New Roman"/>
          <w:color w:val="000000" w:themeColor="text1"/>
          <w:szCs w:val="21"/>
          <w:highlight w:val="none"/>
          <w14:textFill>
            <w14:solidFill>
              <w14:schemeClr w14:val="tx1"/>
            </w14:solidFill>
          </w14:textFill>
        </w:rPr>
      </w:pPr>
      <w:r>
        <w:rPr>
          <w:rFonts w:hint="eastAsia" w:cs="Times New Roman"/>
          <w:color w:val="000000" w:themeColor="text1"/>
          <w:szCs w:val="21"/>
          <w:highlight w:val="none"/>
          <w14:textFill>
            <w14:solidFill>
              <w14:schemeClr w14:val="tx1"/>
            </w14:solidFill>
          </w14:textFill>
        </w:rPr>
        <w:t>废气：清管检修等非正常工况下排放的天然气放空燃烧废气，主要污染物为颗粒物、氮氧化物</w:t>
      </w:r>
      <w:r>
        <w:rPr>
          <w:rFonts w:cs="Times New Roman"/>
          <w:color w:val="000000" w:themeColor="text1"/>
          <w:szCs w:val="21"/>
          <w:highlight w:val="none"/>
          <w14:textFill>
            <w14:solidFill>
              <w14:schemeClr w14:val="tx1"/>
            </w14:solidFill>
          </w14:textFill>
        </w:rPr>
        <w:t>。</w:t>
      </w:r>
    </w:p>
    <w:p>
      <w:pPr>
        <w:adjustRightInd/>
        <w:ind w:firstLine="480"/>
        <w:rPr>
          <w:rFonts w:cs="Times New Roman"/>
          <w:color w:val="000000" w:themeColor="text1"/>
          <w:szCs w:val="21"/>
          <w:highlight w:val="none"/>
          <w14:textFill>
            <w14:solidFill>
              <w14:schemeClr w14:val="tx1"/>
            </w14:solidFill>
          </w14:textFill>
        </w:rPr>
      </w:pPr>
      <w:r>
        <w:rPr>
          <w:rFonts w:hint="eastAsia" w:cs="Times New Roman"/>
          <w:color w:val="000000" w:themeColor="text1"/>
          <w:szCs w:val="21"/>
          <w:highlight w:val="none"/>
          <w14:textFill>
            <w14:solidFill>
              <w14:schemeClr w14:val="tx1"/>
            </w14:solidFill>
          </w14:textFill>
        </w:rPr>
        <w:t>固废：清管/检修废渣。</w:t>
      </w:r>
    </w:p>
    <w:p>
      <w:pPr>
        <w:pStyle w:val="4"/>
        <w:spacing w:before="120"/>
        <w:rPr>
          <w:color w:val="000000" w:themeColor="text1"/>
          <w:highlight w:val="none"/>
          <w:lang w:eastAsia="zh-CN"/>
          <w14:textFill>
            <w14:solidFill>
              <w14:schemeClr w14:val="tx1"/>
            </w14:solidFill>
          </w14:textFill>
        </w:rPr>
      </w:pPr>
      <w:bookmarkStart w:id="159" w:name="_bookmark21"/>
      <w:bookmarkEnd w:id="159"/>
      <w:bookmarkStart w:id="160" w:name="3.4污染源源强核算"/>
      <w:bookmarkEnd w:id="160"/>
      <w:bookmarkStart w:id="161" w:name="_Toc20257"/>
      <w:r>
        <w:rPr>
          <w:color w:val="000000" w:themeColor="text1"/>
          <w:highlight w:val="none"/>
          <w:lang w:eastAsia="zh-CN"/>
          <w14:textFill>
            <w14:solidFill>
              <w14:schemeClr w14:val="tx1"/>
            </w14:solidFill>
          </w14:textFill>
        </w:rPr>
        <w:t>污染源源强核算</w:t>
      </w:r>
      <w:bookmarkEnd w:id="161"/>
    </w:p>
    <w:p>
      <w:pPr>
        <w:pStyle w:val="5"/>
        <w:spacing w:before="120"/>
        <w:ind w:firstLine="480"/>
        <w:rPr>
          <w:b/>
          <w:color w:val="000000" w:themeColor="text1"/>
          <w:highlight w:val="none"/>
          <w:lang w:eastAsia="zh-CN"/>
          <w14:textFill>
            <w14:solidFill>
              <w14:schemeClr w14:val="tx1"/>
            </w14:solidFill>
          </w14:textFill>
        </w:rPr>
      </w:pPr>
      <w:bookmarkStart w:id="162" w:name="3.4.1施工期污染源强分析"/>
      <w:bookmarkEnd w:id="162"/>
      <w:bookmarkStart w:id="163" w:name="_Toc120173112"/>
      <w:r>
        <w:rPr>
          <w:color w:val="000000" w:themeColor="text1"/>
          <w:highlight w:val="none"/>
          <w:lang w:eastAsia="zh-CN"/>
          <w14:textFill>
            <w14:solidFill>
              <w14:schemeClr w14:val="tx1"/>
            </w14:solidFill>
          </w14:textFill>
        </w:rPr>
        <w:t>施工期污染源强分析</w:t>
      </w:r>
      <w:bookmarkEnd w:id="163"/>
    </w:p>
    <w:p>
      <w:pPr>
        <w:pStyle w:val="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试采站</w:t>
      </w:r>
    </w:p>
    <w:p>
      <w:pPr>
        <w:adjustRightInd/>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雷页1井试采站</w:t>
      </w:r>
      <w:r>
        <w:rPr>
          <w:color w:val="000000" w:themeColor="text1"/>
          <w:highlight w:val="none"/>
          <w14:textFill>
            <w14:solidFill>
              <w14:schemeClr w14:val="tx1"/>
            </w14:solidFill>
          </w14:textFill>
        </w:rPr>
        <w:t>废气污染物主要为</w:t>
      </w:r>
      <w:r>
        <w:rPr>
          <w:rFonts w:hint="eastAsia"/>
          <w:color w:val="000000" w:themeColor="text1"/>
          <w:highlight w:val="none"/>
          <w14:textFill>
            <w14:solidFill>
              <w14:schemeClr w14:val="tx1"/>
            </w14:solidFill>
          </w14:textFill>
        </w:rPr>
        <w:t>运输车辆及基础开挖</w:t>
      </w:r>
      <w:r>
        <w:rPr>
          <w:color w:val="000000" w:themeColor="text1"/>
          <w:highlight w:val="none"/>
          <w14:textFill>
            <w14:solidFill>
              <w14:schemeClr w14:val="tx1"/>
            </w14:solidFill>
          </w14:textFill>
        </w:rPr>
        <w:t>扬尘、施工机械</w:t>
      </w:r>
      <w:r>
        <w:rPr>
          <w:rFonts w:hint="eastAsia"/>
          <w:color w:val="000000" w:themeColor="text1"/>
          <w:highlight w:val="none"/>
          <w14:textFill>
            <w14:solidFill>
              <w14:schemeClr w14:val="tx1"/>
            </w14:solidFill>
          </w14:textFill>
        </w:rPr>
        <w:t>和运输车辆</w:t>
      </w:r>
      <w:r>
        <w:rPr>
          <w:color w:val="000000" w:themeColor="text1"/>
          <w:highlight w:val="none"/>
          <w14:textFill>
            <w14:solidFill>
              <w14:schemeClr w14:val="tx1"/>
            </w14:solidFill>
          </w14:textFill>
        </w:rPr>
        <w:t>尾气</w:t>
      </w:r>
      <w:r>
        <w:rPr>
          <w:rFonts w:hint="eastAsia"/>
          <w:color w:val="000000" w:themeColor="text1"/>
          <w:highlight w:val="none"/>
          <w14:textFill>
            <w14:solidFill>
              <w14:schemeClr w14:val="tx1"/>
            </w14:solidFill>
          </w14:textFill>
        </w:rPr>
        <w:t>、站内管道焊接烟尘、站内管道清管氮气。</w:t>
      </w:r>
    </w:p>
    <w:p>
      <w:pPr>
        <w:adjustRightInd/>
        <w:ind w:firstLine="480"/>
        <w:rPr>
          <w:color w:val="000000" w:themeColor="text1"/>
          <w:highlight w:val="none"/>
          <w14:textFill>
            <w14:solidFill>
              <w14:schemeClr w14:val="tx1"/>
            </w14:solidFill>
          </w14:textFill>
        </w:rPr>
      </w:pPr>
      <w:bookmarkStart w:id="164" w:name="_Toc8048"/>
      <w:r>
        <w:rPr>
          <w:color w:val="000000" w:themeColor="text1"/>
          <w:szCs w:val="24"/>
          <w:highlight w:val="none"/>
          <w14:textFill>
            <w14:solidFill>
              <w14:schemeClr w14:val="tx1"/>
            </w14:solidFill>
          </w14:textFill>
        </w:rPr>
        <w:t>（1）施工扬尘</w:t>
      </w:r>
      <w:bookmarkEnd w:id="164"/>
    </w:p>
    <w:p>
      <w:pPr>
        <w:adjustRightInd/>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施工扬尘</w:t>
      </w:r>
      <w:r>
        <w:rPr>
          <w:rFonts w:hint="eastAsia"/>
          <w:color w:val="000000" w:themeColor="text1"/>
          <w:highlight w:val="none"/>
          <w14:textFill>
            <w14:solidFill>
              <w14:schemeClr w14:val="tx1"/>
            </w14:solidFill>
          </w14:textFill>
        </w:rPr>
        <w:t>主要为设备运输车辆运输过程及设备基础开挖过程产生，本项目依托钻井工程已有进场道路及乡村道路进行运输，车辆运输扬尘量较少；施工过程中产生扬尘，本项目开挖及填方量小，扬尘产生量小，开挖过程采用人工进行洒水抑尘，施工过程每1～2h进行一次洒水，对环境影响较小。</w:t>
      </w:r>
    </w:p>
    <w:p>
      <w:pPr>
        <w:adjustRightInd/>
        <w:ind w:firstLine="480"/>
        <w:rPr>
          <w:color w:val="000000" w:themeColor="text1"/>
          <w:szCs w:val="24"/>
          <w:highlight w:val="none"/>
          <w14:textFill>
            <w14:solidFill>
              <w14:schemeClr w14:val="tx1"/>
            </w14:solidFill>
          </w14:textFill>
        </w:rPr>
      </w:pPr>
      <w:bookmarkStart w:id="165" w:name="_Toc28604"/>
      <w:r>
        <w:rPr>
          <w:color w:val="000000" w:themeColor="text1"/>
          <w:szCs w:val="24"/>
          <w:highlight w:val="none"/>
          <w14:textFill>
            <w14:solidFill>
              <w14:schemeClr w14:val="tx1"/>
            </w14:solidFill>
          </w14:textFill>
        </w:rPr>
        <w:t>（2）施工机械</w:t>
      </w:r>
      <w:r>
        <w:rPr>
          <w:rFonts w:hint="eastAsia"/>
          <w:color w:val="000000" w:themeColor="text1"/>
          <w:szCs w:val="24"/>
          <w:highlight w:val="none"/>
          <w14:textFill>
            <w14:solidFill>
              <w14:schemeClr w14:val="tx1"/>
            </w14:solidFill>
          </w14:textFill>
        </w:rPr>
        <w:t>和车辆尾气</w:t>
      </w:r>
      <w:bookmarkEnd w:id="165"/>
    </w:p>
    <w:p>
      <w:pPr>
        <w:adjustRightInd/>
        <w:ind w:firstLine="480"/>
        <w:rPr>
          <w:color w:val="000000" w:themeColor="text1"/>
          <w:szCs w:val="24"/>
          <w:highlight w:val="none"/>
          <w14:textFill>
            <w14:solidFill>
              <w14:schemeClr w14:val="tx1"/>
            </w14:solidFill>
          </w14:textFill>
        </w:rPr>
      </w:pPr>
      <w:r>
        <w:rPr>
          <w:color w:val="000000" w:themeColor="text1"/>
          <w:highlight w:val="none"/>
          <w14:textFill>
            <w14:solidFill>
              <w14:schemeClr w14:val="tx1"/>
            </w14:solidFill>
          </w14:textFill>
        </w:rPr>
        <w:t>施工期间，来自施工机械排放的废气和各种车辆排放的汽车尾气，主要污染物为NO</w:t>
      </w:r>
      <w:r>
        <w:rPr>
          <w:color w:val="000000" w:themeColor="text1"/>
          <w:highlight w:val="none"/>
          <w:vertAlign w:val="subscript"/>
          <w14:textFill>
            <w14:solidFill>
              <w14:schemeClr w14:val="tx1"/>
            </w14:solidFill>
          </w14:textFill>
        </w:rPr>
        <w:t>X</w:t>
      </w:r>
      <w:r>
        <w:rPr>
          <w:color w:val="000000" w:themeColor="text1"/>
          <w:highlight w:val="none"/>
          <w14:textFill>
            <w14:solidFill>
              <w14:schemeClr w14:val="tx1"/>
            </w14:solidFill>
          </w14:textFill>
        </w:rPr>
        <w:t>、CO及THC等。</w:t>
      </w:r>
      <w:r>
        <w:rPr>
          <w:color w:val="000000" w:themeColor="text1"/>
          <w:szCs w:val="24"/>
          <w:highlight w:val="none"/>
          <w14:textFill>
            <w14:solidFill>
              <w14:schemeClr w14:val="tx1"/>
            </w14:solidFill>
          </w14:textFill>
        </w:rPr>
        <w:t>在施工期间施工单位</w:t>
      </w:r>
      <w:r>
        <w:rPr>
          <w:rFonts w:hint="eastAsia"/>
          <w:color w:val="000000" w:themeColor="text1"/>
          <w:szCs w:val="24"/>
          <w:highlight w:val="none"/>
          <w14:textFill>
            <w14:solidFill>
              <w14:schemeClr w14:val="tx1"/>
            </w14:solidFill>
          </w14:textFill>
        </w:rPr>
        <w:t>应</w:t>
      </w:r>
      <w:r>
        <w:rPr>
          <w:color w:val="000000" w:themeColor="text1"/>
          <w:szCs w:val="24"/>
          <w:highlight w:val="none"/>
          <w14:textFill>
            <w14:solidFill>
              <w14:schemeClr w14:val="tx1"/>
            </w14:solidFill>
          </w14:textFill>
        </w:rPr>
        <w:t>定期对施工设备进行维护，保证其在最佳状态下运行，以提高</w:t>
      </w:r>
      <w:r>
        <w:rPr>
          <w:rFonts w:hint="eastAsia"/>
          <w:color w:val="000000" w:themeColor="text1"/>
          <w:szCs w:val="24"/>
          <w:highlight w:val="none"/>
          <w14:textFill>
            <w14:solidFill>
              <w14:schemeClr w14:val="tx1"/>
            </w14:solidFill>
          </w14:textFill>
        </w:rPr>
        <w:t>燃料（柴油、汽油等）</w:t>
      </w:r>
      <w:r>
        <w:rPr>
          <w:color w:val="000000" w:themeColor="text1"/>
          <w:szCs w:val="24"/>
          <w:highlight w:val="none"/>
          <w14:textFill>
            <w14:solidFill>
              <w14:schemeClr w14:val="tx1"/>
            </w14:solidFill>
          </w14:textFill>
        </w:rPr>
        <w:t>的利用率</w:t>
      </w:r>
      <w:r>
        <w:rPr>
          <w:rFonts w:hint="eastAsia"/>
          <w:color w:val="000000" w:themeColor="text1"/>
          <w:szCs w:val="24"/>
          <w:highlight w:val="none"/>
          <w14:textFill>
            <w14:solidFill>
              <w14:schemeClr w14:val="tx1"/>
            </w14:solidFill>
          </w14:textFill>
        </w:rPr>
        <w:t>，同时应尽量选用清洁燃料</w:t>
      </w:r>
      <w:r>
        <w:rPr>
          <w:color w:val="000000" w:themeColor="text1"/>
          <w:szCs w:val="24"/>
          <w:highlight w:val="none"/>
          <w14:textFill>
            <w14:solidFill>
              <w14:schemeClr w14:val="tx1"/>
            </w14:solidFill>
          </w14:textFill>
        </w:rPr>
        <w:t>。由于施工机械废气属间断性无组织排放，特点是排放量小，加之施工场地开阔，扩散条件良好，因此施工机械废气能达标排放。同时，在施工期内应多加注意施工设备的维护，使其能够正常</w:t>
      </w:r>
      <w:r>
        <w:rPr>
          <w:rFonts w:hint="eastAsia"/>
          <w:color w:val="000000" w:themeColor="text1"/>
          <w:szCs w:val="24"/>
          <w:highlight w:val="none"/>
          <w14:textFill>
            <w14:solidFill>
              <w14:schemeClr w14:val="tx1"/>
            </w14:solidFill>
          </w14:textFill>
        </w:rPr>
        <w:t>地</w:t>
      </w:r>
      <w:r>
        <w:rPr>
          <w:color w:val="000000" w:themeColor="text1"/>
          <w:szCs w:val="24"/>
          <w:highlight w:val="none"/>
          <w14:textFill>
            <w14:solidFill>
              <w14:schemeClr w14:val="tx1"/>
            </w14:solidFill>
          </w14:textFill>
        </w:rPr>
        <w:t>运行，提高设备</w:t>
      </w:r>
      <w:r>
        <w:rPr>
          <w:rFonts w:hint="eastAsia"/>
          <w:color w:val="000000" w:themeColor="text1"/>
          <w:szCs w:val="24"/>
          <w:highlight w:val="none"/>
          <w14:textFill>
            <w14:solidFill>
              <w14:schemeClr w14:val="tx1"/>
            </w14:solidFill>
          </w14:textFill>
        </w:rPr>
        <w:t>燃料</w:t>
      </w:r>
      <w:r>
        <w:rPr>
          <w:color w:val="000000" w:themeColor="text1"/>
          <w:szCs w:val="24"/>
          <w:highlight w:val="none"/>
          <w14:textFill>
            <w14:solidFill>
              <w14:schemeClr w14:val="tx1"/>
            </w14:solidFill>
          </w14:textFill>
        </w:rPr>
        <w:t>的利用率。</w:t>
      </w:r>
    </w:p>
    <w:p>
      <w:pPr>
        <w:pStyle w:val="13"/>
        <w:adjustRightInd/>
        <w:spacing w:line="360" w:lineRule="auto"/>
        <w:ind w:firstLine="480" w:firstLineChars="200"/>
        <w:jc w:val="both"/>
        <w:rPr>
          <w:rFonts w:ascii="Times New Roman" w:hAnsi="Times New Roman"/>
          <w:color w:val="000000" w:themeColor="text1"/>
          <w:sz w:val="24"/>
          <w:szCs w:val="24"/>
          <w:highlight w:val="none"/>
          <w14:textFill>
            <w14:solidFill>
              <w14:schemeClr w14:val="tx1"/>
            </w14:solidFill>
          </w14:textFill>
        </w:rPr>
      </w:pPr>
      <w:r>
        <w:rPr>
          <w:rFonts w:ascii="Times New Roman" w:hAnsi="Times New Roman"/>
          <w:color w:val="000000" w:themeColor="text1"/>
          <w:sz w:val="24"/>
          <w:szCs w:val="24"/>
          <w:highlight w:val="none"/>
          <w14:textFill>
            <w14:solidFill>
              <w14:schemeClr w14:val="tx1"/>
            </w14:solidFill>
          </w14:textFill>
        </w:rPr>
        <w:t>（3）焊接烟尘</w:t>
      </w:r>
    </w:p>
    <w:p>
      <w:pPr>
        <w:adjustRightInd/>
        <w:ind w:firstLine="480"/>
        <w:rPr>
          <w:color w:val="000000" w:themeColor="text1"/>
          <w:szCs w:val="24"/>
          <w:highlight w:val="none"/>
          <w14:textFill>
            <w14:solidFill>
              <w14:schemeClr w14:val="tx1"/>
            </w14:solidFill>
          </w14:textFill>
        </w:rPr>
      </w:pPr>
      <w:r>
        <w:rPr>
          <w:rFonts w:hint="eastAsia"/>
          <w:color w:val="000000" w:themeColor="text1"/>
          <w:szCs w:val="24"/>
          <w:highlight w:val="none"/>
          <w14:textFill>
            <w14:solidFill>
              <w14:schemeClr w14:val="tx1"/>
            </w14:solidFill>
          </w14:textFill>
        </w:rPr>
        <w:t>雷页1井试采站</w:t>
      </w:r>
      <w:r>
        <w:rPr>
          <w:color w:val="000000" w:themeColor="text1"/>
          <w:szCs w:val="24"/>
          <w:highlight w:val="none"/>
          <w14:textFill>
            <w14:solidFill>
              <w14:schemeClr w14:val="tx1"/>
            </w14:solidFill>
          </w14:textFill>
        </w:rPr>
        <w:t>内设备、管道组装采取人工电弧焊接工艺。焊接过程会产生少量的焊接烟尘，本项目</w:t>
      </w:r>
      <w:r>
        <w:rPr>
          <w:rFonts w:hint="eastAsia"/>
          <w:color w:val="000000" w:themeColor="text1"/>
          <w:szCs w:val="24"/>
          <w:highlight w:val="none"/>
          <w14:textFill>
            <w14:solidFill>
              <w14:schemeClr w14:val="tx1"/>
            </w14:solidFill>
          </w14:textFill>
        </w:rPr>
        <w:t>站场</w:t>
      </w:r>
      <w:r>
        <w:rPr>
          <w:color w:val="000000" w:themeColor="text1"/>
          <w:szCs w:val="24"/>
          <w:highlight w:val="none"/>
          <w14:textFill>
            <w14:solidFill>
              <w14:schemeClr w14:val="tx1"/>
            </w14:solidFill>
          </w14:textFill>
        </w:rPr>
        <w:t>设备少、管线段，焊接量小，且焊接过程位于开阔地带，有利于废气扩散，对</w:t>
      </w:r>
      <w:r>
        <w:rPr>
          <w:rFonts w:hint="eastAsia"/>
          <w:color w:val="000000" w:themeColor="text1"/>
          <w:szCs w:val="24"/>
          <w:highlight w:val="none"/>
          <w14:textFill>
            <w14:solidFill>
              <w14:schemeClr w14:val="tx1"/>
            </w14:solidFill>
          </w14:textFill>
        </w:rPr>
        <w:t>站场</w:t>
      </w:r>
      <w:r>
        <w:rPr>
          <w:color w:val="000000" w:themeColor="text1"/>
          <w:szCs w:val="24"/>
          <w:highlight w:val="none"/>
          <w14:textFill>
            <w14:solidFill>
              <w14:schemeClr w14:val="tx1"/>
            </w14:solidFill>
          </w14:textFill>
        </w:rPr>
        <w:t>所在地的大气环境影响较小。</w:t>
      </w:r>
    </w:p>
    <w:p>
      <w:pPr>
        <w:adjustRightInd/>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（4）站内管道清管氮气</w:t>
      </w:r>
    </w:p>
    <w:p>
      <w:pPr>
        <w:pStyle w:val="13"/>
        <w:adjustRightInd/>
        <w:spacing w:line="360" w:lineRule="auto"/>
        <w:ind w:firstLine="480" w:firstLineChars="200"/>
        <w:jc w:val="both"/>
        <w:rPr>
          <w:rFonts w:ascii="Times New Roman" w:hAnsi="Times New Roman"/>
          <w:color w:val="000000" w:themeColor="text1"/>
          <w:sz w:val="24"/>
          <w:szCs w:val="24"/>
          <w:highlight w:val="none"/>
          <w14:textFill>
            <w14:solidFill>
              <w14:schemeClr w14:val="tx1"/>
            </w14:solidFill>
          </w14:textFill>
        </w:rPr>
      </w:pPr>
      <w:r>
        <w:rPr>
          <w:rFonts w:ascii="Times New Roman" w:hAnsi="Times New Roman"/>
          <w:color w:val="000000" w:themeColor="text1"/>
          <w:sz w:val="24"/>
          <w:szCs w:val="24"/>
          <w:highlight w:val="none"/>
          <w14:textFill>
            <w14:solidFill>
              <w14:schemeClr w14:val="tx1"/>
            </w14:solidFill>
          </w14:textFill>
        </w:rPr>
        <w:t>站内设备、管道安装完毕、焊缝无损检验合格后，对系统进行吹扫，站内管道吹扫介质为氮气，</w:t>
      </w:r>
      <w:r>
        <w:rPr>
          <w:rFonts w:hint="eastAsia" w:ascii="Times New Roman" w:hAnsi="Times New Roman"/>
          <w:color w:val="000000" w:themeColor="text1"/>
          <w:sz w:val="24"/>
          <w:szCs w:val="24"/>
          <w:highlight w:val="none"/>
          <w14:textFill>
            <w14:solidFill>
              <w14:schemeClr w14:val="tx1"/>
            </w14:solidFill>
          </w14:textFill>
        </w:rPr>
        <w:t>使用量约50m</w:t>
      </w:r>
      <w:r>
        <w:rPr>
          <w:rFonts w:hint="eastAsia" w:ascii="Times New Roman" w:hAnsi="Times New Roman"/>
          <w:color w:val="000000" w:themeColor="text1"/>
          <w:sz w:val="24"/>
          <w:szCs w:val="24"/>
          <w:highlight w:val="none"/>
          <w:vertAlign w:val="superscript"/>
          <w14:textFill>
            <w14:solidFill>
              <w14:schemeClr w14:val="tx1"/>
            </w14:solidFill>
          </w14:textFill>
        </w:rPr>
        <w:t>3</w:t>
      </w:r>
      <w:r>
        <w:rPr>
          <w:rFonts w:hint="eastAsia" w:ascii="Times New Roman" w:hAnsi="Times New Roman"/>
          <w:color w:val="000000" w:themeColor="text1"/>
          <w:sz w:val="24"/>
          <w:szCs w:val="24"/>
          <w:highlight w:val="none"/>
          <w14:textFill>
            <w14:solidFill>
              <w14:schemeClr w14:val="tx1"/>
            </w14:solidFill>
          </w14:textFill>
        </w:rPr>
        <w:t>，</w:t>
      </w:r>
      <w:r>
        <w:rPr>
          <w:rFonts w:ascii="Times New Roman" w:hAnsi="Times New Roman"/>
          <w:color w:val="000000" w:themeColor="text1"/>
          <w:sz w:val="24"/>
          <w:szCs w:val="24"/>
          <w:highlight w:val="none"/>
          <w14:textFill>
            <w14:solidFill>
              <w14:schemeClr w14:val="tx1"/>
            </w14:solidFill>
          </w14:textFill>
        </w:rPr>
        <w:t>氮气为空气组分，直接排放进入大气环境。</w:t>
      </w:r>
    </w:p>
    <w:p>
      <w:pPr>
        <w:adjustRightInd/>
        <w:ind w:firstLine="482"/>
        <w:rPr>
          <w:b/>
          <w:bCs/>
          <w:color w:val="000000" w:themeColor="text1"/>
          <w:highlight w:val="none"/>
          <w14:textFill>
            <w14:solidFill>
              <w14:schemeClr w14:val="tx1"/>
            </w14:solidFill>
          </w14:textFill>
        </w:rPr>
      </w:pPr>
      <w:bookmarkStart w:id="166" w:name="_Toc30243"/>
      <w:r>
        <w:rPr>
          <w:rFonts w:hint="eastAsia"/>
          <w:b/>
          <w:bCs/>
          <w:color w:val="000000" w:themeColor="text1"/>
          <w:highlight w:val="none"/>
          <w14:textFill>
            <w14:solidFill>
              <w14:schemeClr w14:val="tx1"/>
            </w14:solidFill>
          </w14:textFill>
        </w:rPr>
        <w:t>2、</w:t>
      </w:r>
      <w:r>
        <w:rPr>
          <w:b/>
          <w:bCs/>
          <w:color w:val="000000" w:themeColor="text1"/>
          <w:highlight w:val="none"/>
          <w14:textFill>
            <w14:solidFill>
              <w14:schemeClr w14:val="tx1"/>
            </w14:solidFill>
          </w14:textFill>
        </w:rPr>
        <w:t>废水</w:t>
      </w:r>
      <w:bookmarkEnd w:id="166"/>
    </w:p>
    <w:p>
      <w:pPr>
        <w:adjustRightInd/>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施工期对地表水环境的影响主要是</w:t>
      </w:r>
      <w:r>
        <w:rPr>
          <w:color w:val="000000" w:themeColor="text1"/>
          <w:spacing w:val="-3"/>
          <w:highlight w:val="none"/>
          <w14:textFill>
            <w14:solidFill>
              <w14:schemeClr w14:val="tx1"/>
            </w14:solidFill>
          </w14:textFill>
        </w:rPr>
        <w:t>施工人员生活污水</w:t>
      </w:r>
      <w:r>
        <w:rPr>
          <w:rFonts w:hint="eastAsia"/>
          <w:color w:val="000000" w:themeColor="text1"/>
          <w:spacing w:val="-3"/>
          <w:highlight w:val="none"/>
          <w14:textFill>
            <w14:solidFill>
              <w14:schemeClr w14:val="tx1"/>
            </w14:solidFill>
          </w14:textFill>
        </w:rPr>
        <w:t>及管道试压废水</w:t>
      </w:r>
      <w:r>
        <w:rPr>
          <w:color w:val="000000" w:themeColor="text1"/>
          <w:highlight w:val="none"/>
          <w14:textFill>
            <w14:solidFill>
              <w14:schemeClr w14:val="tx1"/>
            </w14:solidFill>
          </w14:textFill>
        </w:rPr>
        <w:t>，生活污水污染物以</w:t>
      </w:r>
      <w:r>
        <w:rPr>
          <w:color w:val="000000" w:themeColor="text1"/>
          <w:szCs w:val="24"/>
          <w:highlight w:val="none"/>
          <w14:textFill>
            <w14:solidFill>
              <w14:schemeClr w14:val="tx1"/>
            </w14:solidFill>
          </w14:textFill>
        </w:rPr>
        <w:t>BOD</w:t>
      </w:r>
      <w:r>
        <w:rPr>
          <w:color w:val="000000" w:themeColor="text1"/>
          <w:szCs w:val="24"/>
          <w:highlight w:val="none"/>
          <w:vertAlign w:val="subscript"/>
          <w14:textFill>
            <w14:solidFill>
              <w14:schemeClr w14:val="tx1"/>
            </w14:solidFill>
          </w14:textFill>
        </w:rPr>
        <w:t>5</w:t>
      </w:r>
      <w:r>
        <w:rPr>
          <w:color w:val="000000" w:themeColor="text1"/>
          <w:szCs w:val="24"/>
          <w:highlight w:val="none"/>
          <w14:textFill>
            <w14:solidFill>
              <w14:schemeClr w14:val="tx1"/>
            </w14:solidFill>
          </w14:textFill>
        </w:rPr>
        <w:t>、</w:t>
      </w:r>
      <w:r>
        <w:rPr>
          <w:color w:val="000000" w:themeColor="text1"/>
          <w:highlight w:val="none"/>
          <w14:textFill>
            <w14:solidFill>
              <w14:schemeClr w14:val="tx1"/>
            </w14:solidFill>
          </w14:textFill>
        </w:rPr>
        <w:t>COD</w:t>
      </w:r>
      <w:r>
        <w:rPr>
          <w:rFonts w:hint="eastAsia"/>
          <w:color w:val="000000" w:themeColor="text1"/>
          <w:highlight w:val="none"/>
          <w14:textFill>
            <w14:solidFill>
              <w14:schemeClr w14:val="tx1"/>
            </w14:solidFill>
          </w14:textFill>
        </w:rPr>
        <w:t>、氨氮、SS</w:t>
      </w:r>
      <w:r>
        <w:rPr>
          <w:color w:val="000000" w:themeColor="text1"/>
          <w:highlight w:val="none"/>
          <w14:textFill>
            <w14:solidFill>
              <w14:schemeClr w14:val="tx1"/>
            </w14:solidFill>
          </w14:textFill>
        </w:rPr>
        <w:t>为主</w:t>
      </w:r>
      <w:r>
        <w:rPr>
          <w:rFonts w:hint="eastAsia"/>
          <w:color w:val="000000" w:themeColor="text1"/>
          <w:highlight w:val="none"/>
          <w14:textFill>
            <w14:solidFill>
              <w14:schemeClr w14:val="tx1"/>
            </w14:solidFill>
          </w14:textFill>
        </w:rPr>
        <w:t>，试压用水为清洁水，试压废水污染物以SS为主</w:t>
      </w:r>
      <w:r>
        <w:rPr>
          <w:color w:val="000000" w:themeColor="text1"/>
          <w:highlight w:val="none"/>
          <w14:textFill>
            <w14:solidFill>
              <w14:schemeClr w14:val="tx1"/>
            </w14:solidFill>
          </w14:textFill>
        </w:rPr>
        <w:t>。</w:t>
      </w:r>
    </w:p>
    <w:p>
      <w:pPr>
        <w:adjustRightInd/>
        <w:ind w:firstLine="480"/>
        <w:rPr>
          <w:color w:val="000000" w:themeColor="text1"/>
          <w:szCs w:val="24"/>
          <w:highlight w:val="none"/>
          <w14:textFill>
            <w14:solidFill>
              <w14:schemeClr w14:val="tx1"/>
            </w14:solidFill>
          </w14:textFill>
        </w:rPr>
      </w:pPr>
      <w:bookmarkStart w:id="167" w:name="_Toc21445"/>
      <w:r>
        <w:rPr>
          <w:color w:val="000000" w:themeColor="text1"/>
          <w:szCs w:val="24"/>
          <w:highlight w:val="none"/>
          <w14:textFill>
            <w14:solidFill>
              <w14:schemeClr w14:val="tx1"/>
            </w14:solidFill>
          </w14:textFill>
        </w:rPr>
        <w:t>（</w:t>
      </w:r>
      <w:r>
        <w:rPr>
          <w:rFonts w:hint="eastAsia"/>
          <w:color w:val="000000" w:themeColor="text1"/>
          <w:szCs w:val="24"/>
          <w:highlight w:val="none"/>
          <w14:textFill>
            <w14:solidFill>
              <w14:schemeClr w14:val="tx1"/>
            </w14:solidFill>
          </w14:textFill>
        </w:rPr>
        <w:t>1</w:t>
      </w:r>
      <w:r>
        <w:rPr>
          <w:color w:val="000000" w:themeColor="text1"/>
          <w:szCs w:val="24"/>
          <w:highlight w:val="none"/>
          <w14:textFill>
            <w14:solidFill>
              <w14:schemeClr w14:val="tx1"/>
            </w14:solidFill>
          </w14:textFill>
        </w:rPr>
        <w:t>）生活污水</w:t>
      </w:r>
      <w:bookmarkEnd w:id="167"/>
    </w:p>
    <w:p>
      <w:pPr>
        <w:adjustRightInd/>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本</w:t>
      </w:r>
      <w:r>
        <w:rPr>
          <w:rFonts w:hint="eastAsia"/>
          <w:color w:val="000000" w:themeColor="text1"/>
          <w:szCs w:val="24"/>
          <w:highlight w:val="none"/>
          <w14:textFill>
            <w14:solidFill>
              <w14:schemeClr w14:val="tx1"/>
            </w14:solidFill>
          </w14:textFill>
        </w:rPr>
        <w:t>项目站场</w:t>
      </w:r>
      <w:r>
        <w:rPr>
          <w:color w:val="000000" w:themeColor="text1"/>
          <w:szCs w:val="24"/>
          <w:highlight w:val="none"/>
          <w14:textFill>
            <w14:solidFill>
              <w14:schemeClr w14:val="tx1"/>
            </w14:solidFill>
          </w14:textFill>
        </w:rPr>
        <w:t>施工人员</w:t>
      </w:r>
      <w:r>
        <w:rPr>
          <w:rFonts w:hint="eastAsia"/>
          <w:color w:val="000000" w:themeColor="text1"/>
          <w:szCs w:val="24"/>
          <w:highlight w:val="none"/>
          <w14:textFill>
            <w14:solidFill>
              <w14:schemeClr w14:val="tx1"/>
            </w14:solidFill>
          </w14:textFill>
        </w:rPr>
        <w:t>按高峰期</w:t>
      </w:r>
      <w:r>
        <w:rPr>
          <w:color w:val="000000" w:themeColor="text1"/>
          <w:szCs w:val="24"/>
          <w:highlight w:val="none"/>
          <w14:textFill>
            <w14:solidFill>
              <w14:schemeClr w14:val="tx1"/>
            </w14:solidFill>
          </w14:textFill>
        </w:rPr>
        <w:t>20人</w:t>
      </w:r>
      <w:r>
        <w:rPr>
          <w:rFonts w:hint="eastAsia"/>
          <w:color w:val="000000" w:themeColor="text1"/>
          <w:szCs w:val="24"/>
          <w:highlight w:val="none"/>
          <w14:textFill>
            <w14:solidFill>
              <w14:schemeClr w14:val="tx1"/>
            </w14:solidFill>
          </w14:textFill>
        </w:rPr>
        <w:t>计</w:t>
      </w:r>
      <w:r>
        <w:rPr>
          <w:color w:val="000000" w:themeColor="text1"/>
          <w:szCs w:val="24"/>
          <w:highlight w:val="none"/>
          <w14:textFill>
            <w14:solidFill>
              <w14:schemeClr w14:val="tx1"/>
            </w14:solidFill>
          </w14:textFill>
        </w:rPr>
        <w:t>，按80L/人•d计算，用水量为1.6m</w:t>
      </w:r>
      <w:r>
        <w:rPr>
          <w:color w:val="000000" w:themeColor="text1"/>
          <w:szCs w:val="24"/>
          <w:highlight w:val="none"/>
          <w:vertAlign w:val="superscript"/>
          <w14:textFill>
            <w14:solidFill>
              <w14:schemeClr w14:val="tx1"/>
            </w14:solidFill>
          </w14:textFill>
        </w:rPr>
        <w:t>3</w:t>
      </w:r>
      <w:r>
        <w:rPr>
          <w:color w:val="000000" w:themeColor="text1"/>
          <w:szCs w:val="24"/>
          <w:highlight w:val="none"/>
          <w14:textFill>
            <w14:solidFill>
              <w14:schemeClr w14:val="tx1"/>
            </w14:solidFill>
          </w14:textFill>
        </w:rPr>
        <w:t>/d，生活污水排放系数按0.</w:t>
      </w:r>
      <w:r>
        <w:rPr>
          <w:rFonts w:hint="eastAsia"/>
          <w:color w:val="000000" w:themeColor="text1"/>
          <w:szCs w:val="24"/>
          <w:highlight w:val="none"/>
          <w14:textFill>
            <w14:solidFill>
              <w14:schemeClr w14:val="tx1"/>
            </w14:solidFill>
          </w14:textFill>
        </w:rPr>
        <w:t>9</w:t>
      </w:r>
      <w:r>
        <w:rPr>
          <w:color w:val="000000" w:themeColor="text1"/>
          <w:szCs w:val="24"/>
          <w:highlight w:val="none"/>
          <w14:textFill>
            <w14:solidFill>
              <w14:schemeClr w14:val="tx1"/>
            </w14:solidFill>
          </w14:textFill>
        </w:rPr>
        <w:t>计，则生活污水排放量为1.</w:t>
      </w:r>
      <w:r>
        <w:rPr>
          <w:rFonts w:hint="eastAsia"/>
          <w:color w:val="000000" w:themeColor="text1"/>
          <w:szCs w:val="24"/>
          <w:highlight w:val="none"/>
          <w14:textFill>
            <w14:solidFill>
              <w14:schemeClr w14:val="tx1"/>
            </w14:solidFill>
          </w14:textFill>
        </w:rPr>
        <w:t>44</w:t>
      </w:r>
      <w:r>
        <w:rPr>
          <w:color w:val="000000" w:themeColor="text1"/>
          <w:szCs w:val="24"/>
          <w:highlight w:val="none"/>
          <w14:textFill>
            <w14:solidFill>
              <w14:schemeClr w14:val="tx1"/>
            </w14:solidFill>
          </w14:textFill>
        </w:rPr>
        <w:t>m</w:t>
      </w:r>
      <w:r>
        <w:rPr>
          <w:color w:val="000000" w:themeColor="text1"/>
          <w:szCs w:val="24"/>
          <w:highlight w:val="none"/>
          <w:vertAlign w:val="superscript"/>
          <w14:textFill>
            <w14:solidFill>
              <w14:schemeClr w14:val="tx1"/>
            </w14:solidFill>
          </w14:textFill>
        </w:rPr>
        <w:t>3</w:t>
      </w:r>
      <w:r>
        <w:rPr>
          <w:color w:val="000000" w:themeColor="text1"/>
          <w:szCs w:val="24"/>
          <w:highlight w:val="none"/>
          <w14:textFill>
            <w14:solidFill>
              <w14:schemeClr w14:val="tx1"/>
            </w14:solidFill>
          </w14:textFill>
        </w:rPr>
        <w:t>/d。生活污水中的主要污染物及其浓度一般为COD：400mg/L、NH</w:t>
      </w:r>
      <w:r>
        <w:rPr>
          <w:color w:val="000000" w:themeColor="text1"/>
          <w:szCs w:val="24"/>
          <w:highlight w:val="none"/>
          <w:vertAlign w:val="subscript"/>
          <w14:textFill>
            <w14:solidFill>
              <w14:schemeClr w14:val="tx1"/>
            </w14:solidFill>
          </w14:textFill>
        </w:rPr>
        <w:t>3</w:t>
      </w:r>
      <w:r>
        <w:rPr>
          <w:color w:val="000000" w:themeColor="text1"/>
          <w:szCs w:val="24"/>
          <w:highlight w:val="none"/>
          <w14:textFill>
            <w14:solidFill>
              <w14:schemeClr w14:val="tx1"/>
            </w14:solidFill>
          </w14:textFill>
        </w:rPr>
        <w:t>-N：30mg/L、SS：250mg/L、BOD</w:t>
      </w:r>
      <w:r>
        <w:rPr>
          <w:color w:val="000000" w:themeColor="text1"/>
          <w:szCs w:val="24"/>
          <w:highlight w:val="none"/>
          <w:vertAlign w:val="subscript"/>
          <w14:textFill>
            <w14:solidFill>
              <w14:schemeClr w14:val="tx1"/>
            </w14:solidFill>
          </w14:textFill>
        </w:rPr>
        <w:t>5</w:t>
      </w:r>
      <w:r>
        <w:rPr>
          <w:color w:val="000000" w:themeColor="text1"/>
          <w:szCs w:val="24"/>
          <w:highlight w:val="none"/>
          <w14:textFill>
            <w14:solidFill>
              <w14:schemeClr w14:val="tx1"/>
            </w14:solidFill>
          </w14:textFill>
        </w:rPr>
        <w:t>：200mg/L。</w:t>
      </w:r>
    </w:p>
    <w:p>
      <w:pPr>
        <w:widowControl/>
        <w:adjustRightInd/>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w:t>
      </w:r>
      <w:r>
        <w:rPr>
          <w:rFonts w:hint="eastAsia"/>
          <w:color w:val="000000" w:themeColor="text1"/>
          <w:highlight w:val="none"/>
          <w14:textFill>
            <w14:solidFill>
              <w14:schemeClr w14:val="tx1"/>
            </w14:solidFill>
          </w14:textFill>
        </w:rPr>
        <w:t>站场施工队伍就近租住居民房屋，现场不单独设置施工营地。施工人员生活污水依托当地现有的生活污水处理系统</w:t>
      </w:r>
      <w:r>
        <w:rPr>
          <w:color w:val="000000" w:themeColor="text1"/>
          <w:highlight w:val="none"/>
          <w14:textFill>
            <w14:solidFill>
              <w14:schemeClr w14:val="tx1"/>
            </w14:solidFill>
          </w14:textFill>
        </w:rPr>
        <w:t>。</w:t>
      </w:r>
    </w:p>
    <w:p>
      <w:pPr>
        <w:adjustRightInd/>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建设项目施工阶段的主要水污染物及其产生量见表</w:t>
      </w:r>
      <w:r>
        <w:rPr>
          <w:rFonts w:hint="eastAsia"/>
          <w:color w:val="000000" w:themeColor="text1"/>
          <w:szCs w:val="24"/>
          <w:highlight w:val="none"/>
          <w14:textFill>
            <w14:solidFill>
              <w14:schemeClr w14:val="tx1"/>
            </w14:solidFill>
          </w14:textFill>
        </w:rPr>
        <w:t>3.4-1</w:t>
      </w:r>
      <w:r>
        <w:rPr>
          <w:color w:val="000000" w:themeColor="text1"/>
          <w:szCs w:val="24"/>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雷页</w:t>
      </w:r>
      <w:r>
        <w:rPr>
          <w:color w:val="000000" w:themeColor="text1"/>
          <w:highlight w:val="none"/>
          <w14:textFill>
            <w14:solidFill>
              <w14:schemeClr w14:val="tx1"/>
            </w14:solidFill>
          </w14:textFill>
        </w:rPr>
        <w:t>1井试采站施工期生活污水污染物产生量</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1"/>
        <w:gridCol w:w="1441"/>
        <w:gridCol w:w="1262"/>
        <w:gridCol w:w="1265"/>
        <w:gridCol w:w="2104"/>
        <w:gridCol w:w="16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2" w:type="pct"/>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序号</w:t>
            </w:r>
          </w:p>
        </w:tc>
        <w:tc>
          <w:tcPr>
            <w:tcW w:w="845" w:type="pct"/>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废水种类</w:t>
            </w:r>
          </w:p>
        </w:tc>
        <w:tc>
          <w:tcPr>
            <w:tcW w:w="740" w:type="pct"/>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产生量</w:t>
            </w:r>
          </w:p>
        </w:tc>
        <w:tc>
          <w:tcPr>
            <w:tcW w:w="742" w:type="pct"/>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污染物</w:t>
            </w:r>
          </w:p>
        </w:tc>
        <w:tc>
          <w:tcPr>
            <w:tcW w:w="1234" w:type="pct"/>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产生浓度（mg/</w:t>
            </w:r>
            <w:r>
              <w:rPr>
                <w:rFonts w:hint="eastAsia"/>
                <w:b/>
                <w:bCs/>
                <w:color w:val="000000" w:themeColor="text1"/>
                <w:highlight w:val="none"/>
                <w14:textFill>
                  <w14:solidFill>
                    <w14:schemeClr w14:val="tx1"/>
                  </w14:solidFill>
                </w14:textFill>
              </w:rPr>
              <w:t>L</w:t>
            </w:r>
            <w:r>
              <w:rPr>
                <w:b/>
                <w:bCs/>
                <w:color w:val="000000" w:themeColor="text1"/>
                <w:highlight w:val="none"/>
                <w14:textFill>
                  <w14:solidFill>
                    <w14:schemeClr w14:val="tx1"/>
                  </w14:solidFill>
                </w14:textFill>
              </w:rPr>
              <w:t>）</w:t>
            </w:r>
          </w:p>
        </w:tc>
        <w:tc>
          <w:tcPr>
            <w:tcW w:w="988" w:type="pct"/>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产生量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 w:hRule="atLeast"/>
          <w:jc w:val="center"/>
        </w:trPr>
        <w:tc>
          <w:tcPr>
            <w:tcW w:w="452" w:type="pct"/>
            <w:vMerge w:val="restar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845" w:type="pct"/>
            <w:vMerge w:val="restar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生活污水</w:t>
            </w:r>
          </w:p>
        </w:tc>
        <w:tc>
          <w:tcPr>
            <w:tcW w:w="740" w:type="pct"/>
            <w:vMerge w:val="restar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44</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w:t>
            </w:r>
          </w:p>
        </w:tc>
        <w:tc>
          <w:tcPr>
            <w:tcW w:w="742"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COD</w:t>
            </w:r>
          </w:p>
        </w:tc>
        <w:tc>
          <w:tcPr>
            <w:tcW w:w="123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400</w:t>
            </w:r>
          </w:p>
        </w:tc>
        <w:tc>
          <w:tcPr>
            <w:tcW w:w="988"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0.5</w:t>
            </w:r>
            <w:r>
              <w:rPr>
                <w:rFonts w:hint="eastAsia"/>
                <w:color w:val="000000" w:themeColor="text1"/>
                <w:highlight w:val="none"/>
                <w14:textFill>
                  <w14:solidFill>
                    <w14:schemeClr w14:val="tx1"/>
                  </w14:solidFill>
                </w14:textFill>
              </w:rPr>
              <w:t>76</w:t>
            </w:r>
            <w:r>
              <w:rPr>
                <w:bCs/>
                <w:color w:val="000000" w:themeColor="text1"/>
                <w:highlight w:val="none"/>
                <w14:textFill>
                  <w14:solidFill>
                    <w14:schemeClr w14:val="tx1"/>
                  </w14:solidFill>
                </w14:textFill>
              </w:rPr>
              <w:t>kg/d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 w:hRule="atLeast"/>
          <w:jc w:val="center"/>
        </w:trPr>
        <w:tc>
          <w:tcPr>
            <w:tcW w:w="452" w:type="pct"/>
            <w:vMerge w:val="continue"/>
            <w:shd w:val="clear" w:color="auto" w:fill="auto"/>
            <w:vAlign w:val="center"/>
          </w:tcPr>
          <w:p>
            <w:pPr>
              <w:pStyle w:val="118"/>
              <w:rPr>
                <w:color w:val="000000" w:themeColor="text1"/>
                <w:highlight w:val="none"/>
                <w14:textFill>
                  <w14:solidFill>
                    <w14:schemeClr w14:val="tx1"/>
                  </w14:solidFill>
                </w14:textFill>
              </w:rPr>
            </w:pPr>
          </w:p>
        </w:tc>
        <w:tc>
          <w:tcPr>
            <w:tcW w:w="845" w:type="pct"/>
            <w:vMerge w:val="continue"/>
            <w:shd w:val="clear" w:color="auto" w:fill="auto"/>
            <w:vAlign w:val="center"/>
          </w:tcPr>
          <w:p>
            <w:pPr>
              <w:pStyle w:val="118"/>
              <w:rPr>
                <w:color w:val="000000" w:themeColor="text1"/>
                <w:highlight w:val="none"/>
                <w14:textFill>
                  <w14:solidFill>
                    <w14:schemeClr w14:val="tx1"/>
                  </w14:solidFill>
                </w14:textFill>
              </w:rPr>
            </w:pPr>
          </w:p>
        </w:tc>
        <w:tc>
          <w:tcPr>
            <w:tcW w:w="740" w:type="pct"/>
            <w:vMerge w:val="continue"/>
            <w:shd w:val="clear" w:color="auto" w:fill="auto"/>
            <w:vAlign w:val="center"/>
          </w:tcPr>
          <w:p>
            <w:pPr>
              <w:pStyle w:val="118"/>
              <w:rPr>
                <w:color w:val="000000" w:themeColor="text1"/>
                <w:highlight w:val="none"/>
                <w14:textFill>
                  <w14:solidFill>
                    <w14:schemeClr w14:val="tx1"/>
                  </w14:solidFill>
                </w14:textFill>
              </w:rPr>
            </w:pPr>
          </w:p>
        </w:tc>
        <w:tc>
          <w:tcPr>
            <w:tcW w:w="742"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BOD</w:t>
            </w:r>
            <w:r>
              <w:rPr>
                <w:color w:val="000000" w:themeColor="text1"/>
                <w:highlight w:val="none"/>
                <w:vertAlign w:val="subscript"/>
                <w14:textFill>
                  <w14:solidFill>
                    <w14:schemeClr w14:val="tx1"/>
                  </w14:solidFill>
                </w14:textFill>
              </w:rPr>
              <w:t>5</w:t>
            </w:r>
          </w:p>
        </w:tc>
        <w:tc>
          <w:tcPr>
            <w:tcW w:w="123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200</w:t>
            </w:r>
          </w:p>
        </w:tc>
        <w:tc>
          <w:tcPr>
            <w:tcW w:w="988"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0.2</w:t>
            </w:r>
            <w:r>
              <w:rPr>
                <w:rFonts w:hint="eastAsia"/>
                <w:color w:val="000000" w:themeColor="text1"/>
                <w:highlight w:val="none"/>
                <w14:textFill>
                  <w14:solidFill>
                    <w14:schemeClr w14:val="tx1"/>
                  </w14:solidFill>
                </w14:textFill>
              </w:rPr>
              <w:t>88</w:t>
            </w:r>
            <w:r>
              <w:rPr>
                <w:bCs/>
                <w:color w:val="000000" w:themeColor="text1"/>
                <w:highlight w:val="none"/>
                <w14:textFill>
                  <w14:solidFill>
                    <w14:schemeClr w14:val="tx1"/>
                  </w14:solidFill>
                </w14:textFill>
              </w:rPr>
              <w:t>kg/d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 w:hRule="atLeast"/>
          <w:jc w:val="center"/>
        </w:trPr>
        <w:tc>
          <w:tcPr>
            <w:tcW w:w="452" w:type="pct"/>
            <w:vMerge w:val="continue"/>
            <w:shd w:val="clear" w:color="auto" w:fill="auto"/>
            <w:vAlign w:val="center"/>
          </w:tcPr>
          <w:p>
            <w:pPr>
              <w:pStyle w:val="118"/>
              <w:rPr>
                <w:color w:val="000000" w:themeColor="text1"/>
                <w:highlight w:val="none"/>
                <w14:textFill>
                  <w14:solidFill>
                    <w14:schemeClr w14:val="tx1"/>
                  </w14:solidFill>
                </w14:textFill>
              </w:rPr>
            </w:pPr>
          </w:p>
        </w:tc>
        <w:tc>
          <w:tcPr>
            <w:tcW w:w="845" w:type="pct"/>
            <w:vMerge w:val="continue"/>
            <w:shd w:val="clear" w:color="auto" w:fill="auto"/>
            <w:vAlign w:val="center"/>
          </w:tcPr>
          <w:p>
            <w:pPr>
              <w:pStyle w:val="118"/>
              <w:rPr>
                <w:color w:val="000000" w:themeColor="text1"/>
                <w:highlight w:val="none"/>
                <w14:textFill>
                  <w14:solidFill>
                    <w14:schemeClr w14:val="tx1"/>
                  </w14:solidFill>
                </w14:textFill>
              </w:rPr>
            </w:pPr>
          </w:p>
        </w:tc>
        <w:tc>
          <w:tcPr>
            <w:tcW w:w="740" w:type="pct"/>
            <w:vMerge w:val="continue"/>
            <w:shd w:val="clear" w:color="auto" w:fill="auto"/>
            <w:vAlign w:val="center"/>
          </w:tcPr>
          <w:p>
            <w:pPr>
              <w:pStyle w:val="118"/>
              <w:rPr>
                <w:color w:val="000000" w:themeColor="text1"/>
                <w:highlight w:val="none"/>
                <w14:textFill>
                  <w14:solidFill>
                    <w14:schemeClr w14:val="tx1"/>
                  </w14:solidFill>
                </w14:textFill>
              </w:rPr>
            </w:pPr>
          </w:p>
        </w:tc>
        <w:tc>
          <w:tcPr>
            <w:tcW w:w="742"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氨氮</w:t>
            </w:r>
          </w:p>
        </w:tc>
        <w:tc>
          <w:tcPr>
            <w:tcW w:w="123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30</w:t>
            </w:r>
          </w:p>
        </w:tc>
        <w:tc>
          <w:tcPr>
            <w:tcW w:w="988"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0.04</w:t>
            </w:r>
            <w:r>
              <w:rPr>
                <w:rFonts w:hint="eastAsia"/>
                <w:color w:val="000000" w:themeColor="text1"/>
                <w:highlight w:val="none"/>
                <w14:textFill>
                  <w14:solidFill>
                    <w14:schemeClr w14:val="tx1"/>
                  </w14:solidFill>
                </w14:textFill>
              </w:rPr>
              <w:t>32</w:t>
            </w:r>
            <w:r>
              <w:rPr>
                <w:bCs/>
                <w:color w:val="000000" w:themeColor="text1"/>
                <w:highlight w:val="none"/>
                <w14:textFill>
                  <w14:solidFill>
                    <w14:schemeClr w14:val="tx1"/>
                  </w14:solidFill>
                </w14:textFill>
              </w:rPr>
              <w:t>kg/d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452" w:type="pct"/>
            <w:vMerge w:val="continue"/>
            <w:shd w:val="clear" w:color="auto" w:fill="auto"/>
            <w:vAlign w:val="center"/>
          </w:tcPr>
          <w:p>
            <w:pPr>
              <w:pStyle w:val="118"/>
              <w:rPr>
                <w:color w:val="000000" w:themeColor="text1"/>
                <w:highlight w:val="none"/>
                <w14:textFill>
                  <w14:solidFill>
                    <w14:schemeClr w14:val="tx1"/>
                  </w14:solidFill>
                </w14:textFill>
              </w:rPr>
            </w:pPr>
            <w:bookmarkStart w:id="168" w:name="_Toc7318"/>
          </w:p>
        </w:tc>
        <w:tc>
          <w:tcPr>
            <w:tcW w:w="845" w:type="pct"/>
            <w:vMerge w:val="continue"/>
            <w:shd w:val="clear" w:color="auto" w:fill="auto"/>
            <w:vAlign w:val="center"/>
          </w:tcPr>
          <w:p>
            <w:pPr>
              <w:pStyle w:val="118"/>
              <w:rPr>
                <w:color w:val="000000" w:themeColor="text1"/>
                <w:highlight w:val="none"/>
                <w14:textFill>
                  <w14:solidFill>
                    <w14:schemeClr w14:val="tx1"/>
                  </w14:solidFill>
                </w14:textFill>
              </w:rPr>
            </w:pPr>
          </w:p>
        </w:tc>
        <w:tc>
          <w:tcPr>
            <w:tcW w:w="740" w:type="pct"/>
            <w:vMerge w:val="continue"/>
            <w:shd w:val="clear" w:color="auto" w:fill="auto"/>
            <w:vAlign w:val="center"/>
          </w:tcPr>
          <w:p>
            <w:pPr>
              <w:pStyle w:val="118"/>
              <w:rPr>
                <w:color w:val="000000" w:themeColor="text1"/>
                <w:highlight w:val="none"/>
                <w14:textFill>
                  <w14:solidFill>
                    <w14:schemeClr w14:val="tx1"/>
                  </w14:solidFill>
                </w14:textFill>
              </w:rPr>
            </w:pPr>
          </w:p>
        </w:tc>
        <w:tc>
          <w:tcPr>
            <w:tcW w:w="742"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SS</w:t>
            </w:r>
          </w:p>
        </w:tc>
        <w:tc>
          <w:tcPr>
            <w:tcW w:w="1234"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250</w:t>
            </w:r>
          </w:p>
        </w:tc>
        <w:tc>
          <w:tcPr>
            <w:tcW w:w="988"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0.36kg/d</w:t>
            </w:r>
          </w:p>
        </w:tc>
      </w:tr>
    </w:tbl>
    <w:p>
      <w:pPr>
        <w:adjustRightInd/>
        <w:spacing w:before="120" w:beforeLines="5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（2）试压废水</w:t>
      </w:r>
    </w:p>
    <w:p>
      <w:pPr>
        <w:pStyle w:val="13"/>
        <w:adjustRightInd/>
        <w:spacing w:line="360" w:lineRule="auto"/>
        <w:ind w:firstLine="480" w:firstLineChars="200"/>
        <w:jc w:val="both"/>
        <w:rPr>
          <w:color w:val="000000" w:themeColor="text1"/>
          <w:sz w:val="24"/>
          <w:szCs w:val="21"/>
          <w:highlight w:val="none"/>
          <w14:textFill>
            <w14:solidFill>
              <w14:schemeClr w14:val="tx1"/>
            </w14:solidFill>
          </w14:textFill>
        </w:rPr>
      </w:pPr>
      <w:r>
        <w:rPr>
          <w:rFonts w:hint="eastAsia"/>
          <w:color w:val="000000" w:themeColor="text1"/>
          <w:sz w:val="24"/>
          <w:szCs w:val="21"/>
          <w:highlight w:val="none"/>
          <w14:textFill>
            <w14:solidFill>
              <w14:schemeClr w14:val="tx1"/>
            </w14:solidFill>
          </w14:textFill>
        </w:rPr>
        <w:t>站内</w:t>
      </w:r>
      <w:r>
        <w:rPr>
          <w:color w:val="000000" w:themeColor="text1"/>
          <w:sz w:val="24"/>
          <w:szCs w:val="21"/>
          <w:highlight w:val="none"/>
          <w14:textFill>
            <w14:solidFill>
              <w14:schemeClr w14:val="tx1"/>
            </w14:solidFill>
          </w14:textFill>
        </w:rPr>
        <w:t>管道试压前，采用</w:t>
      </w:r>
      <w:r>
        <w:rPr>
          <w:rFonts w:hint="eastAsia"/>
          <w:color w:val="000000" w:themeColor="text1"/>
          <w:sz w:val="24"/>
          <w:szCs w:val="21"/>
          <w:highlight w:val="none"/>
          <w14:textFill>
            <w14:solidFill>
              <w14:schemeClr w14:val="tx1"/>
            </w14:solidFill>
          </w14:textFill>
        </w:rPr>
        <w:t>氮气</w:t>
      </w:r>
      <w:r>
        <w:rPr>
          <w:color w:val="000000" w:themeColor="text1"/>
          <w:sz w:val="24"/>
          <w:szCs w:val="21"/>
          <w:highlight w:val="none"/>
          <w14:textFill>
            <w14:solidFill>
              <w14:schemeClr w14:val="tx1"/>
            </w14:solidFill>
          </w14:textFill>
        </w:rPr>
        <w:t>将管道内杂质全部清除完毕，管线清管合格标准为：以开口端不</w:t>
      </w:r>
      <w:r>
        <w:rPr>
          <w:rFonts w:hint="eastAsia"/>
          <w:color w:val="000000" w:themeColor="text1"/>
          <w:sz w:val="24"/>
          <w:szCs w:val="21"/>
          <w:highlight w:val="none"/>
          <w14:textFill>
            <w14:solidFill>
              <w14:schemeClr w14:val="tx1"/>
            </w14:solidFill>
          </w14:textFill>
        </w:rPr>
        <w:t>再</w:t>
      </w:r>
      <w:r>
        <w:rPr>
          <w:color w:val="000000" w:themeColor="text1"/>
          <w:sz w:val="24"/>
          <w:szCs w:val="21"/>
          <w:highlight w:val="none"/>
          <w14:textFill>
            <w14:solidFill>
              <w14:schemeClr w14:val="tx1"/>
            </w14:solidFill>
          </w14:textFill>
        </w:rPr>
        <w:t>排除杂物为合格。</w:t>
      </w:r>
    </w:p>
    <w:p>
      <w:pPr>
        <w:pStyle w:val="13"/>
        <w:adjustRightInd/>
        <w:spacing w:line="360" w:lineRule="auto"/>
        <w:ind w:firstLine="480" w:firstLineChars="200"/>
        <w:jc w:val="both"/>
        <w:rPr>
          <w:rFonts w:ascii="Times New Roman" w:hAnsi="Times New Roman"/>
          <w:color w:val="000000" w:themeColor="text1"/>
          <w:sz w:val="24"/>
          <w:szCs w:val="21"/>
          <w:highlight w:val="none"/>
          <w14:textFill>
            <w14:solidFill>
              <w14:schemeClr w14:val="tx1"/>
            </w14:solidFill>
          </w14:textFill>
        </w:rPr>
      </w:pPr>
      <w:r>
        <w:rPr>
          <w:rFonts w:ascii="Times New Roman" w:hAnsi="Times New Roman"/>
          <w:color w:val="000000" w:themeColor="text1"/>
          <w:sz w:val="24"/>
          <w:szCs w:val="21"/>
          <w:highlight w:val="none"/>
          <w14:textFill>
            <w14:solidFill>
              <w14:schemeClr w14:val="tx1"/>
            </w14:solidFill>
          </w14:textFill>
        </w:rPr>
        <w:t>管道采用洁净无腐蚀性的清洁水进行管道试压，用水量一般为充满整个管道容积的1.2倍，</w:t>
      </w:r>
      <w:r>
        <w:rPr>
          <w:rFonts w:hint="eastAsia" w:ascii="Times New Roman" w:hAnsi="Times New Roman"/>
          <w:color w:val="000000" w:themeColor="text1"/>
          <w:sz w:val="24"/>
          <w:szCs w:val="21"/>
          <w:highlight w:val="none"/>
          <w14:textFill>
            <w14:solidFill>
              <w14:schemeClr w14:val="tx1"/>
            </w14:solidFill>
          </w14:textFill>
        </w:rPr>
        <w:t>站内</w:t>
      </w:r>
      <w:r>
        <w:rPr>
          <w:rFonts w:ascii="Times New Roman" w:hAnsi="Times New Roman"/>
          <w:color w:val="000000" w:themeColor="text1"/>
          <w:sz w:val="24"/>
          <w:szCs w:val="21"/>
          <w:highlight w:val="none"/>
          <w14:textFill>
            <w14:solidFill>
              <w14:schemeClr w14:val="tx1"/>
            </w14:solidFill>
          </w14:textFill>
        </w:rPr>
        <w:t>管道试压废水产生总量约</w:t>
      </w:r>
      <w:r>
        <w:rPr>
          <w:rFonts w:hint="eastAsia" w:ascii="Times New Roman" w:hAnsi="Times New Roman"/>
          <w:color w:val="000000" w:themeColor="text1"/>
          <w:sz w:val="24"/>
          <w:szCs w:val="21"/>
          <w:highlight w:val="none"/>
          <w14:textFill>
            <w14:solidFill>
              <w14:schemeClr w14:val="tx1"/>
            </w14:solidFill>
          </w14:textFill>
        </w:rPr>
        <w:t>1.</w:t>
      </w:r>
      <w:r>
        <w:rPr>
          <w:rFonts w:ascii="Times New Roman" w:hAnsi="Times New Roman"/>
          <w:color w:val="000000" w:themeColor="text1"/>
          <w:sz w:val="24"/>
          <w:szCs w:val="21"/>
          <w:highlight w:val="none"/>
          <w14:textFill>
            <w14:solidFill>
              <w14:schemeClr w14:val="tx1"/>
            </w14:solidFill>
          </w14:textFill>
        </w:rPr>
        <w:t>5m</w:t>
      </w:r>
      <w:r>
        <w:rPr>
          <w:rFonts w:ascii="Times New Roman" w:hAnsi="Times New Roman"/>
          <w:color w:val="000000" w:themeColor="text1"/>
          <w:sz w:val="24"/>
          <w:szCs w:val="21"/>
          <w:highlight w:val="none"/>
          <w:vertAlign w:val="superscript"/>
          <w14:textFill>
            <w14:solidFill>
              <w14:schemeClr w14:val="tx1"/>
            </w14:solidFill>
          </w14:textFill>
        </w:rPr>
        <w:t>3</w:t>
      </w:r>
      <w:r>
        <w:rPr>
          <w:rFonts w:ascii="Times New Roman" w:hAnsi="Times New Roman"/>
          <w:color w:val="000000" w:themeColor="text1"/>
          <w:sz w:val="24"/>
          <w:szCs w:val="21"/>
          <w:highlight w:val="none"/>
          <w14:textFill>
            <w14:solidFill>
              <w14:schemeClr w14:val="tx1"/>
            </w14:solidFill>
          </w14:textFill>
        </w:rPr>
        <w:t>，主要污染物SS浓度按70mg/L计，则SS产生量为</w:t>
      </w:r>
      <w:r>
        <w:rPr>
          <w:rFonts w:hint="eastAsia" w:ascii="Times New Roman" w:hAnsi="Times New Roman"/>
          <w:color w:val="000000" w:themeColor="text1"/>
          <w:sz w:val="24"/>
          <w:szCs w:val="21"/>
          <w:highlight w:val="none"/>
          <w14:textFill>
            <w14:solidFill>
              <w14:schemeClr w14:val="tx1"/>
            </w14:solidFill>
          </w14:textFill>
        </w:rPr>
        <w:t>1.05</w:t>
      </w:r>
      <w:r>
        <w:rPr>
          <w:rFonts w:ascii="Times New Roman" w:hAnsi="Times New Roman"/>
          <w:color w:val="000000" w:themeColor="text1"/>
          <w:sz w:val="24"/>
          <w:szCs w:val="21"/>
          <w:highlight w:val="none"/>
          <w14:textFill>
            <w14:solidFill>
              <w14:schemeClr w14:val="tx1"/>
            </w14:solidFill>
          </w14:textFill>
        </w:rPr>
        <w:t>kg。试压用水为洁净水，试压废水经管道出水口排入</w:t>
      </w:r>
      <w:r>
        <w:rPr>
          <w:rFonts w:hint="eastAsia" w:ascii="Times New Roman" w:hAnsi="Times New Roman"/>
          <w:color w:val="000000" w:themeColor="text1"/>
          <w:sz w:val="24"/>
          <w:szCs w:val="21"/>
          <w:highlight w:val="none"/>
          <w14:textFill>
            <w14:solidFill>
              <w14:schemeClr w14:val="tx1"/>
            </w14:solidFill>
          </w14:textFill>
        </w:rPr>
        <w:t>站场内新建</w:t>
      </w:r>
      <w:r>
        <w:rPr>
          <w:rFonts w:ascii="Times New Roman" w:hAnsi="Times New Roman"/>
          <w:color w:val="000000" w:themeColor="text1"/>
          <w:sz w:val="24"/>
          <w:szCs w:val="21"/>
          <w:highlight w:val="none"/>
          <w14:textFill>
            <w14:solidFill>
              <w14:schemeClr w14:val="tx1"/>
            </w14:solidFill>
          </w14:textFill>
        </w:rPr>
        <w:t>沉淀池（</w:t>
      </w:r>
      <w:r>
        <w:rPr>
          <w:rFonts w:hint="eastAsia" w:ascii="Times New Roman" w:hAnsi="Times New Roman"/>
          <w:color w:val="000000" w:themeColor="text1"/>
          <w:sz w:val="24"/>
          <w:szCs w:val="21"/>
          <w:highlight w:val="none"/>
          <w14:textFill>
            <w14:solidFill>
              <w14:schemeClr w14:val="tx1"/>
            </w14:solidFill>
          </w14:textFill>
        </w:rPr>
        <w:t>2</w:t>
      </w:r>
      <w:r>
        <w:rPr>
          <w:rFonts w:ascii="Times New Roman" w:hAnsi="Times New Roman"/>
          <w:color w:val="000000" w:themeColor="text1"/>
          <w:sz w:val="24"/>
          <w:szCs w:val="21"/>
          <w:highlight w:val="none"/>
          <w14:textFill>
            <w14:solidFill>
              <w14:schemeClr w14:val="tx1"/>
            </w14:solidFill>
          </w14:textFill>
        </w:rPr>
        <w:t>m</w:t>
      </w:r>
      <w:r>
        <w:rPr>
          <w:rFonts w:ascii="Times New Roman" w:hAnsi="Times New Roman"/>
          <w:color w:val="000000" w:themeColor="text1"/>
          <w:sz w:val="24"/>
          <w:szCs w:val="21"/>
          <w:highlight w:val="none"/>
          <w:vertAlign w:val="superscript"/>
          <w14:textFill>
            <w14:solidFill>
              <w14:schemeClr w14:val="tx1"/>
            </w14:solidFill>
          </w14:textFill>
        </w:rPr>
        <w:t>3</w:t>
      </w:r>
      <w:r>
        <w:rPr>
          <w:rFonts w:ascii="Times New Roman" w:hAnsi="Times New Roman"/>
          <w:color w:val="000000" w:themeColor="text1"/>
          <w:sz w:val="24"/>
          <w:szCs w:val="21"/>
          <w:highlight w:val="none"/>
          <w14:textFill>
            <w14:solidFill>
              <w14:schemeClr w14:val="tx1"/>
            </w14:solidFill>
          </w14:textFill>
        </w:rPr>
        <w:t>），经沉淀后回用于场地洒水降尘，不外排。</w:t>
      </w:r>
    </w:p>
    <w:p>
      <w:pPr>
        <w:adjustRightInd/>
        <w:spacing w:before="120" w:beforeLines="50"/>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3、噪声</w:t>
      </w:r>
      <w:bookmarkEnd w:id="168"/>
    </w:p>
    <w:p>
      <w:pPr>
        <w:adjustRightInd/>
        <w:ind w:firstLine="480"/>
        <w:textAlignment w:val="center"/>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施工期噪声主要来源于机械</w:t>
      </w:r>
      <w:r>
        <w:rPr>
          <w:rFonts w:hint="eastAsia"/>
          <w:color w:val="000000" w:themeColor="text1"/>
          <w:szCs w:val="24"/>
          <w:highlight w:val="none"/>
          <w14:textFill>
            <w14:solidFill>
              <w14:schemeClr w14:val="tx1"/>
            </w14:solidFill>
          </w14:textFill>
        </w:rPr>
        <w:t>设备</w:t>
      </w:r>
      <w:r>
        <w:rPr>
          <w:color w:val="000000" w:themeColor="text1"/>
          <w:szCs w:val="24"/>
          <w:highlight w:val="none"/>
          <w14:textFill>
            <w14:solidFill>
              <w14:schemeClr w14:val="tx1"/>
            </w14:solidFill>
          </w14:textFill>
        </w:rPr>
        <w:t>和运输车辆噪声，</w:t>
      </w:r>
      <w:r>
        <w:rPr>
          <w:rFonts w:hint="eastAsia"/>
          <w:color w:val="000000" w:themeColor="text1"/>
          <w:szCs w:val="24"/>
          <w:highlight w:val="none"/>
          <w14:textFill>
            <w14:solidFill>
              <w14:schemeClr w14:val="tx1"/>
            </w14:solidFill>
          </w14:textFill>
        </w:rPr>
        <w:t>参考</w:t>
      </w:r>
      <w:r>
        <w:rPr>
          <w:rFonts w:hint="eastAsia"/>
          <w:color w:val="000000" w:themeColor="text1"/>
          <w:highlight w:val="none"/>
          <w14:textFill>
            <w14:solidFill>
              <w14:schemeClr w14:val="tx1"/>
            </w14:solidFill>
          </w14:textFill>
        </w:rPr>
        <w:t>《噪声与振动控制工程手册》《环境噪声与振动控制工程设计导则》</w:t>
      </w:r>
      <w:r>
        <w:rPr>
          <w:rFonts w:hint="eastAsia"/>
          <w:color w:val="000000" w:themeColor="text1"/>
          <w:szCs w:val="24"/>
          <w:highlight w:val="none"/>
          <w14:textFill>
            <w14:solidFill>
              <w14:schemeClr w14:val="tx1"/>
            </w14:solidFill>
          </w14:textFill>
        </w:rPr>
        <w:t>，</w:t>
      </w:r>
      <w:r>
        <w:rPr>
          <w:color w:val="000000" w:themeColor="text1"/>
          <w:szCs w:val="24"/>
          <w:highlight w:val="none"/>
          <w14:textFill>
            <w14:solidFill>
              <w14:schemeClr w14:val="tx1"/>
            </w14:solidFill>
          </w14:textFill>
        </w:rPr>
        <w:t>施工阶段的主要产噪机械设备、运输车辆及其</w:t>
      </w:r>
      <w:r>
        <w:rPr>
          <w:rFonts w:hint="eastAsia"/>
          <w:color w:val="000000" w:themeColor="text1"/>
          <w:szCs w:val="24"/>
          <w:highlight w:val="none"/>
          <w14:textFill>
            <w14:solidFill>
              <w14:schemeClr w14:val="tx1"/>
            </w14:solidFill>
          </w14:textFill>
        </w:rPr>
        <w:t>声功率级</w:t>
      </w:r>
      <w:r>
        <w:rPr>
          <w:color w:val="000000" w:themeColor="text1"/>
          <w:szCs w:val="24"/>
          <w:highlight w:val="none"/>
          <w14:textFill>
            <w14:solidFill>
              <w14:schemeClr w14:val="tx1"/>
            </w14:solidFill>
          </w14:textFill>
        </w:rPr>
        <w:t>见表</w:t>
      </w:r>
      <w:r>
        <w:rPr>
          <w:rFonts w:hint="eastAsia"/>
          <w:color w:val="000000" w:themeColor="text1"/>
          <w:szCs w:val="24"/>
          <w:highlight w:val="none"/>
          <w14:textFill>
            <w14:solidFill>
              <w14:schemeClr w14:val="tx1"/>
            </w14:solidFill>
          </w14:textFill>
        </w:rPr>
        <w:t>3.4-2，表3.4-3</w:t>
      </w:r>
      <w:r>
        <w:rPr>
          <w:color w:val="000000" w:themeColor="text1"/>
          <w:szCs w:val="24"/>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施工期主要噪声源及其声级值</w:t>
      </w:r>
    </w:p>
    <w:tbl>
      <w:tblPr>
        <w:tblStyle w:val="4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50"/>
        <w:gridCol w:w="1174"/>
        <w:gridCol w:w="1694"/>
        <w:gridCol w:w="1435"/>
        <w:gridCol w:w="1435"/>
        <w:gridCol w:w="14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2" w:type="pct"/>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声源</w:t>
            </w:r>
          </w:p>
        </w:tc>
        <w:tc>
          <w:tcPr>
            <w:tcW w:w="689" w:type="pct"/>
            <w:shd w:val="clear" w:color="auto" w:fill="auto"/>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距离/m</w:t>
            </w:r>
          </w:p>
        </w:tc>
        <w:tc>
          <w:tcPr>
            <w:tcW w:w="994" w:type="pct"/>
            <w:shd w:val="clear" w:color="auto" w:fill="auto"/>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声压级/</w:t>
            </w:r>
            <w:r>
              <w:rPr>
                <w:b/>
                <w:bCs/>
                <w:color w:val="000000" w:themeColor="text1"/>
                <w:highlight w:val="none"/>
                <w14:textFill>
                  <w14:solidFill>
                    <w14:schemeClr w14:val="tx1"/>
                  </w14:solidFill>
                </w14:textFill>
              </w:rPr>
              <w:t>dB</w:t>
            </w:r>
            <w:r>
              <w:rPr>
                <w:rFonts w:hint="eastAsia"/>
                <w:b/>
                <w:bCs/>
                <w:color w:val="000000" w:themeColor="text1"/>
                <w:highlight w:val="none"/>
                <w14:textFill>
                  <w14:solidFill>
                    <w14:schemeClr w14:val="tx1"/>
                  </w14:solidFill>
                </w14:textFill>
              </w:rPr>
              <w:t>(</w:t>
            </w:r>
            <w:r>
              <w:rPr>
                <w:b/>
                <w:bCs/>
                <w:color w:val="000000" w:themeColor="text1"/>
                <w:highlight w:val="none"/>
                <w14:textFill>
                  <w14:solidFill>
                    <w14:schemeClr w14:val="tx1"/>
                  </w14:solidFill>
                </w14:textFill>
              </w:rPr>
              <w:t>A</w:t>
            </w:r>
            <w:r>
              <w:rPr>
                <w:rFonts w:hint="eastAsia"/>
                <w:b/>
                <w:bCs/>
                <w:color w:val="000000" w:themeColor="text1"/>
                <w:highlight w:val="none"/>
                <w14:textFill>
                  <w14:solidFill>
                    <w14:schemeClr w14:val="tx1"/>
                  </w14:solidFill>
                </w14:textFill>
              </w:rPr>
              <w:t>)</w:t>
            </w:r>
          </w:p>
        </w:tc>
        <w:tc>
          <w:tcPr>
            <w:tcW w:w="842" w:type="pct"/>
            <w:shd w:val="clear" w:color="auto" w:fill="auto"/>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运行方式</w:t>
            </w:r>
          </w:p>
        </w:tc>
        <w:tc>
          <w:tcPr>
            <w:tcW w:w="842" w:type="pct"/>
            <w:shd w:val="clear" w:color="auto" w:fill="auto"/>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运行时间/h</w:t>
            </w:r>
          </w:p>
        </w:tc>
        <w:tc>
          <w:tcPr>
            <w:tcW w:w="842" w:type="pct"/>
            <w:shd w:val="clear" w:color="auto" w:fill="auto"/>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作业范围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2"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挖掘机</w:t>
            </w:r>
          </w:p>
        </w:tc>
        <w:tc>
          <w:tcPr>
            <w:tcW w:w="689"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w:t>
            </w:r>
          </w:p>
        </w:tc>
        <w:tc>
          <w:tcPr>
            <w:tcW w:w="994"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84</w:t>
            </w:r>
          </w:p>
        </w:tc>
        <w:tc>
          <w:tcPr>
            <w:tcW w:w="842"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间歇</w:t>
            </w:r>
          </w:p>
        </w:tc>
        <w:tc>
          <w:tcPr>
            <w:tcW w:w="842"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间断，＜2</w:t>
            </w:r>
          </w:p>
        </w:tc>
        <w:tc>
          <w:tcPr>
            <w:tcW w:w="842" w:type="pct"/>
            <w:vMerge w:val="restar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试采站内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2"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装载机</w:t>
            </w:r>
          </w:p>
        </w:tc>
        <w:tc>
          <w:tcPr>
            <w:tcW w:w="689"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w:t>
            </w:r>
          </w:p>
        </w:tc>
        <w:tc>
          <w:tcPr>
            <w:tcW w:w="994"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86</w:t>
            </w:r>
          </w:p>
        </w:tc>
        <w:tc>
          <w:tcPr>
            <w:tcW w:w="842"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间歇</w:t>
            </w:r>
          </w:p>
        </w:tc>
        <w:tc>
          <w:tcPr>
            <w:tcW w:w="842"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间断，＜2</w:t>
            </w:r>
          </w:p>
        </w:tc>
        <w:tc>
          <w:tcPr>
            <w:tcW w:w="842" w:type="pct"/>
            <w:vMerge w:val="continue"/>
            <w:shd w:val="clear" w:color="auto" w:fill="auto"/>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2"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打桩机</w:t>
            </w:r>
          </w:p>
        </w:tc>
        <w:tc>
          <w:tcPr>
            <w:tcW w:w="689"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p>
        </w:tc>
        <w:tc>
          <w:tcPr>
            <w:tcW w:w="994"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104</w:t>
            </w:r>
          </w:p>
        </w:tc>
        <w:tc>
          <w:tcPr>
            <w:tcW w:w="842"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间歇</w:t>
            </w:r>
          </w:p>
        </w:tc>
        <w:tc>
          <w:tcPr>
            <w:tcW w:w="842"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间断，＜2</w:t>
            </w:r>
          </w:p>
        </w:tc>
        <w:tc>
          <w:tcPr>
            <w:tcW w:w="842" w:type="pct"/>
            <w:vMerge w:val="continue"/>
            <w:shd w:val="clear" w:color="auto" w:fill="auto"/>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2"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切割机</w:t>
            </w:r>
          </w:p>
        </w:tc>
        <w:tc>
          <w:tcPr>
            <w:tcW w:w="689"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p>
        </w:tc>
        <w:tc>
          <w:tcPr>
            <w:tcW w:w="994"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88</w:t>
            </w:r>
          </w:p>
        </w:tc>
        <w:tc>
          <w:tcPr>
            <w:tcW w:w="842"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间歇</w:t>
            </w:r>
          </w:p>
        </w:tc>
        <w:tc>
          <w:tcPr>
            <w:tcW w:w="842"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间断，＜2</w:t>
            </w:r>
          </w:p>
        </w:tc>
        <w:tc>
          <w:tcPr>
            <w:tcW w:w="842" w:type="pct"/>
            <w:vMerge w:val="continue"/>
            <w:shd w:val="clear" w:color="auto" w:fill="auto"/>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2"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起重机</w:t>
            </w:r>
          </w:p>
        </w:tc>
        <w:tc>
          <w:tcPr>
            <w:tcW w:w="689"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15</w:t>
            </w:r>
          </w:p>
        </w:tc>
        <w:tc>
          <w:tcPr>
            <w:tcW w:w="994"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73</w:t>
            </w:r>
          </w:p>
        </w:tc>
        <w:tc>
          <w:tcPr>
            <w:tcW w:w="842"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间歇</w:t>
            </w:r>
          </w:p>
        </w:tc>
        <w:tc>
          <w:tcPr>
            <w:tcW w:w="842"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间断，＜2</w:t>
            </w:r>
          </w:p>
        </w:tc>
        <w:tc>
          <w:tcPr>
            <w:tcW w:w="842" w:type="pct"/>
            <w:vMerge w:val="continue"/>
            <w:shd w:val="clear" w:color="auto" w:fill="auto"/>
            <w:vAlign w:val="center"/>
          </w:tcPr>
          <w:p>
            <w:pPr>
              <w:pStyle w:val="118"/>
              <w:rPr>
                <w:color w:val="000000" w:themeColor="text1"/>
                <w:highlight w:val="none"/>
                <w14:textFill>
                  <w14:solidFill>
                    <w14:schemeClr w14:val="tx1"/>
                  </w14:solidFill>
                </w14:textFill>
              </w:rPr>
            </w:pPr>
          </w:p>
        </w:tc>
      </w:tr>
    </w:tbl>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主要运输车辆的噪声</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44"/>
        <w:gridCol w:w="53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44" w:type="pct"/>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设备名称</w:t>
            </w:r>
          </w:p>
        </w:tc>
        <w:tc>
          <w:tcPr>
            <w:tcW w:w="3156" w:type="pct"/>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噪声dB（A）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4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中型载重汽车</w:t>
            </w:r>
          </w:p>
        </w:tc>
        <w:tc>
          <w:tcPr>
            <w:tcW w:w="3156"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91+0.3v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4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轻型载重汽车</w:t>
            </w:r>
          </w:p>
        </w:tc>
        <w:tc>
          <w:tcPr>
            <w:tcW w:w="3156"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89+0.3v</w:t>
            </w:r>
          </w:p>
        </w:tc>
      </w:tr>
    </w:tbl>
    <w:p>
      <w:pPr>
        <w:adjustRightInd/>
        <w:spacing w:before="120" w:beforeLines="50"/>
        <w:ind w:firstLine="480"/>
        <w:rPr>
          <w:bCs/>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根据</w:t>
      </w:r>
      <w:r>
        <w:rPr>
          <w:rFonts w:hint="eastAsia"/>
          <w:color w:val="000000" w:themeColor="text1"/>
          <w:szCs w:val="24"/>
          <w:highlight w:val="none"/>
          <w14:textFill>
            <w14:solidFill>
              <w14:schemeClr w14:val="tx1"/>
            </w14:solidFill>
          </w14:textFill>
        </w:rPr>
        <w:t>《噪声与振动控制工程手册》</w:t>
      </w:r>
      <w:r>
        <w:rPr>
          <w:color w:val="000000" w:themeColor="text1"/>
          <w:szCs w:val="24"/>
          <w:highlight w:val="none"/>
          <w14:textFill>
            <w14:solidFill>
              <w14:schemeClr w14:val="tx1"/>
            </w14:solidFill>
          </w14:textFill>
        </w:rPr>
        <w:t>，</w:t>
      </w:r>
      <w:r>
        <w:rPr>
          <w:rFonts w:hint="eastAsia"/>
          <w:color w:val="000000" w:themeColor="text1"/>
          <w:szCs w:val="24"/>
          <w:highlight w:val="none"/>
          <w14:textFill>
            <w14:solidFill>
              <w14:schemeClr w14:val="tx1"/>
            </w14:solidFill>
          </w14:textFill>
        </w:rPr>
        <w:t>施工机械设备</w:t>
      </w:r>
      <w:r>
        <w:rPr>
          <w:color w:val="000000" w:themeColor="text1"/>
          <w:szCs w:val="24"/>
          <w:highlight w:val="none"/>
          <w14:textFill>
            <w14:solidFill>
              <w14:schemeClr w14:val="tx1"/>
            </w14:solidFill>
          </w14:textFill>
        </w:rPr>
        <w:t>在工作中产生的噪声经过一定的距离（5</w:t>
      </w:r>
      <w:r>
        <w:rPr>
          <w:rFonts w:hint="eastAsia"/>
          <w:color w:val="000000" w:themeColor="text1"/>
          <w:szCs w:val="24"/>
          <w:highlight w:val="none"/>
          <w14:textFill>
            <w14:solidFill>
              <w14:schemeClr w14:val="tx1"/>
            </w14:solidFill>
          </w14:textFill>
        </w:rPr>
        <w:t>～</w:t>
      </w:r>
      <w:r>
        <w:rPr>
          <w:color w:val="000000" w:themeColor="text1"/>
          <w:szCs w:val="24"/>
          <w:highlight w:val="none"/>
          <w14:textFill>
            <w14:solidFill>
              <w14:schemeClr w14:val="tx1"/>
            </w14:solidFill>
          </w14:textFill>
        </w:rPr>
        <w:t>10m）传播后，其噪声强度</w:t>
      </w:r>
      <w:r>
        <w:rPr>
          <w:rFonts w:hint="eastAsia"/>
          <w:color w:val="000000" w:themeColor="text1"/>
          <w:szCs w:val="24"/>
          <w:highlight w:val="none"/>
          <w14:textFill>
            <w14:solidFill>
              <w14:schemeClr w14:val="tx1"/>
            </w14:solidFill>
          </w14:textFill>
        </w:rPr>
        <w:t>会衰减13-26</w:t>
      </w:r>
      <w:r>
        <w:rPr>
          <w:color w:val="000000" w:themeColor="text1"/>
          <w:szCs w:val="24"/>
          <w:highlight w:val="none"/>
          <w14:textFill>
            <w14:solidFill>
              <w14:schemeClr w14:val="tx1"/>
            </w14:solidFill>
          </w14:textFill>
        </w:rPr>
        <w:t>dB（A）</w:t>
      </w:r>
      <w:r>
        <w:rPr>
          <w:rFonts w:hint="eastAsia"/>
          <w:color w:val="000000" w:themeColor="text1"/>
          <w:szCs w:val="24"/>
          <w:highlight w:val="none"/>
          <w14:textFill>
            <w14:solidFill>
              <w14:schemeClr w14:val="tx1"/>
            </w14:solidFill>
          </w14:textFill>
        </w:rPr>
        <w:t>。本项目施工机械尽量布置在场地中部，尽可能远离居民点，站场施工仅在昼间进行，载重车辆途经居民点时，降低车速，禁止鸣笛，施工期噪声对居民影响较小。</w:t>
      </w:r>
    </w:p>
    <w:p>
      <w:pPr>
        <w:adjustRightInd/>
        <w:ind w:firstLine="482"/>
        <w:rPr>
          <w:b/>
          <w:bCs/>
          <w:color w:val="000000" w:themeColor="text1"/>
          <w:highlight w:val="none"/>
          <w14:textFill>
            <w14:solidFill>
              <w14:schemeClr w14:val="tx1"/>
            </w14:solidFill>
          </w14:textFill>
        </w:rPr>
      </w:pPr>
      <w:bookmarkStart w:id="169" w:name="_Toc21583"/>
      <w:r>
        <w:rPr>
          <w:b/>
          <w:bCs/>
          <w:color w:val="000000" w:themeColor="text1"/>
          <w:highlight w:val="none"/>
          <w14:textFill>
            <w14:solidFill>
              <w14:schemeClr w14:val="tx1"/>
            </w14:solidFill>
          </w14:textFill>
        </w:rPr>
        <w:t>4、固体废弃物</w:t>
      </w:r>
      <w:bookmarkEnd w:id="169"/>
    </w:p>
    <w:p>
      <w:pPr>
        <w:adjustRightInd/>
        <w:ind w:firstLine="480"/>
        <w:rPr>
          <w:bCs/>
          <w:color w:val="000000" w:themeColor="text1"/>
          <w:szCs w:val="24"/>
          <w:highlight w:val="none"/>
          <w14:textFill>
            <w14:solidFill>
              <w14:schemeClr w14:val="tx1"/>
            </w14:solidFill>
          </w14:textFill>
        </w:rPr>
      </w:pPr>
      <w:bookmarkStart w:id="170" w:name="_Toc18371"/>
      <w:r>
        <w:rPr>
          <w:rFonts w:hint="eastAsia"/>
          <w:bCs/>
          <w:color w:val="000000" w:themeColor="text1"/>
          <w:szCs w:val="24"/>
          <w:highlight w:val="none"/>
          <w14:textFill>
            <w14:solidFill>
              <w14:schemeClr w14:val="tx1"/>
            </w14:solidFill>
          </w14:textFill>
        </w:rPr>
        <w:t>①</w:t>
      </w:r>
      <w:r>
        <w:rPr>
          <w:bCs/>
          <w:color w:val="000000" w:themeColor="text1"/>
          <w:szCs w:val="24"/>
          <w:highlight w:val="none"/>
          <w14:textFill>
            <w14:solidFill>
              <w14:schemeClr w14:val="tx1"/>
            </w14:solidFill>
          </w14:textFill>
        </w:rPr>
        <w:t>生活垃圾</w:t>
      </w:r>
      <w:bookmarkEnd w:id="170"/>
    </w:p>
    <w:p>
      <w:pPr>
        <w:adjustRightInd/>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本项目</w:t>
      </w:r>
      <w:r>
        <w:rPr>
          <w:rFonts w:hint="eastAsia"/>
          <w:color w:val="000000" w:themeColor="text1"/>
          <w:szCs w:val="24"/>
          <w:highlight w:val="none"/>
          <w14:textFill>
            <w14:solidFill>
              <w14:schemeClr w14:val="tx1"/>
            </w14:solidFill>
          </w14:textFill>
        </w:rPr>
        <w:t>站场</w:t>
      </w:r>
      <w:r>
        <w:rPr>
          <w:color w:val="000000" w:themeColor="text1"/>
          <w:szCs w:val="24"/>
          <w:highlight w:val="none"/>
          <w14:textFill>
            <w14:solidFill>
              <w14:schemeClr w14:val="tx1"/>
            </w14:solidFill>
          </w14:textFill>
        </w:rPr>
        <w:t>施工高峰期施工人员约为20人，生活垃圾产生量按0.5kg/人·d计，</w:t>
      </w:r>
      <w:r>
        <w:rPr>
          <w:rFonts w:hint="eastAsia"/>
          <w:color w:val="000000" w:themeColor="text1"/>
          <w:szCs w:val="24"/>
          <w:highlight w:val="none"/>
          <w14:textFill>
            <w14:solidFill>
              <w14:schemeClr w14:val="tx1"/>
            </w14:solidFill>
          </w14:textFill>
        </w:rPr>
        <w:t>站场</w:t>
      </w:r>
      <w:r>
        <w:rPr>
          <w:color w:val="000000" w:themeColor="text1"/>
          <w:szCs w:val="24"/>
          <w:highlight w:val="none"/>
          <w14:textFill>
            <w14:solidFill>
              <w14:schemeClr w14:val="tx1"/>
            </w14:solidFill>
          </w14:textFill>
        </w:rPr>
        <w:t>计划</w:t>
      </w:r>
      <w:r>
        <w:rPr>
          <w:rFonts w:hint="eastAsia"/>
          <w:color w:val="000000" w:themeColor="text1"/>
          <w:szCs w:val="24"/>
          <w:highlight w:val="none"/>
          <w14:textFill>
            <w14:solidFill>
              <w14:schemeClr w14:val="tx1"/>
            </w14:solidFill>
          </w14:textFill>
        </w:rPr>
        <w:t>1</w:t>
      </w:r>
      <w:r>
        <w:rPr>
          <w:color w:val="000000" w:themeColor="text1"/>
          <w:szCs w:val="24"/>
          <w:highlight w:val="none"/>
          <w14:textFill>
            <w14:solidFill>
              <w14:schemeClr w14:val="tx1"/>
            </w14:solidFill>
          </w14:textFill>
        </w:rPr>
        <w:t>个月，</w:t>
      </w:r>
      <w:r>
        <w:rPr>
          <w:rFonts w:hint="eastAsia"/>
          <w:color w:val="000000" w:themeColor="text1"/>
          <w:szCs w:val="24"/>
          <w:highlight w:val="none"/>
          <w14:textFill>
            <w14:solidFill>
              <w14:schemeClr w14:val="tx1"/>
            </w14:solidFill>
          </w14:textFill>
        </w:rPr>
        <w:t>施工期生活垃圾产生量约0.3t，依托租用房屋已有生活垃圾收集措施收集后，最终由</w:t>
      </w:r>
      <w:r>
        <w:rPr>
          <w:color w:val="000000" w:themeColor="text1"/>
          <w:szCs w:val="24"/>
          <w:highlight w:val="none"/>
          <w14:textFill>
            <w14:solidFill>
              <w14:schemeClr w14:val="tx1"/>
            </w14:solidFill>
          </w14:textFill>
        </w:rPr>
        <w:t>市政环卫部门统一清运处置。</w:t>
      </w:r>
    </w:p>
    <w:p>
      <w:pPr>
        <w:adjustRightInd/>
        <w:ind w:firstLine="480"/>
        <w:rPr>
          <w:bCs/>
          <w:color w:val="000000" w:themeColor="text1"/>
          <w:szCs w:val="24"/>
          <w:highlight w:val="none"/>
          <w14:textFill>
            <w14:solidFill>
              <w14:schemeClr w14:val="tx1"/>
            </w14:solidFill>
          </w14:textFill>
        </w:rPr>
      </w:pPr>
      <w:r>
        <w:rPr>
          <w:rFonts w:hint="eastAsia"/>
          <w:bCs/>
          <w:color w:val="000000" w:themeColor="text1"/>
          <w:szCs w:val="24"/>
          <w:highlight w:val="none"/>
          <w14:textFill>
            <w14:solidFill>
              <w14:schemeClr w14:val="tx1"/>
            </w14:solidFill>
          </w14:textFill>
        </w:rPr>
        <w:t>②鱼塘淤泥</w:t>
      </w:r>
    </w:p>
    <w:p>
      <w:pPr>
        <w:adjustRightInd/>
        <w:ind w:firstLine="480"/>
        <w:rPr>
          <w:color w:val="000000" w:themeColor="text1"/>
          <w:szCs w:val="24"/>
          <w:highlight w:val="none"/>
          <w14:textFill>
            <w14:solidFill>
              <w14:schemeClr w14:val="tx1"/>
            </w14:solidFill>
          </w14:textFill>
        </w:rPr>
      </w:pPr>
      <w:r>
        <w:rPr>
          <w:rFonts w:hint="eastAsia"/>
          <w:color w:val="000000" w:themeColor="text1"/>
          <w:szCs w:val="24"/>
          <w:highlight w:val="none"/>
          <w14:textFill>
            <w14:solidFill>
              <w14:schemeClr w14:val="tx1"/>
            </w14:solidFill>
          </w14:textFill>
        </w:rPr>
        <w:t>雷页1井试采站利用雷页1井井场西侧鱼塘填平后建设，填方前需对鱼塘清淤，清淤淤泥产生量约为100m</w:t>
      </w:r>
      <w:r>
        <w:rPr>
          <w:rFonts w:hint="eastAsia"/>
          <w:color w:val="000000" w:themeColor="text1"/>
          <w:szCs w:val="24"/>
          <w:highlight w:val="none"/>
          <w:vertAlign w:val="superscript"/>
          <w14:textFill>
            <w14:solidFill>
              <w14:schemeClr w14:val="tx1"/>
            </w14:solidFill>
          </w14:textFill>
        </w:rPr>
        <w:t>3</w:t>
      </w:r>
      <w:r>
        <w:rPr>
          <w:rFonts w:hint="eastAsia"/>
          <w:color w:val="000000" w:themeColor="text1"/>
          <w:szCs w:val="24"/>
          <w:highlight w:val="none"/>
          <w14:textFill>
            <w14:solidFill>
              <w14:schemeClr w14:val="tx1"/>
            </w14:solidFill>
          </w14:textFill>
        </w:rPr>
        <w:t>，经晾干</w:t>
      </w:r>
      <w:r>
        <w:rPr>
          <w:color w:val="000000" w:themeColor="text1"/>
          <w:szCs w:val="24"/>
          <w:highlight w:val="none"/>
          <w14:textFill>
            <w14:solidFill>
              <w14:schemeClr w14:val="tx1"/>
            </w14:solidFill>
          </w14:textFill>
        </w:rPr>
        <w:t>处理后用于土壤改良</w:t>
      </w:r>
      <w:r>
        <w:rPr>
          <w:rFonts w:hint="eastAsia"/>
          <w:color w:val="000000" w:themeColor="text1"/>
          <w:szCs w:val="24"/>
          <w:highlight w:val="none"/>
          <w14:textFill>
            <w14:solidFill>
              <w14:schemeClr w14:val="tx1"/>
            </w14:solidFill>
          </w14:textFill>
        </w:rPr>
        <w:t>或</w:t>
      </w:r>
      <w:r>
        <w:rPr>
          <w:color w:val="000000" w:themeColor="text1"/>
          <w:szCs w:val="24"/>
          <w:highlight w:val="none"/>
          <w14:textFill>
            <w14:solidFill>
              <w14:schemeClr w14:val="tx1"/>
            </w14:solidFill>
          </w14:textFill>
        </w:rPr>
        <w:t>绿化</w:t>
      </w:r>
      <w:r>
        <w:rPr>
          <w:rFonts w:hint="eastAsia"/>
          <w:color w:val="000000" w:themeColor="text1"/>
          <w:szCs w:val="24"/>
          <w:highlight w:val="none"/>
          <w14:textFill>
            <w14:solidFill>
              <w14:schemeClr w14:val="tx1"/>
            </w14:solidFill>
          </w14:textFill>
        </w:rPr>
        <w:t>。</w:t>
      </w:r>
    </w:p>
    <w:p>
      <w:pPr>
        <w:adjustRightInd/>
        <w:ind w:firstLine="480"/>
        <w:rPr>
          <w:color w:val="000000" w:themeColor="text1"/>
          <w:szCs w:val="24"/>
          <w:highlight w:val="none"/>
          <w14:textFill>
            <w14:solidFill>
              <w14:schemeClr w14:val="tx1"/>
            </w14:solidFill>
          </w14:textFill>
        </w:rPr>
      </w:pPr>
      <w:r>
        <w:rPr>
          <w:rFonts w:hint="eastAsia"/>
          <w:color w:val="000000" w:themeColor="text1"/>
          <w:szCs w:val="24"/>
          <w:highlight w:val="none"/>
          <w14:textFill>
            <w14:solidFill>
              <w14:schemeClr w14:val="tx1"/>
            </w14:solidFill>
          </w14:textFill>
        </w:rPr>
        <w:t>③施工废料</w:t>
      </w:r>
    </w:p>
    <w:p>
      <w:pPr>
        <w:pStyle w:val="13"/>
        <w:adjustRightInd/>
        <w:spacing w:line="360" w:lineRule="auto"/>
        <w:ind w:firstLine="480" w:firstLineChars="200"/>
        <w:jc w:val="both"/>
        <w:rPr>
          <w:rFonts w:ascii="Times New Roman" w:hAnsi="Times New Roman"/>
          <w:color w:val="000000" w:themeColor="text1"/>
          <w:sz w:val="24"/>
          <w:szCs w:val="21"/>
          <w:highlight w:val="none"/>
          <w14:textFill>
            <w14:solidFill>
              <w14:schemeClr w14:val="tx1"/>
            </w14:solidFill>
          </w14:textFill>
        </w:rPr>
      </w:pPr>
      <w:r>
        <w:rPr>
          <w:rFonts w:ascii="Times New Roman" w:hAnsi="Times New Roman"/>
          <w:color w:val="000000" w:themeColor="text1"/>
          <w:sz w:val="24"/>
          <w:szCs w:val="21"/>
          <w:highlight w:val="none"/>
          <w14:textFill>
            <w14:solidFill>
              <w14:schemeClr w14:val="tx1"/>
            </w14:solidFill>
          </w14:textFill>
        </w:rPr>
        <w:t>本项目站场工程施工过程施工废料主要包括废包装材料、废焊条、站内管道补口、补伤废料，清管所产生的少量铁屑、粉尘，以及施工过程中产生的废金属等。</w:t>
      </w:r>
      <w:r>
        <w:rPr>
          <w:rFonts w:hint="eastAsia" w:ascii="Times New Roman" w:hAnsi="Times New Roman"/>
          <w:color w:val="000000" w:themeColor="text1"/>
          <w:sz w:val="24"/>
          <w:szCs w:val="21"/>
          <w:highlight w:val="none"/>
          <w14:textFill>
            <w14:solidFill>
              <w14:schemeClr w14:val="tx1"/>
            </w14:solidFill>
          </w14:textFill>
        </w:rPr>
        <w:t>可以回收利用的部分（</w:t>
      </w:r>
      <w:r>
        <w:rPr>
          <w:rFonts w:ascii="Times New Roman" w:hAnsi="Times New Roman"/>
          <w:color w:val="000000" w:themeColor="text1"/>
          <w:sz w:val="24"/>
          <w:szCs w:val="21"/>
          <w:highlight w:val="none"/>
          <w14:textFill>
            <w14:solidFill>
              <w14:schemeClr w14:val="tx1"/>
            </w14:solidFill>
          </w14:textFill>
        </w:rPr>
        <w:t>废焊条、废包装材料、废金属、补口补伤废料</w:t>
      </w:r>
      <w:r>
        <w:rPr>
          <w:rFonts w:hint="eastAsia" w:ascii="Times New Roman" w:hAnsi="Times New Roman"/>
          <w:color w:val="000000" w:themeColor="text1"/>
          <w:sz w:val="24"/>
          <w:szCs w:val="21"/>
          <w:highlight w:val="none"/>
          <w14:textFill>
            <w14:solidFill>
              <w14:schemeClr w14:val="tx1"/>
            </w14:solidFill>
          </w14:textFill>
        </w:rPr>
        <w:t>、焊渣</w:t>
      </w:r>
      <w:r>
        <w:rPr>
          <w:rFonts w:ascii="Times New Roman" w:hAnsi="Times New Roman"/>
          <w:color w:val="000000" w:themeColor="text1"/>
          <w:sz w:val="24"/>
          <w:szCs w:val="21"/>
          <w:highlight w:val="none"/>
          <w14:textFill>
            <w14:solidFill>
              <w14:schemeClr w14:val="tx1"/>
            </w14:solidFill>
          </w14:textFill>
        </w:rPr>
        <w:t>等</w:t>
      </w:r>
      <w:r>
        <w:rPr>
          <w:rFonts w:hint="eastAsia" w:ascii="Times New Roman" w:hAnsi="Times New Roman"/>
          <w:color w:val="000000" w:themeColor="text1"/>
          <w:sz w:val="24"/>
          <w:szCs w:val="21"/>
          <w:highlight w:val="none"/>
          <w14:textFill>
            <w14:solidFill>
              <w14:schemeClr w14:val="tx1"/>
            </w14:solidFill>
          </w14:textFill>
        </w:rPr>
        <w:t>）优先</w:t>
      </w:r>
      <w:r>
        <w:rPr>
          <w:rFonts w:ascii="Times New Roman" w:hAnsi="Times New Roman"/>
          <w:color w:val="000000" w:themeColor="text1"/>
          <w:sz w:val="24"/>
          <w:szCs w:val="21"/>
          <w:highlight w:val="none"/>
          <w14:textFill>
            <w14:solidFill>
              <w14:schemeClr w14:val="tx1"/>
            </w14:solidFill>
          </w14:textFill>
        </w:rPr>
        <w:t>回收利用，</w:t>
      </w:r>
      <w:r>
        <w:rPr>
          <w:rFonts w:hint="eastAsia" w:ascii="Times New Roman" w:hAnsi="Times New Roman"/>
          <w:color w:val="000000" w:themeColor="text1"/>
          <w:sz w:val="24"/>
          <w:szCs w:val="21"/>
          <w:highlight w:val="none"/>
          <w14:textFill>
            <w14:solidFill>
              <w14:schemeClr w14:val="tx1"/>
            </w14:solidFill>
          </w14:textFill>
        </w:rPr>
        <w:t>不能利用的（</w:t>
      </w:r>
      <w:r>
        <w:rPr>
          <w:rFonts w:ascii="Times New Roman" w:hAnsi="Times New Roman"/>
          <w:color w:val="000000" w:themeColor="text1"/>
          <w:sz w:val="24"/>
          <w:szCs w:val="21"/>
          <w:highlight w:val="none"/>
          <w14:textFill>
            <w14:solidFill>
              <w14:schemeClr w14:val="tx1"/>
            </w14:solidFill>
          </w14:textFill>
        </w:rPr>
        <w:t>清管废渣</w:t>
      </w:r>
      <w:r>
        <w:rPr>
          <w:rFonts w:hint="eastAsia" w:ascii="Times New Roman" w:hAnsi="Times New Roman"/>
          <w:color w:val="000000" w:themeColor="text1"/>
          <w:sz w:val="24"/>
          <w:szCs w:val="21"/>
          <w:highlight w:val="none"/>
          <w14:textFill>
            <w14:solidFill>
              <w14:schemeClr w14:val="tx1"/>
            </w14:solidFill>
          </w14:textFill>
        </w:rPr>
        <w:t>等）</w:t>
      </w:r>
      <w:r>
        <w:rPr>
          <w:rFonts w:ascii="Times New Roman" w:hAnsi="Times New Roman"/>
          <w:color w:val="000000" w:themeColor="text1"/>
          <w:sz w:val="24"/>
          <w:szCs w:val="21"/>
          <w:highlight w:val="none"/>
          <w14:textFill>
            <w14:solidFill>
              <w14:schemeClr w14:val="tx1"/>
            </w14:solidFill>
          </w14:textFill>
        </w:rPr>
        <w:t>收集后交环卫部门统一处理。项目施工过程中产生的施工废料量约</w:t>
      </w:r>
      <w:r>
        <w:rPr>
          <w:rFonts w:hint="eastAsia" w:ascii="Times New Roman" w:hAnsi="Times New Roman"/>
          <w:color w:val="000000" w:themeColor="text1"/>
          <w:sz w:val="24"/>
          <w:szCs w:val="21"/>
          <w:highlight w:val="none"/>
          <w14:textFill>
            <w14:solidFill>
              <w14:schemeClr w14:val="tx1"/>
            </w14:solidFill>
          </w14:textFill>
        </w:rPr>
        <w:t>2.5kg。</w:t>
      </w:r>
    </w:p>
    <w:p>
      <w:pPr>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（5）生态环境影响</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拟建项目钻前工程对生态环境的主要影响因素包括场地基础开挖、土石方回填、构筑物建设等活动对土地的扰动作用。通常说来，生态影响效果主要包括改变土地利用性质、造成水土流失等。</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1）土地利用性质改变</w:t>
      </w:r>
    </w:p>
    <w:p>
      <w:pPr>
        <w:ind w:firstLine="480"/>
        <w:rPr>
          <w:rFonts w:cs="Times New Roman"/>
          <w:color w:val="000000" w:themeColor="text1"/>
          <w:szCs w:val="24"/>
          <w:highlight w:val="none"/>
          <w14:textFill>
            <w14:solidFill>
              <w14:schemeClr w14:val="tx1"/>
            </w14:solidFill>
          </w14:textFill>
        </w:rPr>
      </w:pPr>
      <w:bookmarkStart w:id="171" w:name="_Hlk89347872"/>
      <w:r>
        <w:rPr>
          <w:rFonts w:cs="Times New Roman"/>
          <w:color w:val="000000" w:themeColor="text1"/>
          <w:szCs w:val="24"/>
          <w:highlight w:val="none"/>
          <w14:textFill>
            <w14:solidFill>
              <w14:schemeClr w14:val="tx1"/>
            </w14:solidFill>
          </w14:textFill>
        </w:rPr>
        <w:t>本项目为新建，</w:t>
      </w:r>
      <w:r>
        <w:rPr>
          <w:rFonts w:hint="eastAsia" w:cs="Times New Roman"/>
          <w:color w:val="000000" w:themeColor="text1"/>
          <w:szCs w:val="24"/>
          <w:highlight w:val="none"/>
          <w14:textFill>
            <w14:solidFill>
              <w14:schemeClr w14:val="tx1"/>
            </w14:solidFill>
          </w14:textFill>
        </w:rPr>
        <w:t>试采</w:t>
      </w:r>
      <w:r>
        <w:rPr>
          <w:rFonts w:cs="Times New Roman"/>
          <w:color w:val="000000" w:themeColor="text1"/>
          <w:szCs w:val="24"/>
          <w:highlight w:val="none"/>
          <w14:textFill>
            <w14:solidFill>
              <w14:schemeClr w14:val="tx1"/>
            </w14:solidFill>
          </w14:textFill>
        </w:rPr>
        <w:t>期涉及</w:t>
      </w:r>
      <w:r>
        <w:rPr>
          <w:rFonts w:hint="eastAsia" w:cs="Times New Roman"/>
          <w:color w:val="000000" w:themeColor="text1"/>
          <w:szCs w:val="24"/>
          <w:highlight w:val="none"/>
          <w14:textFill>
            <w14:solidFill>
              <w14:schemeClr w14:val="tx1"/>
            </w14:solidFill>
          </w14:textFill>
        </w:rPr>
        <w:t>工艺装置区、放空</w:t>
      </w:r>
      <w:r>
        <w:rPr>
          <w:rFonts w:cs="Times New Roman"/>
          <w:color w:val="000000" w:themeColor="text1"/>
          <w:szCs w:val="24"/>
          <w:highlight w:val="none"/>
          <w14:textFill>
            <w14:solidFill>
              <w14:schemeClr w14:val="tx1"/>
            </w14:solidFill>
          </w14:textFill>
        </w:rPr>
        <w:t>区等临时占地。</w:t>
      </w:r>
      <w:bookmarkEnd w:id="171"/>
      <w:r>
        <w:rPr>
          <w:rFonts w:cs="Times New Roman"/>
          <w:color w:val="000000" w:themeColor="text1"/>
          <w:szCs w:val="24"/>
          <w:highlight w:val="none"/>
          <w14:textFill>
            <w14:solidFill>
              <w14:schemeClr w14:val="tx1"/>
            </w14:solidFill>
          </w14:textFill>
        </w:rPr>
        <w:t>工程项目建设对生态环境的影响主要表现为项目占地使土地功能发生改变，即</w:t>
      </w:r>
      <w:r>
        <w:rPr>
          <w:rFonts w:hint="eastAsia" w:cs="Times New Roman"/>
          <w:color w:val="000000" w:themeColor="text1"/>
          <w:szCs w:val="24"/>
          <w:highlight w:val="none"/>
          <w14:textFill>
            <w14:solidFill>
              <w14:schemeClr w14:val="tx1"/>
            </w14:solidFill>
          </w14:textFill>
        </w:rPr>
        <w:t>鱼塘</w:t>
      </w:r>
      <w:r>
        <w:rPr>
          <w:rFonts w:cs="Times New Roman"/>
          <w:color w:val="000000" w:themeColor="text1"/>
          <w:szCs w:val="24"/>
          <w:highlight w:val="none"/>
          <w14:textFill>
            <w14:solidFill>
              <w14:schemeClr w14:val="tx1"/>
            </w14:solidFill>
          </w14:textFill>
        </w:rPr>
        <w:t>变为工业用地，将导致</w:t>
      </w:r>
      <w:r>
        <w:rPr>
          <w:rFonts w:hint="eastAsia" w:cs="Times New Roman"/>
          <w:color w:val="000000" w:themeColor="text1"/>
          <w:szCs w:val="24"/>
          <w:highlight w:val="none"/>
          <w14:textFill>
            <w14:solidFill>
              <w14:schemeClr w14:val="tx1"/>
            </w14:solidFill>
          </w14:textFill>
        </w:rPr>
        <w:t>渔获</w:t>
      </w:r>
      <w:r>
        <w:rPr>
          <w:rFonts w:cs="Times New Roman"/>
          <w:color w:val="000000" w:themeColor="text1"/>
          <w:szCs w:val="24"/>
          <w:highlight w:val="none"/>
          <w14:textFill>
            <w14:solidFill>
              <w14:schemeClr w14:val="tx1"/>
            </w14:solidFill>
          </w14:textFill>
        </w:rPr>
        <w:t>减产等。本项目新增临时占地用地类型为</w:t>
      </w:r>
      <w:r>
        <w:rPr>
          <w:rFonts w:hint="eastAsia" w:cs="Times New Roman"/>
          <w:color w:val="000000" w:themeColor="text1"/>
          <w:szCs w:val="24"/>
          <w:highlight w:val="none"/>
          <w14:textFill>
            <w14:solidFill>
              <w14:schemeClr w14:val="tx1"/>
            </w14:solidFill>
          </w14:textFill>
        </w:rPr>
        <w:t>鱼塘、</w:t>
      </w:r>
      <w:r>
        <w:rPr>
          <w:rFonts w:cs="Times New Roman"/>
          <w:bCs/>
          <w:color w:val="000000" w:themeColor="text1"/>
          <w:szCs w:val="24"/>
          <w:highlight w:val="none"/>
          <w14:textFill>
            <w14:solidFill>
              <w14:schemeClr w14:val="tx1"/>
            </w14:solidFill>
          </w14:textFill>
        </w:rPr>
        <w:t>灌草丛</w:t>
      </w:r>
      <w:r>
        <w:rPr>
          <w:rFonts w:cs="Times New Roman"/>
          <w:color w:val="000000" w:themeColor="text1"/>
          <w:szCs w:val="24"/>
          <w:highlight w:val="none"/>
          <w14:textFill>
            <w14:solidFill>
              <w14:schemeClr w14:val="tx1"/>
            </w14:solidFill>
          </w14:textFill>
        </w:rPr>
        <w:t>等，短期内改变土地利用性质，工程结束后即对临时占用的土地进行恢复，对当地土地资源的影响较小。对于工程的占地，建设方应按国家相关法律法规办理临时用地手续。</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2）土壤侵蚀</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在设备基础</w:t>
      </w:r>
      <w:r>
        <w:rPr>
          <w:rFonts w:hint="eastAsia" w:cs="Times New Roman"/>
          <w:color w:val="000000" w:themeColor="text1"/>
          <w:szCs w:val="24"/>
          <w:highlight w:val="none"/>
          <w14:textFill>
            <w14:solidFill>
              <w14:schemeClr w14:val="tx1"/>
            </w14:solidFill>
          </w14:textFill>
        </w:rPr>
        <w:t>填方、试采站平整</w:t>
      </w:r>
      <w:r>
        <w:rPr>
          <w:rFonts w:cs="Times New Roman"/>
          <w:color w:val="000000" w:themeColor="text1"/>
          <w:szCs w:val="24"/>
          <w:highlight w:val="none"/>
          <w14:textFill>
            <w14:solidFill>
              <w14:schemeClr w14:val="tx1"/>
            </w14:solidFill>
          </w14:textFill>
        </w:rPr>
        <w:t>过程，将造成地面裸露，形成水土流失，导致地表原有植被破坏。</w:t>
      </w:r>
      <w:r>
        <w:rPr>
          <w:rFonts w:cs="Times New Roman"/>
          <w:bCs/>
          <w:color w:val="000000" w:themeColor="text1"/>
          <w:highlight w:val="none"/>
          <w14:textFill>
            <w14:solidFill>
              <w14:schemeClr w14:val="tx1"/>
            </w14:solidFill>
          </w14:textFill>
        </w:rPr>
        <w:t>本项目在设备安装完毕后及时进行场站内道路硬化和绿化，减少场站施工区水土流失。</w:t>
      </w:r>
    </w:p>
    <w:p>
      <w:pPr>
        <w:pStyle w:val="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集输管线</w:t>
      </w:r>
      <w:r>
        <w:rPr>
          <w:color w:val="000000" w:themeColor="text1"/>
          <w:highlight w:val="none"/>
          <w14:textFill>
            <w14:solidFill>
              <w14:schemeClr w14:val="tx1"/>
            </w14:solidFill>
          </w14:textFill>
        </w:rPr>
        <w:t>工程</w:t>
      </w:r>
    </w:p>
    <w:p>
      <w:pPr>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（1）生态环境</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本项目管道施工的主要环境影响表现为管道施工过程中开挖管沟并回填，造成局部植被破坏、土壤扰动、土壤结构改变、地面裸露，短期内加深水土流失、破坏生境</w:t>
      </w:r>
      <w:r>
        <w:rPr>
          <w:rFonts w:hint="eastAsia" w:cs="Times New Roman"/>
          <w:bCs/>
          <w:color w:val="000000" w:themeColor="text1"/>
          <w:highlight w:val="none"/>
          <w14:textFill>
            <w14:solidFill>
              <w14:schemeClr w14:val="tx1"/>
            </w14:solidFill>
          </w14:textFill>
        </w:rPr>
        <w:t>。</w:t>
      </w:r>
    </w:p>
    <w:p>
      <w:pPr>
        <w:ind w:firstLine="482"/>
        <w:rPr>
          <w:rFonts w:cs="Times New Roman"/>
          <w:b/>
          <w:color w:val="000000" w:themeColor="text1"/>
          <w:highlight w:val="none"/>
          <w14:textFill>
            <w14:solidFill>
              <w14:schemeClr w14:val="tx1"/>
            </w14:solidFill>
          </w14:textFill>
        </w:rPr>
      </w:pPr>
      <w:r>
        <w:rPr>
          <w:rFonts w:cs="Times New Roman"/>
          <w:b/>
          <w:color w:val="000000" w:themeColor="text1"/>
          <w:highlight w:val="none"/>
          <w14:textFill>
            <w14:solidFill>
              <w14:schemeClr w14:val="tx1"/>
            </w14:solidFill>
          </w14:textFill>
        </w:rPr>
        <w:t>（2）废气</w:t>
      </w:r>
    </w:p>
    <w:p>
      <w:pPr>
        <w:widowControl/>
        <w:adjustRightInd/>
        <w:snapToGrid/>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1）施工扬尘</w:t>
      </w:r>
    </w:p>
    <w:p>
      <w:pPr>
        <w:adjustRightInd/>
        <w:snapToGrid/>
        <w:ind w:firstLine="480"/>
        <w:textAlignment w:val="baseline"/>
        <w:rPr>
          <w:rFonts w:cs="Times New Roman"/>
          <w:color w:val="000000" w:themeColor="text1"/>
          <w:kern w:val="0"/>
          <w:szCs w:val="20"/>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本项目管线施工期的大气污染物主要是扬尘，包括施工作业区扬尘和车辆运输扬尘。</w:t>
      </w:r>
    </w:p>
    <w:p>
      <w:pPr>
        <w:adjustRightInd/>
        <w:snapToGrid/>
        <w:ind w:firstLine="480"/>
        <w:textAlignment w:val="baseline"/>
        <w:rPr>
          <w:rFonts w:cs="Times New Roman"/>
          <w:color w:val="000000" w:themeColor="text1"/>
          <w:kern w:val="0"/>
          <w:szCs w:val="20"/>
          <w:highlight w:val="none"/>
          <w14:textFill>
            <w14:solidFill>
              <w14:schemeClr w14:val="tx1"/>
            </w14:solidFill>
          </w14:textFill>
        </w:rPr>
      </w:pPr>
      <w:r>
        <w:rPr>
          <w:rFonts w:hint="eastAsia" w:cs="Times New Roman"/>
          <w:color w:val="000000" w:themeColor="text1"/>
          <w:kern w:val="0"/>
          <w:szCs w:val="20"/>
          <w:highlight w:val="none"/>
          <w14:textFill>
            <w14:solidFill>
              <w14:schemeClr w14:val="tx1"/>
            </w14:solidFill>
          </w14:textFill>
        </w:rPr>
        <w:t>①</w:t>
      </w:r>
      <w:r>
        <w:rPr>
          <w:rFonts w:cs="Times New Roman"/>
          <w:color w:val="000000" w:themeColor="text1"/>
          <w:kern w:val="0"/>
          <w:szCs w:val="20"/>
          <w:highlight w:val="none"/>
          <w14:textFill>
            <w14:solidFill>
              <w14:schemeClr w14:val="tx1"/>
            </w14:solidFill>
          </w14:textFill>
        </w:rPr>
        <w:t>施工作业区扬尘</w:t>
      </w:r>
    </w:p>
    <w:p>
      <w:pPr>
        <w:adjustRightInd/>
        <w:snapToGrid/>
        <w:ind w:firstLine="480"/>
        <w:textAlignment w:val="baseline"/>
        <w:rPr>
          <w:rFonts w:cs="Times New Roman"/>
          <w:color w:val="000000" w:themeColor="text1"/>
          <w:kern w:val="0"/>
          <w:szCs w:val="20"/>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拟建项目施工期产生扬尘的作业主要为管沟开挖及土方堆放。在干燥的天气下，容易产生扬尘，对周围大气环境产生一定影响。根据管线走向，部分管段施工靠近人口较密集的地区，管道开挖扬尘将对周围敏感点造成一定影响。施工阶段扬尘的一个主要来源是露天堆场和裸露场地的风力扬尘。</w:t>
      </w:r>
    </w:p>
    <w:p>
      <w:pPr>
        <w:adjustRightInd/>
        <w:snapToGrid/>
        <w:ind w:firstLine="480"/>
        <w:textAlignment w:val="baseline"/>
        <w:rPr>
          <w:rFonts w:cs="Times New Roman"/>
          <w:color w:val="000000" w:themeColor="text1"/>
          <w:kern w:val="0"/>
          <w:szCs w:val="20"/>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为减少扬尘的产生量及其浓度，在施工过程中，施工单位应采取</w:t>
      </w:r>
      <w:r>
        <w:rPr>
          <w:rFonts w:hint="eastAsia" w:cs="Times New Roman"/>
          <w:color w:val="000000" w:themeColor="text1"/>
          <w:kern w:val="0"/>
          <w:szCs w:val="20"/>
          <w:highlight w:val="none"/>
          <w14:textFill>
            <w14:solidFill>
              <w14:schemeClr w14:val="tx1"/>
            </w14:solidFill>
          </w14:textFill>
        </w:rPr>
        <w:t>“分段开挖、分段回填”、</w:t>
      </w:r>
      <w:r>
        <w:rPr>
          <w:rFonts w:cs="Times New Roman"/>
          <w:color w:val="000000" w:themeColor="text1"/>
          <w:kern w:val="0"/>
          <w:szCs w:val="20"/>
          <w:highlight w:val="none"/>
          <w14:textFill>
            <w14:solidFill>
              <w14:schemeClr w14:val="tx1"/>
            </w14:solidFill>
          </w14:textFill>
        </w:rPr>
        <w:t>定期洒水、设置临时围挡、临时堆放土石方表面覆盖篷布等措施。同时，项目在施工过程中还应严格施工扬尘监管，严格落实“六必须、六不准”管控要求。</w:t>
      </w:r>
    </w:p>
    <w:p>
      <w:pPr>
        <w:adjustRightInd/>
        <w:snapToGrid/>
        <w:ind w:firstLine="480"/>
        <w:textAlignment w:val="baseline"/>
        <w:rPr>
          <w:rFonts w:cs="Times New Roman"/>
          <w:color w:val="000000" w:themeColor="text1"/>
          <w:kern w:val="0"/>
          <w:szCs w:val="20"/>
          <w:highlight w:val="none"/>
          <w14:textFill>
            <w14:solidFill>
              <w14:schemeClr w14:val="tx1"/>
            </w14:solidFill>
          </w14:textFill>
        </w:rPr>
      </w:pPr>
      <w:r>
        <w:rPr>
          <w:rFonts w:hint="eastAsia" w:cs="Times New Roman"/>
          <w:color w:val="000000" w:themeColor="text1"/>
          <w:kern w:val="0"/>
          <w:szCs w:val="20"/>
          <w:highlight w:val="none"/>
          <w14:textFill>
            <w14:solidFill>
              <w14:schemeClr w14:val="tx1"/>
            </w14:solidFill>
          </w14:textFill>
        </w:rPr>
        <w:t>②</w:t>
      </w:r>
      <w:r>
        <w:rPr>
          <w:rFonts w:cs="Times New Roman"/>
          <w:color w:val="000000" w:themeColor="text1"/>
          <w:kern w:val="0"/>
          <w:szCs w:val="20"/>
          <w:highlight w:val="none"/>
          <w14:textFill>
            <w14:solidFill>
              <w14:schemeClr w14:val="tx1"/>
            </w14:solidFill>
          </w14:textFill>
        </w:rPr>
        <w:t>车辆运输扬尘</w:t>
      </w:r>
    </w:p>
    <w:p>
      <w:pPr>
        <w:adjustRightInd/>
        <w:snapToGrid/>
        <w:ind w:firstLine="480"/>
        <w:textAlignment w:val="baseline"/>
        <w:rPr>
          <w:rFonts w:cs="Times New Roman"/>
          <w:color w:val="000000" w:themeColor="text1"/>
          <w:kern w:val="0"/>
          <w:szCs w:val="20"/>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运输车辆必须严加管理，采取用篷布遮盖或罐装等措施，防止散落和飞扬，同时严格道路扬尘治理，严格查处抛洒滴漏、带泥行驶，穿越点施工场地进出口设置车辆冲洗设施，并在施工场地和施工便道采用人工洒水等措施。</w:t>
      </w:r>
    </w:p>
    <w:p>
      <w:pPr>
        <w:autoSpaceDE w:val="0"/>
        <w:autoSpaceDN w:val="0"/>
        <w:adjustRightInd/>
        <w:snapToGrid/>
        <w:ind w:firstLine="480"/>
        <w:textAlignment w:val="baseline"/>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综上，通过采取上述措施后，管线施工过程中产生的扬尘对大气环境影响较小。</w:t>
      </w:r>
    </w:p>
    <w:p>
      <w:pPr>
        <w:adjustRightInd/>
        <w:snapToGrid/>
        <w:ind w:firstLine="480"/>
        <w:textAlignment w:val="baseline"/>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2）施工机械、车辆尾气</w:t>
      </w:r>
    </w:p>
    <w:p>
      <w:pPr>
        <w:autoSpaceDE w:val="0"/>
        <w:autoSpaceDN w:val="0"/>
        <w:adjustRightInd/>
        <w:snapToGrid/>
        <w:ind w:firstLine="480"/>
        <w:textAlignment w:val="baseline"/>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本项目管线采用柴油车辆运输材料，施工作业带主要采用机械开挖方式进行施工，仅在穿越已有管线或施工机械难以到达的地段使用人工施工，在机械施工过程及车辆运输过程中，将有少量的柴油燃烧废气产生，主要污染物有NOx、CO等。</w:t>
      </w:r>
      <w:r>
        <w:rPr>
          <w:rFonts w:hint="eastAsia" w:cs="Times New Roman"/>
          <w:color w:val="000000" w:themeColor="text1"/>
          <w:kern w:val="0"/>
          <w:szCs w:val="24"/>
          <w:highlight w:val="none"/>
          <w14:textFill>
            <w14:solidFill>
              <w14:schemeClr w14:val="tx1"/>
            </w14:solidFill>
          </w14:textFill>
        </w:rPr>
        <w:t>施工单位应加强对机械、车辆的维护，选用优质清洁燃料。</w:t>
      </w:r>
      <w:r>
        <w:rPr>
          <w:rFonts w:cs="Times New Roman"/>
          <w:color w:val="000000" w:themeColor="text1"/>
          <w:kern w:val="0"/>
          <w:szCs w:val="24"/>
          <w:highlight w:val="none"/>
          <w14:textFill>
            <w14:solidFill>
              <w14:schemeClr w14:val="tx1"/>
            </w14:solidFill>
          </w14:textFill>
        </w:rPr>
        <w:t>由于废气量较小，且施工现场均在野外，有利于废气的扩散。同时废气污染源具有间断和流动性，因此对局部地区周围环境影响较小。由于施工时间短，施工废气产生量很少，加之当地大气扩散条件良好，施工废气不会对周边大气环境造成影响。</w:t>
      </w:r>
    </w:p>
    <w:p>
      <w:pPr>
        <w:widowControl/>
        <w:adjustRightInd/>
        <w:snapToGrid/>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3）焊接烟尘</w:t>
      </w:r>
    </w:p>
    <w:p>
      <w:pPr>
        <w:adjustRightInd/>
        <w:snapToGrid/>
        <w:ind w:firstLine="480"/>
        <w:textAlignment w:val="baseline"/>
        <w:rPr>
          <w:rFonts w:cs="Times New Roman"/>
          <w:color w:val="000000" w:themeColor="text1"/>
          <w:kern w:val="0"/>
          <w:szCs w:val="20"/>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本项目</w:t>
      </w:r>
      <w:r>
        <w:rPr>
          <w:rFonts w:hint="eastAsia" w:cs="Times New Roman"/>
          <w:color w:val="000000" w:themeColor="text1"/>
          <w:kern w:val="0"/>
          <w:szCs w:val="20"/>
          <w:highlight w:val="none"/>
          <w14:textFill>
            <w14:solidFill>
              <w14:schemeClr w14:val="tx1"/>
            </w14:solidFill>
          </w14:textFill>
        </w:rPr>
        <w:t>集输</w:t>
      </w:r>
      <w:r>
        <w:rPr>
          <w:rFonts w:cs="Times New Roman"/>
          <w:color w:val="000000" w:themeColor="text1"/>
          <w:kern w:val="0"/>
          <w:szCs w:val="20"/>
          <w:highlight w:val="none"/>
          <w14:textFill>
            <w14:solidFill>
              <w14:schemeClr w14:val="tx1"/>
            </w14:solidFill>
          </w14:textFill>
        </w:rPr>
        <w:t>管道在组装焊接过程中会产生焊接烟尘，根据《焊接工作的劳动保护》可知，焊接烟尘产生量约为20g/kg焊条，本项目使用焊条约616</w:t>
      </w:r>
      <w:r>
        <w:rPr>
          <w:rFonts w:hint="eastAsia" w:cs="Times New Roman"/>
          <w:color w:val="000000" w:themeColor="text1"/>
          <w:kern w:val="0"/>
          <w:szCs w:val="20"/>
          <w:highlight w:val="none"/>
          <w14:textFill>
            <w14:solidFill>
              <w14:schemeClr w14:val="tx1"/>
            </w14:solidFill>
          </w14:textFill>
        </w:rPr>
        <w:t>0</w:t>
      </w:r>
      <w:r>
        <w:rPr>
          <w:rFonts w:cs="Times New Roman"/>
          <w:color w:val="000000" w:themeColor="text1"/>
          <w:kern w:val="0"/>
          <w:szCs w:val="20"/>
          <w:highlight w:val="none"/>
          <w14:textFill>
            <w14:solidFill>
              <w14:schemeClr w14:val="tx1"/>
            </w14:solidFill>
          </w14:textFill>
        </w:rPr>
        <w:t>kg，则焊接烟尘产生量为123.2kg。由于焊接烟尘的排放具有分散、间断排放和排放量小的特点，故焊接烟尘对周围环境空气质量影响较小。</w:t>
      </w:r>
    </w:p>
    <w:p>
      <w:pPr>
        <w:adjustRightInd/>
        <w:snapToGrid/>
        <w:ind w:firstLine="480"/>
        <w:textAlignment w:val="baseline"/>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4）清管、扫水、置换氮气</w:t>
      </w:r>
    </w:p>
    <w:p>
      <w:pPr>
        <w:autoSpaceDE w:val="0"/>
        <w:autoSpaceDN w:val="0"/>
        <w:adjustRightInd/>
        <w:snapToGrid/>
        <w:ind w:firstLine="480"/>
        <w:textAlignment w:val="baseline"/>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本项目</w:t>
      </w:r>
      <w:r>
        <w:rPr>
          <w:rFonts w:hint="eastAsia" w:cs="Times New Roman"/>
          <w:color w:val="000000" w:themeColor="text1"/>
          <w:kern w:val="0"/>
          <w:szCs w:val="24"/>
          <w:highlight w:val="none"/>
          <w14:textFill>
            <w14:solidFill>
              <w14:schemeClr w14:val="tx1"/>
            </w14:solidFill>
          </w14:textFill>
        </w:rPr>
        <w:t>集输</w:t>
      </w:r>
      <w:r>
        <w:rPr>
          <w:rFonts w:cs="Times New Roman"/>
          <w:color w:val="000000" w:themeColor="text1"/>
          <w:kern w:val="0"/>
          <w:szCs w:val="24"/>
          <w:highlight w:val="none"/>
          <w14:textFill>
            <w14:solidFill>
              <w14:schemeClr w14:val="tx1"/>
            </w14:solidFill>
          </w14:textFill>
        </w:rPr>
        <w:t>管道下沟后用</w:t>
      </w:r>
      <w:r>
        <w:rPr>
          <w:rFonts w:hint="eastAsia" w:cs="Times New Roman"/>
          <w:color w:val="000000" w:themeColor="text1"/>
          <w:kern w:val="0"/>
          <w:szCs w:val="24"/>
          <w:highlight w:val="none"/>
          <w14:textFill>
            <w14:solidFill>
              <w14:schemeClr w14:val="tx1"/>
            </w14:solidFill>
          </w14:textFill>
        </w:rPr>
        <w:t>氮气</w:t>
      </w:r>
      <w:r>
        <w:rPr>
          <w:rFonts w:cs="Times New Roman"/>
          <w:color w:val="000000" w:themeColor="text1"/>
          <w:kern w:val="0"/>
          <w:szCs w:val="24"/>
          <w:highlight w:val="none"/>
          <w14:textFill>
            <w14:solidFill>
              <w14:schemeClr w14:val="tx1"/>
            </w14:solidFill>
          </w14:textFill>
        </w:rPr>
        <w:t>进行清管，吹扫出管道内多余机械杂质；管道用洁净水试压后，用</w:t>
      </w:r>
      <w:r>
        <w:rPr>
          <w:rFonts w:hint="eastAsia" w:cs="Times New Roman"/>
          <w:color w:val="000000" w:themeColor="text1"/>
          <w:kern w:val="0"/>
          <w:szCs w:val="24"/>
          <w:highlight w:val="none"/>
          <w14:textFill>
            <w14:solidFill>
              <w14:schemeClr w14:val="tx1"/>
            </w14:solidFill>
          </w14:textFill>
        </w:rPr>
        <w:t>氮气</w:t>
      </w:r>
      <w:r>
        <w:rPr>
          <w:rFonts w:cs="Times New Roman"/>
          <w:color w:val="000000" w:themeColor="text1"/>
          <w:kern w:val="0"/>
          <w:szCs w:val="24"/>
          <w:highlight w:val="none"/>
          <w14:textFill>
            <w14:solidFill>
              <w14:schemeClr w14:val="tx1"/>
            </w14:solidFill>
          </w14:textFill>
        </w:rPr>
        <w:t>吹扫出多余水分</w:t>
      </w:r>
      <w:r>
        <w:rPr>
          <w:rFonts w:hint="eastAsia" w:cs="Times New Roman"/>
          <w:color w:val="000000" w:themeColor="text1"/>
          <w:kern w:val="0"/>
          <w:szCs w:val="24"/>
          <w:highlight w:val="none"/>
          <w14:textFill>
            <w14:solidFill>
              <w14:schemeClr w14:val="tx1"/>
            </w14:solidFill>
          </w14:textFill>
        </w:rPr>
        <w:t>；管道正式运行前，需用干燥氮气进行置换空气工作，以保证安全。</w:t>
      </w:r>
    </w:p>
    <w:p>
      <w:pPr>
        <w:ind w:firstLine="482"/>
        <w:rPr>
          <w:rFonts w:cs="Times New Roman"/>
          <w:b/>
          <w:color w:val="000000" w:themeColor="text1"/>
          <w:highlight w:val="none"/>
          <w14:textFill>
            <w14:solidFill>
              <w14:schemeClr w14:val="tx1"/>
            </w14:solidFill>
          </w14:textFill>
        </w:rPr>
      </w:pPr>
      <w:r>
        <w:rPr>
          <w:rFonts w:cs="Times New Roman"/>
          <w:b/>
          <w:color w:val="000000" w:themeColor="text1"/>
          <w:highlight w:val="none"/>
          <w14:textFill>
            <w14:solidFill>
              <w14:schemeClr w14:val="tx1"/>
            </w14:solidFill>
          </w14:textFill>
        </w:rPr>
        <w:t>（3）废水</w:t>
      </w:r>
    </w:p>
    <w:p>
      <w:pPr>
        <w:autoSpaceDE w:val="0"/>
        <w:autoSpaceDN w:val="0"/>
        <w:adjustRightInd/>
        <w:snapToGrid/>
        <w:ind w:firstLine="480"/>
        <w:textAlignment w:val="baseline"/>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1）生活污水</w:t>
      </w:r>
    </w:p>
    <w:p>
      <w:pPr>
        <w:adjustRightInd/>
        <w:snapToGrid/>
        <w:ind w:firstLine="480"/>
        <w:textAlignment w:val="baseline"/>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本</w:t>
      </w:r>
      <w:r>
        <w:rPr>
          <w:rFonts w:hint="eastAsia" w:cs="Times New Roman"/>
          <w:color w:val="000000" w:themeColor="text1"/>
          <w:kern w:val="0"/>
          <w:szCs w:val="24"/>
          <w:highlight w:val="none"/>
          <w14:textFill>
            <w14:solidFill>
              <w14:schemeClr w14:val="tx1"/>
            </w14:solidFill>
          </w14:textFill>
        </w:rPr>
        <w:t>项目集输管线</w:t>
      </w:r>
      <w:r>
        <w:rPr>
          <w:rFonts w:cs="Times New Roman"/>
          <w:color w:val="000000" w:themeColor="text1"/>
          <w:kern w:val="0"/>
          <w:szCs w:val="24"/>
          <w:highlight w:val="none"/>
          <w14:textFill>
            <w14:solidFill>
              <w14:schemeClr w14:val="tx1"/>
            </w14:solidFill>
          </w14:textFill>
        </w:rPr>
        <w:t>施工人员</w:t>
      </w:r>
      <w:r>
        <w:rPr>
          <w:rFonts w:hint="eastAsia" w:cs="Times New Roman"/>
          <w:color w:val="000000" w:themeColor="text1"/>
          <w:kern w:val="0"/>
          <w:szCs w:val="24"/>
          <w:highlight w:val="none"/>
          <w14:textFill>
            <w14:solidFill>
              <w14:schemeClr w14:val="tx1"/>
            </w14:solidFill>
          </w14:textFill>
        </w:rPr>
        <w:t>按高峰期</w:t>
      </w:r>
      <w:r>
        <w:rPr>
          <w:rFonts w:cs="Times New Roman"/>
          <w:color w:val="000000" w:themeColor="text1"/>
          <w:kern w:val="0"/>
          <w:szCs w:val="24"/>
          <w:highlight w:val="none"/>
          <w14:textFill>
            <w14:solidFill>
              <w14:schemeClr w14:val="tx1"/>
            </w14:solidFill>
          </w14:textFill>
        </w:rPr>
        <w:t>20人</w:t>
      </w:r>
      <w:r>
        <w:rPr>
          <w:rFonts w:hint="eastAsia" w:cs="Times New Roman"/>
          <w:color w:val="000000" w:themeColor="text1"/>
          <w:kern w:val="0"/>
          <w:szCs w:val="24"/>
          <w:highlight w:val="none"/>
          <w14:textFill>
            <w14:solidFill>
              <w14:schemeClr w14:val="tx1"/>
            </w14:solidFill>
          </w14:textFill>
        </w:rPr>
        <w:t>计</w:t>
      </w:r>
      <w:r>
        <w:rPr>
          <w:rFonts w:cs="Times New Roman"/>
          <w:color w:val="000000" w:themeColor="text1"/>
          <w:kern w:val="0"/>
          <w:szCs w:val="24"/>
          <w:highlight w:val="none"/>
          <w14:textFill>
            <w14:solidFill>
              <w14:schemeClr w14:val="tx1"/>
            </w14:solidFill>
          </w14:textFill>
        </w:rPr>
        <w:t>，按80L/人•d计算，用水量为1.6m</w:t>
      </w:r>
      <w:r>
        <w:rPr>
          <w:rFonts w:cs="Times New Roman"/>
          <w:color w:val="000000" w:themeColor="text1"/>
          <w:kern w:val="0"/>
          <w:szCs w:val="24"/>
          <w:highlight w:val="none"/>
          <w:vertAlign w:val="superscript"/>
          <w14:textFill>
            <w14:solidFill>
              <w14:schemeClr w14:val="tx1"/>
            </w14:solidFill>
          </w14:textFill>
        </w:rPr>
        <w:t>3</w:t>
      </w:r>
      <w:r>
        <w:rPr>
          <w:rFonts w:cs="Times New Roman"/>
          <w:color w:val="000000" w:themeColor="text1"/>
          <w:kern w:val="0"/>
          <w:szCs w:val="24"/>
          <w:highlight w:val="none"/>
          <w14:textFill>
            <w14:solidFill>
              <w14:schemeClr w14:val="tx1"/>
            </w14:solidFill>
          </w14:textFill>
        </w:rPr>
        <w:t>/d，生活污水排放系数按0.</w:t>
      </w:r>
      <w:r>
        <w:rPr>
          <w:rFonts w:hint="eastAsia" w:cs="Times New Roman"/>
          <w:color w:val="000000" w:themeColor="text1"/>
          <w:kern w:val="0"/>
          <w:szCs w:val="24"/>
          <w:highlight w:val="none"/>
          <w14:textFill>
            <w14:solidFill>
              <w14:schemeClr w14:val="tx1"/>
            </w14:solidFill>
          </w14:textFill>
        </w:rPr>
        <w:t>9</w:t>
      </w:r>
      <w:r>
        <w:rPr>
          <w:rFonts w:cs="Times New Roman"/>
          <w:color w:val="000000" w:themeColor="text1"/>
          <w:kern w:val="0"/>
          <w:szCs w:val="24"/>
          <w:highlight w:val="none"/>
          <w14:textFill>
            <w14:solidFill>
              <w14:schemeClr w14:val="tx1"/>
            </w14:solidFill>
          </w14:textFill>
        </w:rPr>
        <w:t>计，则生活污水排放量为1.</w:t>
      </w:r>
      <w:r>
        <w:rPr>
          <w:rFonts w:hint="eastAsia" w:cs="Times New Roman"/>
          <w:color w:val="000000" w:themeColor="text1"/>
          <w:kern w:val="0"/>
          <w:szCs w:val="24"/>
          <w:highlight w:val="none"/>
          <w14:textFill>
            <w14:solidFill>
              <w14:schemeClr w14:val="tx1"/>
            </w14:solidFill>
          </w14:textFill>
        </w:rPr>
        <w:t>44</w:t>
      </w:r>
      <w:r>
        <w:rPr>
          <w:rFonts w:cs="Times New Roman"/>
          <w:color w:val="000000" w:themeColor="text1"/>
          <w:kern w:val="0"/>
          <w:szCs w:val="24"/>
          <w:highlight w:val="none"/>
          <w14:textFill>
            <w14:solidFill>
              <w14:schemeClr w14:val="tx1"/>
            </w14:solidFill>
          </w14:textFill>
        </w:rPr>
        <w:t>m</w:t>
      </w:r>
      <w:r>
        <w:rPr>
          <w:rFonts w:cs="Times New Roman"/>
          <w:color w:val="000000" w:themeColor="text1"/>
          <w:kern w:val="0"/>
          <w:szCs w:val="24"/>
          <w:highlight w:val="none"/>
          <w:vertAlign w:val="superscript"/>
          <w14:textFill>
            <w14:solidFill>
              <w14:schemeClr w14:val="tx1"/>
            </w14:solidFill>
          </w14:textFill>
        </w:rPr>
        <w:t>3</w:t>
      </w:r>
      <w:r>
        <w:rPr>
          <w:rFonts w:cs="Times New Roman"/>
          <w:color w:val="000000" w:themeColor="text1"/>
          <w:kern w:val="0"/>
          <w:szCs w:val="24"/>
          <w:highlight w:val="none"/>
          <w14:textFill>
            <w14:solidFill>
              <w14:schemeClr w14:val="tx1"/>
            </w14:solidFill>
          </w14:textFill>
        </w:rPr>
        <w:t>/d。生活污水中的主要污染物及其浓度一般为COD：400mg/L、NH</w:t>
      </w:r>
      <w:r>
        <w:rPr>
          <w:rFonts w:cs="Times New Roman"/>
          <w:color w:val="000000" w:themeColor="text1"/>
          <w:kern w:val="0"/>
          <w:szCs w:val="24"/>
          <w:highlight w:val="none"/>
          <w:vertAlign w:val="subscript"/>
          <w14:textFill>
            <w14:solidFill>
              <w14:schemeClr w14:val="tx1"/>
            </w14:solidFill>
          </w14:textFill>
        </w:rPr>
        <w:t>3</w:t>
      </w:r>
      <w:r>
        <w:rPr>
          <w:rFonts w:cs="Times New Roman"/>
          <w:color w:val="000000" w:themeColor="text1"/>
          <w:kern w:val="0"/>
          <w:szCs w:val="24"/>
          <w:highlight w:val="none"/>
          <w14:textFill>
            <w14:solidFill>
              <w14:schemeClr w14:val="tx1"/>
            </w14:solidFill>
          </w14:textFill>
        </w:rPr>
        <w:t>-N：30mg/L、SS：250mg/L、BOD</w:t>
      </w:r>
      <w:r>
        <w:rPr>
          <w:rFonts w:cs="Times New Roman"/>
          <w:color w:val="000000" w:themeColor="text1"/>
          <w:kern w:val="0"/>
          <w:szCs w:val="24"/>
          <w:highlight w:val="none"/>
          <w:vertAlign w:val="subscript"/>
          <w14:textFill>
            <w14:solidFill>
              <w14:schemeClr w14:val="tx1"/>
            </w14:solidFill>
          </w14:textFill>
        </w:rPr>
        <w:t>5</w:t>
      </w:r>
      <w:r>
        <w:rPr>
          <w:rFonts w:cs="Times New Roman"/>
          <w:color w:val="000000" w:themeColor="text1"/>
          <w:kern w:val="0"/>
          <w:szCs w:val="24"/>
          <w:highlight w:val="none"/>
          <w14:textFill>
            <w14:solidFill>
              <w14:schemeClr w14:val="tx1"/>
            </w14:solidFill>
          </w14:textFill>
        </w:rPr>
        <w:t>：200mg/L。</w:t>
      </w:r>
    </w:p>
    <w:p>
      <w:pPr>
        <w:widowControl/>
        <w:adjustRightInd/>
        <w:snapToGrid/>
        <w:ind w:firstLine="480"/>
        <w:rPr>
          <w:rFonts w:cs="Times New Roman"/>
          <w:color w:val="000000" w:themeColor="text1"/>
          <w:kern w:val="0"/>
          <w:szCs w:val="20"/>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本项目</w:t>
      </w:r>
      <w:r>
        <w:rPr>
          <w:rFonts w:hint="eastAsia" w:cs="Times New Roman"/>
          <w:color w:val="000000" w:themeColor="text1"/>
          <w:kern w:val="0"/>
          <w:szCs w:val="20"/>
          <w:highlight w:val="none"/>
          <w14:textFill>
            <w14:solidFill>
              <w14:schemeClr w14:val="tx1"/>
            </w14:solidFill>
          </w14:textFill>
        </w:rPr>
        <w:t>集输管线</w:t>
      </w:r>
      <w:r>
        <w:rPr>
          <w:rFonts w:hint="eastAsia" w:ascii="宋体" w:hAnsi="宋体" w:cs="宋体"/>
          <w:color w:val="000000" w:themeColor="text1"/>
          <w:kern w:val="0"/>
          <w:szCs w:val="20"/>
          <w:highlight w:val="none"/>
          <w14:textFill>
            <w14:solidFill>
              <w14:schemeClr w14:val="tx1"/>
            </w14:solidFill>
          </w14:textFill>
        </w:rPr>
        <w:t>施工队伍就近租住居民房屋，现场不单独设置施工营地。施工人员生活污水依托当地现有的生活污水处理系统</w:t>
      </w:r>
      <w:r>
        <w:rPr>
          <w:rFonts w:cs="Times New Roman"/>
          <w:color w:val="000000" w:themeColor="text1"/>
          <w:kern w:val="0"/>
          <w:szCs w:val="20"/>
          <w:highlight w:val="none"/>
          <w14:textFill>
            <w14:solidFill>
              <w14:schemeClr w14:val="tx1"/>
            </w14:solidFill>
          </w14:textFill>
        </w:rPr>
        <w:t>。</w:t>
      </w:r>
    </w:p>
    <w:p>
      <w:pPr>
        <w:adjustRightInd/>
        <w:snapToGrid/>
        <w:ind w:firstLine="480"/>
        <w:textAlignment w:val="baseline"/>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建设项目施工阶段的主要水污染物及其产生量见表</w:t>
      </w:r>
      <w:r>
        <w:rPr>
          <w:rFonts w:hint="eastAsia" w:cs="Times New Roman"/>
          <w:color w:val="000000" w:themeColor="text1"/>
          <w:kern w:val="0"/>
          <w:szCs w:val="24"/>
          <w:highlight w:val="none"/>
          <w14:textFill>
            <w14:solidFill>
              <w14:schemeClr w14:val="tx1"/>
            </w14:solidFill>
          </w14:textFill>
        </w:rPr>
        <w:t>3.4-4</w:t>
      </w:r>
      <w:r>
        <w:rPr>
          <w:rFonts w:cs="Times New Roman"/>
          <w:color w:val="000000" w:themeColor="text1"/>
          <w:kern w:val="0"/>
          <w:szCs w:val="24"/>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集输管线施工期生活污水污染物产生量</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1"/>
        <w:gridCol w:w="1441"/>
        <w:gridCol w:w="1262"/>
        <w:gridCol w:w="1265"/>
        <w:gridCol w:w="2104"/>
        <w:gridCol w:w="16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2" w:type="pct"/>
            <w:shd w:val="clear" w:color="auto" w:fill="auto"/>
            <w:vAlign w:val="center"/>
          </w:tcPr>
          <w:p>
            <w:pPr>
              <w:spacing w:line="240" w:lineRule="auto"/>
              <w:ind w:firstLine="0" w:firstLineChars="0"/>
              <w:jc w:val="center"/>
              <w:textAlignment w:val="baseline"/>
              <w:rPr>
                <w:rFonts w:cs="Times New Roman"/>
                <w:b/>
                <w:color w:val="000000" w:themeColor="text1"/>
                <w:kern w:val="0"/>
                <w:sz w:val="21"/>
                <w:szCs w:val="18"/>
                <w:highlight w:val="none"/>
                <w14:textFill>
                  <w14:solidFill>
                    <w14:schemeClr w14:val="tx1"/>
                  </w14:solidFill>
                </w14:textFill>
              </w:rPr>
            </w:pPr>
            <w:r>
              <w:rPr>
                <w:rFonts w:cs="Times New Roman"/>
                <w:b/>
                <w:color w:val="000000" w:themeColor="text1"/>
                <w:kern w:val="0"/>
                <w:sz w:val="21"/>
                <w:szCs w:val="18"/>
                <w:highlight w:val="none"/>
                <w14:textFill>
                  <w14:solidFill>
                    <w14:schemeClr w14:val="tx1"/>
                  </w14:solidFill>
                </w14:textFill>
              </w:rPr>
              <w:t>序号</w:t>
            </w:r>
          </w:p>
        </w:tc>
        <w:tc>
          <w:tcPr>
            <w:tcW w:w="845" w:type="pct"/>
            <w:shd w:val="clear" w:color="auto" w:fill="auto"/>
            <w:vAlign w:val="center"/>
          </w:tcPr>
          <w:p>
            <w:pPr>
              <w:spacing w:line="240" w:lineRule="auto"/>
              <w:ind w:firstLine="0" w:firstLineChars="0"/>
              <w:jc w:val="center"/>
              <w:textAlignment w:val="baseline"/>
              <w:rPr>
                <w:rFonts w:cs="Times New Roman"/>
                <w:b/>
                <w:color w:val="000000" w:themeColor="text1"/>
                <w:kern w:val="0"/>
                <w:sz w:val="21"/>
                <w:szCs w:val="18"/>
                <w:highlight w:val="none"/>
                <w14:textFill>
                  <w14:solidFill>
                    <w14:schemeClr w14:val="tx1"/>
                  </w14:solidFill>
                </w14:textFill>
              </w:rPr>
            </w:pPr>
            <w:r>
              <w:rPr>
                <w:rFonts w:cs="Times New Roman"/>
                <w:b/>
                <w:color w:val="000000" w:themeColor="text1"/>
                <w:kern w:val="0"/>
                <w:sz w:val="21"/>
                <w:szCs w:val="18"/>
                <w:highlight w:val="none"/>
                <w14:textFill>
                  <w14:solidFill>
                    <w14:schemeClr w14:val="tx1"/>
                  </w14:solidFill>
                </w14:textFill>
              </w:rPr>
              <w:t>废水种类</w:t>
            </w:r>
          </w:p>
        </w:tc>
        <w:tc>
          <w:tcPr>
            <w:tcW w:w="740" w:type="pct"/>
            <w:shd w:val="clear" w:color="auto" w:fill="auto"/>
            <w:vAlign w:val="center"/>
          </w:tcPr>
          <w:p>
            <w:pPr>
              <w:spacing w:line="240" w:lineRule="auto"/>
              <w:ind w:firstLine="0" w:firstLineChars="0"/>
              <w:jc w:val="center"/>
              <w:textAlignment w:val="baseline"/>
              <w:rPr>
                <w:rFonts w:cs="Times New Roman"/>
                <w:b/>
                <w:color w:val="000000" w:themeColor="text1"/>
                <w:kern w:val="0"/>
                <w:sz w:val="21"/>
                <w:szCs w:val="18"/>
                <w:highlight w:val="none"/>
                <w14:textFill>
                  <w14:solidFill>
                    <w14:schemeClr w14:val="tx1"/>
                  </w14:solidFill>
                </w14:textFill>
              </w:rPr>
            </w:pPr>
            <w:r>
              <w:rPr>
                <w:rFonts w:cs="Times New Roman"/>
                <w:b/>
                <w:color w:val="000000" w:themeColor="text1"/>
                <w:kern w:val="0"/>
                <w:sz w:val="21"/>
                <w:szCs w:val="18"/>
                <w:highlight w:val="none"/>
                <w14:textFill>
                  <w14:solidFill>
                    <w14:schemeClr w14:val="tx1"/>
                  </w14:solidFill>
                </w14:textFill>
              </w:rPr>
              <w:t>产生量</w:t>
            </w:r>
          </w:p>
        </w:tc>
        <w:tc>
          <w:tcPr>
            <w:tcW w:w="742" w:type="pct"/>
            <w:shd w:val="clear" w:color="auto" w:fill="auto"/>
            <w:vAlign w:val="center"/>
          </w:tcPr>
          <w:p>
            <w:pPr>
              <w:spacing w:line="240" w:lineRule="auto"/>
              <w:ind w:firstLine="0" w:firstLineChars="0"/>
              <w:jc w:val="center"/>
              <w:textAlignment w:val="baseline"/>
              <w:rPr>
                <w:rFonts w:cs="Times New Roman"/>
                <w:b/>
                <w:color w:val="000000" w:themeColor="text1"/>
                <w:kern w:val="0"/>
                <w:sz w:val="21"/>
                <w:szCs w:val="18"/>
                <w:highlight w:val="none"/>
                <w14:textFill>
                  <w14:solidFill>
                    <w14:schemeClr w14:val="tx1"/>
                  </w14:solidFill>
                </w14:textFill>
              </w:rPr>
            </w:pPr>
            <w:r>
              <w:rPr>
                <w:rFonts w:cs="Times New Roman"/>
                <w:b/>
                <w:color w:val="000000" w:themeColor="text1"/>
                <w:kern w:val="0"/>
                <w:sz w:val="21"/>
                <w:szCs w:val="18"/>
                <w:highlight w:val="none"/>
                <w14:textFill>
                  <w14:solidFill>
                    <w14:schemeClr w14:val="tx1"/>
                  </w14:solidFill>
                </w14:textFill>
              </w:rPr>
              <w:t>污染物</w:t>
            </w:r>
          </w:p>
        </w:tc>
        <w:tc>
          <w:tcPr>
            <w:tcW w:w="1234" w:type="pct"/>
            <w:shd w:val="clear" w:color="auto" w:fill="auto"/>
            <w:vAlign w:val="center"/>
          </w:tcPr>
          <w:p>
            <w:pPr>
              <w:spacing w:line="240" w:lineRule="auto"/>
              <w:ind w:firstLine="0" w:firstLineChars="0"/>
              <w:jc w:val="center"/>
              <w:textAlignment w:val="baseline"/>
              <w:rPr>
                <w:rFonts w:cs="Times New Roman"/>
                <w:b/>
                <w:color w:val="000000" w:themeColor="text1"/>
                <w:kern w:val="0"/>
                <w:sz w:val="21"/>
                <w:szCs w:val="18"/>
                <w:highlight w:val="none"/>
                <w14:textFill>
                  <w14:solidFill>
                    <w14:schemeClr w14:val="tx1"/>
                  </w14:solidFill>
                </w14:textFill>
              </w:rPr>
            </w:pPr>
            <w:r>
              <w:rPr>
                <w:rFonts w:cs="Times New Roman"/>
                <w:b/>
                <w:color w:val="000000" w:themeColor="text1"/>
                <w:kern w:val="0"/>
                <w:sz w:val="21"/>
                <w:szCs w:val="18"/>
                <w:highlight w:val="none"/>
                <w14:textFill>
                  <w14:solidFill>
                    <w14:schemeClr w14:val="tx1"/>
                  </w14:solidFill>
                </w14:textFill>
              </w:rPr>
              <w:t>产生浓度（mg/</w:t>
            </w:r>
            <w:r>
              <w:rPr>
                <w:rFonts w:hint="eastAsia" w:cs="Times New Roman"/>
                <w:b/>
                <w:color w:val="000000" w:themeColor="text1"/>
                <w:kern w:val="0"/>
                <w:sz w:val="21"/>
                <w:szCs w:val="18"/>
                <w:highlight w:val="none"/>
                <w14:textFill>
                  <w14:solidFill>
                    <w14:schemeClr w14:val="tx1"/>
                  </w14:solidFill>
                </w14:textFill>
              </w:rPr>
              <w:t>L</w:t>
            </w:r>
            <w:r>
              <w:rPr>
                <w:rFonts w:cs="Times New Roman"/>
                <w:b/>
                <w:color w:val="000000" w:themeColor="text1"/>
                <w:kern w:val="0"/>
                <w:sz w:val="21"/>
                <w:szCs w:val="18"/>
                <w:highlight w:val="none"/>
                <w14:textFill>
                  <w14:solidFill>
                    <w14:schemeClr w14:val="tx1"/>
                  </w14:solidFill>
                </w14:textFill>
              </w:rPr>
              <w:t>）</w:t>
            </w:r>
          </w:p>
        </w:tc>
        <w:tc>
          <w:tcPr>
            <w:tcW w:w="987" w:type="pct"/>
            <w:shd w:val="clear" w:color="auto" w:fill="auto"/>
            <w:vAlign w:val="center"/>
          </w:tcPr>
          <w:p>
            <w:pPr>
              <w:spacing w:line="240" w:lineRule="auto"/>
              <w:ind w:firstLine="0" w:firstLineChars="0"/>
              <w:jc w:val="center"/>
              <w:textAlignment w:val="baseline"/>
              <w:rPr>
                <w:rFonts w:cs="Times New Roman"/>
                <w:b/>
                <w:color w:val="000000" w:themeColor="text1"/>
                <w:kern w:val="0"/>
                <w:sz w:val="21"/>
                <w:szCs w:val="18"/>
                <w:highlight w:val="none"/>
                <w14:textFill>
                  <w14:solidFill>
                    <w14:schemeClr w14:val="tx1"/>
                  </w14:solidFill>
                </w14:textFill>
              </w:rPr>
            </w:pPr>
            <w:r>
              <w:rPr>
                <w:rFonts w:cs="Times New Roman"/>
                <w:b/>
                <w:color w:val="000000" w:themeColor="text1"/>
                <w:kern w:val="0"/>
                <w:sz w:val="21"/>
                <w:szCs w:val="18"/>
                <w:highlight w:val="none"/>
                <w14:textFill>
                  <w14:solidFill>
                    <w14:schemeClr w14:val="tx1"/>
                  </w14:solidFill>
                </w14:textFill>
              </w:rPr>
              <w:t>产生量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2" w:type="pct"/>
            <w:vMerge w:val="restart"/>
            <w:shd w:val="clear" w:color="auto" w:fill="auto"/>
            <w:vAlign w:val="center"/>
          </w:tcPr>
          <w:p>
            <w:pPr>
              <w:spacing w:line="240" w:lineRule="auto"/>
              <w:ind w:firstLine="0" w:firstLineChars="0"/>
              <w:jc w:val="center"/>
              <w:textAlignment w:val="baseline"/>
              <w:rPr>
                <w:rFonts w:cs="Times New Roman"/>
                <w:color w:val="000000" w:themeColor="text1"/>
                <w:kern w:val="0"/>
                <w:sz w:val="21"/>
                <w:szCs w:val="18"/>
                <w:highlight w:val="none"/>
                <w14:textFill>
                  <w14:solidFill>
                    <w14:schemeClr w14:val="tx1"/>
                  </w14:solidFill>
                </w14:textFill>
              </w:rPr>
            </w:pPr>
            <w:r>
              <w:rPr>
                <w:rFonts w:cs="Times New Roman"/>
                <w:color w:val="000000" w:themeColor="text1"/>
                <w:kern w:val="0"/>
                <w:sz w:val="21"/>
                <w:szCs w:val="18"/>
                <w:highlight w:val="none"/>
                <w14:textFill>
                  <w14:solidFill>
                    <w14:schemeClr w14:val="tx1"/>
                  </w14:solidFill>
                </w14:textFill>
              </w:rPr>
              <w:t>1</w:t>
            </w:r>
          </w:p>
        </w:tc>
        <w:tc>
          <w:tcPr>
            <w:tcW w:w="845" w:type="pct"/>
            <w:vMerge w:val="restart"/>
            <w:shd w:val="clear" w:color="auto" w:fill="auto"/>
            <w:vAlign w:val="center"/>
          </w:tcPr>
          <w:p>
            <w:pPr>
              <w:spacing w:line="240" w:lineRule="auto"/>
              <w:ind w:firstLine="0" w:firstLineChars="0"/>
              <w:jc w:val="center"/>
              <w:textAlignment w:val="baseline"/>
              <w:rPr>
                <w:rFonts w:cs="Times New Roman"/>
                <w:color w:val="000000" w:themeColor="text1"/>
                <w:kern w:val="0"/>
                <w:sz w:val="21"/>
                <w:szCs w:val="18"/>
                <w:highlight w:val="none"/>
                <w14:textFill>
                  <w14:solidFill>
                    <w14:schemeClr w14:val="tx1"/>
                  </w14:solidFill>
                </w14:textFill>
              </w:rPr>
            </w:pPr>
            <w:r>
              <w:rPr>
                <w:rFonts w:cs="Times New Roman"/>
                <w:color w:val="000000" w:themeColor="text1"/>
                <w:kern w:val="0"/>
                <w:sz w:val="21"/>
                <w:szCs w:val="18"/>
                <w:highlight w:val="none"/>
                <w14:textFill>
                  <w14:solidFill>
                    <w14:schemeClr w14:val="tx1"/>
                  </w14:solidFill>
                </w14:textFill>
              </w:rPr>
              <w:t>生活污水</w:t>
            </w:r>
          </w:p>
        </w:tc>
        <w:tc>
          <w:tcPr>
            <w:tcW w:w="740" w:type="pct"/>
            <w:vMerge w:val="restart"/>
            <w:shd w:val="clear" w:color="auto" w:fill="auto"/>
            <w:vAlign w:val="center"/>
          </w:tcPr>
          <w:p>
            <w:pPr>
              <w:spacing w:line="240" w:lineRule="auto"/>
              <w:ind w:firstLine="0" w:firstLineChars="0"/>
              <w:jc w:val="center"/>
              <w:textAlignment w:val="baseline"/>
              <w:rPr>
                <w:rFonts w:cs="Times New Roman"/>
                <w:color w:val="000000" w:themeColor="text1"/>
                <w:kern w:val="0"/>
                <w:sz w:val="21"/>
                <w:szCs w:val="18"/>
                <w:highlight w:val="none"/>
                <w14:textFill>
                  <w14:solidFill>
                    <w14:schemeClr w14:val="tx1"/>
                  </w14:solidFill>
                </w14:textFill>
              </w:rPr>
            </w:pPr>
            <w:r>
              <w:rPr>
                <w:rFonts w:cs="Times New Roman"/>
                <w:color w:val="000000" w:themeColor="text1"/>
                <w:kern w:val="0"/>
                <w:sz w:val="21"/>
                <w:szCs w:val="18"/>
                <w:highlight w:val="none"/>
                <w14:textFill>
                  <w14:solidFill>
                    <w14:schemeClr w14:val="tx1"/>
                  </w14:solidFill>
                </w14:textFill>
              </w:rPr>
              <w:t>1.</w:t>
            </w:r>
            <w:r>
              <w:rPr>
                <w:rFonts w:hint="eastAsia" w:cs="Times New Roman"/>
                <w:color w:val="000000" w:themeColor="text1"/>
                <w:kern w:val="0"/>
                <w:sz w:val="21"/>
                <w:szCs w:val="18"/>
                <w:highlight w:val="none"/>
                <w14:textFill>
                  <w14:solidFill>
                    <w14:schemeClr w14:val="tx1"/>
                  </w14:solidFill>
                </w14:textFill>
              </w:rPr>
              <w:t>44</w:t>
            </w:r>
            <w:r>
              <w:rPr>
                <w:rFonts w:cs="Times New Roman"/>
                <w:color w:val="000000" w:themeColor="text1"/>
                <w:kern w:val="0"/>
                <w:sz w:val="21"/>
                <w:szCs w:val="18"/>
                <w:highlight w:val="none"/>
                <w14:textFill>
                  <w14:solidFill>
                    <w14:schemeClr w14:val="tx1"/>
                  </w14:solidFill>
                </w14:textFill>
              </w:rPr>
              <w:t>m</w:t>
            </w:r>
            <w:r>
              <w:rPr>
                <w:rFonts w:cs="Times New Roman"/>
                <w:color w:val="000000" w:themeColor="text1"/>
                <w:kern w:val="0"/>
                <w:sz w:val="21"/>
                <w:szCs w:val="18"/>
                <w:highlight w:val="none"/>
                <w:vertAlign w:val="superscript"/>
                <w14:textFill>
                  <w14:solidFill>
                    <w14:schemeClr w14:val="tx1"/>
                  </w14:solidFill>
                </w14:textFill>
              </w:rPr>
              <w:t>3</w:t>
            </w:r>
            <w:r>
              <w:rPr>
                <w:rFonts w:cs="Times New Roman"/>
                <w:color w:val="000000" w:themeColor="text1"/>
                <w:kern w:val="0"/>
                <w:sz w:val="21"/>
                <w:szCs w:val="18"/>
                <w:highlight w:val="none"/>
                <w14:textFill>
                  <w14:solidFill>
                    <w14:schemeClr w14:val="tx1"/>
                  </w14:solidFill>
                </w14:textFill>
              </w:rPr>
              <w:t>/d</w:t>
            </w:r>
          </w:p>
        </w:tc>
        <w:tc>
          <w:tcPr>
            <w:tcW w:w="742" w:type="pct"/>
            <w:shd w:val="clear" w:color="auto" w:fill="auto"/>
            <w:vAlign w:val="center"/>
          </w:tcPr>
          <w:p>
            <w:pPr>
              <w:spacing w:line="240" w:lineRule="auto"/>
              <w:ind w:firstLine="0" w:firstLineChars="0"/>
              <w:jc w:val="center"/>
              <w:textAlignment w:val="baseline"/>
              <w:rPr>
                <w:rFonts w:cs="Times New Roman"/>
                <w:color w:val="000000" w:themeColor="text1"/>
                <w:kern w:val="0"/>
                <w:sz w:val="21"/>
                <w:szCs w:val="18"/>
                <w:highlight w:val="none"/>
                <w14:textFill>
                  <w14:solidFill>
                    <w14:schemeClr w14:val="tx1"/>
                  </w14:solidFill>
                </w14:textFill>
              </w:rPr>
            </w:pPr>
            <w:r>
              <w:rPr>
                <w:rFonts w:cs="Times New Roman"/>
                <w:color w:val="000000" w:themeColor="text1"/>
                <w:kern w:val="0"/>
                <w:sz w:val="21"/>
                <w:szCs w:val="18"/>
                <w:highlight w:val="none"/>
                <w14:textFill>
                  <w14:solidFill>
                    <w14:schemeClr w14:val="tx1"/>
                  </w14:solidFill>
                </w14:textFill>
              </w:rPr>
              <w:t>COD</w:t>
            </w:r>
          </w:p>
        </w:tc>
        <w:tc>
          <w:tcPr>
            <w:tcW w:w="1234" w:type="pct"/>
            <w:shd w:val="clear" w:color="auto" w:fill="auto"/>
            <w:vAlign w:val="center"/>
          </w:tcPr>
          <w:p>
            <w:pPr>
              <w:spacing w:line="240" w:lineRule="auto"/>
              <w:ind w:firstLine="0" w:firstLineChars="0"/>
              <w:jc w:val="center"/>
              <w:textAlignment w:val="baseline"/>
              <w:rPr>
                <w:rFonts w:cs="Times New Roman"/>
                <w:color w:val="000000" w:themeColor="text1"/>
                <w:kern w:val="0"/>
                <w:sz w:val="21"/>
                <w:szCs w:val="18"/>
                <w:highlight w:val="none"/>
                <w14:textFill>
                  <w14:solidFill>
                    <w14:schemeClr w14:val="tx1"/>
                  </w14:solidFill>
                </w14:textFill>
              </w:rPr>
            </w:pPr>
            <w:r>
              <w:rPr>
                <w:rFonts w:cs="Times New Roman"/>
                <w:color w:val="000000" w:themeColor="text1"/>
                <w:kern w:val="0"/>
                <w:sz w:val="21"/>
                <w:szCs w:val="18"/>
                <w:highlight w:val="none"/>
                <w14:textFill>
                  <w14:solidFill>
                    <w14:schemeClr w14:val="tx1"/>
                  </w14:solidFill>
                </w14:textFill>
              </w:rPr>
              <w:t>400</w:t>
            </w:r>
          </w:p>
        </w:tc>
        <w:tc>
          <w:tcPr>
            <w:tcW w:w="987" w:type="pct"/>
            <w:shd w:val="clear" w:color="auto" w:fill="auto"/>
            <w:vAlign w:val="center"/>
          </w:tcPr>
          <w:p>
            <w:pPr>
              <w:spacing w:line="240" w:lineRule="auto"/>
              <w:ind w:firstLine="0" w:firstLineChars="0"/>
              <w:jc w:val="center"/>
              <w:textAlignment w:val="baseline"/>
              <w:rPr>
                <w:rFonts w:cs="Times New Roman"/>
                <w:color w:val="000000" w:themeColor="text1"/>
                <w:kern w:val="0"/>
                <w:sz w:val="21"/>
                <w:szCs w:val="18"/>
                <w:highlight w:val="none"/>
                <w14:textFill>
                  <w14:solidFill>
                    <w14:schemeClr w14:val="tx1"/>
                  </w14:solidFill>
                </w14:textFill>
              </w:rPr>
            </w:pPr>
            <w:r>
              <w:rPr>
                <w:rFonts w:cs="Times New Roman"/>
                <w:color w:val="000000" w:themeColor="text1"/>
                <w:kern w:val="0"/>
                <w:sz w:val="21"/>
                <w:szCs w:val="18"/>
                <w:highlight w:val="none"/>
                <w14:textFill>
                  <w14:solidFill>
                    <w14:schemeClr w14:val="tx1"/>
                  </w14:solidFill>
                </w14:textFill>
              </w:rPr>
              <w:t>0.5</w:t>
            </w:r>
            <w:r>
              <w:rPr>
                <w:rFonts w:hint="eastAsia" w:cs="Times New Roman"/>
                <w:color w:val="000000" w:themeColor="text1"/>
                <w:kern w:val="0"/>
                <w:sz w:val="21"/>
                <w:szCs w:val="18"/>
                <w:highlight w:val="none"/>
                <w14:textFill>
                  <w14:solidFill>
                    <w14:schemeClr w14:val="tx1"/>
                  </w14:solidFill>
                </w14:textFill>
              </w:rPr>
              <w:t>76</w:t>
            </w:r>
            <w:r>
              <w:rPr>
                <w:rFonts w:cs="Times New Roman"/>
                <w:color w:val="000000" w:themeColor="text1"/>
                <w:kern w:val="0"/>
                <w:sz w:val="21"/>
                <w:szCs w:val="18"/>
                <w:highlight w:val="none"/>
                <w14:textFill>
                  <w14:solidFill>
                    <w14:schemeClr w14:val="tx1"/>
                  </w14:solidFill>
                </w14:textFill>
              </w:rPr>
              <w:t>kg/d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2" w:type="pct"/>
            <w:vMerge w:val="continue"/>
            <w:shd w:val="clear" w:color="auto" w:fill="auto"/>
            <w:vAlign w:val="center"/>
          </w:tcPr>
          <w:p>
            <w:pPr>
              <w:spacing w:line="240" w:lineRule="auto"/>
              <w:ind w:firstLine="0" w:firstLineChars="0"/>
              <w:jc w:val="center"/>
              <w:textAlignment w:val="baseline"/>
              <w:rPr>
                <w:rFonts w:cs="Times New Roman"/>
                <w:color w:val="000000" w:themeColor="text1"/>
                <w:kern w:val="0"/>
                <w:sz w:val="21"/>
                <w:szCs w:val="18"/>
                <w:highlight w:val="none"/>
                <w14:textFill>
                  <w14:solidFill>
                    <w14:schemeClr w14:val="tx1"/>
                  </w14:solidFill>
                </w14:textFill>
              </w:rPr>
            </w:pPr>
          </w:p>
        </w:tc>
        <w:tc>
          <w:tcPr>
            <w:tcW w:w="845" w:type="pct"/>
            <w:vMerge w:val="continue"/>
            <w:shd w:val="clear" w:color="auto" w:fill="auto"/>
            <w:vAlign w:val="center"/>
          </w:tcPr>
          <w:p>
            <w:pPr>
              <w:spacing w:line="240" w:lineRule="auto"/>
              <w:ind w:firstLine="0" w:firstLineChars="0"/>
              <w:jc w:val="center"/>
              <w:textAlignment w:val="baseline"/>
              <w:rPr>
                <w:rFonts w:cs="Times New Roman"/>
                <w:color w:val="000000" w:themeColor="text1"/>
                <w:kern w:val="0"/>
                <w:sz w:val="21"/>
                <w:szCs w:val="18"/>
                <w:highlight w:val="none"/>
                <w14:textFill>
                  <w14:solidFill>
                    <w14:schemeClr w14:val="tx1"/>
                  </w14:solidFill>
                </w14:textFill>
              </w:rPr>
            </w:pPr>
          </w:p>
        </w:tc>
        <w:tc>
          <w:tcPr>
            <w:tcW w:w="740" w:type="pct"/>
            <w:vMerge w:val="continue"/>
            <w:shd w:val="clear" w:color="auto" w:fill="auto"/>
            <w:vAlign w:val="center"/>
          </w:tcPr>
          <w:p>
            <w:pPr>
              <w:spacing w:line="240" w:lineRule="auto"/>
              <w:ind w:firstLine="0" w:firstLineChars="0"/>
              <w:jc w:val="center"/>
              <w:textAlignment w:val="baseline"/>
              <w:rPr>
                <w:rFonts w:cs="Times New Roman"/>
                <w:color w:val="000000" w:themeColor="text1"/>
                <w:kern w:val="0"/>
                <w:sz w:val="21"/>
                <w:szCs w:val="18"/>
                <w:highlight w:val="none"/>
                <w14:textFill>
                  <w14:solidFill>
                    <w14:schemeClr w14:val="tx1"/>
                  </w14:solidFill>
                </w14:textFill>
              </w:rPr>
            </w:pPr>
          </w:p>
        </w:tc>
        <w:tc>
          <w:tcPr>
            <w:tcW w:w="742" w:type="pct"/>
            <w:shd w:val="clear" w:color="auto" w:fill="auto"/>
            <w:vAlign w:val="center"/>
          </w:tcPr>
          <w:p>
            <w:pPr>
              <w:spacing w:line="240" w:lineRule="auto"/>
              <w:ind w:firstLine="0" w:firstLineChars="0"/>
              <w:jc w:val="center"/>
              <w:textAlignment w:val="baseline"/>
              <w:rPr>
                <w:rFonts w:cs="Times New Roman"/>
                <w:color w:val="000000" w:themeColor="text1"/>
                <w:kern w:val="0"/>
                <w:sz w:val="21"/>
                <w:szCs w:val="18"/>
                <w:highlight w:val="none"/>
                <w14:textFill>
                  <w14:solidFill>
                    <w14:schemeClr w14:val="tx1"/>
                  </w14:solidFill>
                </w14:textFill>
              </w:rPr>
            </w:pPr>
            <w:r>
              <w:rPr>
                <w:rFonts w:cs="Times New Roman"/>
                <w:color w:val="000000" w:themeColor="text1"/>
                <w:kern w:val="0"/>
                <w:sz w:val="21"/>
                <w:szCs w:val="18"/>
                <w:highlight w:val="none"/>
                <w14:textFill>
                  <w14:solidFill>
                    <w14:schemeClr w14:val="tx1"/>
                  </w14:solidFill>
                </w14:textFill>
              </w:rPr>
              <w:t>BOD</w:t>
            </w:r>
            <w:r>
              <w:rPr>
                <w:rFonts w:cs="Times New Roman"/>
                <w:color w:val="000000" w:themeColor="text1"/>
                <w:kern w:val="0"/>
                <w:sz w:val="21"/>
                <w:szCs w:val="18"/>
                <w:highlight w:val="none"/>
                <w:vertAlign w:val="subscript"/>
                <w14:textFill>
                  <w14:solidFill>
                    <w14:schemeClr w14:val="tx1"/>
                  </w14:solidFill>
                </w14:textFill>
              </w:rPr>
              <w:t>5</w:t>
            </w:r>
          </w:p>
        </w:tc>
        <w:tc>
          <w:tcPr>
            <w:tcW w:w="1234" w:type="pct"/>
            <w:shd w:val="clear" w:color="auto" w:fill="auto"/>
            <w:vAlign w:val="center"/>
          </w:tcPr>
          <w:p>
            <w:pPr>
              <w:spacing w:line="240" w:lineRule="auto"/>
              <w:ind w:firstLine="0" w:firstLineChars="0"/>
              <w:jc w:val="center"/>
              <w:textAlignment w:val="baseline"/>
              <w:rPr>
                <w:rFonts w:cs="Times New Roman"/>
                <w:color w:val="000000" w:themeColor="text1"/>
                <w:kern w:val="0"/>
                <w:sz w:val="21"/>
                <w:szCs w:val="18"/>
                <w:highlight w:val="none"/>
                <w14:textFill>
                  <w14:solidFill>
                    <w14:schemeClr w14:val="tx1"/>
                  </w14:solidFill>
                </w14:textFill>
              </w:rPr>
            </w:pPr>
            <w:r>
              <w:rPr>
                <w:rFonts w:cs="Times New Roman"/>
                <w:color w:val="000000" w:themeColor="text1"/>
                <w:kern w:val="0"/>
                <w:sz w:val="21"/>
                <w:szCs w:val="18"/>
                <w:highlight w:val="none"/>
                <w14:textFill>
                  <w14:solidFill>
                    <w14:schemeClr w14:val="tx1"/>
                  </w14:solidFill>
                </w14:textFill>
              </w:rPr>
              <w:t>200</w:t>
            </w:r>
          </w:p>
        </w:tc>
        <w:tc>
          <w:tcPr>
            <w:tcW w:w="987" w:type="pct"/>
            <w:shd w:val="clear" w:color="auto" w:fill="auto"/>
            <w:vAlign w:val="center"/>
          </w:tcPr>
          <w:p>
            <w:pPr>
              <w:spacing w:line="240" w:lineRule="auto"/>
              <w:ind w:firstLine="0" w:firstLineChars="0"/>
              <w:jc w:val="center"/>
              <w:textAlignment w:val="baseline"/>
              <w:rPr>
                <w:rFonts w:cs="Times New Roman"/>
                <w:color w:val="000000" w:themeColor="text1"/>
                <w:kern w:val="0"/>
                <w:sz w:val="21"/>
                <w:szCs w:val="18"/>
                <w:highlight w:val="none"/>
                <w14:textFill>
                  <w14:solidFill>
                    <w14:schemeClr w14:val="tx1"/>
                  </w14:solidFill>
                </w14:textFill>
              </w:rPr>
            </w:pPr>
            <w:r>
              <w:rPr>
                <w:rFonts w:cs="Times New Roman"/>
                <w:color w:val="000000" w:themeColor="text1"/>
                <w:kern w:val="0"/>
                <w:sz w:val="21"/>
                <w:szCs w:val="18"/>
                <w:highlight w:val="none"/>
                <w14:textFill>
                  <w14:solidFill>
                    <w14:schemeClr w14:val="tx1"/>
                  </w14:solidFill>
                </w14:textFill>
              </w:rPr>
              <w:t>0.2</w:t>
            </w:r>
            <w:r>
              <w:rPr>
                <w:rFonts w:hint="eastAsia" w:cs="Times New Roman"/>
                <w:color w:val="000000" w:themeColor="text1"/>
                <w:kern w:val="0"/>
                <w:sz w:val="21"/>
                <w:szCs w:val="18"/>
                <w:highlight w:val="none"/>
                <w14:textFill>
                  <w14:solidFill>
                    <w14:schemeClr w14:val="tx1"/>
                  </w14:solidFill>
                </w14:textFill>
              </w:rPr>
              <w:t>88</w:t>
            </w:r>
            <w:r>
              <w:rPr>
                <w:rFonts w:cs="Times New Roman"/>
                <w:color w:val="000000" w:themeColor="text1"/>
                <w:kern w:val="0"/>
                <w:sz w:val="21"/>
                <w:szCs w:val="18"/>
                <w:highlight w:val="none"/>
                <w14:textFill>
                  <w14:solidFill>
                    <w14:schemeClr w14:val="tx1"/>
                  </w14:solidFill>
                </w14:textFill>
              </w:rPr>
              <w:t>kg/d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2" w:type="pct"/>
            <w:vMerge w:val="continue"/>
            <w:shd w:val="clear" w:color="auto" w:fill="auto"/>
            <w:vAlign w:val="center"/>
          </w:tcPr>
          <w:p>
            <w:pPr>
              <w:spacing w:line="240" w:lineRule="auto"/>
              <w:ind w:firstLine="0" w:firstLineChars="0"/>
              <w:jc w:val="center"/>
              <w:textAlignment w:val="baseline"/>
              <w:rPr>
                <w:rFonts w:cs="Times New Roman"/>
                <w:color w:val="000000" w:themeColor="text1"/>
                <w:kern w:val="0"/>
                <w:sz w:val="21"/>
                <w:szCs w:val="18"/>
                <w:highlight w:val="none"/>
                <w14:textFill>
                  <w14:solidFill>
                    <w14:schemeClr w14:val="tx1"/>
                  </w14:solidFill>
                </w14:textFill>
              </w:rPr>
            </w:pPr>
          </w:p>
        </w:tc>
        <w:tc>
          <w:tcPr>
            <w:tcW w:w="845" w:type="pct"/>
            <w:vMerge w:val="continue"/>
            <w:shd w:val="clear" w:color="auto" w:fill="auto"/>
            <w:vAlign w:val="center"/>
          </w:tcPr>
          <w:p>
            <w:pPr>
              <w:spacing w:line="240" w:lineRule="auto"/>
              <w:ind w:firstLine="0" w:firstLineChars="0"/>
              <w:jc w:val="center"/>
              <w:textAlignment w:val="baseline"/>
              <w:rPr>
                <w:rFonts w:cs="Times New Roman"/>
                <w:color w:val="000000" w:themeColor="text1"/>
                <w:kern w:val="0"/>
                <w:sz w:val="21"/>
                <w:szCs w:val="18"/>
                <w:highlight w:val="none"/>
                <w14:textFill>
                  <w14:solidFill>
                    <w14:schemeClr w14:val="tx1"/>
                  </w14:solidFill>
                </w14:textFill>
              </w:rPr>
            </w:pPr>
          </w:p>
        </w:tc>
        <w:tc>
          <w:tcPr>
            <w:tcW w:w="740" w:type="pct"/>
            <w:vMerge w:val="continue"/>
            <w:shd w:val="clear" w:color="auto" w:fill="auto"/>
            <w:vAlign w:val="center"/>
          </w:tcPr>
          <w:p>
            <w:pPr>
              <w:spacing w:line="240" w:lineRule="auto"/>
              <w:ind w:firstLine="0" w:firstLineChars="0"/>
              <w:jc w:val="center"/>
              <w:textAlignment w:val="baseline"/>
              <w:rPr>
                <w:rFonts w:cs="Times New Roman"/>
                <w:color w:val="000000" w:themeColor="text1"/>
                <w:kern w:val="0"/>
                <w:sz w:val="21"/>
                <w:szCs w:val="18"/>
                <w:highlight w:val="none"/>
                <w14:textFill>
                  <w14:solidFill>
                    <w14:schemeClr w14:val="tx1"/>
                  </w14:solidFill>
                </w14:textFill>
              </w:rPr>
            </w:pPr>
          </w:p>
        </w:tc>
        <w:tc>
          <w:tcPr>
            <w:tcW w:w="742" w:type="pct"/>
            <w:shd w:val="clear" w:color="auto" w:fill="auto"/>
            <w:vAlign w:val="center"/>
          </w:tcPr>
          <w:p>
            <w:pPr>
              <w:spacing w:line="240" w:lineRule="auto"/>
              <w:ind w:firstLine="0" w:firstLineChars="0"/>
              <w:jc w:val="center"/>
              <w:textAlignment w:val="baseline"/>
              <w:rPr>
                <w:rFonts w:cs="Times New Roman"/>
                <w:color w:val="000000" w:themeColor="text1"/>
                <w:kern w:val="0"/>
                <w:sz w:val="21"/>
                <w:szCs w:val="18"/>
                <w:highlight w:val="none"/>
                <w14:textFill>
                  <w14:solidFill>
                    <w14:schemeClr w14:val="tx1"/>
                  </w14:solidFill>
                </w14:textFill>
              </w:rPr>
            </w:pPr>
            <w:r>
              <w:rPr>
                <w:rFonts w:cs="Times New Roman"/>
                <w:color w:val="000000" w:themeColor="text1"/>
                <w:kern w:val="0"/>
                <w:sz w:val="21"/>
                <w:szCs w:val="18"/>
                <w:highlight w:val="none"/>
                <w14:textFill>
                  <w14:solidFill>
                    <w14:schemeClr w14:val="tx1"/>
                  </w14:solidFill>
                </w14:textFill>
              </w:rPr>
              <w:t>氨氮</w:t>
            </w:r>
          </w:p>
        </w:tc>
        <w:tc>
          <w:tcPr>
            <w:tcW w:w="1234" w:type="pct"/>
            <w:shd w:val="clear" w:color="auto" w:fill="auto"/>
            <w:vAlign w:val="center"/>
          </w:tcPr>
          <w:p>
            <w:pPr>
              <w:spacing w:line="240" w:lineRule="auto"/>
              <w:ind w:firstLine="0" w:firstLineChars="0"/>
              <w:jc w:val="center"/>
              <w:textAlignment w:val="baseline"/>
              <w:rPr>
                <w:rFonts w:cs="Times New Roman"/>
                <w:color w:val="000000" w:themeColor="text1"/>
                <w:kern w:val="0"/>
                <w:sz w:val="21"/>
                <w:szCs w:val="18"/>
                <w:highlight w:val="none"/>
                <w14:textFill>
                  <w14:solidFill>
                    <w14:schemeClr w14:val="tx1"/>
                  </w14:solidFill>
                </w14:textFill>
              </w:rPr>
            </w:pPr>
            <w:r>
              <w:rPr>
                <w:rFonts w:cs="Times New Roman"/>
                <w:color w:val="000000" w:themeColor="text1"/>
                <w:kern w:val="0"/>
                <w:sz w:val="21"/>
                <w:szCs w:val="18"/>
                <w:highlight w:val="none"/>
                <w14:textFill>
                  <w14:solidFill>
                    <w14:schemeClr w14:val="tx1"/>
                  </w14:solidFill>
                </w14:textFill>
              </w:rPr>
              <w:t>30</w:t>
            </w:r>
          </w:p>
        </w:tc>
        <w:tc>
          <w:tcPr>
            <w:tcW w:w="987" w:type="pct"/>
            <w:shd w:val="clear" w:color="auto" w:fill="auto"/>
            <w:vAlign w:val="center"/>
          </w:tcPr>
          <w:p>
            <w:pPr>
              <w:spacing w:line="240" w:lineRule="auto"/>
              <w:ind w:firstLine="0" w:firstLineChars="0"/>
              <w:jc w:val="center"/>
              <w:textAlignment w:val="baseline"/>
              <w:rPr>
                <w:rFonts w:cs="Times New Roman"/>
                <w:color w:val="000000" w:themeColor="text1"/>
                <w:kern w:val="0"/>
                <w:sz w:val="21"/>
                <w:szCs w:val="18"/>
                <w:highlight w:val="none"/>
                <w14:textFill>
                  <w14:solidFill>
                    <w14:schemeClr w14:val="tx1"/>
                  </w14:solidFill>
                </w14:textFill>
              </w:rPr>
            </w:pPr>
            <w:r>
              <w:rPr>
                <w:rFonts w:cs="Times New Roman"/>
                <w:color w:val="000000" w:themeColor="text1"/>
                <w:kern w:val="0"/>
                <w:sz w:val="21"/>
                <w:szCs w:val="18"/>
                <w:highlight w:val="none"/>
                <w14:textFill>
                  <w14:solidFill>
                    <w14:schemeClr w14:val="tx1"/>
                  </w14:solidFill>
                </w14:textFill>
              </w:rPr>
              <w:t>0.04</w:t>
            </w:r>
            <w:r>
              <w:rPr>
                <w:rFonts w:hint="eastAsia" w:cs="Times New Roman"/>
                <w:color w:val="000000" w:themeColor="text1"/>
                <w:kern w:val="0"/>
                <w:sz w:val="21"/>
                <w:szCs w:val="18"/>
                <w:highlight w:val="none"/>
                <w14:textFill>
                  <w14:solidFill>
                    <w14:schemeClr w14:val="tx1"/>
                  </w14:solidFill>
                </w14:textFill>
              </w:rPr>
              <w:t>32</w:t>
            </w:r>
            <w:r>
              <w:rPr>
                <w:rFonts w:cs="Times New Roman"/>
                <w:color w:val="000000" w:themeColor="text1"/>
                <w:kern w:val="0"/>
                <w:sz w:val="21"/>
                <w:szCs w:val="18"/>
                <w:highlight w:val="none"/>
                <w14:textFill>
                  <w14:solidFill>
                    <w14:schemeClr w14:val="tx1"/>
                  </w14:solidFill>
                </w14:textFill>
              </w:rPr>
              <w:t>kg/d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2" w:type="pct"/>
            <w:vMerge w:val="continue"/>
            <w:shd w:val="clear" w:color="auto" w:fill="auto"/>
            <w:vAlign w:val="center"/>
          </w:tcPr>
          <w:p>
            <w:pPr>
              <w:spacing w:line="240" w:lineRule="auto"/>
              <w:ind w:firstLine="0" w:firstLineChars="0"/>
              <w:jc w:val="center"/>
              <w:textAlignment w:val="baseline"/>
              <w:rPr>
                <w:rFonts w:cs="Times New Roman"/>
                <w:color w:val="000000" w:themeColor="text1"/>
                <w:kern w:val="0"/>
                <w:sz w:val="21"/>
                <w:szCs w:val="18"/>
                <w:highlight w:val="none"/>
                <w14:textFill>
                  <w14:solidFill>
                    <w14:schemeClr w14:val="tx1"/>
                  </w14:solidFill>
                </w14:textFill>
              </w:rPr>
            </w:pPr>
          </w:p>
        </w:tc>
        <w:tc>
          <w:tcPr>
            <w:tcW w:w="845" w:type="pct"/>
            <w:vMerge w:val="continue"/>
            <w:shd w:val="clear" w:color="auto" w:fill="auto"/>
            <w:vAlign w:val="center"/>
          </w:tcPr>
          <w:p>
            <w:pPr>
              <w:spacing w:line="240" w:lineRule="auto"/>
              <w:ind w:firstLine="0" w:firstLineChars="0"/>
              <w:jc w:val="center"/>
              <w:textAlignment w:val="baseline"/>
              <w:rPr>
                <w:rFonts w:cs="Times New Roman"/>
                <w:color w:val="000000" w:themeColor="text1"/>
                <w:kern w:val="0"/>
                <w:sz w:val="21"/>
                <w:szCs w:val="18"/>
                <w:highlight w:val="none"/>
                <w14:textFill>
                  <w14:solidFill>
                    <w14:schemeClr w14:val="tx1"/>
                  </w14:solidFill>
                </w14:textFill>
              </w:rPr>
            </w:pPr>
          </w:p>
        </w:tc>
        <w:tc>
          <w:tcPr>
            <w:tcW w:w="740" w:type="pct"/>
            <w:vMerge w:val="continue"/>
            <w:shd w:val="clear" w:color="auto" w:fill="auto"/>
            <w:vAlign w:val="center"/>
          </w:tcPr>
          <w:p>
            <w:pPr>
              <w:spacing w:line="240" w:lineRule="auto"/>
              <w:ind w:firstLine="0" w:firstLineChars="0"/>
              <w:jc w:val="center"/>
              <w:textAlignment w:val="baseline"/>
              <w:rPr>
                <w:rFonts w:cs="Times New Roman"/>
                <w:color w:val="000000" w:themeColor="text1"/>
                <w:kern w:val="0"/>
                <w:sz w:val="21"/>
                <w:szCs w:val="18"/>
                <w:highlight w:val="none"/>
                <w14:textFill>
                  <w14:solidFill>
                    <w14:schemeClr w14:val="tx1"/>
                  </w14:solidFill>
                </w14:textFill>
              </w:rPr>
            </w:pPr>
          </w:p>
        </w:tc>
        <w:tc>
          <w:tcPr>
            <w:tcW w:w="742" w:type="pct"/>
            <w:shd w:val="clear" w:color="auto" w:fill="auto"/>
            <w:vAlign w:val="center"/>
          </w:tcPr>
          <w:p>
            <w:pPr>
              <w:spacing w:line="240" w:lineRule="auto"/>
              <w:ind w:firstLine="0" w:firstLineChars="0"/>
              <w:jc w:val="center"/>
              <w:textAlignment w:val="baseline"/>
              <w:rPr>
                <w:rFonts w:cs="Times New Roman"/>
                <w:color w:val="000000" w:themeColor="text1"/>
                <w:kern w:val="0"/>
                <w:sz w:val="21"/>
                <w:szCs w:val="18"/>
                <w:highlight w:val="none"/>
                <w14:textFill>
                  <w14:solidFill>
                    <w14:schemeClr w14:val="tx1"/>
                  </w14:solidFill>
                </w14:textFill>
              </w:rPr>
            </w:pPr>
            <w:r>
              <w:rPr>
                <w:rFonts w:hint="eastAsia" w:cs="Times New Roman"/>
                <w:color w:val="000000" w:themeColor="text1"/>
                <w:kern w:val="0"/>
                <w:sz w:val="21"/>
                <w:szCs w:val="18"/>
                <w:highlight w:val="none"/>
                <w14:textFill>
                  <w14:solidFill>
                    <w14:schemeClr w14:val="tx1"/>
                  </w14:solidFill>
                </w14:textFill>
              </w:rPr>
              <w:t>SS</w:t>
            </w:r>
          </w:p>
        </w:tc>
        <w:tc>
          <w:tcPr>
            <w:tcW w:w="1234" w:type="pct"/>
            <w:shd w:val="clear" w:color="auto" w:fill="auto"/>
            <w:vAlign w:val="center"/>
          </w:tcPr>
          <w:p>
            <w:pPr>
              <w:spacing w:line="240" w:lineRule="auto"/>
              <w:ind w:firstLine="0" w:firstLineChars="0"/>
              <w:jc w:val="center"/>
              <w:textAlignment w:val="baseline"/>
              <w:rPr>
                <w:rFonts w:cs="Times New Roman"/>
                <w:color w:val="000000" w:themeColor="text1"/>
                <w:kern w:val="0"/>
                <w:sz w:val="21"/>
                <w:szCs w:val="18"/>
                <w:highlight w:val="none"/>
                <w14:textFill>
                  <w14:solidFill>
                    <w14:schemeClr w14:val="tx1"/>
                  </w14:solidFill>
                </w14:textFill>
              </w:rPr>
            </w:pPr>
            <w:r>
              <w:rPr>
                <w:rFonts w:hint="eastAsia" w:cs="Times New Roman"/>
                <w:color w:val="000000" w:themeColor="text1"/>
                <w:kern w:val="0"/>
                <w:sz w:val="21"/>
                <w:szCs w:val="18"/>
                <w:highlight w:val="none"/>
                <w14:textFill>
                  <w14:solidFill>
                    <w14:schemeClr w14:val="tx1"/>
                  </w14:solidFill>
                </w14:textFill>
              </w:rPr>
              <w:t>250</w:t>
            </w:r>
          </w:p>
        </w:tc>
        <w:tc>
          <w:tcPr>
            <w:tcW w:w="987" w:type="pct"/>
            <w:shd w:val="clear" w:color="auto" w:fill="auto"/>
            <w:vAlign w:val="center"/>
          </w:tcPr>
          <w:p>
            <w:pPr>
              <w:spacing w:line="240" w:lineRule="auto"/>
              <w:ind w:firstLine="0" w:firstLineChars="0"/>
              <w:jc w:val="center"/>
              <w:textAlignment w:val="baseline"/>
              <w:rPr>
                <w:rFonts w:cs="Times New Roman"/>
                <w:color w:val="000000" w:themeColor="text1"/>
                <w:kern w:val="0"/>
                <w:sz w:val="21"/>
                <w:szCs w:val="18"/>
                <w:highlight w:val="none"/>
                <w14:textFill>
                  <w14:solidFill>
                    <w14:schemeClr w14:val="tx1"/>
                  </w14:solidFill>
                </w14:textFill>
              </w:rPr>
            </w:pPr>
            <w:r>
              <w:rPr>
                <w:rFonts w:hint="eastAsia" w:cs="Times New Roman"/>
                <w:color w:val="000000" w:themeColor="text1"/>
                <w:kern w:val="0"/>
                <w:sz w:val="21"/>
                <w:szCs w:val="18"/>
                <w:highlight w:val="none"/>
                <w14:textFill>
                  <w14:solidFill>
                    <w14:schemeClr w14:val="tx1"/>
                  </w14:solidFill>
                </w14:textFill>
              </w:rPr>
              <w:t>0.36kg/d</w:t>
            </w:r>
          </w:p>
        </w:tc>
      </w:tr>
    </w:tbl>
    <w:p>
      <w:pPr>
        <w:autoSpaceDE w:val="0"/>
        <w:autoSpaceDN w:val="0"/>
        <w:adjustRightInd/>
        <w:snapToGrid/>
        <w:spacing w:before="120" w:beforeLines="50"/>
        <w:ind w:firstLine="480"/>
        <w:textAlignment w:val="baseline"/>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2）试压废水</w:t>
      </w:r>
    </w:p>
    <w:p>
      <w:pPr>
        <w:widowControl/>
        <w:adjustRightInd/>
        <w:snapToGrid/>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集输管道试压前，采用氮气将管道内杂质全部清除完毕，管线清管合格标准为：以开口端</w:t>
      </w:r>
      <w:r>
        <w:rPr>
          <w:rFonts w:hint="eastAsia" w:cs="Times New Roman"/>
          <w:color w:val="000000" w:themeColor="text1"/>
          <w:szCs w:val="24"/>
          <w:highlight w:val="none"/>
          <w14:textFill>
            <w14:solidFill>
              <w14:schemeClr w14:val="tx1"/>
            </w14:solidFill>
          </w14:textFill>
        </w:rPr>
        <w:t>不再</w:t>
      </w:r>
      <w:r>
        <w:rPr>
          <w:rFonts w:cs="Times New Roman"/>
          <w:color w:val="000000" w:themeColor="text1"/>
          <w:szCs w:val="24"/>
          <w:highlight w:val="none"/>
          <w14:textFill>
            <w14:solidFill>
              <w14:schemeClr w14:val="tx1"/>
            </w14:solidFill>
          </w14:textFill>
        </w:rPr>
        <w:t>排除杂物为合格。</w:t>
      </w:r>
    </w:p>
    <w:p>
      <w:pPr>
        <w:widowControl/>
        <w:adjustRightInd/>
        <w:snapToGrid/>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管道采用洁净无腐蚀性的清洁水进行管道试压，用水量一般为充满整个管道容积的1.2倍，集输管道长约</w:t>
      </w:r>
      <w:r>
        <w:rPr>
          <w:rFonts w:hint="eastAsia" w:cs="Times New Roman"/>
          <w:color w:val="000000" w:themeColor="text1"/>
          <w:szCs w:val="24"/>
          <w:highlight w:val="none"/>
          <w14:textFill>
            <w14:solidFill>
              <w14:schemeClr w14:val="tx1"/>
            </w14:solidFill>
          </w14:textFill>
        </w:rPr>
        <w:t>118</w:t>
      </w:r>
      <w:r>
        <w:rPr>
          <w:rFonts w:cs="Times New Roman"/>
          <w:color w:val="000000" w:themeColor="text1"/>
          <w:szCs w:val="24"/>
          <w:highlight w:val="none"/>
          <w14:textFill>
            <w14:solidFill>
              <w14:schemeClr w14:val="tx1"/>
            </w14:solidFill>
          </w14:textFill>
        </w:rPr>
        <w:t>00m，管径</w:t>
      </w:r>
      <w:r>
        <w:rPr>
          <w:rFonts w:hint="eastAsia" w:cs="Times New Roman"/>
          <w:color w:val="000000" w:themeColor="text1"/>
          <w:szCs w:val="24"/>
          <w:highlight w:val="none"/>
          <w14:textFill>
            <w14:solidFill>
              <w14:schemeClr w14:val="tx1"/>
            </w14:solidFill>
          </w14:textFill>
        </w:rPr>
        <w:t>为DN200</w:t>
      </w:r>
      <w:r>
        <w:rPr>
          <w:rFonts w:cs="Times New Roman"/>
          <w:color w:val="000000" w:themeColor="text1"/>
          <w:szCs w:val="24"/>
          <w:highlight w:val="none"/>
          <w14:textFill>
            <w14:solidFill>
              <w14:schemeClr w14:val="tx1"/>
            </w14:solidFill>
          </w14:textFill>
        </w:rPr>
        <w:t>mm，管道试压废水产生总量约</w:t>
      </w:r>
      <w:r>
        <w:rPr>
          <w:rFonts w:hint="eastAsia" w:cs="Times New Roman"/>
          <w:color w:val="000000" w:themeColor="text1"/>
          <w:szCs w:val="24"/>
          <w:highlight w:val="none"/>
          <w14:textFill>
            <w14:solidFill>
              <w14:schemeClr w14:val="tx1"/>
            </w14:solidFill>
          </w14:textFill>
        </w:rPr>
        <w:t>445</w:t>
      </w:r>
      <w:r>
        <w:rPr>
          <w:rFonts w:cs="Times New Roman"/>
          <w:color w:val="000000" w:themeColor="text1"/>
          <w:szCs w:val="24"/>
          <w:highlight w:val="none"/>
          <w14:textFill>
            <w14:solidFill>
              <w14:schemeClr w14:val="tx1"/>
            </w14:solidFill>
          </w14:textFill>
        </w:rPr>
        <w:t>m</w:t>
      </w:r>
      <w:r>
        <w:rPr>
          <w:rFonts w:cs="Times New Roman"/>
          <w:color w:val="000000" w:themeColor="text1"/>
          <w:szCs w:val="24"/>
          <w:highlight w:val="none"/>
          <w:vertAlign w:val="superscript"/>
          <w14:textFill>
            <w14:solidFill>
              <w14:schemeClr w14:val="tx1"/>
            </w14:solidFill>
          </w14:textFill>
        </w:rPr>
        <w:t>3</w:t>
      </w:r>
      <w:r>
        <w:rPr>
          <w:rFonts w:cs="Times New Roman"/>
          <w:color w:val="000000" w:themeColor="text1"/>
          <w:szCs w:val="24"/>
          <w:highlight w:val="none"/>
          <w14:textFill>
            <w14:solidFill>
              <w14:schemeClr w14:val="tx1"/>
            </w14:solidFill>
          </w14:textFill>
        </w:rPr>
        <w:t>，主要污染物SS浓度按70mg/L计，则SS产生量为</w:t>
      </w:r>
      <w:r>
        <w:rPr>
          <w:rFonts w:hint="eastAsia" w:cs="Times New Roman"/>
          <w:color w:val="000000" w:themeColor="text1"/>
          <w:szCs w:val="24"/>
          <w:highlight w:val="none"/>
          <w14:textFill>
            <w14:solidFill>
              <w14:schemeClr w14:val="tx1"/>
            </w14:solidFill>
          </w14:textFill>
        </w:rPr>
        <w:t>31.2</w:t>
      </w:r>
      <w:r>
        <w:rPr>
          <w:rFonts w:cs="Times New Roman"/>
          <w:color w:val="000000" w:themeColor="text1"/>
          <w:szCs w:val="24"/>
          <w:highlight w:val="none"/>
          <w14:textFill>
            <w14:solidFill>
              <w14:schemeClr w14:val="tx1"/>
            </w14:solidFill>
          </w14:textFill>
        </w:rPr>
        <w:t>kg。试压用水为洁净水，试压废水</w:t>
      </w:r>
      <w:r>
        <w:rPr>
          <w:rFonts w:hint="eastAsia" w:cs="Times New Roman"/>
          <w:color w:val="000000" w:themeColor="text1"/>
          <w:szCs w:val="24"/>
          <w:highlight w:val="none"/>
          <w14:textFill>
            <w14:solidFill>
              <w14:schemeClr w14:val="tx1"/>
            </w14:solidFill>
          </w14:textFill>
        </w:rPr>
        <w:t>（包含氮气扫水余水）</w:t>
      </w:r>
      <w:r>
        <w:rPr>
          <w:rFonts w:cs="Times New Roman"/>
          <w:color w:val="000000" w:themeColor="text1"/>
          <w:szCs w:val="24"/>
          <w:highlight w:val="none"/>
          <w14:textFill>
            <w14:solidFill>
              <w14:schemeClr w14:val="tx1"/>
            </w14:solidFill>
          </w14:textFill>
        </w:rPr>
        <w:t>经管道出水口排入沉淀池，沉淀池位置和容积根据施工现场管道分段情况决定，试压废水经沉淀后回用于施工场地洒水降尘及施工机械、车辆冲洗，不外排。</w:t>
      </w:r>
    </w:p>
    <w:p>
      <w:pPr>
        <w:autoSpaceDE w:val="0"/>
        <w:autoSpaceDN w:val="0"/>
        <w:adjustRightInd/>
        <w:snapToGrid/>
        <w:ind w:firstLine="480"/>
        <w:textAlignment w:val="baseline"/>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3）施工机械、车辆冲洗废水</w:t>
      </w:r>
    </w:p>
    <w:p>
      <w:pPr>
        <w:adjustRightInd/>
        <w:snapToGrid/>
        <w:ind w:firstLine="480"/>
        <w:textAlignment w:val="baseline"/>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集输管线施工作业带、穿越点施工场地、堆管场等区域均为未硬化地面，且地表穿越两侧场地泥土含水量高，如遇下雨等天气，施工机械和运输车辆可能会携带泥浆上路，因此，本报告要求集输管道施工机械、车辆每日施工结束后需进行冲洗（如遇下雨等天气可加大冲洗频次或停止施工）。冲洗废水主要污染物为SS和石油类。</w:t>
      </w:r>
    </w:p>
    <w:p>
      <w:pPr>
        <w:adjustRightInd/>
        <w:snapToGrid/>
        <w:ind w:firstLine="480"/>
        <w:textAlignment w:val="baseline"/>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集输管线施工期间平均每天需要冲洗的各种施工运输车辆和流动机械共约5辆（台），每次每辆（台）平均冲洗废水量约为0.25m</w:t>
      </w:r>
      <w:r>
        <w:rPr>
          <w:rFonts w:cs="Times New Roman"/>
          <w:color w:val="000000" w:themeColor="text1"/>
          <w:kern w:val="0"/>
          <w:szCs w:val="24"/>
          <w:highlight w:val="none"/>
          <w:vertAlign w:val="superscript"/>
          <w14:textFill>
            <w14:solidFill>
              <w14:schemeClr w14:val="tx1"/>
            </w14:solidFill>
          </w14:textFill>
        </w:rPr>
        <w:t>3</w:t>
      </w:r>
      <w:r>
        <w:rPr>
          <w:rFonts w:cs="Times New Roman"/>
          <w:color w:val="000000" w:themeColor="text1"/>
          <w:kern w:val="0"/>
          <w:szCs w:val="24"/>
          <w:highlight w:val="none"/>
          <w14:textFill>
            <w14:solidFill>
              <w14:schemeClr w14:val="tx1"/>
            </w14:solidFill>
          </w14:textFill>
        </w:rPr>
        <w:t>，每日集中在施工结束后冲洗1次，冲洗废水量约1.25m</w:t>
      </w:r>
      <w:r>
        <w:rPr>
          <w:rFonts w:cs="Times New Roman"/>
          <w:color w:val="000000" w:themeColor="text1"/>
          <w:kern w:val="0"/>
          <w:szCs w:val="24"/>
          <w:highlight w:val="none"/>
          <w:vertAlign w:val="superscript"/>
          <w14:textFill>
            <w14:solidFill>
              <w14:schemeClr w14:val="tx1"/>
            </w14:solidFill>
          </w14:textFill>
        </w:rPr>
        <w:t>3</w:t>
      </w:r>
      <w:r>
        <w:rPr>
          <w:rFonts w:cs="Times New Roman"/>
          <w:color w:val="000000" w:themeColor="text1"/>
          <w:kern w:val="0"/>
          <w:szCs w:val="24"/>
          <w:highlight w:val="none"/>
          <w14:textFill>
            <w14:solidFill>
              <w14:schemeClr w14:val="tx1"/>
            </w14:solidFill>
          </w14:textFill>
        </w:rPr>
        <w:t>/d。废水中主要污染物SS、石油类浓度按500mg/L、100mg/L，计，则SS产生量为0.625kg/d，石油类产生量为0.125kg/d。施工冲洗废水采用隔油沉砂池收集处理后回用于集输管线施工作业区洒水降尘及车辆设备冲洗，不外排。隔油沉砂池位置和容积根据施工现场实际情况确定。</w:t>
      </w:r>
    </w:p>
    <w:p>
      <w:pPr>
        <w:autoSpaceDE w:val="0"/>
        <w:autoSpaceDN w:val="0"/>
        <w:adjustRightInd/>
        <w:snapToGrid/>
        <w:ind w:firstLine="480"/>
        <w:textAlignment w:val="baseline"/>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4）沟渠穿越含泥浆废水</w:t>
      </w:r>
    </w:p>
    <w:p>
      <w:pPr>
        <w:ind w:firstLine="480"/>
        <w:rPr>
          <w:color w:val="000000" w:themeColor="text1"/>
          <w:highlight w:val="none"/>
          <w:lang w:bidi="en-US"/>
          <w14:textFill>
            <w14:solidFill>
              <w14:schemeClr w14:val="tx1"/>
            </w14:solidFill>
          </w14:textFill>
        </w:rPr>
      </w:pPr>
      <w:r>
        <w:rPr>
          <w:rFonts w:cs="Times New Roman"/>
          <w:color w:val="000000" w:themeColor="text1"/>
          <w:kern w:val="0"/>
          <w:szCs w:val="24"/>
          <w:highlight w:val="none"/>
          <w:lang w:bidi="ar"/>
          <w14:textFill>
            <w14:solidFill>
              <w14:schemeClr w14:val="tx1"/>
            </w14:solidFill>
          </w14:textFill>
        </w:rPr>
        <w:t>管道在穿越沟渠时涉水围堰施工过程中会产生少量泥浆废水，其主要污染物为SS，由泵抽出</w:t>
      </w:r>
      <w:r>
        <w:rPr>
          <w:rFonts w:hint="eastAsia" w:cs="Times New Roman"/>
          <w:color w:val="000000" w:themeColor="text1"/>
          <w:kern w:val="0"/>
          <w:szCs w:val="24"/>
          <w:highlight w:val="none"/>
          <w:lang w:bidi="ar"/>
          <w14:textFill>
            <w14:solidFill>
              <w14:schemeClr w14:val="tx1"/>
            </w14:solidFill>
          </w14:textFill>
        </w:rPr>
        <w:t>，泵入在沟渠穿越点附近设置的</w:t>
      </w:r>
      <w:r>
        <w:rPr>
          <w:rFonts w:cs="Times New Roman"/>
          <w:color w:val="000000" w:themeColor="text1"/>
          <w:kern w:val="0"/>
          <w:szCs w:val="24"/>
          <w:highlight w:val="none"/>
          <w:lang w:bidi="ar"/>
          <w14:textFill>
            <w14:solidFill>
              <w14:schemeClr w14:val="tx1"/>
            </w14:solidFill>
          </w14:textFill>
        </w:rPr>
        <w:t>简易</w:t>
      </w:r>
      <w:r>
        <w:rPr>
          <w:rFonts w:hint="eastAsia" w:cs="Times New Roman"/>
          <w:color w:val="000000" w:themeColor="text1"/>
          <w:kern w:val="0"/>
          <w:szCs w:val="24"/>
          <w:highlight w:val="none"/>
          <w:lang w:bidi="ar"/>
          <w14:textFill>
            <w14:solidFill>
              <w14:schemeClr w14:val="tx1"/>
            </w14:solidFill>
          </w14:textFill>
        </w:rPr>
        <w:t>沉淀池，</w:t>
      </w:r>
      <w:r>
        <w:rPr>
          <w:rFonts w:cs="Times New Roman"/>
          <w:color w:val="000000" w:themeColor="text1"/>
          <w:kern w:val="0"/>
          <w:szCs w:val="24"/>
          <w:highlight w:val="none"/>
          <w:lang w:bidi="ar"/>
          <w14:textFill>
            <w14:solidFill>
              <w14:schemeClr w14:val="tx1"/>
            </w14:solidFill>
          </w14:textFill>
        </w:rPr>
        <w:t>沉淀处理后回用于施工作业带洒水降尘，及车辆设备冲洗，不外排</w:t>
      </w:r>
      <w:r>
        <w:rPr>
          <w:color w:val="000000" w:themeColor="text1"/>
          <w:highlight w:val="none"/>
          <w:lang w:bidi="en-US"/>
          <w14:textFill>
            <w14:solidFill>
              <w14:schemeClr w14:val="tx1"/>
            </w14:solidFill>
          </w14:textFill>
        </w:rPr>
        <w:t>。</w:t>
      </w:r>
    </w:p>
    <w:p>
      <w:pPr>
        <w:ind w:firstLine="482"/>
        <w:rPr>
          <w:rFonts w:cs="Times New Roman"/>
          <w:b/>
          <w:color w:val="000000" w:themeColor="text1"/>
          <w:highlight w:val="none"/>
          <w14:textFill>
            <w14:solidFill>
              <w14:schemeClr w14:val="tx1"/>
            </w14:solidFill>
          </w14:textFill>
        </w:rPr>
      </w:pPr>
      <w:r>
        <w:rPr>
          <w:rFonts w:cs="Times New Roman"/>
          <w:b/>
          <w:color w:val="000000" w:themeColor="text1"/>
          <w:highlight w:val="none"/>
          <w14:textFill>
            <w14:solidFill>
              <w14:schemeClr w14:val="tx1"/>
            </w14:solidFill>
          </w14:textFill>
        </w:rPr>
        <w:t>（4）噪声</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站场建设的噪声主要是推土机、电焊机、载重汽车等运行中产生的，工程量小、时间短，噪声源强小，夜间不施工，对环境影响小。项目</w:t>
      </w:r>
      <w:r>
        <w:rPr>
          <w:rFonts w:hint="eastAsia" w:cs="Times New Roman"/>
          <w:color w:val="000000" w:themeColor="text1"/>
          <w:szCs w:val="24"/>
          <w:highlight w:val="none"/>
          <w14:textFill>
            <w14:solidFill>
              <w14:schemeClr w14:val="tx1"/>
            </w14:solidFill>
          </w14:textFill>
        </w:rPr>
        <w:t>集输管道</w:t>
      </w:r>
      <w:r>
        <w:rPr>
          <w:rFonts w:cs="Times New Roman"/>
          <w:color w:val="000000" w:themeColor="text1"/>
          <w:szCs w:val="24"/>
          <w:highlight w:val="none"/>
          <w14:textFill>
            <w14:solidFill>
              <w14:schemeClr w14:val="tx1"/>
            </w14:solidFill>
          </w14:textFill>
        </w:rPr>
        <w:t>工程管材的运输、管沟开挖等施工过程中，因使用各种机械工具和车辆而产生噪声污染，其排放强度根据装卸、运输的车辆和工具的型号不同有所不同，具有间断性和暂时性</w:t>
      </w:r>
      <w:r>
        <w:rPr>
          <w:rFonts w:hint="eastAsia" w:cs="Times New Roman"/>
          <w:color w:val="000000" w:themeColor="text1"/>
          <w:szCs w:val="24"/>
          <w:highlight w:val="none"/>
          <w14:textFill>
            <w14:solidFill>
              <w14:schemeClr w14:val="tx1"/>
            </w14:solidFill>
          </w14:textFill>
        </w:rPr>
        <w:t>。由于管道工程</w:t>
      </w:r>
      <w:r>
        <w:rPr>
          <w:rFonts w:cs="Times New Roman"/>
          <w:color w:val="000000" w:themeColor="text1"/>
          <w:szCs w:val="24"/>
          <w:highlight w:val="none"/>
          <w14:textFill>
            <w14:solidFill>
              <w14:schemeClr w14:val="tx1"/>
            </w14:solidFill>
          </w14:textFill>
        </w:rPr>
        <w:t>量小、时间短，噪声源强小，夜间不施工，对环境影响小</w:t>
      </w:r>
    </w:p>
    <w:p>
      <w:pPr>
        <w:ind w:firstLine="482"/>
        <w:rPr>
          <w:rFonts w:cs="Times New Roman"/>
          <w:b/>
          <w:color w:val="000000" w:themeColor="text1"/>
          <w:highlight w:val="none"/>
          <w14:textFill>
            <w14:solidFill>
              <w14:schemeClr w14:val="tx1"/>
            </w14:solidFill>
          </w14:textFill>
        </w:rPr>
      </w:pPr>
      <w:r>
        <w:rPr>
          <w:rFonts w:cs="Times New Roman"/>
          <w:b/>
          <w:color w:val="000000" w:themeColor="text1"/>
          <w:highlight w:val="none"/>
          <w14:textFill>
            <w14:solidFill>
              <w14:schemeClr w14:val="tx1"/>
            </w14:solidFill>
          </w14:textFill>
        </w:rPr>
        <w:t>（5）固废</w:t>
      </w:r>
    </w:p>
    <w:p>
      <w:pPr>
        <w:autoSpaceDE w:val="0"/>
        <w:autoSpaceDN w:val="0"/>
        <w:adjustRightInd/>
        <w:snapToGrid/>
        <w:ind w:firstLine="480"/>
        <w:jc w:val="left"/>
        <w:textAlignment w:val="baseline"/>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1）</w:t>
      </w:r>
      <w:r>
        <w:rPr>
          <w:rFonts w:cs="Times New Roman"/>
          <w:color w:val="000000" w:themeColor="text1"/>
          <w:kern w:val="0"/>
          <w:szCs w:val="24"/>
          <w:highlight w:val="none"/>
          <w14:textFill>
            <w14:solidFill>
              <w14:schemeClr w14:val="tx1"/>
            </w14:solidFill>
          </w14:textFill>
        </w:rPr>
        <w:t>开挖土石方</w:t>
      </w:r>
    </w:p>
    <w:p>
      <w:pPr>
        <w:autoSpaceDE w:val="0"/>
        <w:autoSpaceDN w:val="0"/>
        <w:adjustRightInd/>
        <w:snapToGrid/>
        <w:ind w:firstLine="480"/>
        <w:textAlignment w:val="baseline"/>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本项目</w:t>
      </w:r>
      <w:r>
        <w:rPr>
          <w:rFonts w:hint="eastAsia" w:cs="Times New Roman"/>
          <w:color w:val="000000" w:themeColor="text1"/>
          <w:kern w:val="0"/>
          <w:szCs w:val="24"/>
          <w:highlight w:val="none"/>
          <w14:textFill>
            <w14:solidFill>
              <w14:schemeClr w14:val="tx1"/>
            </w14:solidFill>
          </w14:textFill>
        </w:rPr>
        <w:t>集输管线</w:t>
      </w:r>
      <w:r>
        <w:rPr>
          <w:rFonts w:cs="Times New Roman"/>
          <w:color w:val="000000" w:themeColor="text1"/>
          <w:kern w:val="0"/>
          <w:szCs w:val="24"/>
          <w:highlight w:val="none"/>
          <w14:textFill>
            <w14:solidFill>
              <w14:schemeClr w14:val="tx1"/>
            </w14:solidFill>
          </w14:textFill>
        </w:rPr>
        <w:t>开挖土石方量共</w:t>
      </w:r>
      <w:r>
        <w:rPr>
          <w:rFonts w:hint="eastAsia" w:cs="Times New Roman"/>
          <w:color w:val="000000" w:themeColor="text1"/>
          <w:kern w:val="0"/>
          <w:szCs w:val="24"/>
          <w:highlight w:val="none"/>
          <w14:textFill>
            <w14:solidFill>
              <w14:schemeClr w14:val="tx1"/>
            </w14:solidFill>
          </w14:textFill>
        </w:rPr>
        <w:t>87347</w:t>
      </w:r>
      <w:r>
        <w:rPr>
          <w:rFonts w:cs="Times New Roman"/>
          <w:color w:val="000000" w:themeColor="text1"/>
          <w:kern w:val="0"/>
          <w:szCs w:val="24"/>
          <w:highlight w:val="none"/>
          <w14:textFill>
            <w14:solidFill>
              <w14:schemeClr w14:val="tx1"/>
            </w14:solidFill>
          </w14:textFill>
        </w:rPr>
        <w:t>m</w:t>
      </w:r>
      <w:r>
        <w:rPr>
          <w:rFonts w:cs="Times New Roman"/>
          <w:color w:val="000000" w:themeColor="text1"/>
          <w:kern w:val="0"/>
          <w:szCs w:val="24"/>
          <w:highlight w:val="none"/>
          <w:vertAlign w:val="superscript"/>
          <w14:textFill>
            <w14:solidFill>
              <w14:schemeClr w14:val="tx1"/>
            </w14:solidFill>
          </w14:textFill>
        </w:rPr>
        <w:t>3</w:t>
      </w:r>
      <w:r>
        <w:rPr>
          <w:rFonts w:cs="Times New Roman"/>
          <w:color w:val="000000" w:themeColor="text1"/>
          <w:kern w:val="0"/>
          <w:szCs w:val="24"/>
          <w:highlight w:val="none"/>
          <w14:textFill>
            <w14:solidFill>
              <w14:schemeClr w14:val="tx1"/>
            </w14:solidFill>
          </w14:textFill>
        </w:rPr>
        <w:t>，全部回填，无弃方产生。</w:t>
      </w:r>
    </w:p>
    <w:p>
      <w:pPr>
        <w:autoSpaceDE w:val="0"/>
        <w:autoSpaceDN w:val="0"/>
        <w:adjustRightInd/>
        <w:snapToGrid/>
        <w:ind w:firstLine="480"/>
        <w:jc w:val="left"/>
        <w:textAlignment w:val="baseline"/>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2</w:t>
      </w:r>
      <w:r>
        <w:rPr>
          <w:rFonts w:hint="eastAsia" w:cs="Times New Roman"/>
          <w:color w:val="000000" w:themeColor="text1"/>
          <w:kern w:val="0"/>
          <w:szCs w:val="24"/>
          <w:highlight w:val="none"/>
          <w14:textFill>
            <w14:solidFill>
              <w14:schemeClr w14:val="tx1"/>
            </w14:solidFill>
          </w14:textFill>
        </w:rPr>
        <w:t>）</w:t>
      </w:r>
      <w:r>
        <w:rPr>
          <w:rFonts w:cs="Times New Roman"/>
          <w:color w:val="000000" w:themeColor="text1"/>
          <w:kern w:val="0"/>
          <w:szCs w:val="24"/>
          <w:highlight w:val="none"/>
          <w14:textFill>
            <w14:solidFill>
              <w14:schemeClr w14:val="tx1"/>
            </w14:solidFill>
          </w14:textFill>
        </w:rPr>
        <w:t>施工废料</w:t>
      </w:r>
    </w:p>
    <w:p>
      <w:pPr>
        <w:adjustRightInd/>
        <w:snapToGrid/>
        <w:ind w:firstLine="480"/>
        <w:textAlignment w:val="baseline"/>
        <w:rPr>
          <w:rFonts w:cs="Times New Roman"/>
          <w:color w:val="000000" w:themeColor="text1"/>
          <w:kern w:val="0"/>
          <w:szCs w:val="20"/>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施工废料主要包括焊接作业中产生的废焊条、焊渣，施工过程中产生的废包装材料，管道补口、补伤废料，清管所产生的少量铁屑、粉尘等。本项目管道防腐均在厂家预制完成，管道施工现场无防腐废料产生。施工废料中能回收利用的部分（焊条、焊渣、废包装材料、补口补伤废料等）优先回收利用，不能回收利用部分（清管废渣）交由当地环卫部门处理。施工废料按安装100米管道产生垃圾2.5kg计，施工废料产生量约为295kg。</w:t>
      </w:r>
    </w:p>
    <w:p>
      <w:pPr>
        <w:autoSpaceDE w:val="0"/>
        <w:autoSpaceDN w:val="0"/>
        <w:adjustRightInd/>
        <w:snapToGrid/>
        <w:ind w:firstLine="480"/>
        <w:jc w:val="left"/>
        <w:textAlignment w:val="baseline"/>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3</w:t>
      </w:r>
      <w:r>
        <w:rPr>
          <w:rFonts w:hint="eastAsia" w:cs="Times New Roman"/>
          <w:color w:val="000000" w:themeColor="text1"/>
          <w:kern w:val="0"/>
          <w:szCs w:val="24"/>
          <w:highlight w:val="none"/>
          <w14:textFill>
            <w14:solidFill>
              <w14:schemeClr w14:val="tx1"/>
            </w14:solidFill>
          </w14:textFill>
        </w:rPr>
        <w:t>）</w:t>
      </w:r>
      <w:r>
        <w:rPr>
          <w:rFonts w:cs="Times New Roman"/>
          <w:color w:val="000000" w:themeColor="text1"/>
          <w:kern w:val="0"/>
          <w:szCs w:val="24"/>
          <w:highlight w:val="none"/>
          <w14:textFill>
            <w14:solidFill>
              <w14:schemeClr w14:val="tx1"/>
            </w14:solidFill>
          </w14:textFill>
        </w:rPr>
        <w:t>废泥浆</w:t>
      </w:r>
    </w:p>
    <w:p>
      <w:pPr>
        <w:autoSpaceDE w:val="0"/>
        <w:autoSpaceDN w:val="0"/>
        <w:adjustRightInd/>
        <w:snapToGrid/>
        <w:ind w:firstLine="480"/>
        <w:textAlignment w:val="baseline"/>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管道穿越</w:t>
      </w:r>
      <w:r>
        <w:rPr>
          <w:rFonts w:hint="eastAsia" w:cs="Times New Roman"/>
          <w:color w:val="000000" w:themeColor="text1"/>
          <w:kern w:val="0"/>
          <w:szCs w:val="24"/>
          <w:highlight w:val="none"/>
          <w14:textFill>
            <w14:solidFill>
              <w14:schemeClr w14:val="tx1"/>
            </w14:solidFill>
          </w14:textFill>
        </w:rPr>
        <w:t>国道</w:t>
      </w:r>
      <w:r>
        <w:rPr>
          <w:rFonts w:cs="Times New Roman"/>
          <w:color w:val="000000" w:themeColor="text1"/>
          <w:kern w:val="0"/>
          <w:szCs w:val="24"/>
          <w:highlight w:val="none"/>
          <w14:textFill>
            <w14:solidFill>
              <w14:schemeClr w14:val="tx1"/>
            </w14:solidFill>
          </w14:textFill>
        </w:rPr>
        <w:t>采用顶管方式穿越，穿越</w:t>
      </w:r>
      <w:r>
        <w:rPr>
          <w:rFonts w:hint="eastAsia" w:cs="Times New Roman"/>
          <w:color w:val="000000" w:themeColor="text1"/>
          <w:kern w:val="0"/>
          <w:szCs w:val="24"/>
          <w:highlight w:val="none"/>
          <w14:textFill>
            <w14:solidFill>
              <w14:schemeClr w14:val="tx1"/>
            </w14:solidFill>
          </w14:textFill>
        </w:rPr>
        <w:t>高速公路和州河支流</w:t>
      </w:r>
      <w:r>
        <w:rPr>
          <w:rFonts w:cs="Times New Roman"/>
          <w:color w:val="000000" w:themeColor="text1"/>
          <w:kern w:val="0"/>
          <w:szCs w:val="24"/>
          <w:highlight w:val="none"/>
          <w14:textFill>
            <w14:solidFill>
              <w14:schemeClr w14:val="tx1"/>
            </w14:solidFill>
          </w14:textFill>
        </w:rPr>
        <w:t>河采用定向钻方式穿越。定向钻、顶管施工过程中所用泥浆主要用来减少顶进过程管壁与土体之间的摩擦力，并填充流失的土体，减少土体变形、沉降和隔水。泥浆产品主要由膨润土加水勾兑而成，为保证泥浆性能，根据不同的地质会加入少量的添加剂（碳酸钠）。项目顶管施工场地及定向钻施工场地内设置泥浆池，施工过程中返回的泥浆在泥浆池内循环使用，最后废弃的少量泥浆在施工作业带内自然晾干后就近用于地方乡村道路建设填料或道路护坡防护。</w:t>
      </w:r>
      <w:r>
        <w:rPr>
          <w:rFonts w:hint="eastAsia" w:cs="Times New Roman"/>
          <w:color w:val="000000" w:themeColor="text1"/>
          <w:kern w:val="0"/>
          <w:szCs w:val="24"/>
          <w:highlight w:val="none"/>
          <w14:textFill>
            <w14:solidFill>
              <w14:schemeClr w14:val="tx1"/>
            </w14:solidFill>
          </w14:textFill>
        </w:rPr>
        <w:t>泥浆池容积和位置根据施工现场实际情况确定，需确保泥浆池有足够容积容纳废泥浆，并采取相应防渗措施，严禁废泥浆外排。</w:t>
      </w:r>
    </w:p>
    <w:p>
      <w:pPr>
        <w:autoSpaceDE w:val="0"/>
        <w:autoSpaceDN w:val="0"/>
        <w:adjustRightInd/>
        <w:snapToGrid/>
        <w:ind w:left="480" w:firstLine="0" w:firstLineChars="0"/>
        <w:jc w:val="left"/>
        <w:textAlignment w:val="baseline"/>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4）</w:t>
      </w:r>
      <w:r>
        <w:rPr>
          <w:rFonts w:cs="Times New Roman"/>
          <w:color w:val="000000" w:themeColor="text1"/>
          <w:kern w:val="0"/>
          <w:szCs w:val="24"/>
          <w:highlight w:val="none"/>
          <w14:textFill>
            <w14:solidFill>
              <w14:schemeClr w14:val="tx1"/>
            </w14:solidFill>
          </w14:textFill>
        </w:rPr>
        <w:t>生活垃圾</w:t>
      </w:r>
    </w:p>
    <w:p>
      <w:pPr>
        <w:adjustRightInd/>
        <w:snapToGrid/>
        <w:ind w:firstLine="480"/>
        <w:textAlignment w:val="baseline"/>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本项目集输管线施工高峰期施工人员约为20人，生活垃圾产生量按0.5kg/人·d计，集输管线计划施工4个月，施工期生活垃圾产生量约1.2t，依托周边农户已有生活垃圾收集措施收集后，最终由市政环卫部门统一清运处置。</w:t>
      </w:r>
    </w:p>
    <w:p>
      <w:pPr>
        <w:autoSpaceDE w:val="0"/>
        <w:autoSpaceDN w:val="0"/>
        <w:adjustRightInd/>
        <w:snapToGrid/>
        <w:ind w:firstLine="480"/>
        <w:jc w:val="left"/>
        <w:textAlignment w:val="baseline"/>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5）</w:t>
      </w:r>
      <w:r>
        <w:rPr>
          <w:rFonts w:cs="Times New Roman"/>
          <w:color w:val="000000" w:themeColor="text1"/>
          <w:kern w:val="0"/>
          <w:szCs w:val="24"/>
          <w:highlight w:val="none"/>
          <w14:textFill>
            <w14:solidFill>
              <w14:schemeClr w14:val="tx1"/>
            </w14:solidFill>
          </w14:textFill>
        </w:rPr>
        <w:t>冲洗废水浮油</w:t>
      </w:r>
    </w:p>
    <w:p>
      <w:pPr>
        <w:autoSpaceDE w:val="0"/>
        <w:autoSpaceDN w:val="0"/>
        <w:adjustRightInd/>
        <w:snapToGrid/>
        <w:ind w:firstLine="480"/>
        <w:textAlignment w:val="baseline"/>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本项目施工车辆、设备冲洗废水中含有油类，废水经隔油沉砂池收集处理</w:t>
      </w:r>
      <w:r>
        <w:rPr>
          <w:rFonts w:hint="eastAsia" w:cs="Times New Roman"/>
          <w:color w:val="000000" w:themeColor="text1"/>
          <w:kern w:val="0"/>
          <w:szCs w:val="24"/>
          <w:highlight w:val="none"/>
          <w14:textFill>
            <w14:solidFill>
              <w14:schemeClr w14:val="tx1"/>
            </w14:solidFill>
          </w14:textFill>
        </w:rPr>
        <w:t>少量</w:t>
      </w:r>
      <w:r>
        <w:rPr>
          <w:rFonts w:cs="Times New Roman"/>
          <w:color w:val="000000" w:themeColor="text1"/>
          <w:kern w:val="0"/>
          <w:szCs w:val="24"/>
          <w:highlight w:val="none"/>
          <w14:textFill>
            <w14:solidFill>
              <w14:schemeClr w14:val="tx1"/>
            </w14:solidFill>
          </w14:textFill>
        </w:rPr>
        <w:t>浮油收集后交由危废资质单位处置，不在施工场地内暂存。</w:t>
      </w:r>
    </w:p>
    <w:p>
      <w:pPr>
        <w:pStyle w:val="6"/>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施工期“三废”汇总表</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综上所</w:t>
      </w:r>
      <w:r>
        <w:rPr>
          <w:rFonts w:hint="eastAsia" w:cs="Times New Roman"/>
          <w:color w:val="000000" w:themeColor="text1"/>
          <w:highlight w:val="none"/>
          <w14:textFill>
            <w14:solidFill>
              <w14:schemeClr w14:val="tx1"/>
            </w14:solidFill>
          </w14:textFill>
        </w:rPr>
        <w:t>述</w:t>
      </w:r>
      <w:r>
        <w:rPr>
          <w:rFonts w:cs="Times New Roman"/>
          <w:color w:val="000000" w:themeColor="text1"/>
          <w:highlight w:val="none"/>
          <w14:textFill>
            <w14:solidFill>
              <w14:schemeClr w14:val="tx1"/>
            </w14:solidFill>
          </w14:textFill>
        </w:rPr>
        <w:t>，本项目施工期污染物产生量及排放状况与生态影响见</w:t>
      </w:r>
      <w:r>
        <w:rPr>
          <w:rFonts w:cs="Times New Roman"/>
          <w:color w:val="000000" w:themeColor="text1"/>
          <w:highlight w:val="none"/>
          <w14:textFill>
            <w14:solidFill>
              <w14:schemeClr w14:val="tx1"/>
            </w14:solidFill>
          </w14:textFill>
        </w:rPr>
        <w:fldChar w:fldCharType="begin"/>
      </w:r>
      <w:r>
        <w:rPr>
          <w:rFonts w:cs="Times New Roman"/>
          <w:color w:val="000000" w:themeColor="text1"/>
          <w:highlight w:val="none"/>
          <w14:textFill>
            <w14:solidFill>
              <w14:schemeClr w14:val="tx1"/>
            </w14:solidFill>
          </w14:textFill>
        </w:rPr>
        <w:instrText xml:space="preserve"> REF _Ref142593545 \h  \* MERGEFORMAT </w:instrText>
      </w:r>
      <w:r>
        <w:rPr>
          <w:rFonts w:cs="Times New Roman"/>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5</w:t>
      </w:r>
      <w:r>
        <w:rPr>
          <w:rFonts w:cs="Times New Roman"/>
          <w:color w:val="000000" w:themeColor="text1"/>
          <w:highlight w:val="none"/>
          <w14:textFill>
            <w14:solidFill>
              <w14:schemeClr w14:val="tx1"/>
            </w14:solidFill>
          </w14:textFill>
        </w:rPr>
        <w:fldChar w:fldCharType="end"/>
      </w:r>
      <w:r>
        <w:rPr>
          <w:rFonts w:cs="Times New Roman"/>
          <w:color w:val="000000" w:themeColor="text1"/>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bookmarkStart w:id="172" w:name="_Ref142593545"/>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fldChar w:fldCharType="end"/>
      </w:r>
      <w:bookmarkEnd w:id="172"/>
      <w:r>
        <w:rPr>
          <w:rFonts w:hint="eastAsia"/>
          <w:color w:val="000000" w:themeColor="text1"/>
          <w:highlight w:val="none"/>
          <w14:textFill>
            <w14:solidFill>
              <w14:schemeClr w14:val="tx1"/>
            </w14:solidFill>
          </w14:textFill>
        </w:rPr>
        <w:t>本项目施工期正常工况下“三废”及生态影响汇总表</w:t>
      </w:r>
    </w:p>
    <w:tbl>
      <w:tblPr>
        <w:tblStyle w:val="21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9"/>
        <w:gridCol w:w="549"/>
        <w:gridCol w:w="1121"/>
        <w:gridCol w:w="1853"/>
        <w:gridCol w:w="875"/>
        <w:gridCol w:w="2038"/>
        <w:gridCol w:w="875"/>
        <w:gridCol w:w="6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blHeader/>
        </w:trPr>
        <w:tc>
          <w:tcPr>
            <w:tcW w:w="322" w:type="pct"/>
            <w:vAlign w:val="center"/>
          </w:tcPr>
          <w:p>
            <w:pPr>
              <w:pStyle w:val="118"/>
              <w:rPr>
                <w:rFonts w:ascii="Calibri" w:hAnsi="Calibri" w:eastAsia="Times New Roman"/>
                <w:b/>
                <w:bCs/>
                <w:color w:val="000000" w:themeColor="text1"/>
                <w:highlight w:val="none"/>
                <w:lang w:eastAsia="en-US"/>
                <w14:textFill>
                  <w14:solidFill>
                    <w14:schemeClr w14:val="tx1"/>
                  </w14:solidFill>
                </w14:textFill>
              </w:rPr>
            </w:pPr>
            <w:r>
              <w:rPr>
                <w:rFonts w:ascii="Calibri" w:hAnsi="Calibri" w:eastAsia="Times New Roman"/>
                <w:b/>
                <w:bCs/>
                <w:color w:val="000000" w:themeColor="text1"/>
                <w:highlight w:val="none"/>
                <w:lang w:eastAsia="en-US"/>
                <w14:textFill>
                  <w14:solidFill>
                    <w14:schemeClr w14:val="tx1"/>
                  </w14:solidFill>
                </w14:textFill>
              </w:rPr>
              <w:t>施工阶段</w:t>
            </w:r>
          </w:p>
        </w:tc>
        <w:tc>
          <w:tcPr>
            <w:tcW w:w="322" w:type="pct"/>
            <w:vAlign w:val="center"/>
          </w:tcPr>
          <w:p>
            <w:pPr>
              <w:pStyle w:val="118"/>
              <w:rPr>
                <w:rFonts w:ascii="Calibri" w:hAnsi="Calibri" w:eastAsia="Times New Roman"/>
                <w:b/>
                <w:bCs/>
                <w:color w:val="000000" w:themeColor="text1"/>
                <w:highlight w:val="none"/>
                <w:lang w:eastAsia="en-US"/>
                <w14:textFill>
                  <w14:solidFill>
                    <w14:schemeClr w14:val="tx1"/>
                  </w14:solidFill>
                </w14:textFill>
              </w:rPr>
            </w:pPr>
            <w:r>
              <w:rPr>
                <w:rFonts w:hint="eastAsia" w:ascii="宋体" w:hAnsi="宋体" w:eastAsia="宋体" w:cs="宋体"/>
                <w:b/>
                <w:bCs/>
                <w:color w:val="000000" w:themeColor="text1"/>
                <w:highlight w:val="none"/>
                <w:lang w:eastAsia="en-US"/>
                <w14:textFill>
                  <w14:solidFill>
                    <w14:schemeClr w14:val="tx1"/>
                  </w14:solidFill>
                </w14:textFill>
              </w:rPr>
              <w:t>环</w:t>
            </w:r>
            <w:r>
              <w:rPr>
                <w:rFonts w:ascii="Calibri" w:hAnsi="Calibri" w:eastAsia="Times New Roman"/>
                <w:b/>
                <w:bCs/>
                <w:color w:val="000000" w:themeColor="text1"/>
                <w:highlight w:val="none"/>
                <w:lang w:eastAsia="en-US"/>
                <w14:textFill>
                  <w14:solidFill>
                    <w14:schemeClr w14:val="tx1"/>
                  </w14:solidFill>
                </w14:textFill>
              </w:rPr>
              <w:t>境要素</w:t>
            </w:r>
          </w:p>
        </w:tc>
        <w:tc>
          <w:tcPr>
            <w:tcW w:w="657" w:type="pct"/>
            <w:vAlign w:val="center"/>
          </w:tcPr>
          <w:p>
            <w:pPr>
              <w:pStyle w:val="118"/>
              <w:rPr>
                <w:rFonts w:ascii="Calibri" w:hAnsi="Calibri" w:eastAsia="Times New Roman"/>
                <w:b/>
                <w:bCs/>
                <w:color w:val="000000" w:themeColor="text1"/>
                <w:highlight w:val="none"/>
                <w:lang w:eastAsia="en-US"/>
                <w14:textFill>
                  <w14:solidFill>
                    <w14:schemeClr w14:val="tx1"/>
                  </w14:solidFill>
                </w14:textFill>
              </w:rPr>
            </w:pPr>
            <w:r>
              <w:rPr>
                <w:rFonts w:hint="eastAsia" w:ascii="宋体" w:hAnsi="宋体" w:eastAsia="宋体" w:cs="宋体"/>
                <w:b/>
                <w:bCs/>
                <w:color w:val="000000" w:themeColor="text1"/>
                <w:highlight w:val="none"/>
                <w:lang w:eastAsia="en-US"/>
                <w14:textFill>
                  <w14:solidFill>
                    <w14:schemeClr w14:val="tx1"/>
                  </w14:solidFill>
                </w14:textFill>
              </w:rPr>
              <w:t>污</w:t>
            </w:r>
            <w:r>
              <w:rPr>
                <w:rFonts w:ascii="Calibri" w:hAnsi="Calibri" w:eastAsia="Times New Roman"/>
                <w:b/>
                <w:bCs/>
                <w:color w:val="000000" w:themeColor="text1"/>
                <w:highlight w:val="none"/>
                <w:lang w:eastAsia="en-US"/>
                <w14:textFill>
                  <w14:solidFill>
                    <w14:schemeClr w14:val="tx1"/>
                  </w14:solidFill>
                </w14:textFill>
              </w:rPr>
              <w:t>染物产生工序</w:t>
            </w:r>
          </w:p>
        </w:tc>
        <w:tc>
          <w:tcPr>
            <w:tcW w:w="1087" w:type="pct"/>
            <w:vAlign w:val="center"/>
          </w:tcPr>
          <w:p>
            <w:pPr>
              <w:pStyle w:val="118"/>
              <w:rPr>
                <w:rFonts w:ascii="Calibri" w:hAnsi="Calibri" w:eastAsia="Times New Roman"/>
                <w:b/>
                <w:bCs/>
                <w:color w:val="000000" w:themeColor="text1"/>
                <w:highlight w:val="none"/>
                <w:lang w:eastAsia="en-US"/>
                <w14:textFill>
                  <w14:solidFill>
                    <w14:schemeClr w14:val="tx1"/>
                  </w14:solidFill>
                </w14:textFill>
              </w:rPr>
            </w:pPr>
            <w:r>
              <w:rPr>
                <w:rFonts w:hint="eastAsia" w:ascii="宋体" w:hAnsi="宋体" w:eastAsia="宋体" w:cs="宋体"/>
                <w:b/>
                <w:bCs/>
                <w:color w:val="000000" w:themeColor="text1"/>
                <w:highlight w:val="none"/>
                <w:lang w:eastAsia="en-US"/>
                <w14:textFill>
                  <w14:solidFill>
                    <w14:schemeClr w14:val="tx1"/>
                  </w14:solidFill>
                </w14:textFill>
              </w:rPr>
              <w:t>主</w:t>
            </w:r>
            <w:r>
              <w:rPr>
                <w:rFonts w:ascii="Calibri" w:hAnsi="Calibri" w:eastAsia="Times New Roman"/>
                <w:b/>
                <w:bCs/>
                <w:color w:val="000000" w:themeColor="text1"/>
                <w:highlight w:val="none"/>
                <w:lang w:eastAsia="en-US"/>
                <w14:textFill>
                  <w14:solidFill>
                    <w14:schemeClr w14:val="tx1"/>
                  </w14:solidFill>
                </w14:textFill>
              </w:rPr>
              <w:t>要污染物</w:t>
            </w:r>
          </w:p>
        </w:tc>
        <w:tc>
          <w:tcPr>
            <w:tcW w:w="513" w:type="pct"/>
            <w:vAlign w:val="center"/>
          </w:tcPr>
          <w:p>
            <w:pPr>
              <w:pStyle w:val="118"/>
              <w:rPr>
                <w:rFonts w:ascii="Calibri" w:hAnsi="Calibri" w:eastAsia="Times New Roman"/>
                <w:b/>
                <w:bCs/>
                <w:color w:val="000000" w:themeColor="text1"/>
                <w:highlight w:val="none"/>
                <w:lang w:eastAsia="en-US"/>
                <w14:textFill>
                  <w14:solidFill>
                    <w14:schemeClr w14:val="tx1"/>
                  </w14:solidFill>
                </w14:textFill>
              </w:rPr>
            </w:pPr>
            <w:r>
              <w:rPr>
                <w:rFonts w:hint="eastAsia" w:ascii="宋体" w:hAnsi="宋体" w:eastAsia="宋体" w:cs="宋体"/>
                <w:b/>
                <w:bCs/>
                <w:color w:val="000000" w:themeColor="text1"/>
                <w:highlight w:val="none"/>
                <w:lang w:eastAsia="en-US"/>
                <w14:textFill>
                  <w14:solidFill>
                    <w14:schemeClr w14:val="tx1"/>
                  </w14:solidFill>
                </w14:textFill>
              </w:rPr>
              <w:t>产</w:t>
            </w:r>
            <w:r>
              <w:rPr>
                <w:rFonts w:ascii="Calibri" w:hAnsi="Calibri" w:eastAsia="Times New Roman"/>
                <w:b/>
                <w:bCs/>
                <w:color w:val="000000" w:themeColor="text1"/>
                <w:highlight w:val="none"/>
                <w:lang w:eastAsia="en-US"/>
                <w14:textFill>
                  <w14:solidFill>
                    <w14:schemeClr w14:val="tx1"/>
                  </w14:solidFill>
                </w14:textFill>
              </w:rPr>
              <w:t>生量</w:t>
            </w:r>
          </w:p>
        </w:tc>
        <w:tc>
          <w:tcPr>
            <w:tcW w:w="1195" w:type="pct"/>
            <w:vAlign w:val="center"/>
          </w:tcPr>
          <w:p>
            <w:pPr>
              <w:pStyle w:val="118"/>
              <w:rPr>
                <w:rFonts w:ascii="Calibri" w:hAnsi="Calibri" w:eastAsia="Times New Roman"/>
                <w:b/>
                <w:bCs/>
                <w:color w:val="000000" w:themeColor="text1"/>
                <w:highlight w:val="none"/>
                <w:lang w:eastAsia="en-US"/>
                <w14:textFill>
                  <w14:solidFill>
                    <w14:schemeClr w14:val="tx1"/>
                  </w14:solidFill>
                </w14:textFill>
              </w:rPr>
            </w:pPr>
            <w:r>
              <w:rPr>
                <w:rFonts w:hint="eastAsia" w:ascii="宋体" w:hAnsi="宋体" w:eastAsia="宋体" w:cs="宋体"/>
                <w:b/>
                <w:bCs/>
                <w:color w:val="000000" w:themeColor="text1"/>
                <w:highlight w:val="none"/>
                <w:lang w:eastAsia="en-US"/>
                <w14:textFill>
                  <w14:solidFill>
                    <w14:schemeClr w14:val="tx1"/>
                  </w14:solidFill>
                </w14:textFill>
              </w:rPr>
              <w:t>污</w:t>
            </w:r>
            <w:r>
              <w:rPr>
                <w:rFonts w:ascii="Calibri" w:hAnsi="Calibri" w:eastAsia="Times New Roman"/>
                <w:b/>
                <w:bCs/>
                <w:color w:val="000000" w:themeColor="text1"/>
                <w:highlight w:val="none"/>
                <w:lang w:eastAsia="en-US"/>
                <w14:textFill>
                  <w14:solidFill>
                    <w14:schemeClr w14:val="tx1"/>
                  </w14:solidFill>
                </w14:textFill>
              </w:rPr>
              <w:t>染防治措施</w:t>
            </w:r>
          </w:p>
        </w:tc>
        <w:tc>
          <w:tcPr>
            <w:tcW w:w="513" w:type="pct"/>
            <w:vAlign w:val="center"/>
          </w:tcPr>
          <w:p>
            <w:pPr>
              <w:pStyle w:val="118"/>
              <w:rPr>
                <w:rFonts w:ascii="Calibri" w:hAnsi="Calibri" w:eastAsia="Times New Roman"/>
                <w:b/>
                <w:bCs/>
                <w:color w:val="000000" w:themeColor="text1"/>
                <w:highlight w:val="none"/>
                <w:lang w:eastAsia="en-US"/>
                <w14:textFill>
                  <w14:solidFill>
                    <w14:schemeClr w14:val="tx1"/>
                  </w14:solidFill>
                </w14:textFill>
              </w:rPr>
            </w:pPr>
            <w:r>
              <w:rPr>
                <w:rFonts w:hint="eastAsia" w:ascii="宋体" w:hAnsi="宋体" w:eastAsia="宋体" w:cs="宋体"/>
                <w:b/>
                <w:bCs/>
                <w:color w:val="000000" w:themeColor="text1"/>
                <w:highlight w:val="none"/>
                <w:lang w:eastAsia="en-US"/>
                <w14:textFill>
                  <w14:solidFill>
                    <w14:schemeClr w14:val="tx1"/>
                  </w14:solidFill>
                </w14:textFill>
              </w:rPr>
              <w:t>处</w:t>
            </w:r>
            <w:r>
              <w:rPr>
                <w:rFonts w:ascii="Calibri" w:hAnsi="Calibri" w:eastAsia="Times New Roman"/>
                <w:b/>
                <w:bCs/>
                <w:color w:val="000000" w:themeColor="text1"/>
                <w:highlight w:val="none"/>
                <w:lang w:eastAsia="en-US"/>
                <w14:textFill>
                  <w14:solidFill>
                    <w14:schemeClr w14:val="tx1"/>
                  </w14:solidFill>
                </w14:textFill>
              </w:rPr>
              <w:t>理后排放量</w:t>
            </w:r>
          </w:p>
        </w:tc>
        <w:tc>
          <w:tcPr>
            <w:tcW w:w="391" w:type="pct"/>
            <w:vAlign w:val="center"/>
          </w:tcPr>
          <w:p>
            <w:pPr>
              <w:pStyle w:val="118"/>
              <w:rPr>
                <w:rFonts w:ascii="Calibri" w:hAnsi="Calibri" w:eastAsia="Times New Roman"/>
                <w:b/>
                <w:bCs/>
                <w:color w:val="000000" w:themeColor="text1"/>
                <w:highlight w:val="none"/>
                <w:lang w:eastAsia="en-US"/>
                <w14:textFill>
                  <w14:solidFill>
                    <w14:schemeClr w14:val="tx1"/>
                  </w14:solidFill>
                </w14:textFill>
              </w:rPr>
            </w:pPr>
            <w:r>
              <w:rPr>
                <w:rFonts w:hint="eastAsia" w:ascii="宋体" w:hAnsi="宋体" w:eastAsia="宋体" w:cs="宋体"/>
                <w:b/>
                <w:bCs/>
                <w:color w:val="000000" w:themeColor="text1"/>
                <w:highlight w:val="none"/>
                <w:lang w:eastAsia="en-US"/>
                <w14:textFill>
                  <w14:solidFill>
                    <w14:schemeClr w14:val="tx1"/>
                  </w14:solidFill>
                </w14:textFill>
              </w:rPr>
              <w:t>排</w:t>
            </w:r>
            <w:r>
              <w:rPr>
                <w:rFonts w:ascii="Calibri" w:hAnsi="Calibri" w:eastAsia="Times New Roman"/>
                <w:b/>
                <w:bCs/>
                <w:color w:val="000000" w:themeColor="text1"/>
                <w:highlight w:val="none"/>
                <w:lang w:eastAsia="en-US"/>
                <w14:textFill>
                  <w14:solidFill>
                    <w14:schemeClr w14:val="tx1"/>
                  </w14:solidFill>
                </w14:textFill>
              </w:rPr>
              <w:t>放去向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2" w:type="pct"/>
            <w:vMerge w:val="restar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场</w:t>
            </w:r>
            <w:r>
              <w:rPr>
                <w:rFonts w:ascii="Calibri" w:hAnsi="Calibri" w:eastAsia="Times New Roman"/>
                <w:color w:val="000000" w:themeColor="text1"/>
                <w:highlight w:val="none"/>
                <w:lang w:eastAsia="en-US"/>
                <w14:textFill>
                  <w14:solidFill>
                    <w14:schemeClr w14:val="tx1"/>
                  </w14:solidFill>
                </w14:textFill>
              </w:rPr>
              <w:t>站</w:t>
            </w:r>
          </w:p>
        </w:tc>
        <w:tc>
          <w:tcPr>
            <w:tcW w:w="322" w:type="pct"/>
            <w:vMerge w:val="restar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废</w:t>
            </w:r>
            <w:r>
              <w:rPr>
                <w:rFonts w:ascii="Calibri" w:hAnsi="Calibri" w:eastAsia="Times New Roman"/>
                <w:color w:val="000000" w:themeColor="text1"/>
                <w:highlight w:val="none"/>
                <w:lang w:eastAsia="en-US"/>
                <w14:textFill>
                  <w14:solidFill>
                    <w14:schemeClr w14:val="tx1"/>
                  </w14:solidFill>
                </w14:textFill>
              </w:rPr>
              <w:t>气</w:t>
            </w:r>
          </w:p>
        </w:tc>
        <w:tc>
          <w:tcPr>
            <w:tcW w:w="657"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施</w:t>
            </w:r>
            <w:r>
              <w:rPr>
                <w:rFonts w:ascii="Calibri" w:hAnsi="Calibri" w:eastAsia="Times New Roman"/>
                <w:color w:val="000000" w:themeColor="text1"/>
                <w:highlight w:val="none"/>
                <w:lang w:eastAsia="en-US"/>
                <w14:textFill>
                  <w14:solidFill>
                    <w14:schemeClr w14:val="tx1"/>
                  </w14:solidFill>
                </w14:textFill>
              </w:rPr>
              <w:t>工扬尘</w:t>
            </w:r>
          </w:p>
        </w:tc>
        <w:tc>
          <w:tcPr>
            <w:tcW w:w="1087"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颗</w:t>
            </w:r>
            <w:r>
              <w:rPr>
                <w:rFonts w:ascii="Calibri" w:hAnsi="Calibri" w:eastAsia="Times New Roman"/>
                <w:color w:val="000000" w:themeColor="text1"/>
                <w:highlight w:val="none"/>
                <w:lang w:eastAsia="en-US"/>
                <w14:textFill>
                  <w14:solidFill>
                    <w14:schemeClr w14:val="tx1"/>
                  </w14:solidFill>
                </w14:textFill>
              </w:rPr>
              <w:t>粒物</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少</w:t>
            </w:r>
            <w:r>
              <w:rPr>
                <w:rFonts w:ascii="Calibri" w:hAnsi="Calibri" w:eastAsia="Times New Roman"/>
                <w:color w:val="000000" w:themeColor="text1"/>
                <w:highlight w:val="none"/>
                <w:lang w:eastAsia="en-US"/>
                <w14:textFill>
                  <w14:solidFill>
                    <w14:schemeClr w14:val="tx1"/>
                  </w14:solidFill>
                </w14:textFill>
              </w:rPr>
              <w:t>量</w:t>
            </w:r>
          </w:p>
        </w:tc>
        <w:tc>
          <w:tcPr>
            <w:tcW w:w="1195" w:type="pct"/>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hint="eastAsia" w:ascii="宋体" w:hAnsi="宋体" w:eastAsia="宋体" w:cs="宋体"/>
                <w:color w:val="000000" w:themeColor="text1"/>
                <w:highlight w:val="none"/>
                <w:lang w:eastAsia="zh-CN"/>
                <w14:textFill>
                  <w14:solidFill>
                    <w14:schemeClr w14:val="tx1"/>
                  </w14:solidFill>
                </w14:textFill>
              </w:rPr>
              <w:t>洒</w:t>
            </w:r>
            <w:r>
              <w:rPr>
                <w:rFonts w:ascii="Calibri" w:hAnsi="Calibri" w:eastAsia="Times New Roman"/>
                <w:color w:val="000000" w:themeColor="text1"/>
                <w:highlight w:val="none"/>
                <w:lang w:eastAsia="zh-CN"/>
                <w14:textFill>
                  <w14:solidFill>
                    <w14:schemeClr w14:val="tx1"/>
                  </w14:solidFill>
                </w14:textFill>
              </w:rPr>
              <w:t>水降尘、设置围挡等</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少</w:t>
            </w:r>
            <w:r>
              <w:rPr>
                <w:rFonts w:ascii="Calibri" w:hAnsi="Calibri" w:eastAsia="Times New Roman"/>
                <w:color w:val="000000" w:themeColor="text1"/>
                <w:highlight w:val="none"/>
                <w:lang w:eastAsia="en-US"/>
                <w14:textFill>
                  <w14:solidFill>
                    <w14:schemeClr w14:val="tx1"/>
                  </w14:solidFill>
                </w14:textFill>
              </w:rPr>
              <w:t>量</w:t>
            </w:r>
          </w:p>
        </w:tc>
        <w:tc>
          <w:tcPr>
            <w:tcW w:w="391"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大</w:t>
            </w:r>
            <w:r>
              <w:rPr>
                <w:rFonts w:ascii="Calibri" w:hAnsi="Calibri" w:eastAsia="Times New Roman"/>
                <w:color w:val="000000" w:themeColor="text1"/>
                <w:highlight w:val="none"/>
                <w:lang w:eastAsia="en-US"/>
                <w14:textFill>
                  <w14:solidFill>
                    <w14:schemeClr w14:val="tx1"/>
                  </w14:solidFill>
                </w14:textFill>
              </w:rPr>
              <w:t>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2" w:type="pct"/>
            <w:vMerge w:val="continue"/>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322" w:type="pct"/>
            <w:vMerge w:val="continue"/>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657"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施</w:t>
            </w:r>
            <w:r>
              <w:rPr>
                <w:rFonts w:ascii="Calibri" w:hAnsi="Calibri" w:eastAsia="Times New Roman"/>
                <w:color w:val="000000" w:themeColor="text1"/>
                <w:highlight w:val="none"/>
                <w:lang w:eastAsia="en-US"/>
                <w14:textFill>
                  <w14:solidFill>
                    <w14:schemeClr w14:val="tx1"/>
                  </w14:solidFill>
                </w14:textFill>
              </w:rPr>
              <w:t>工机械、车辆尾气</w:t>
            </w:r>
          </w:p>
        </w:tc>
        <w:tc>
          <w:tcPr>
            <w:tcW w:w="1087"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CO、NOx</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少</w:t>
            </w:r>
            <w:r>
              <w:rPr>
                <w:rFonts w:ascii="Calibri" w:hAnsi="Calibri" w:eastAsia="Times New Roman"/>
                <w:color w:val="000000" w:themeColor="text1"/>
                <w:highlight w:val="none"/>
                <w:lang w:eastAsia="en-US"/>
                <w14:textFill>
                  <w14:solidFill>
                    <w14:schemeClr w14:val="tx1"/>
                  </w14:solidFill>
                </w14:textFill>
              </w:rPr>
              <w:t>量</w:t>
            </w:r>
          </w:p>
        </w:tc>
        <w:tc>
          <w:tcPr>
            <w:tcW w:w="1195" w:type="pct"/>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hint="eastAsia" w:ascii="宋体" w:hAnsi="宋体" w:eastAsia="宋体" w:cs="宋体"/>
                <w:color w:val="000000" w:themeColor="text1"/>
                <w:highlight w:val="none"/>
                <w:lang w:eastAsia="zh-CN"/>
                <w14:textFill>
                  <w14:solidFill>
                    <w14:schemeClr w14:val="tx1"/>
                  </w14:solidFill>
                </w14:textFill>
              </w:rPr>
              <w:t>加</w:t>
            </w:r>
            <w:r>
              <w:rPr>
                <w:rFonts w:ascii="Calibri" w:hAnsi="Calibri" w:eastAsia="Times New Roman"/>
                <w:color w:val="000000" w:themeColor="text1"/>
                <w:highlight w:val="none"/>
                <w:lang w:eastAsia="zh-CN"/>
                <w14:textFill>
                  <w14:solidFill>
                    <w14:schemeClr w14:val="tx1"/>
                  </w14:solidFill>
                </w14:textFill>
              </w:rPr>
              <w:t>强设备车辆维护管理，选用清洁燃料</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少</w:t>
            </w:r>
            <w:r>
              <w:rPr>
                <w:rFonts w:ascii="Calibri" w:hAnsi="Calibri" w:eastAsia="Times New Roman"/>
                <w:color w:val="000000" w:themeColor="text1"/>
                <w:highlight w:val="none"/>
                <w:lang w:eastAsia="en-US"/>
                <w14:textFill>
                  <w14:solidFill>
                    <w14:schemeClr w14:val="tx1"/>
                  </w14:solidFill>
                </w14:textFill>
              </w:rPr>
              <w:t>量</w:t>
            </w:r>
          </w:p>
        </w:tc>
        <w:tc>
          <w:tcPr>
            <w:tcW w:w="391"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大</w:t>
            </w:r>
            <w:r>
              <w:rPr>
                <w:rFonts w:ascii="Calibri" w:hAnsi="Calibri" w:eastAsia="Times New Roman"/>
                <w:color w:val="000000" w:themeColor="text1"/>
                <w:highlight w:val="none"/>
                <w:lang w:eastAsia="en-US"/>
                <w14:textFill>
                  <w14:solidFill>
                    <w14:schemeClr w14:val="tx1"/>
                  </w14:solidFill>
                </w14:textFill>
              </w:rPr>
              <w:t>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2" w:type="pct"/>
            <w:vMerge w:val="continue"/>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322" w:type="pct"/>
            <w:vMerge w:val="continue"/>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657"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焊</w:t>
            </w:r>
            <w:r>
              <w:rPr>
                <w:rFonts w:ascii="Calibri" w:hAnsi="Calibri" w:eastAsia="Times New Roman"/>
                <w:color w:val="000000" w:themeColor="text1"/>
                <w:highlight w:val="none"/>
                <w:lang w:eastAsia="en-US"/>
                <w14:textFill>
                  <w14:solidFill>
                    <w14:schemeClr w14:val="tx1"/>
                  </w14:solidFill>
                </w14:textFill>
              </w:rPr>
              <w:t>接烟尘</w:t>
            </w:r>
          </w:p>
        </w:tc>
        <w:tc>
          <w:tcPr>
            <w:tcW w:w="1087"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颗</w:t>
            </w:r>
            <w:r>
              <w:rPr>
                <w:rFonts w:ascii="Calibri" w:hAnsi="Calibri" w:eastAsia="Times New Roman"/>
                <w:color w:val="000000" w:themeColor="text1"/>
                <w:highlight w:val="none"/>
                <w:lang w:eastAsia="en-US"/>
                <w14:textFill>
                  <w14:solidFill>
                    <w14:schemeClr w14:val="tx1"/>
                  </w14:solidFill>
                </w14:textFill>
              </w:rPr>
              <w:t>粒物</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少</w:t>
            </w:r>
            <w:r>
              <w:rPr>
                <w:rFonts w:ascii="Calibri" w:hAnsi="Calibri" w:eastAsia="Times New Roman"/>
                <w:color w:val="000000" w:themeColor="text1"/>
                <w:highlight w:val="none"/>
                <w:lang w:eastAsia="en-US"/>
                <w14:textFill>
                  <w14:solidFill>
                    <w14:schemeClr w14:val="tx1"/>
                  </w14:solidFill>
                </w14:textFill>
              </w:rPr>
              <w:t>量</w:t>
            </w:r>
          </w:p>
        </w:tc>
        <w:tc>
          <w:tcPr>
            <w:tcW w:w="1195"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少</w:t>
            </w:r>
            <w:r>
              <w:rPr>
                <w:rFonts w:ascii="Calibri" w:hAnsi="Calibri" w:eastAsia="Times New Roman"/>
                <w:color w:val="000000" w:themeColor="text1"/>
                <w:highlight w:val="none"/>
                <w:lang w:eastAsia="en-US"/>
                <w14:textFill>
                  <w14:solidFill>
                    <w14:schemeClr w14:val="tx1"/>
                  </w14:solidFill>
                </w14:textFill>
              </w:rPr>
              <w:t>量</w:t>
            </w:r>
          </w:p>
        </w:tc>
        <w:tc>
          <w:tcPr>
            <w:tcW w:w="391"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大</w:t>
            </w:r>
            <w:r>
              <w:rPr>
                <w:rFonts w:ascii="Calibri" w:hAnsi="Calibri" w:eastAsia="Times New Roman"/>
                <w:color w:val="000000" w:themeColor="text1"/>
                <w:highlight w:val="none"/>
                <w:lang w:eastAsia="en-US"/>
                <w14:textFill>
                  <w14:solidFill>
                    <w14:schemeClr w14:val="tx1"/>
                  </w14:solidFill>
                </w14:textFill>
              </w:rPr>
              <w:t>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2" w:type="pct"/>
            <w:vMerge w:val="continue"/>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322" w:type="pct"/>
            <w:vMerge w:val="continue"/>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657"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清</w:t>
            </w:r>
            <w:r>
              <w:rPr>
                <w:rFonts w:ascii="Calibri" w:hAnsi="Calibri" w:eastAsia="Times New Roman"/>
                <w:color w:val="000000" w:themeColor="text1"/>
                <w:highlight w:val="none"/>
                <w:lang w:eastAsia="en-US"/>
                <w14:textFill>
                  <w14:solidFill>
                    <w14:schemeClr w14:val="tx1"/>
                  </w14:solidFill>
                </w14:textFill>
              </w:rPr>
              <w:t>管氮气</w:t>
            </w:r>
          </w:p>
        </w:tc>
        <w:tc>
          <w:tcPr>
            <w:tcW w:w="1087"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氮</w:t>
            </w:r>
            <w:r>
              <w:rPr>
                <w:rFonts w:ascii="Calibri" w:hAnsi="Calibri" w:eastAsia="Times New Roman"/>
                <w:color w:val="000000" w:themeColor="text1"/>
                <w:highlight w:val="none"/>
                <w:lang w:eastAsia="en-US"/>
                <w14:textFill>
                  <w14:solidFill>
                    <w14:schemeClr w14:val="tx1"/>
                  </w14:solidFill>
                </w14:textFill>
              </w:rPr>
              <w:t>气</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50m</w:t>
            </w:r>
            <w:r>
              <w:rPr>
                <w:rFonts w:ascii="Calibri" w:hAnsi="Calibri" w:eastAsia="Times New Roman"/>
                <w:color w:val="000000" w:themeColor="text1"/>
                <w:highlight w:val="none"/>
                <w:vertAlign w:val="superscript"/>
                <w:lang w:eastAsia="en-US"/>
                <w14:textFill>
                  <w14:solidFill>
                    <w14:schemeClr w14:val="tx1"/>
                  </w14:solidFill>
                </w14:textFill>
              </w:rPr>
              <w:t>3</w:t>
            </w:r>
          </w:p>
        </w:tc>
        <w:tc>
          <w:tcPr>
            <w:tcW w:w="1195"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50m</w:t>
            </w:r>
            <w:r>
              <w:rPr>
                <w:rFonts w:ascii="Calibri" w:hAnsi="Calibri" w:eastAsia="Times New Roman"/>
                <w:color w:val="000000" w:themeColor="text1"/>
                <w:highlight w:val="none"/>
                <w:vertAlign w:val="superscript"/>
                <w:lang w:eastAsia="en-US"/>
                <w14:textFill>
                  <w14:solidFill>
                    <w14:schemeClr w14:val="tx1"/>
                  </w14:solidFill>
                </w14:textFill>
              </w:rPr>
              <w:t>3</w:t>
            </w:r>
          </w:p>
        </w:tc>
        <w:tc>
          <w:tcPr>
            <w:tcW w:w="391"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大</w:t>
            </w:r>
            <w:r>
              <w:rPr>
                <w:rFonts w:ascii="Calibri" w:hAnsi="Calibri" w:eastAsia="Times New Roman"/>
                <w:color w:val="000000" w:themeColor="text1"/>
                <w:highlight w:val="none"/>
                <w:lang w:eastAsia="en-US"/>
                <w14:textFill>
                  <w14:solidFill>
                    <w14:schemeClr w14:val="tx1"/>
                  </w14:solidFill>
                </w14:textFill>
              </w:rPr>
              <w:t>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2" w:type="pct"/>
            <w:vMerge w:val="continue"/>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322" w:type="pct"/>
            <w:vMerge w:val="restar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废</w:t>
            </w:r>
            <w:r>
              <w:rPr>
                <w:rFonts w:ascii="Calibri" w:hAnsi="Calibri" w:eastAsia="Times New Roman"/>
                <w:color w:val="000000" w:themeColor="text1"/>
                <w:highlight w:val="none"/>
                <w:lang w:eastAsia="en-US"/>
                <w14:textFill>
                  <w14:solidFill>
                    <w14:schemeClr w14:val="tx1"/>
                  </w14:solidFill>
                </w14:textFill>
              </w:rPr>
              <w:t>水</w:t>
            </w:r>
          </w:p>
        </w:tc>
        <w:tc>
          <w:tcPr>
            <w:tcW w:w="657"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生</w:t>
            </w:r>
            <w:r>
              <w:rPr>
                <w:rFonts w:ascii="Calibri" w:hAnsi="Calibri" w:eastAsia="Times New Roman"/>
                <w:color w:val="000000" w:themeColor="text1"/>
                <w:highlight w:val="none"/>
                <w:lang w:eastAsia="en-US"/>
                <w14:textFill>
                  <w14:solidFill>
                    <w14:schemeClr w14:val="tx1"/>
                  </w14:solidFill>
                </w14:textFill>
              </w:rPr>
              <w:t>活污水</w:t>
            </w:r>
          </w:p>
        </w:tc>
        <w:tc>
          <w:tcPr>
            <w:tcW w:w="1087"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COD、BOD</w:t>
            </w:r>
            <w:r>
              <w:rPr>
                <w:rFonts w:ascii="Calibri" w:hAnsi="Calibri" w:eastAsia="Times New Roman"/>
                <w:color w:val="000000" w:themeColor="text1"/>
                <w:highlight w:val="none"/>
                <w:vertAlign w:val="subscript"/>
                <w:lang w:eastAsia="en-US"/>
                <w14:textFill>
                  <w14:solidFill>
                    <w14:schemeClr w14:val="tx1"/>
                  </w14:solidFill>
                </w14:textFill>
              </w:rPr>
              <w:t>5</w:t>
            </w:r>
            <w:r>
              <w:rPr>
                <w:rFonts w:ascii="Calibri" w:hAnsi="Calibri" w:eastAsia="Times New Roman"/>
                <w:color w:val="000000" w:themeColor="text1"/>
                <w:highlight w:val="none"/>
                <w:lang w:eastAsia="en-US"/>
                <w14:textFill>
                  <w14:solidFill>
                    <w14:schemeClr w14:val="tx1"/>
                  </w14:solidFill>
                </w14:textFill>
              </w:rPr>
              <w:t>、氨氮、SS</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1.44m</w:t>
            </w:r>
            <w:r>
              <w:rPr>
                <w:rFonts w:ascii="Calibri" w:hAnsi="Calibri" w:eastAsia="Times New Roman"/>
                <w:color w:val="000000" w:themeColor="text1"/>
                <w:highlight w:val="none"/>
                <w:vertAlign w:val="superscript"/>
                <w:lang w:eastAsia="en-US"/>
                <w14:textFill>
                  <w14:solidFill>
                    <w14:schemeClr w14:val="tx1"/>
                  </w14:solidFill>
                </w14:textFill>
              </w:rPr>
              <w:t>3</w:t>
            </w:r>
            <w:r>
              <w:rPr>
                <w:rFonts w:ascii="Calibri" w:hAnsi="Calibri" w:eastAsia="Times New Roman"/>
                <w:color w:val="000000" w:themeColor="text1"/>
                <w:highlight w:val="none"/>
                <w:lang w:eastAsia="en-US"/>
                <w14:textFill>
                  <w14:solidFill>
                    <w14:schemeClr w14:val="tx1"/>
                  </w14:solidFill>
                </w14:textFill>
              </w:rPr>
              <w:t>/d</w:t>
            </w:r>
          </w:p>
        </w:tc>
        <w:tc>
          <w:tcPr>
            <w:tcW w:w="1195" w:type="pct"/>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hint="eastAsia" w:ascii="宋体" w:hAnsi="宋体" w:eastAsia="宋体" w:cs="宋体"/>
                <w:color w:val="000000" w:themeColor="text1"/>
                <w:highlight w:val="none"/>
                <w:lang w:eastAsia="zh-CN"/>
                <w14:textFill>
                  <w14:solidFill>
                    <w14:schemeClr w14:val="tx1"/>
                  </w14:solidFill>
                </w14:textFill>
              </w:rPr>
              <w:t>依</w:t>
            </w:r>
            <w:r>
              <w:rPr>
                <w:rFonts w:ascii="Calibri" w:hAnsi="Calibri" w:eastAsia="Times New Roman"/>
                <w:color w:val="000000" w:themeColor="text1"/>
                <w:highlight w:val="none"/>
                <w:lang w:eastAsia="zh-CN"/>
                <w14:textFill>
                  <w14:solidFill>
                    <w14:schemeClr w14:val="tx1"/>
                  </w14:solidFill>
                </w14:textFill>
              </w:rPr>
              <w:t>托租住房屋已有生活污水处理系统处置</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1.44m</w:t>
            </w:r>
            <w:r>
              <w:rPr>
                <w:rFonts w:ascii="Calibri" w:hAnsi="Calibri" w:eastAsia="Times New Roman"/>
                <w:color w:val="000000" w:themeColor="text1"/>
                <w:highlight w:val="none"/>
                <w:vertAlign w:val="superscript"/>
                <w:lang w:eastAsia="en-US"/>
                <w14:textFill>
                  <w14:solidFill>
                    <w14:schemeClr w14:val="tx1"/>
                  </w14:solidFill>
                </w14:textFill>
              </w:rPr>
              <w:t>3</w:t>
            </w:r>
            <w:r>
              <w:rPr>
                <w:rFonts w:ascii="Calibri" w:hAnsi="Calibri" w:eastAsia="Times New Roman"/>
                <w:color w:val="000000" w:themeColor="text1"/>
                <w:highlight w:val="none"/>
                <w:lang w:eastAsia="en-US"/>
                <w14:textFill>
                  <w14:solidFill>
                    <w14:schemeClr w14:val="tx1"/>
                  </w14:solidFill>
                </w14:textFill>
              </w:rPr>
              <w:t>/d</w:t>
            </w:r>
          </w:p>
        </w:tc>
        <w:tc>
          <w:tcPr>
            <w:tcW w:w="391"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不</w:t>
            </w:r>
            <w:r>
              <w:rPr>
                <w:rFonts w:ascii="Calibri" w:hAnsi="Calibri" w:eastAsia="Times New Roman"/>
                <w:color w:val="000000" w:themeColor="text1"/>
                <w:highlight w:val="none"/>
                <w:lang w:eastAsia="en-US"/>
                <w14:textFill>
                  <w14:solidFill>
                    <w14:schemeClr w14:val="tx1"/>
                  </w14:solidFill>
                </w14:textFill>
              </w:rPr>
              <w:t>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2" w:type="pct"/>
            <w:vMerge w:val="continue"/>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322" w:type="pct"/>
            <w:vMerge w:val="continue"/>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657"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站</w:t>
            </w:r>
            <w:r>
              <w:rPr>
                <w:rFonts w:ascii="Calibri" w:hAnsi="Calibri" w:eastAsia="Times New Roman"/>
                <w:color w:val="000000" w:themeColor="text1"/>
                <w:highlight w:val="none"/>
                <w:lang w:eastAsia="en-US"/>
                <w14:textFill>
                  <w14:solidFill>
                    <w14:schemeClr w14:val="tx1"/>
                  </w14:solidFill>
                </w14:textFill>
              </w:rPr>
              <w:t>内管道试压废水</w:t>
            </w:r>
          </w:p>
        </w:tc>
        <w:tc>
          <w:tcPr>
            <w:tcW w:w="1087"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SS</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heme="minorEastAsia"/>
                <w:color w:val="000000" w:themeColor="text1"/>
                <w:highlight w:val="none"/>
                <w:lang w:eastAsia="en-US"/>
                <w14:textFill>
                  <w14:solidFill>
                    <w14:schemeClr w14:val="tx1"/>
                  </w14:solidFill>
                </w14:textFill>
              </w:rPr>
              <w:t>1.</w:t>
            </w:r>
            <w:r>
              <w:rPr>
                <w:rFonts w:ascii="Calibri" w:hAnsi="Calibri" w:eastAsia="Times New Roman"/>
                <w:color w:val="000000" w:themeColor="text1"/>
                <w:highlight w:val="none"/>
                <w:lang w:eastAsia="en-US"/>
                <w14:textFill>
                  <w14:solidFill>
                    <w14:schemeClr w14:val="tx1"/>
                  </w14:solidFill>
                </w14:textFill>
              </w:rPr>
              <w:t>5</w:t>
            </w:r>
            <w:r>
              <w:rPr>
                <w:rFonts w:ascii="Calibri" w:hAnsi="Calibri" w:eastAsia="Calibri"/>
                <w:color w:val="000000" w:themeColor="text1"/>
                <w:highlight w:val="none"/>
                <w:lang w:eastAsia="en-US"/>
                <w14:textFill>
                  <w14:solidFill>
                    <w14:schemeClr w14:val="tx1"/>
                  </w14:solidFill>
                </w14:textFill>
              </w:rPr>
              <w:t>m</w:t>
            </w:r>
            <w:r>
              <w:rPr>
                <w:rFonts w:ascii="Calibri" w:hAnsi="Calibri" w:eastAsia="Calibri"/>
                <w:color w:val="000000" w:themeColor="text1"/>
                <w:highlight w:val="none"/>
                <w:vertAlign w:val="superscript"/>
                <w:lang w:eastAsia="en-US"/>
                <w14:textFill>
                  <w14:solidFill>
                    <w14:schemeClr w14:val="tx1"/>
                  </w14:solidFill>
                </w14:textFill>
              </w:rPr>
              <w:t>3</w:t>
            </w:r>
          </w:p>
        </w:tc>
        <w:tc>
          <w:tcPr>
            <w:tcW w:w="1195" w:type="pct"/>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hint="eastAsia" w:ascii="宋体" w:hAnsi="宋体" w:eastAsia="宋体" w:cs="宋体"/>
                <w:color w:val="000000" w:themeColor="text1"/>
                <w:highlight w:val="none"/>
                <w:lang w:eastAsia="zh-CN"/>
                <w14:textFill>
                  <w14:solidFill>
                    <w14:schemeClr w14:val="tx1"/>
                  </w14:solidFill>
                </w14:textFill>
              </w:rPr>
              <w:t>沉</w:t>
            </w:r>
            <w:r>
              <w:rPr>
                <w:rFonts w:ascii="Calibri" w:hAnsi="Calibri" w:eastAsia="Times New Roman"/>
                <w:color w:val="000000" w:themeColor="text1"/>
                <w:highlight w:val="none"/>
                <w:lang w:eastAsia="zh-CN"/>
                <w14:textFill>
                  <w14:solidFill>
                    <w14:schemeClr w14:val="tx1"/>
                  </w14:solidFill>
                </w14:textFill>
              </w:rPr>
              <w:t>淀池收集沉淀后回用于场站及管线周边洒水降尘</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heme="minorEastAsia"/>
                <w:color w:val="000000" w:themeColor="text1"/>
                <w:highlight w:val="none"/>
                <w:lang w:eastAsia="en-US"/>
                <w14:textFill>
                  <w14:solidFill>
                    <w14:schemeClr w14:val="tx1"/>
                  </w14:solidFill>
                </w14:textFill>
              </w:rPr>
              <w:t>1.</w:t>
            </w:r>
            <w:r>
              <w:rPr>
                <w:rFonts w:ascii="Calibri" w:hAnsi="Calibri" w:eastAsia="Times New Roman"/>
                <w:color w:val="000000" w:themeColor="text1"/>
                <w:highlight w:val="none"/>
                <w:lang w:eastAsia="en-US"/>
                <w14:textFill>
                  <w14:solidFill>
                    <w14:schemeClr w14:val="tx1"/>
                  </w14:solidFill>
                </w14:textFill>
              </w:rPr>
              <w:t>5</w:t>
            </w:r>
            <w:r>
              <w:rPr>
                <w:rFonts w:ascii="Calibri" w:hAnsi="Calibri" w:eastAsia="Calibri"/>
                <w:color w:val="000000" w:themeColor="text1"/>
                <w:highlight w:val="none"/>
                <w:lang w:eastAsia="en-US"/>
                <w14:textFill>
                  <w14:solidFill>
                    <w14:schemeClr w14:val="tx1"/>
                  </w14:solidFill>
                </w14:textFill>
              </w:rPr>
              <w:t>m</w:t>
            </w:r>
            <w:r>
              <w:rPr>
                <w:rFonts w:ascii="Calibri" w:hAnsi="Calibri" w:eastAsia="Calibri"/>
                <w:color w:val="000000" w:themeColor="text1"/>
                <w:highlight w:val="none"/>
                <w:vertAlign w:val="superscript"/>
                <w:lang w:eastAsia="en-US"/>
                <w14:textFill>
                  <w14:solidFill>
                    <w14:schemeClr w14:val="tx1"/>
                  </w14:solidFill>
                </w14:textFill>
              </w:rPr>
              <w:t>3</w:t>
            </w:r>
          </w:p>
        </w:tc>
        <w:tc>
          <w:tcPr>
            <w:tcW w:w="391"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不</w:t>
            </w:r>
            <w:r>
              <w:rPr>
                <w:rFonts w:ascii="Calibri" w:hAnsi="Calibri" w:eastAsia="Times New Roman"/>
                <w:color w:val="000000" w:themeColor="text1"/>
                <w:highlight w:val="none"/>
                <w:lang w:eastAsia="en-US"/>
                <w14:textFill>
                  <w14:solidFill>
                    <w14:schemeClr w14:val="tx1"/>
                  </w14:solidFill>
                </w14:textFill>
              </w:rPr>
              <w:t>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2" w:type="pct"/>
            <w:vMerge w:val="continue"/>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322"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噪</w:t>
            </w:r>
            <w:r>
              <w:rPr>
                <w:rFonts w:ascii="Calibri" w:hAnsi="Calibri" w:eastAsia="Times New Roman"/>
                <w:color w:val="000000" w:themeColor="text1"/>
                <w:highlight w:val="none"/>
                <w:lang w:eastAsia="en-US"/>
                <w14:textFill>
                  <w14:solidFill>
                    <w14:schemeClr w14:val="tx1"/>
                  </w14:solidFill>
                </w14:textFill>
              </w:rPr>
              <w:t>声</w:t>
            </w:r>
          </w:p>
        </w:tc>
        <w:tc>
          <w:tcPr>
            <w:tcW w:w="657" w:type="pct"/>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hint="eastAsia" w:ascii="宋体" w:hAnsi="宋体" w:eastAsia="宋体" w:cs="宋体"/>
                <w:color w:val="000000" w:themeColor="text1"/>
                <w:highlight w:val="none"/>
                <w:lang w:eastAsia="zh-CN"/>
                <w14:textFill>
                  <w14:solidFill>
                    <w14:schemeClr w14:val="tx1"/>
                  </w14:solidFill>
                </w14:textFill>
              </w:rPr>
              <w:t>施</w:t>
            </w:r>
            <w:r>
              <w:rPr>
                <w:rFonts w:ascii="Calibri" w:hAnsi="Calibri" w:eastAsia="Times New Roman"/>
                <w:color w:val="000000" w:themeColor="text1"/>
                <w:highlight w:val="none"/>
                <w:lang w:eastAsia="zh-CN"/>
                <w14:textFill>
                  <w14:solidFill>
                    <w14:schemeClr w14:val="tx1"/>
                  </w14:solidFill>
                </w14:textFill>
              </w:rPr>
              <w:t>工机械、车辆运行噪声</w:t>
            </w:r>
          </w:p>
        </w:tc>
        <w:tc>
          <w:tcPr>
            <w:tcW w:w="1087"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噪</w:t>
            </w:r>
            <w:r>
              <w:rPr>
                <w:rFonts w:ascii="Calibri" w:hAnsi="Calibri" w:eastAsia="Times New Roman"/>
                <w:color w:val="000000" w:themeColor="text1"/>
                <w:highlight w:val="none"/>
                <w:lang w:eastAsia="en-US"/>
                <w14:textFill>
                  <w14:solidFill>
                    <w14:schemeClr w14:val="tx1"/>
                  </w14:solidFill>
                </w14:textFill>
              </w:rPr>
              <w:t>声</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73~104dB(A)</w:t>
            </w:r>
          </w:p>
        </w:tc>
        <w:tc>
          <w:tcPr>
            <w:tcW w:w="1195" w:type="pct"/>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hint="eastAsia" w:ascii="宋体" w:hAnsi="宋体" w:eastAsia="宋体" w:cs="宋体"/>
                <w:color w:val="000000" w:themeColor="text1"/>
                <w:highlight w:val="none"/>
                <w:lang w:eastAsia="zh-CN"/>
                <w14:textFill>
                  <w14:solidFill>
                    <w14:schemeClr w14:val="tx1"/>
                  </w14:solidFill>
                </w14:textFill>
              </w:rPr>
              <w:t>降</w:t>
            </w:r>
            <w:r>
              <w:rPr>
                <w:rFonts w:ascii="Calibri" w:hAnsi="Calibri" w:eastAsia="Times New Roman"/>
                <w:color w:val="000000" w:themeColor="text1"/>
                <w:highlight w:val="none"/>
                <w:lang w:eastAsia="zh-CN"/>
                <w14:textFill>
                  <w14:solidFill>
                    <w14:schemeClr w14:val="tx1"/>
                  </w14:solidFill>
                </w14:textFill>
              </w:rPr>
              <w:t>低车速、禁止鸣笛、昼间施工、合理布局</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73~104dB(A)</w:t>
            </w:r>
          </w:p>
        </w:tc>
        <w:tc>
          <w:tcPr>
            <w:tcW w:w="391"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声</w:t>
            </w:r>
            <w:r>
              <w:rPr>
                <w:rFonts w:ascii="Calibri" w:hAnsi="Calibri" w:eastAsia="Times New Roman"/>
                <w:color w:val="000000" w:themeColor="text1"/>
                <w:highlight w:val="none"/>
                <w:lang w:eastAsia="en-US"/>
                <w14:textFill>
                  <w14:solidFill>
                    <w14:schemeClr w14:val="tx1"/>
                  </w14:solidFill>
                </w14:textFill>
              </w:rPr>
              <w:t>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2" w:type="pct"/>
            <w:vMerge w:val="continue"/>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322" w:type="pct"/>
            <w:vMerge w:val="restar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固</w:t>
            </w:r>
            <w:r>
              <w:rPr>
                <w:rFonts w:ascii="Calibri" w:hAnsi="Calibri" w:eastAsia="Times New Roman"/>
                <w:color w:val="000000" w:themeColor="text1"/>
                <w:highlight w:val="none"/>
                <w:lang w:eastAsia="en-US"/>
                <w14:textFill>
                  <w14:solidFill>
                    <w14:schemeClr w14:val="tx1"/>
                  </w14:solidFill>
                </w14:textFill>
              </w:rPr>
              <w:t>废</w:t>
            </w:r>
          </w:p>
        </w:tc>
        <w:tc>
          <w:tcPr>
            <w:tcW w:w="657"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鱼</w:t>
            </w:r>
            <w:r>
              <w:rPr>
                <w:rFonts w:ascii="Calibri" w:hAnsi="Calibri" w:eastAsia="Times New Roman"/>
                <w:color w:val="000000" w:themeColor="text1"/>
                <w:highlight w:val="none"/>
                <w:lang w:eastAsia="en-US"/>
                <w14:textFill>
                  <w14:solidFill>
                    <w14:schemeClr w14:val="tx1"/>
                  </w14:solidFill>
                </w14:textFill>
              </w:rPr>
              <w:t>塘淤泥</w:t>
            </w:r>
          </w:p>
        </w:tc>
        <w:tc>
          <w:tcPr>
            <w:tcW w:w="1087"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淤</w:t>
            </w:r>
            <w:r>
              <w:rPr>
                <w:rFonts w:ascii="Calibri" w:hAnsi="Calibri" w:eastAsia="Times New Roman"/>
                <w:color w:val="000000" w:themeColor="text1"/>
                <w:highlight w:val="none"/>
                <w:lang w:eastAsia="en-US"/>
                <w14:textFill>
                  <w14:solidFill>
                    <w14:schemeClr w14:val="tx1"/>
                  </w14:solidFill>
                </w14:textFill>
              </w:rPr>
              <w:t>泥</w:t>
            </w:r>
          </w:p>
        </w:tc>
        <w:tc>
          <w:tcPr>
            <w:tcW w:w="513" w:type="pct"/>
            <w:vAlign w:val="center"/>
          </w:tcPr>
          <w:p>
            <w:pPr>
              <w:pStyle w:val="118"/>
              <w:rPr>
                <w:rFonts w:ascii="Calibri" w:hAnsi="Calibri" w:eastAsiaTheme="minorEastAsia"/>
                <w:color w:val="000000" w:themeColor="text1"/>
                <w:highlight w:val="none"/>
                <w:lang w:eastAsia="en-US"/>
                <w14:textFill>
                  <w14:solidFill>
                    <w14:schemeClr w14:val="tx1"/>
                  </w14:solidFill>
                </w14:textFill>
              </w:rPr>
            </w:pPr>
            <w:r>
              <w:rPr>
                <w:rFonts w:ascii="Calibri" w:hAnsi="Calibri" w:eastAsiaTheme="minorEastAsia"/>
                <w:color w:val="000000" w:themeColor="text1"/>
                <w:highlight w:val="none"/>
                <w:lang w:eastAsia="en-US"/>
                <w14:textFill>
                  <w14:solidFill>
                    <w14:schemeClr w14:val="tx1"/>
                  </w14:solidFill>
                </w14:textFill>
              </w:rPr>
              <w:t>100m</w:t>
            </w:r>
            <w:r>
              <w:rPr>
                <w:rFonts w:ascii="Calibri" w:hAnsi="Calibri" w:eastAsiaTheme="minorEastAsia"/>
                <w:color w:val="000000" w:themeColor="text1"/>
                <w:highlight w:val="none"/>
                <w:vertAlign w:val="superscript"/>
                <w:lang w:eastAsia="en-US"/>
                <w14:textFill>
                  <w14:solidFill>
                    <w14:schemeClr w14:val="tx1"/>
                  </w14:solidFill>
                </w14:textFill>
              </w:rPr>
              <w:t>3</w:t>
            </w:r>
          </w:p>
        </w:tc>
        <w:tc>
          <w:tcPr>
            <w:tcW w:w="1195" w:type="pct"/>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hint="eastAsia" w:ascii="宋体" w:hAnsi="宋体" w:eastAsia="宋体" w:cs="宋体"/>
                <w:color w:val="000000" w:themeColor="text1"/>
                <w:highlight w:val="none"/>
                <w:lang w:eastAsia="zh-CN"/>
                <w14:textFill>
                  <w14:solidFill>
                    <w14:schemeClr w14:val="tx1"/>
                  </w14:solidFill>
                </w14:textFill>
              </w:rPr>
              <w:t>晾</w:t>
            </w:r>
            <w:r>
              <w:rPr>
                <w:rFonts w:hint="eastAsia" w:ascii="Calibri" w:hAnsi="Calibri" w:eastAsia="Times New Roman"/>
                <w:color w:val="000000" w:themeColor="text1"/>
                <w:highlight w:val="none"/>
                <w:lang w:eastAsia="zh-CN"/>
                <w14:textFill>
                  <w14:solidFill>
                    <w14:schemeClr w14:val="tx1"/>
                  </w14:solidFill>
                </w14:textFill>
              </w:rPr>
              <w:t>干</w:t>
            </w:r>
            <w:r>
              <w:rPr>
                <w:rFonts w:ascii="Calibri" w:hAnsi="Calibri" w:eastAsia="Times New Roman"/>
                <w:color w:val="000000" w:themeColor="text1"/>
                <w:highlight w:val="none"/>
                <w:lang w:eastAsia="zh-CN"/>
                <w14:textFill>
                  <w14:solidFill>
                    <w14:schemeClr w14:val="tx1"/>
                  </w14:solidFill>
                </w14:textFill>
              </w:rPr>
              <w:t>处理后用于土壤改良或绿化</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0</w:t>
            </w:r>
          </w:p>
        </w:tc>
        <w:tc>
          <w:tcPr>
            <w:tcW w:w="391"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2" w:type="pct"/>
            <w:vMerge w:val="continue"/>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322" w:type="pct"/>
            <w:vMerge w:val="continue"/>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657"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施</w:t>
            </w:r>
            <w:r>
              <w:rPr>
                <w:rFonts w:ascii="Calibri" w:hAnsi="Calibri" w:eastAsia="Times New Roman"/>
                <w:color w:val="000000" w:themeColor="text1"/>
                <w:highlight w:val="none"/>
                <w:lang w:eastAsia="en-US"/>
                <w14:textFill>
                  <w14:solidFill>
                    <w14:schemeClr w14:val="tx1"/>
                  </w14:solidFill>
                </w14:textFill>
              </w:rPr>
              <w:t>工废料</w:t>
            </w:r>
          </w:p>
        </w:tc>
        <w:tc>
          <w:tcPr>
            <w:tcW w:w="1087" w:type="pct"/>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hint="eastAsia" w:ascii="宋体" w:hAnsi="宋体" w:eastAsia="宋体" w:cs="宋体"/>
                <w:color w:val="000000" w:themeColor="text1"/>
                <w:highlight w:val="none"/>
                <w:lang w:eastAsia="zh-CN"/>
                <w14:textFill>
                  <w14:solidFill>
                    <w14:schemeClr w14:val="tx1"/>
                  </w14:solidFill>
                </w14:textFill>
              </w:rPr>
              <w:t>废</w:t>
            </w:r>
            <w:r>
              <w:rPr>
                <w:rFonts w:ascii="Calibri" w:hAnsi="Calibri" w:eastAsia="Times New Roman"/>
                <w:color w:val="000000" w:themeColor="text1"/>
                <w:highlight w:val="none"/>
                <w:lang w:eastAsia="zh-CN"/>
                <w14:textFill>
                  <w14:solidFill>
                    <w14:schemeClr w14:val="tx1"/>
                  </w14:solidFill>
                </w14:textFill>
              </w:rPr>
              <w:t>包装物、废焊条、补口补伤废料、清管废渣等</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2.5kg</w:t>
            </w:r>
          </w:p>
        </w:tc>
        <w:tc>
          <w:tcPr>
            <w:tcW w:w="1195" w:type="pct"/>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hint="eastAsia" w:ascii="宋体" w:hAnsi="宋体" w:eastAsia="宋体" w:cs="宋体"/>
                <w:color w:val="000000" w:themeColor="text1"/>
                <w:highlight w:val="none"/>
                <w:lang w:eastAsia="zh-CN"/>
                <w14:textFill>
                  <w14:solidFill>
                    <w14:schemeClr w14:val="tx1"/>
                  </w14:solidFill>
                </w14:textFill>
              </w:rPr>
              <w:t>优</w:t>
            </w:r>
            <w:r>
              <w:rPr>
                <w:rFonts w:ascii="Calibri" w:hAnsi="Calibri" w:eastAsia="Times New Roman"/>
                <w:color w:val="000000" w:themeColor="text1"/>
                <w:highlight w:val="none"/>
                <w:lang w:eastAsia="zh-CN"/>
                <w14:textFill>
                  <w14:solidFill>
                    <w14:schemeClr w14:val="tx1"/>
                  </w14:solidFill>
                </w14:textFill>
              </w:rPr>
              <w:t>先回收利用，不能回收利用的由环卫部门清运</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0</w:t>
            </w:r>
          </w:p>
        </w:tc>
        <w:tc>
          <w:tcPr>
            <w:tcW w:w="391"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2" w:type="pct"/>
            <w:vMerge w:val="continue"/>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322" w:type="pct"/>
            <w:vMerge w:val="continue"/>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657"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生</w:t>
            </w:r>
            <w:r>
              <w:rPr>
                <w:rFonts w:ascii="Calibri" w:hAnsi="Calibri" w:eastAsia="Times New Roman"/>
                <w:color w:val="000000" w:themeColor="text1"/>
                <w:highlight w:val="none"/>
                <w:lang w:eastAsia="en-US"/>
                <w14:textFill>
                  <w14:solidFill>
                    <w14:schemeClr w14:val="tx1"/>
                  </w14:solidFill>
                </w14:textFill>
              </w:rPr>
              <w:t>活垃圾</w:t>
            </w:r>
          </w:p>
        </w:tc>
        <w:tc>
          <w:tcPr>
            <w:tcW w:w="1087"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生</w:t>
            </w:r>
            <w:r>
              <w:rPr>
                <w:rFonts w:ascii="Calibri" w:hAnsi="Calibri" w:eastAsia="Times New Roman"/>
                <w:color w:val="000000" w:themeColor="text1"/>
                <w:highlight w:val="none"/>
                <w:lang w:eastAsia="en-US"/>
                <w14:textFill>
                  <w14:solidFill>
                    <w14:schemeClr w14:val="tx1"/>
                  </w14:solidFill>
                </w14:textFill>
              </w:rPr>
              <w:t>活垃圾</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heme="minorEastAsia"/>
                <w:color w:val="000000" w:themeColor="text1"/>
                <w:highlight w:val="none"/>
                <w:lang w:eastAsia="en-US"/>
                <w14:textFill>
                  <w14:solidFill>
                    <w14:schemeClr w14:val="tx1"/>
                  </w14:solidFill>
                </w14:textFill>
              </w:rPr>
              <w:t>0.3</w:t>
            </w:r>
            <w:r>
              <w:rPr>
                <w:rFonts w:ascii="Calibri" w:hAnsi="Calibri" w:eastAsia="Times New Roman"/>
                <w:color w:val="000000" w:themeColor="text1"/>
                <w:highlight w:val="none"/>
                <w:lang w:eastAsia="en-US"/>
                <w14:textFill>
                  <w14:solidFill>
                    <w14:schemeClr w14:val="tx1"/>
                  </w14:solidFill>
                </w14:textFill>
              </w:rPr>
              <w:t>t</w:t>
            </w:r>
          </w:p>
        </w:tc>
        <w:tc>
          <w:tcPr>
            <w:tcW w:w="1195"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环</w:t>
            </w:r>
            <w:r>
              <w:rPr>
                <w:rFonts w:ascii="Calibri" w:hAnsi="Calibri" w:eastAsia="Times New Roman"/>
                <w:color w:val="000000" w:themeColor="text1"/>
                <w:highlight w:val="none"/>
                <w:lang w:eastAsia="en-US"/>
                <w14:textFill>
                  <w14:solidFill>
                    <w14:schemeClr w14:val="tx1"/>
                  </w14:solidFill>
                </w14:textFill>
              </w:rPr>
              <w:t>卫部门清运</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0</w:t>
            </w:r>
          </w:p>
        </w:tc>
        <w:tc>
          <w:tcPr>
            <w:tcW w:w="391"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2" w:type="pct"/>
            <w:vMerge w:val="restar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集</w:t>
            </w:r>
            <w:r>
              <w:rPr>
                <w:rFonts w:ascii="Calibri" w:hAnsi="Calibri" w:eastAsia="Times New Roman"/>
                <w:color w:val="000000" w:themeColor="text1"/>
                <w:highlight w:val="none"/>
                <w:lang w:eastAsia="en-US"/>
                <w14:textFill>
                  <w14:solidFill>
                    <w14:schemeClr w14:val="tx1"/>
                  </w14:solidFill>
                </w14:textFill>
              </w:rPr>
              <w:t>输管线</w:t>
            </w:r>
          </w:p>
        </w:tc>
        <w:tc>
          <w:tcPr>
            <w:tcW w:w="322" w:type="pct"/>
            <w:vMerge w:val="restar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废</w:t>
            </w:r>
            <w:r>
              <w:rPr>
                <w:rFonts w:ascii="Calibri" w:hAnsi="Calibri" w:eastAsia="Times New Roman"/>
                <w:color w:val="000000" w:themeColor="text1"/>
                <w:highlight w:val="none"/>
                <w:lang w:eastAsia="en-US"/>
                <w14:textFill>
                  <w14:solidFill>
                    <w14:schemeClr w14:val="tx1"/>
                  </w14:solidFill>
                </w14:textFill>
              </w:rPr>
              <w:t>气</w:t>
            </w:r>
          </w:p>
        </w:tc>
        <w:tc>
          <w:tcPr>
            <w:tcW w:w="657"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施</w:t>
            </w:r>
            <w:r>
              <w:rPr>
                <w:rFonts w:ascii="Calibri" w:hAnsi="Calibri" w:eastAsia="Times New Roman"/>
                <w:color w:val="000000" w:themeColor="text1"/>
                <w:highlight w:val="none"/>
                <w:lang w:eastAsia="en-US"/>
                <w14:textFill>
                  <w14:solidFill>
                    <w14:schemeClr w14:val="tx1"/>
                  </w14:solidFill>
                </w14:textFill>
              </w:rPr>
              <w:t>工扬尘</w:t>
            </w:r>
          </w:p>
        </w:tc>
        <w:tc>
          <w:tcPr>
            <w:tcW w:w="1087"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颗</w:t>
            </w:r>
            <w:r>
              <w:rPr>
                <w:rFonts w:ascii="Calibri" w:hAnsi="Calibri" w:eastAsia="Times New Roman"/>
                <w:color w:val="000000" w:themeColor="text1"/>
                <w:highlight w:val="none"/>
                <w:lang w:eastAsia="en-US"/>
                <w14:textFill>
                  <w14:solidFill>
                    <w14:schemeClr w14:val="tx1"/>
                  </w14:solidFill>
                </w14:textFill>
              </w:rPr>
              <w:t>粒物</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少</w:t>
            </w:r>
            <w:r>
              <w:rPr>
                <w:rFonts w:ascii="Calibri" w:hAnsi="Calibri" w:eastAsia="Times New Roman"/>
                <w:color w:val="000000" w:themeColor="text1"/>
                <w:highlight w:val="none"/>
                <w:lang w:eastAsia="en-US"/>
                <w14:textFill>
                  <w14:solidFill>
                    <w14:schemeClr w14:val="tx1"/>
                  </w14:solidFill>
                </w14:textFill>
              </w:rPr>
              <w:t>量</w:t>
            </w:r>
          </w:p>
        </w:tc>
        <w:tc>
          <w:tcPr>
            <w:tcW w:w="1195" w:type="pct"/>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hint="eastAsia" w:ascii="宋体" w:hAnsi="宋体" w:eastAsia="宋体" w:cs="宋体"/>
                <w:color w:val="000000" w:themeColor="text1"/>
                <w:highlight w:val="none"/>
                <w:lang w:eastAsia="zh-CN"/>
                <w14:textFill>
                  <w14:solidFill>
                    <w14:schemeClr w14:val="tx1"/>
                  </w14:solidFill>
                </w14:textFill>
              </w:rPr>
              <w:t>洒</w:t>
            </w:r>
            <w:r>
              <w:rPr>
                <w:rFonts w:ascii="Calibri" w:hAnsi="Calibri" w:eastAsia="Times New Roman"/>
                <w:color w:val="000000" w:themeColor="text1"/>
                <w:highlight w:val="none"/>
                <w:lang w:eastAsia="zh-CN"/>
                <w14:textFill>
                  <w14:solidFill>
                    <w14:schemeClr w14:val="tx1"/>
                  </w14:solidFill>
                </w14:textFill>
              </w:rPr>
              <w:t>水降尘、设置围挡、土石方遮盖、车辆加盖篷布等</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少</w:t>
            </w:r>
            <w:r>
              <w:rPr>
                <w:rFonts w:ascii="Calibri" w:hAnsi="Calibri" w:eastAsia="Times New Roman"/>
                <w:color w:val="000000" w:themeColor="text1"/>
                <w:highlight w:val="none"/>
                <w:lang w:eastAsia="en-US"/>
                <w14:textFill>
                  <w14:solidFill>
                    <w14:schemeClr w14:val="tx1"/>
                  </w14:solidFill>
                </w14:textFill>
              </w:rPr>
              <w:t>量</w:t>
            </w:r>
          </w:p>
        </w:tc>
        <w:tc>
          <w:tcPr>
            <w:tcW w:w="391"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大</w:t>
            </w:r>
            <w:r>
              <w:rPr>
                <w:rFonts w:ascii="Calibri" w:hAnsi="Calibri" w:eastAsia="Times New Roman"/>
                <w:color w:val="000000" w:themeColor="text1"/>
                <w:highlight w:val="none"/>
                <w:lang w:eastAsia="en-US"/>
                <w14:textFill>
                  <w14:solidFill>
                    <w14:schemeClr w14:val="tx1"/>
                  </w14:solidFill>
                </w14:textFill>
              </w:rPr>
              <w:t>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2" w:type="pct"/>
            <w:vMerge w:val="continue"/>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322" w:type="pct"/>
            <w:vMerge w:val="continue"/>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657"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施</w:t>
            </w:r>
            <w:r>
              <w:rPr>
                <w:rFonts w:ascii="Calibri" w:hAnsi="Calibri" w:eastAsia="Times New Roman"/>
                <w:color w:val="000000" w:themeColor="text1"/>
                <w:highlight w:val="none"/>
                <w:lang w:eastAsia="en-US"/>
                <w14:textFill>
                  <w14:solidFill>
                    <w14:schemeClr w14:val="tx1"/>
                  </w14:solidFill>
                </w14:textFill>
              </w:rPr>
              <w:t>工机械、车辆尾气</w:t>
            </w:r>
          </w:p>
        </w:tc>
        <w:tc>
          <w:tcPr>
            <w:tcW w:w="1087"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CO、NOx</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少</w:t>
            </w:r>
            <w:r>
              <w:rPr>
                <w:rFonts w:ascii="Calibri" w:hAnsi="Calibri" w:eastAsia="Times New Roman"/>
                <w:color w:val="000000" w:themeColor="text1"/>
                <w:highlight w:val="none"/>
                <w:lang w:eastAsia="en-US"/>
                <w14:textFill>
                  <w14:solidFill>
                    <w14:schemeClr w14:val="tx1"/>
                  </w14:solidFill>
                </w14:textFill>
              </w:rPr>
              <w:t>量</w:t>
            </w:r>
          </w:p>
        </w:tc>
        <w:tc>
          <w:tcPr>
            <w:tcW w:w="1195" w:type="pct"/>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hint="eastAsia" w:ascii="宋体" w:hAnsi="宋体" w:eastAsia="宋体" w:cs="宋体"/>
                <w:color w:val="000000" w:themeColor="text1"/>
                <w:highlight w:val="none"/>
                <w:lang w:eastAsia="zh-CN"/>
                <w14:textFill>
                  <w14:solidFill>
                    <w14:schemeClr w14:val="tx1"/>
                  </w14:solidFill>
                </w14:textFill>
              </w:rPr>
              <w:t>加</w:t>
            </w:r>
            <w:r>
              <w:rPr>
                <w:rFonts w:ascii="Calibri" w:hAnsi="Calibri" w:eastAsia="Times New Roman"/>
                <w:color w:val="000000" w:themeColor="text1"/>
                <w:highlight w:val="none"/>
                <w:lang w:eastAsia="zh-CN"/>
                <w14:textFill>
                  <w14:solidFill>
                    <w14:schemeClr w14:val="tx1"/>
                  </w14:solidFill>
                </w14:textFill>
              </w:rPr>
              <w:t>强设备车辆维护管理，选用清洁燃料</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少</w:t>
            </w:r>
            <w:r>
              <w:rPr>
                <w:rFonts w:ascii="Calibri" w:hAnsi="Calibri" w:eastAsia="Times New Roman"/>
                <w:color w:val="000000" w:themeColor="text1"/>
                <w:highlight w:val="none"/>
                <w:lang w:eastAsia="en-US"/>
                <w14:textFill>
                  <w14:solidFill>
                    <w14:schemeClr w14:val="tx1"/>
                  </w14:solidFill>
                </w14:textFill>
              </w:rPr>
              <w:t>量</w:t>
            </w:r>
          </w:p>
        </w:tc>
        <w:tc>
          <w:tcPr>
            <w:tcW w:w="391"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大</w:t>
            </w:r>
            <w:r>
              <w:rPr>
                <w:rFonts w:ascii="Calibri" w:hAnsi="Calibri" w:eastAsia="Times New Roman"/>
                <w:color w:val="000000" w:themeColor="text1"/>
                <w:highlight w:val="none"/>
                <w:lang w:eastAsia="en-US"/>
                <w14:textFill>
                  <w14:solidFill>
                    <w14:schemeClr w14:val="tx1"/>
                  </w14:solidFill>
                </w14:textFill>
              </w:rPr>
              <w:t>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2" w:type="pct"/>
            <w:vMerge w:val="continue"/>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322" w:type="pct"/>
            <w:vMerge w:val="continue"/>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657"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焊</w:t>
            </w:r>
            <w:r>
              <w:rPr>
                <w:rFonts w:ascii="Calibri" w:hAnsi="Calibri" w:eastAsia="Times New Roman"/>
                <w:color w:val="000000" w:themeColor="text1"/>
                <w:highlight w:val="none"/>
                <w:lang w:eastAsia="en-US"/>
                <w14:textFill>
                  <w14:solidFill>
                    <w14:schemeClr w14:val="tx1"/>
                  </w14:solidFill>
                </w14:textFill>
              </w:rPr>
              <w:t>接烟尘</w:t>
            </w:r>
          </w:p>
        </w:tc>
        <w:tc>
          <w:tcPr>
            <w:tcW w:w="1087"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颗</w:t>
            </w:r>
            <w:r>
              <w:rPr>
                <w:rFonts w:ascii="Calibri" w:hAnsi="Calibri" w:eastAsia="Times New Roman"/>
                <w:color w:val="000000" w:themeColor="text1"/>
                <w:highlight w:val="none"/>
                <w:lang w:eastAsia="en-US"/>
                <w14:textFill>
                  <w14:solidFill>
                    <w14:schemeClr w14:val="tx1"/>
                  </w14:solidFill>
                </w14:textFill>
              </w:rPr>
              <w:t>粒物</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123.2kg</w:t>
            </w:r>
          </w:p>
        </w:tc>
        <w:tc>
          <w:tcPr>
            <w:tcW w:w="1195"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61.6kg</w:t>
            </w:r>
          </w:p>
        </w:tc>
        <w:tc>
          <w:tcPr>
            <w:tcW w:w="391"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大</w:t>
            </w:r>
            <w:r>
              <w:rPr>
                <w:rFonts w:ascii="Calibri" w:hAnsi="Calibri" w:eastAsia="Times New Roman"/>
                <w:color w:val="000000" w:themeColor="text1"/>
                <w:highlight w:val="none"/>
                <w:lang w:eastAsia="en-US"/>
                <w14:textFill>
                  <w14:solidFill>
                    <w14:schemeClr w14:val="tx1"/>
                  </w14:solidFill>
                </w14:textFill>
              </w:rPr>
              <w:t>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2" w:type="pct"/>
            <w:vMerge w:val="continue"/>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322" w:type="pct"/>
            <w:vMerge w:val="continue"/>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657" w:type="pct"/>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hint="eastAsia" w:ascii="宋体" w:hAnsi="宋体" w:eastAsia="宋体" w:cs="宋体"/>
                <w:color w:val="000000" w:themeColor="text1"/>
                <w:highlight w:val="none"/>
                <w:lang w:eastAsia="zh-CN"/>
                <w14:textFill>
                  <w14:solidFill>
                    <w14:schemeClr w14:val="tx1"/>
                  </w14:solidFill>
                </w14:textFill>
              </w:rPr>
              <w:t>清</w:t>
            </w:r>
            <w:r>
              <w:rPr>
                <w:rFonts w:ascii="Calibri" w:hAnsi="Calibri" w:eastAsia="Times New Roman"/>
                <w:color w:val="000000" w:themeColor="text1"/>
                <w:highlight w:val="none"/>
                <w:lang w:eastAsia="zh-CN"/>
                <w14:textFill>
                  <w14:solidFill>
                    <w14:schemeClr w14:val="tx1"/>
                  </w14:solidFill>
                </w14:textFill>
              </w:rPr>
              <w:t>管、扫水、置换氮气</w:t>
            </w:r>
          </w:p>
        </w:tc>
        <w:tc>
          <w:tcPr>
            <w:tcW w:w="1087"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氮</w:t>
            </w:r>
            <w:r>
              <w:rPr>
                <w:rFonts w:ascii="Calibri" w:hAnsi="Calibri" w:eastAsia="Times New Roman"/>
                <w:color w:val="000000" w:themeColor="text1"/>
                <w:highlight w:val="none"/>
                <w:lang w:eastAsia="en-US"/>
                <w14:textFill>
                  <w14:solidFill>
                    <w14:schemeClr w14:val="tx1"/>
                  </w14:solidFill>
                </w14:textFill>
              </w:rPr>
              <w:t>气</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1350m</w:t>
            </w:r>
            <w:r>
              <w:rPr>
                <w:rFonts w:ascii="Calibri" w:hAnsi="Calibri" w:eastAsia="Times New Roman"/>
                <w:color w:val="000000" w:themeColor="text1"/>
                <w:highlight w:val="none"/>
                <w:vertAlign w:val="superscript"/>
                <w:lang w:eastAsia="en-US"/>
                <w14:textFill>
                  <w14:solidFill>
                    <w14:schemeClr w14:val="tx1"/>
                  </w14:solidFill>
                </w14:textFill>
              </w:rPr>
              <w:t>3</w:t>
            </w:r>
          </w:p>
        </w:tc>
        <w:tc>
          <w:tcPr>
            <w:tcW w:w="1195"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1350m</w:t>
            </w:r>
            <w:r>
              <w:rPr>
                <w:rFonts w:ascii="Calibri" w:hAnsi="Calibri" w:eastAsia="Times New Roman"/>
                <w:color w:val="000000" w:themeColor="text1"/>
                <w:highlight w:val="none"/>
                <w:vertAlign w:val="superscript"/>
                <w:lang w:eastAsia="en-US"/>
                <w14:textFill>
                  <w14:solidFill>
                    <w14:schemeClr w14:val="tx1"/>
                  </w14:solidFill>
                </w14:textFill>
              </w:rPr>
              <w:t>3</w:t>
            </w:r>
          </w:p>
        </w:tc>
        <w:tc>
          <w:tcPr>
            <w:tcW w:w="391"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大</w:t>
            </w:r>
            <w:r>
              <w:rPr>
                <w:rFonts w:ascii="Calibri" w:hAnsi="Calibri" w:eastAsia="Times New Roman"/>
                <w:color w:val="000000" w:themeColor="text1"/>
                <w:highlight w:val="none"/>
                <w:lang w:eastAsia="en-US"/>
                <w14:textFill>
                  <w14:solidFill>
                    <w14:schemeClr w14:val="tx1"/>
                  </w14:solidFill>
                </w14:textFill>
              </w:rPr>
              <w:t>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2" w:type="pct"/>
            <w:vMerge w:val="continue"/>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322" w:type="pct"/>
            <w:vMerge w:val="restar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废</w:t>
            </w:r>
            <w:r>
              <w:rPr>
                <w:rFonts w:ascii="Calibri" w:hAnsi="Calibri" w:eastAsia="Times New Roman"/>
                <w:color w:val="000000" w:themeColor="text1"/>
                <w:highlight w:val="none"/>
                <w:lang w:eastAsia="en-US"/>
                <w14:textFill>
                  <w14:solidFill>
                    <w14:schemeClr w14:val="tx1"/>
                  </w14:solidFill>
                </w14:textFill>
              </w:rPr>
              <w:t>水</w:t>
            </w:r>
          </w:p>
        </w:tc>
        <w:tc>
          <w:tcPr>
            <w:tcW w:w="657"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生</w:t>
            </w:r>
            <w:r>
              <w:rPr>
                <w:rFonts w:ascii="Calibri" w:hAnsi="Calibri" w:eastAsia="Times New Roman"/>
                <w:color w:val="000000" w:themeColor="text1"/>
                <w:highlight w:val="none"/>
                <w:lang w:eastAsia="en-US"/>
                <w14:textFill>
                  <w14:solidFill>
                    <w14:schemeClr w14:val="tx1"/>
                  </w14:solidFill>
                </w14:textFill>
              </w:rPr>
              <w:t>活污水</w:t>
            </w:r>
          </w:p>
        </w:tc>
        <w:tc>
          <w:tcPr>
            <w:tcW w:w="1087"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COD、BOD</w:t>
            </w:r>
            <w:r>
              <w:rPr>
                <w:rFonts w:ascii="Calibri" w:hAnsi="Calibri" w:eastAsia="Times New Roman"/>
                <w:color w:val="000000" w:themeColor="text1"/>
                <w:highlight w:val="none"/>
                <w:vertAlign w:val="subscript"/>
                <w:lang w:eastAsia="en-US"/>
                <w14:textFill>
                  <w14:solidFill>
                    <w14:schemeClr w14:val="tx1"/>
                  </w14:solidFill>
                </w14:textFill>
              </w:rPr>
              <w:t>5</w:t>
            </w:r>
            <w:r>
              <w:rPr>
                <w:rFonts w:ascii="Calibri" w:hAnsi="Calibri" w:eastAsia="Times New Roman"/>
                <w:color w:val="000000" w:themeColor="text1"/>
                <w:highlight w:val="none"/>
                <w:lang w:eastAsia="en-US"/>
                <w14:textFill>
                  <w14:solidFill>
                    <w14:schemeClr w14:val="tx1"/>
                  </w14:solidFill>
                </w14:textFill>
              </w:rPr>
              <w:t>、氨氮、SS</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1.44m</w:t>
            </w:r>
            <w:r>
              <w:rPr>
                <w:rFonts w:ascii="Calibri" w:hAnsi="Calibri" w:eastAsia="Times New Roman"/>
                <w:color w:val="000000" w:themeColor="text1"/>
                <w:highlight w:val="none"/>
                <w:vertAlign w:val="superscript"/>
                <w:lang w:eastAsia="en-US"/>
                <w14:textFill>
                  <w14:solidFill>
                    <w14:schemeClr w14:val="tx1"/>
                  </w14:solidFill>
                </w14:textFill>
              </w:rPr>
              <w:t>3</w:t>
            </w:r>
            <w:r>
              <w:rPr>
                <w:rFonts w:ascii="Calibri" w:hAnsi="Calibri" w:eastAsia="Times New Roman"/>
                <w:color w:val="000000" w:themeColor="text1"/>
                <w:highlight w:val="none"/>
                <w:lang w:eastAsia="en-US"/>
                <w14:textFill>
                  <w14:solidFill>
                    <w14:schemeClr w14:val="tx1"/>
                  </w14:solidFill>
                </w14:textFill>
              </w:rPr>
              <w:t>/d</w:t>
            </w:r>
          </w:p>
        </w:tc>
        <w:tc>
          <w:tcPr>
            <w:tcW w:w="1195" w:type="pct"/>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hint="eastAsia" w:ascii="宋体" w:hAnsi="宋体" w:eastAsia="宋体" w:cs="宋体"/>
                <w:color w:val="000000" w:themeColor="text1"/>
                <w:highlight w:val="none"/>
                <w:lang w:eastAsia="zh-CN"/>
                <w14:textFill>
                  <w14:solidFill>
                    <w14:schemeClr w14:val="tx1"/>
                  </w14:solidFill>
                </w14:textFill>
              </w:rPr>
              <w:t>依</w:t>
            </w:r>
            <w:r>
              <w:rPr>
                <w:rFonts w:ascii="Calibri" w:hAnsi="Calibri" w:eastAsia="Times New Roman"/>
                <w:color w:val="000000" w:themeColor="text1"/>
                <w:highlight w:val="none"/>
                <w:lang w:eastAsia="zh-CN"/>
                <w14:textFill>
                  <w14:solidFill>
                    <w14:schemeClr w14:val="tx1"/>
                  </w14:solidFill>
                </w14:textFill>
              </w:rPr>
              <w:t>托租住房屋已有生活污水处理系统处置</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1.44m</w:t>
            </w:r>
            <w:r>
              <w:rPr>
                <w:rFonts w:ascii="Calibri" w:hAnsi="Calibri" w:eastAsia="Times New Roman"/>
                <w:color w:val="000000" w:themeColor="text1"/>
                <w:highlight w:val="none"/>
                <w:vertAlign w:val="superscript"/>
                <w:lang w:eastAsia="en-US"/>
                <w14:textFill>
                  <w14:solidFill>
                    <w14:schemeClr w14:val="tx1"/>
                  </w14:solidFill>
                </w14:textFill>
              </w:rPr>
              <w:t>3</w:t>
            </w:r>
            <w:r>
              <w:rPr>
                <w:rFonts w:ascii="Calibri" w:hAnsi="Calibri" w:eastAsia="Times New Roman"/>
                <w:color w:val="000000" w:themeColor="text1"/>
                <w:highlight w:val="none"/>
                <w:lang w:eastAsia="en-US"/>
                <w14:textFill>
                  <w14:solidFill>
                    <w14:schemeClr w14:val="tx1"/>
                  </w14:solidFill>
                </w14:textFill>
              </w:rPr>
              <w:t>/d</w:t>
            </w:r>
          </w:p>
        </w:tc>
        <w:tc>
          <w:tcPr>
            <w:tcW w:w="391"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不</w:t>
            </w:r>
            <w:r>
              <w:rPr>
                <w:rFonts w:ascii="Calibri" w:hAnsi="Calibri" w:eastAsia="Times New Roman"/>
                <w:color w:val="000000" w:themeColor="text1"/>
                <w:highlight w:val="none"/>
                <w:lang w:eastAsia="en-US"/>
                <w14:textFill>
                  <w14:solidFill>
                    <w14:schemeClr w14:val="tx1"/>
                  </w14:solidFill>
                </w14:textFill>
              </w:rPr>
              <w:t>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2" w:type="pct"/>
            <w:vMerge w:val="continue"/>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322" w:type="pct"/>
            <w:vMerge w:val="continue"/>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657"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管</w:t>
            </w:r>
            <w:r>
              <w:rPr>
                <w:rFonts w:ascii="Calibri" w:hAnsi="Calibri" w:eastAsia="Times New Roman"/>
                <w:color w:val="000000" w:themeColor="text1"/>
                <w:highlight w:val="none"/>
                <w:lang w:eastAsia="en-US"/>
                <w14:textFill>
                  <w14:solidFill>
                    <w14:schemeClr w14:val="tx1"/>
                  </w14:solidFill>
                </w14:textFill>
              </w:rPr>
              <w:t>线试压废水</w:t>
            </w:r>
          </w:p>
        </w:tc>
        <w:tc>
          <w:tcPr>
            <w:tcW w:w="1087"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SS</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heme="minorEastAsia"/>
                <w:color w:val="000000" w:themeColor="text1"/>
                <w:highlight w:val="none"/>
                <w:lang w:eastAsia="en-US"/>
                <w14:textFill>
                  <w14:solidFill>
                    <w14:schemeClr w14:val="tx1"/>
                  </w14:solidFill>
                </w14:textFill>
              </w:rPr>
              <w:t>445</w:t>
            </w:r>
            <w:r>
              <w:rPr>
                <w:rFonts w:ascii="Calibri" w:hAnsi="Calibri" w:eastAsia="Calibri"/>
                <w:color w:val="000000" w:themeColor="text1"/>
                <w:highlight w:val="none"/>
                <w:lang w:eastAsia="en-US"/>
                <w14:textFill>
                  <w14:solidFill>
                    <w14:schemeClr w14:val="tx1"/>
                  </w14:solidFill>
                </w14:textFill>
              </w:rPr>
              <w:t>m</w:t>
            </w:r>
            <w:r>
              <w:rPr>
                <w:rFonts w:ascii="Calibri" w:hAnsi="Calibri" w:eastAsia="Calibri"/>
                <w:color w:val="000000" w:themeColor="text1"/>
                <w:highlight w:val="none"/>
                <w:vertAlign w:val="superscript"/>
                <w:lang w:eastAsia="en-US"/>
                <w14:textFill>
                  <w14:solidFill>
                    <w14:schemeClr w14:val="tx1"/>
                  </w14:solidFill>
                </w14:textFill>
              </w:rPr>
              <w:t>3</w:t>
            </w:r>
          </w:p>
        </w:tc>
        <w:tc>
          <w:tcPr>
            <w:tcW w:w="1195" w:type="pct"/>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hint="eastAsia" w:ascii="宋体" w:hAnsi="宋体" w:eastAsia="宋体" w:cs="宋体"/>
                <w:color w:val="000000" w:themeColor="text1"/>
                <w:highlight w:val="none"/>
                <w:lang w:eastAsia="zh-CN"/>
                <w14:textFill>
                  <w14:solidFill>
                    <w14:schemeClr w14:val="tx1"/>
                  </w14:solidFill>
                </w14:textFill>
              </w:rPr>
              <w:t>沉</w:t>
            </w:r>
            <w:r>
              <w:rPr>
                <w:rFonts w:ascii="Calibri" w:hAnsi="Calibri" w:eastAsia="Times New Roman"/>
                <w:color w:val="000000" w:themeColor="text1"/>
                <w:highlight w:val="none"/>
                <w:lang w:eastAsia="zh-CN"/>
                <w14:textFill>
                  <w14:solidFill>
                    <w14:schemeClr w14:val="tx1"/>
                  </w14:solidFill>
                </w14:textFill>
              </w:rPr>
              <w:t>淀池收集沉淀后回用于施工区域洒水降尘、设备车辆冲洗</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heme="minorEastAsia"/>
                <w:color w:val="000000" w:themeColor="text1"/>
                <w:highlight w:val="none"/>
                <w:lang w:eastAsia="en-US"/>
                <w14:textFill>
                  <w14:solidFill>
                    <w14:schemeClr w14:val="tx1"/>
                  </w14:solidFill>
                </w14:textFill>
              </w:rPr>
              <w:t>445</w:t>
            </w:r>
            <w:r>
              <w:rPr>
                <w:rFonts w:ascii="Calibri" w:hAnsi="Calibri" w:eastAsia="Calibri"/>
                <w:color w:val="000000" w:themeColor="text1"/>
                <w:highlight w:val="none"/>
                <w:lang w:eastAsia="en-US"/>
                <w14:textFill>
                  <w14:solidFill>
                    <w14:schemeClr w14:val="tx1"/>
                  </w14:solidFill>
                </w14:textFill>
              </w:rPr>
              <w:t>m</w:t>
            </w:r>
            <w:r>
              <w:rPr>
                <w:rFonts w:ascii="Calibri" w:hAnsi="Calibri" w:eastAsia="Calibri"/>
                <w:color w:val="000000" w:themeColor="text1"/>
                <w:highlight w:val="none"/>
                <w:vertAlign w:val="superscript"/>
                <w:lang w:eastAsia="en-US"/>
                <w14:textFill>
                  <w14:solidFill>
                    <w14:schemeClr w14:val="tx1"/>
                  </w14:solidFill>
                </w14:textFill>
              </w:rPr>
              <w:t>3</w:t>
            </w:r>
          </w:p>
        </w:tc>
        <w:tc>
          <w:tcPr>
            <w:tcW w:w="391"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不</w:t>
            </w:r>
            <w:r>
              <w:rPr>
                <w:rFonts w:ascii="Calibri" w:hAnsi="Calibri" w:eastAsia="Times New Roman"/>
                <w:color w:val="000000" w:themeColor="text1"/>
                <w:highlight w:val="none"/>
                <w:lang w:eastAsia="en-US"/>
                <w14:textFill>
                  <w14:solidFill>
                    <w14:schemeClr w14:val="tx1"/>
                  </w14:solidFill>
                </w14:textFill>
              </w:rPr>
              <w:t>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2" w:type="pct"/>
            <w:vMerge w:val="continue"/>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322" w:type="pct"/>
            <w:vMerge w:val="continue"/>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657" w:type="pct"/>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hint="eastAsia" w:ascii="宋体" w:hAnsi="宋体" w:eastAsia="宋体" w:cs="宋体"/>
                <w:color w:val="000000" w:themeColor="text1"/>
                <w:highlight w:val="none"/>
                <w:lang w:eastAsia="zh-CN"/>
                <w14:textFill>
                  <w14:solidFill>
                    <w14:schemeClr w14:val="tx1"/>
                  </w14:solidFill>
                </w14:textFill>
              </w:rPr>
              <w:t>施</w:t>
            </w:r>
            <w:r>
              <w:rPr>
                <w:rFonts w:ascii="Calibri" w:hAnsi="Calibri" w:eastAsia="Times New Roman"/>
                <w:color w:val="000000" w:themeColor="text1"/>
                <w:highlight w:val="none"/>
                <w:lang w:eastAsia="zh-CN"/>
                <w14:textFill>
                  <w14:solidFill>
                    <w14:schemeClr w14:val="tx1"/>
                  </w14:solidFill>
                </w14:textFill>
              </w:rPr>
              <w:t>工机械、车辆冲洗废水</w:t>
            </w:r>
          </w:p>
        </w:tc>
        <w:tc>
          <w:tcPr>
            <w:tcW w:w="1087"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SS、石油类</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1.25m</w:t>
            </w:r>
            <w:r>
              <w:rPr>
                <w:rFonts w:ascii="Calibri" w:hAnsi="Calibri" w:eastAsia="Times New Roman"/>
                <w:color w:val="000000" w:themeColor="text1"/>
                <w:highlight w:val="none"/>
                <w:vertAlign w:val="superscript"/>
                <w:lang w:eastAsia="en-US"/>
                <w14:textFill>
                  <w14:solidFill>
                    <w14:schemeClr w14:val="tx1"/>
                  </w14:solidFill>
                </w14:textFill>
              </w:rPr>
              <w:t>3</w:t>
            </w:r>
            <w:r>
              <w:rPr>
                <w:rFonts w:ascii="Calibri" w:hAnsi="Calibri" w:eastAsia="Times New Roman"/>
                <w:color w:val="000000" w:themeColor="text1"/>
                <w:highlight w:val="none"/>
                <w:lang w:eastAsia="en-US"/>
                <w14:textFill>
                  <w14:solidFill>
                    <w14:schemeClr w14:val="tx1"/>
                  </w14:solidFill>
                </w14:textFill>
              </w:rPr>
              <w:t>/d</w:t>
            </w:r>
          </w:p>
        </w:tc>
        <w:tc>
          <w:tcPr>
            <w:tcW w:w="1195" w:type="pct"/>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hint="eastAsia" w:ascii="宋体" w:hAnsi="宋体" w:eastAsia="宋体" w:cs="宋体"/>
                <w:color w:val="000000" w:themeColor="text1"/>
                <w:highlight w:val="none"/>
                <w:lang w:eastAsia="zh-CN"/>
                <w14:textFill>
                  <w14:solidFill>
                    <w14:schemeClr w14:val="tx1"/>
                  </w14:solidFill>
                </w14:textFill>
              </w:rPr>
              <w:t>隔</w:t>
            </w:r>
            <w:r>
              <w:rPr>
                <w:rFonts w:ascii="Calibri" w:hAnsi="Calibri" w:eastAsia="Times New Roman"/>
                <w:color w:val="000000" w:themeColor="text1"/>
                <w:highlight w:val="none"/>
                <w:lang w:eastAsia="zh-CN"/>
                <w14:textFill>
                  <w14:solidFill>
                    <w14:schemeClr w14:val="tx1"/>
                  </w14:solidFill>
                </w14:textFill>
              </w:rPr>
              <w:t>油沉砂池收集处理后，回用于施工区域洒水降尘、设备车辆冲洗</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1.25m</w:t>
            </w:r>
            <w:r>
              <w:rPr>
                <w:rFonts w:ascii="Calibri" w:hAnsi="Calibri" w:eastAsia="Times New Roman"/>
                <w:color w:val="000000" w:themeColor="text1"/>
                <w:highlight w:val="none"/>
                <w:vertAlign w:val="superscript"/>
                <w:lang w:eastAsia="en-US"/>
                <w14:textFill>
                  <w14:solidFill>
                    <w14:schemeClr w14:val="tx1"/>
                  </w14:solidFill>
                </w14:textFill>
              </w:rPr>
              <w:t>3</w:t>
            </w:r>
            <w:r>
              <w:rPr>
                <w:rFonts w:ascii="Calibri" w:hAnsi="Calibri" w:eastAsia="Times New Roman"/>
                <w:color w:val="000000" w:themeColor="text1"/>
                <w:highlight w:val="none"/>
                <w:lang w:eastAsia="en-US"/>
                <w14:textFill>
                  <w14:solidFill>
                    <w14:schemeClr w14:val="tx1"/>
                  </w14:solidFill>
                </w14:textFill>
              </w:rPr>
              <w:t>/d</w:t>
            </w:r>
          </w:p>
        </w:tc>
        <w:tc>
          <w:tcPr>
            <w:tcW w:w="391"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不</w:t>
            </w:r>
            <w:r>
              <w:rPr>
                <w:rFonts w:ascii="Calibri" w:hAnsi="Calibri" w:eastAsia="Times New Roman"/>
                <w:color w:val="000000" w:themeColor="text1"/>
                <w:highlight w:val="none"/>
                <w:lang w:eastAsia="en-US"/>
                <w14:textFill>
                  <w14:solidFill>
                    <w14:schemeClr w14:val="tx1"/>
                  </w14:solidFill>
                </w14:textFill>
              </w:rPr>
              <w:t>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2" w:type="pct"/>
            <w:vMerge w:val="continue"/>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322" w:type="pct"/>
            <w:vMerge w:val="continue"/>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657"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沟</w:t>
            </w:r>
            <w:r>
              <w:rPr>
                <w:rFonts w:ascii="Calibri" w:hAnsi="Calibri" w:eastAsia="Times New Roman"/>
                <w:color w:val="000000" w:themeColor="text1"/>
                <w:highlight w:val="none"/>
                <w:lang w:eastAsia="en-US"/>
                <w14:textFill>
                  <w14:solidFill>
                    <w14:schemeClr w14:val="tx1"/>
                  </w14:solidFill>
                </w14:textFill>
              </w:rPr>
              <w:t>渠穿越含泥浆废水</w:t>
            </w:r>
          </w:p>
        </w:tc>
        <w:tc>
          <w:tcPr>
            <w:tcW w:w="1087"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SS</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少</w:t>
            </w:r>
            <w:r>
              <w:rPr>
                <w:rFonts w:ascii="Calibri" w:hAnsi="Calibri" w:eastAsia="Times New Roman"/>
                <w:color w:val="000000" w:themeColor="text1"/>
                <w:highlight w:val="none"/>
                <w:lang w:eastAsia="en-US"/>
                <w14:textFill>
                  <w14:solidFill>
                    <w14:schemeClr w14:val="tx1"/>
                  </w14:solidFill>
                </w14:textFill>
              </w:rPr>
              <w:t>量</w:t>
            </w:r>
          </w:p>
        </w:tc>
        <w:tc>
          <w:tcPr>
            <w:tcW w:w="1195" w:type="pct"/>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hint="eastAsia" w:ascii="宋体" w:hAnsi="宋体" w:eastAsia="宋体" w:cs="宋体"/>
                <w:color w:val="000000" w:themeColor="text1"/>
                <w:highlight w:val="none"/>
                <w:lang w:eastAsia="zh-CN"/>
                <w14:textFill>
                  <w14:solidFill>
                    <w14:schemeClr w14:val="tx1"/>
                  </w14:solidFill>
                </w14:textFill>
              </w:rPr>
              <w:t>泥</w:t>
            </w:r>
            <w:r>
              <w:rPr>
                <w:rFonts w:ascii="Calibri" w:hAnsi="Calibri" w:eastAsia="Times New Roman"/>
                <w:color w:val="000000" w:themeColor="text1"/>
                <w:highlight w:val="none"/>
                <w:lang w:eastAsia="zh-CN"/>
                <w14:textFill>
                  <w14:solidFill>
                    <w14:schemeClr w14:val="tx1"/>
                  </w14:solidFill>
                </w14:textFill>
              </w:rPr>
              <w:t>浆池收集沉淀后回用于施工区域洒水降尘、设备车辆冲洗</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少</w:t>
            </w:r>
            <w:r>
              <w:rPr>
                <w:rFonts w:ascii="Calibri" w:hAnsi="Calibri" w:eastAsia="Times New Roman"/>
                <w:color w:val="000000" w:themeColor="text1"/>
                <w:highlight w:val="none"/>
                <w:lang w:eastAsia="en-US"/>
                <w14:textFill>
                  <w14:solidFill>
                    <w14:schemeClr w14:val="tx1"/>
                  </w14:solidFill>
                </w14:textFill>
              </w:rPr>
              <w:t>量</w:t>
            </w:r>
          </w:p>
        </w:tc>
        <w:tc>
          <w:tcPr>
            <w:tcW w:w="391"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不</w:t>
            </w:r>
            <w:r>
              <w:rPr>
                <w:rFonts w:ascii="Calibri" w:hAnsi="Calibri" w:eastAsia="Times New Roman"/>
                <w:color w:val="000000" w:themeColor="text1"/>
                <w:highlight w:val="none"/>
                <w:lang w:eastAsia="en-US"/>
                <w14:textFill>
                  <w14:solidFill>
                    <w14:schemeClr w14:val="tx1"/>
                  </w14:solidFill>
                </w14:textFill>
              </w:rPr>
              <w:t>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2" w:type="pct"/>
            <w:vMerge w:val="continue"/>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322"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噪</w:t>
            </w:r>
            <w:r>
              <w:rPr>
                <w:rFonts w:ascii="Calibri" w:hAnsi="Calibri" w:eastAsia="Times New Roman"/>
                <w:color w:val="000000" w:themeColor="text1"/>
                <w:highlight w:val="none"/>
                <w:lang w:eastAsia="en-US"/>
                <w14:textFill>
                  <w14:solidFill>
                    <w14:schemeClr w14:val="tx1"/>
                  </w14:solidFill>
                </w14:textFill>
              </w:rPr>
              <w:t>声</w:t>
            </w:r>
          </w:p>
        </w:tc>
        <w:tc>
          <w:tcPr>
            <w:tcW w:w="657" w:type="pct"/>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hint="eastAsia" w:ascii="宋体" w:hAnsi="宋体" w:eastAsia="宋体" w:cs="宋体"/>
                <w:color w:val="000000" w:themeColor="text1"/>
                <w:highlight w:val="none"/>
                <w:lang w:eastAsia="zh-CN"/>
                <w14:textFill>
                  <w14:solidFill>
                    <w14:schemeClr w14:val="tx1"/>
                  </w14:solidFill>
                </w14:textFill>
              </w:rPr>
              <w:t>施</w:t>
            </w:r>
            <w:r>
              <w:rPr>
                <w:rFonts w:ascii="Calibri" w:hAnsi="Calibri" w:eastAsia="Times New Roman"/>
                <w:color w:val="000000" w:themeColor="text1"/>
                <w:highlight w:val="none"/>
                <w:lang w:eastAsia="zh-CN"/>
                <w14:textFill>
                  <w14:solidFill>
                    <w14:schemeClr w14:val="tx1"/>
                  </w14:solidFill>
                </w14:textFill>
              </w:rPr>
              <w:t>工机械、车辆运行噪声</w:t>
            </w:r>
          </w:p>
        </w:tc>
        <w:tc>
          <w:tcPr>
            <w:tcW w:w="1087"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噪</w:t>
            </w:r>
            <w:r>
              <w:rPr>
                <w:rFonts w:ascii="Calibri" w:hAnsi="Calibri" w:eastAsia="Times New Roman"/>
                <w:color w:val="000000" w:themeColor="text1"/>
                <w:highlight w:val="none"/>
                <w:lang w:eastAsia="en-US"/>
                <w14:textFill>
                  <w14:solidFill>
                    <w14:schemeClr w14:val="tx1"/>
                  </w14:solidFill>
                </w14:textFill>
              </w:rPr>
              <w:t>声</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85~106</w:t>
            </w:r>
          </w:p>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dB(A)</w:t>
            </w:r>
          </w:p>
        </w:tc>
        <w:tc>
          <w:tcPr>
            <w:tcW w:w="1195" w:type="pct"/>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hint="eastAsia" w:ascii="宋体" w:hAnsi="宋体" w:eastAsia="宋体" w:cs="宋体"/>
                <w:color w:val="000000" w:themeColor="text1"/>
                <w:highlight w:val="none"/>
                <w:lang w:eastAsia="zh-CN"/>
                <w14:textFill>
                  <w14:solidFill>
                    <w14:schemeClr w14:val="tx1"/>
                  </w14:solidFill>
                </w14:textFill>
              </w:rPr>
              <w:t>降</w:t>
            </w:r>
            <w:r>
              <w:rPr>
                <w:rFonts w:ascii="Calibri" w:hAnsi="Calibri" w:eastAsia="Times New Roman"/>
                <w:color w:val="000000" w:themeColor="text1"/>
                <w:highlight w:val="none"/>
                <w:lang w:eastAsia="zh-CN"/>
                <w14:textFill>
                  <w14:solidFill>
                    <w14:schemeClr w14:val="tx1"/>
                  </w14:solidFill>
                </w14:textFill>
              </w:rPr>
              <w:t>低车速、禁止鸣笛、昼间施工、合理布局</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85~106</w:t>
            </w:r>
          </w:p>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dB(A)</w:t>
            </w:r>
          </w:p>
        </w:tc>
        <w:tc>
          <w:tcPr>
            <w:tcW w:w="391"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声</w:t>
            </w:r>
            <w:r>
              <w:rPr>
                <w:rFonts w:ascii="Calibri" w:hAnsi="Calibri" w:eastAsia="Times New Roman"/>
                <w:color w:val="000000" w:themeColor="text1"/>
                <w:highlight w:val="none"/>
                <w:lang w:eastAsia="en-US"/>
                <w14:textFill>
                  <w14:solidFill>
                    <w14:schemeClr w14:val="tx1"/>
                  </w14:solidFill>
                </w14:textFill>
              </w:rPr>
              <w:t>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2" w:type="pct"/>
            <w:vMerge w:val="continue"/>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322" w:type="pct"/>
            <w:vMerge w:val="restar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固</w:t>
            </w:r>
            <w:r>
              <w:rPr>
                <w:rFonts w:ascii="Calibri" w:hAnsi="Calibri" w:eastAsia="Times New Roman"/>
                <w:color w:val="000000" w:themeColor="text1"/>
                <w:highlight w:val="none"/>
                <w:lang w:eastAsia="en-US"/>
                <w14:textFill>
                  <w14:solidFill>
                    <w14:schemeClr w14:val="tx1"/>
                  </w14:solidFill>
                </w14:textFill>
              </w:rPr>
              <w:t>废</w:t>
            </w:r>
          </w:p>
        </w:tc>
        <w:tc>
          <w:tcPr>
            <w:tcW w:w="657"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开</w:t>
            </w:r>
            <w:r>
              <w:rPr>
                <w:rFonts w:ascii="Calibri" w:hAnsi="Calibri" w:eastAsia="Times New Roman"/>
                <w:color w:val="000000" w:themeColor="text1"/>
                <w:highlight w:val="none"/>
                <w:lang w:eastAsia="en-US"/>
                <w14:textFill>
                  <w14:solidFill>
                    <w14:schemeClr w14:val="tx1"/>
                  </w14:solidFill>
                </w14:textFill>
              </w:rPr>
              <w:t>挖土石方</w:t>
            </w:r>
          </w:p>
        </w:tc>
        <w:tc>
          <w:tcPr>
            <w:tcW w:w="1087"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土</w:t>
            </w:r>
            <w:r>
              <w:rPr>
                <w:rFonts w:ascii="Calibri" w:hAnsi="Calibri" w:eastAsia="Times New Roman"/>
                <w:color w:val="000000" w:themeColor="text1"/>
                <w:highlight w:val="none"/>
                <w:lang w:eastAsia="en-US"/>
                <w14:textFill>
                  <w14:solidFill>
                    <w14:schemeClr w14:val="tx1"/>
                  </w14:solidFill>
                </w14:textFill>
              </w:rPr>
              <w:t>方、石方、淤泥</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87347m</w:t>
            </w:r>
            <w:r>
              <w:rPr>
                <w:rFonts w:ascii="Calibri" w:hAnsi="Calibri" w:eastAsia="Times New Roman"/>
                <w:color w:val="000000" w:themeColor="text1"/>
                <w:highlight w:val="none"/>
                <w:vertAlign w:val="superscript"/>
                <w:lang w:eastAsia="en-US"/>
                <w14:textFill>
                  <w14:solidFill>
                    <w14:schemeClr w14:val="tx1"/>
                  </w14:solidFill>
                </w14:textFill>
              </w:rPr>
              <w:t>3</w:t>
            </w:r>
          </w:p>
        </w:tc>
        <w:tc>
          <w:tcPr>
            <w:tcW w:w="1195"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回</w:t>
            </w:r>
            <w:r>
              <w:rPr>
                <w:rFonts w:ascii="Calibri" w:hAnsi="Calibri" w:eastAsia="Times New Roman"/>
                <w:color w:val="000000" w:themeColor="text1"/>
                <w:highlight w:val="none"/>
                <w:lang w:eastAsia="en-US"/>
                <w14:textFill>
                  <w14:solidFill>
                    <w14:schemeClr w14:val="tx1"/>
                  </w14:solidFill>
                </w14:textFill>
              </w:rPr>
              <w:t>填</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0</w:t>
            </w:r>
          </w:p>
        </w:tc>
        <w:tc>
          <w:tcPr>
            <w:tcW w:w="391"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2" w:type="pct"/>
            <w:vMerge w:val="continue"/>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322" w:type="pct"/>
            <w:vMerge w:val="continue"/>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657"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施</w:t>
            </w:r>
            <w:r>
              <w:rPr>
                <w:rFonts w:ascii="Calibri" w:hAnsi="Calibri" w:eastAsia="Times New Roman"/>
                <w:color w:val="000000" w:themeColor="text1"/>
                <w:highlight w:val="none"/>
                <w:lang w:eastAsia="en-US"/>
                <w14:textFill>
                  <w14:solidFill>
                    <w14:schemeClr w14:val="tx1"/>
                  </w14:solidFill>
                </w14:textFill>
              </w:rPr>
              <w:t>工废料</w:t>
            </w:r>
          </w:p>
        </w:tc>
        <w:tc>
          <w:tcPr>
            <w:tcW w:w="1087" w:type="pct"/>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hint="eastAsia" w:ascii="宋体" w:hAnsi="宋体" w:eastAsia="宋体" w:cs="宋体"/>
                <w:color w:val="000000" w:themeColor="text1"/>
                <w:highlight w:val="none"/>
                <w:lang w:eastAsia="zh-CN"/>
                <w14:textFill>
                  <w14:solidFill>
                    <w14:schemeClr w14:val="tx1"/>
                  </w14:solidFill>
                </w14:textFill>
              </w:rPr>
              <w:t>废</w:t>
            </w:r>
            <w:r>
              <w:rPr>
                <w:rFonts w:ascii="Calibri" w:hAnsi="Calibri" w:eastAsia="Times New Roman"/>
                <w:color w:val="000000" w:themeColor="text1"/>
                <w:highlight w:val="none"/>
                <w:lang w:eastAsia="zh-CN"/>
                <w14:textFill>
                  <w14:solidFill>
                    <w14:schemeClr w14:val="tx1"/>
                  </w14:solidFill>
                </w14:textFill>
              </w:rPr>
              <w:t>包装物、废焊条、补口补伤废料、清管废渣等</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295kg</w:t>
            </w:r>
          </w:p>
        </w:tc>
        <w:tc>
          <w:tcPr>
            <w:tcW w:w="1195" w:type="pct"/>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hint="eastAsia" w:ascii="宋体" w:hAnsi="宋体" w:eastAsia="宋体" w:cs="宋体"/>
                <w:color w:val="000000" w:themeColor="text1"/>
                <w:highlight w:val="none"/>
                <w:lang w:eastAsia="zh-CN"/>
                <w14:textFill>
                  <w14:solidFill>
                    <w14:schemeClr w14:val="tx1"/>
                  </w14:solidFill>
                </w14:textFill>
              </w:rPr>
              <w:t>优</w:t>
            </w:r>
            <w:r>
              <w:rPr>
                <w:rFonts w:ascii="Calibri" w:hAnsi="Calibri" w:eastAsia="Times New Roman"/>
                <w:color w:val="000000" w:themeColor="text1"/>
                <w:highlight w:val="none"/>
                <w:lang w:eastAsia="zh-CN"/>
                <w14:textFill>
                  <w14:solidFill>
                    <w14:schemeClr w14:val="tx1"/>
                  </w14:solidFill>
                </w14:textFill>
              </w:rPr>
              <w:t>先回收利用，不能回收利用的由环卫部门清运</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0</w:t>
            </w:r>
          </w:p>
        </w:tc>
        <w:tc>
          <w:tcPr>
            <w:tcW w:w="391"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2" w:type="pct"/>
            <w:vMerge w:val="continue"/>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322" w:type="pct"/>
            <w:vMerge w:val="continue"/>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657"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废</w:t>
            </w:r>
            <w:r>
              <w:rPr>
                <w:rFonts w:ascii="Calibri" w:hAnsi="Calibri" w:eastAsia="Times New Roman"/>
                <w:color w:val="000000" w:themeColor="text1"/>
                <w:highlight w:val="none"/>
                <w:lang w:eastAsia="en-US"/>
                <w14:textFill>
                  <w14:solidFill>
                    <w14:schemeClr w14:val="tx1"/>
                  </w14:solidFill>
                </w14:textFill>
              </w:rPr>
              <w:t>泥浆</w:t>
            </w:r>
          </w:p>
        </w:tc>
        <w:tc>
          <w:tcPr>
            <w:tcW w:w="1087" w:type="pct"/>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hint="eastAsia" w:ascii="宋体" w:hAnsi="宋体" w:eastAsia="宋体" w:cs="宋体"/>
                <w:color w:val="000000" w:themeColor="text1"/>
                <w:highlight w:val="none"/>
                <w:lang w:eastAsia="zh-CN"/>
                <w14:textFill>
                  <w14:solidFill>
                    <w14:schemeClr w14:val="tx1"/>
                  </w14:solidFill>
                </w14:textFill>
              </w:rPr>
              <w:t>膨</w:t>
            </w:r>
            <w:r>
              <w:rPr>
                <w:rFonts w:ascii="Calibri" w:hAnsi="Calibri" w:eastAsia="Times New Roman"/>
                <w:color w:val="000000" w:themeColor="text1"/>
                <w:highlight w:val="none"/>
                <w:lang w:eastAsia="zh-CN"/>
                <w14:textFill>
                  <w14:solidFill>
                    <w14:schemeClr w14:val="tx1"/>
                  </w14:solidFill>
                </w14:textFill>
              </w:rPr>
              <w:t>润土、添加剂（碳酸钠等）</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少</w:t>
            </w:r>
            <w:r>
              <w:rPr>
                <w:rFonts w:ascii="Calibri" w:hAnsi="Calibri" w:eastAsia="Times New Roman"/>
                <w:color w:val="000000" w:themeColor="text1"/>
                <w:highlight w:val="none"/>
                <w:lang w:eastAsia="en-US"/>
                <w14:textFill>
                  <w14:solidFill>
                    <w14:schemeClr w14:val="tx1"/>
                  </w14:solidFill>
                </w14:textFill>
              </w:rPr>
              <w:t>量</w:t>
            </w:r>
          </w:p>
        </w:tc>
        <w:tc>
          <w:tcPr>
            <w:tcW w:w="1195" w:type="pct"/>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hint="eastAsia" w:ascii="宋体" w:hAnsi="宋体" w:eastAsia="宋体" w:cs="宋体"/>
                <w:color w:val="000000" w:themeColor="text1"/>
                <w:highlight w:val="none"/>
                <w:lang w:eastAsia="zh-CN"/>
                <w14:textFill>
                  <w14:solidFill>
                    <w14:schemeClr w14:val="tx1"/>
                  </w14:solidFill>
                </w14:textFill>
              </w:rPr>
              <w:t>晾</w:t>
            </w:r>
            <w:r>
              <w:rPr>
                <w:rFonts w:ascii="Calibri" w:hAnsi="Calibri" w:eastAsia="Times New Roman"/>
                <w:color w:val="000000" w:themeColor="text1"/>
                <w:highlight w:val="none"/>
                <w:lang w:eastAsia="zh-CN"/>
                <w14:textFill>
                  <w14:solidFill>
                    <w14:schemeClr w14:val="tx1"/>
                  </w14:solidFill>
                </w14:textFill>
              </w:rPr>
              <w:t>干后就近用于地方乡村道路建设填料或道路护坡防护</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0</w:t>
            </w:r>
          </w:p>
        </w:tc>
        <w:tc>
          <w:tcPr>
            <w:tcW w:w="391"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2" w:type="pct"/>
            <w:vMerge w:val="continue"/>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322" w:type="pct"/>
            <w:vMerge w:val="continue"/>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657"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生</w:t>
            </w:r>
            <w:r>
              <w:rPr>
                <w:rFonts w:ascii="Calibri" w:hAnsi="Calibri" w:eastAsia="Times New Roman"/>
                <w:color w:val="000000" w:themeColor="text1"/>
                <w:highlight w:val="none"/>
                <w:lang w:eastAsia="en-US"/>
                <w14:textFill>
                  <w14:solidFill>
                    <w14:schemeClr w14:val="tx1"/>
                  </w14:solidFill>
                </w14:textFill>
              </w:rPr>
              <w:t>活垃圾</w:t>
            </w:r>
          </w:p>
        </w:tc>
        <w:tc>
          <w:tcPr>
            <w:tcW w:w="1087"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生</w:t>
            </w:r>
            <w:r>
              <w:rPr>
                <w:rFonts w:ascii="Calibri" w:hAnsi="Calibri" w:eastAsia="Times New Roman"/>
                <w:color w:val="000000" w:themeColor="text1"/>
                <w:highlight w:val="none"/>
                <w:lang w:eastAsia="en-US"/>
                <w14:textFill>
                  <w14:solidFill>
                    <w14:schemeClr w14:val="tx1"/>
                  </w14:solidFill>
                </w14:textFill>
              </w:rPr>
              <w:t>活垃圾</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1.2t</w:t>
            </w:r>
          </w:p>
        </w:tc>
        <w:tc>
          <w:tcPr>
            <w:tcW w:w="1195"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环</w:t>
            </w:r>
            <w:r>
              <w:rPr>
                <w:rFonts w:ascii="Calibri" w:hAnsi="Calibri" w:eastAsia="Times New Roman"/>
                <w:color w:val="000000" w:themeColor="text1"/>
                <w:highlight w:val="none"/>
                <w:lang w:eastAsia="en-US"/>
                <w14:textFill>
                  <w14:solidFill>
                    <w14:schemeClr w14:val="tx1"/>
                  </w14:solidFill>
                </w14:textFill>
              </w:rPr>
              <w:t>卫部门清运</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0</w:t>
            </w:r>
          </w:p>
        </w:tc>
        <w:tc>
          <w:tcPr>
            <w:tcW w:w="391"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2" w:type="pct"/>
            <w:vMerge w:val="continue"/>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322" w:type="pct"/>
            <w:vMerge w:val="continue"/>
            <w:vAlign w:val="center"/>
          </w:tcPr>
          <w:p>
            <w:pPr>
              <w:pStyle w:val="118"/>
              <w:rPr>
                <w:rFonts w:ascii="Calibri" w:hAnsi="Calibri" w:eastAsia="Times New Roman"/>
                <w:color w:val="000000" w:themeColor="text1"/>
                <w:highlight w:val="none"/>
                <w:lang w:eastAsia="en-US"/>
                <w14:textFill>
                  <w14:solidFill>
                    <w14:schemeClr w14:val="tx1"/>
                  </w14:solidFill>
                </w14:textFill>
              </w:rPr>
            </w:pPr>
          </w:p>
        </w:tc>
        <w:tc>
          <w:tcPr>
            <w:tcW w:w="657"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冲</w:t>
            </w:r>
            <w:r>
              <w:rPr>
                <w:rFonts w:ascii="Calibri" w:hAnsi="Calibri" w:eastAsia="Times New Roman"/>
                <w:color w:val="000000" w:themeColor="text1"/>
                <w:highlight w:val="none"/>
                <w:lang w:eastAsia="en-US"/>
                <w14:textFill>
                  <w14:solidFill>
                    <w14:schemeClr w14:val="tx1"/>
                  </w14:solidFill>
                </w14:textFill>
              </w:rPr>
              <w:t>洗废水浮油</w:t>
            </w:r>
          </w:p>
        </w:tc>
        <w:tc>
          <w:tcPr>
            <w:tcW w:w="1087"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石</w:t>
            </w:r>
            <w:r>
              <w:rPr>
                <w:rFonts w:ascii="Calibri" w:hAnsi="Calibri" w:eastAsia="Times New Roman"/>
                <w:color w:val="000000" w:themeColor="text1"/>
                <w:highlight w:val="none"/>
                <w:lang w:eastAsia="en-US"/>
                <w14:textFill>
                  <w14:solidFill>
                    <w14:schemeClr w14:val="tx1"/>
                  </w14:solidFill>
                </w14:textFill>
              </w:rPr>
              <w:t>油类</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hint="eastAsia" w:ascii="宋体" w:hAnsi="宋体" w:eastAsia="宋体" w:cs="宋体"/>
                <w:color w:val="000000" w:themeColor="text1"/>
                <w:highlight w:val="none"/>
                <w:lang w:eastAsia="en-US"/>
                <w14:textFill>
                  <w14:solidFill>
                    <w14:schemeClr w14:val="tx1"/>
                  </w14:solidFill>
                </w14:textFill>
              </w:rPr>
              <w:t>少</w:t>
            </w:r>
            <w:r>
              <w:rPr>
                <w:rFonts w:ascii="Calibri" w:hAnsi="Calibri" w:eastAsia="Times New Roman"/>
                <w:color w:val="000000" w:themeColor="text1"/>
                <w:highlight w:val="none"/>
                <w:lang w:eastAsia="en-US"/>
                <w14:textFill>
                  <w14:solidFill>
                    <w14:schemeClr w14:val="tx1"/>
                  </w14:solidFill>
                </w14:textFill>
              </w:rPr>
              <w:t>量</w:t>
            </w:r>
          </w:p>
        </w:tc>
        <w:tc>
          <w:tcPr>
            <w:tcW w:w="1195" w:type="pct"/>
            <w:vAlign w:val="center"/>
          </w:tcPr>
          <w:p>
            <w:pPr>
              <w:pStyle w:val="118"/>
              <w:rPr>
                <w:rFonts w:ascii="Calibri" w:hAnsi="Calibri" w:eastAsia="Times New Roman"/>
                <w:color w:val="000000" w:themeColor="text1"/>
                <w:highlight w:val="none"/>
                <w:lang w:eastAsia="zh-CN"/>
                <w14:textFill>
                  <w14:solidFill>
                    <w14:schemeClr w14:val="tx1"/>
                  </w14:solidFill>
                </w14:textFill>
              </w:rPr>
            </w:pPr>
            <w:r>
              <w:rPr>
                <w:rFonts w:hint="eastAsia" w:ascii="宋体" w:hAnsi="宋体" w:eastAsia="宋体" w:cs="宋体"/>
                <w:color w:val="000000" w:themeColor="text1"/>
                <w:highlight w:val="none"/>
                <w:lang w:eastAsia="zh-CN"/>
                <w14:textFill>
                  <w14:solidFill>
                    <w14:schemeClr w14:val="tx1"/>
                  </w14:solidFill>
                </w14:textFill>
              </w:rPr>
              <w:t>由</w:t>
            </w:r>
            <w:r>
              <w:rPr>
                <w:rFonts w:ascii="Calibri" w:hAnsi="Calibri" w:eastAsia="Times New Roman"/>
                <w:color w:val="000000" w:themeColor="text1"/>
                <w:highlight w:val="none"/>
                <w:lang w:eastAsia="zh-CN"/>
                <w14:textFill>
                  <w14:solidFill>
                    <w14:schemeClr w14:val="tx1"/>
                  </w14:solidFill>
                </w14:textFill>
              </w:rPr>
              <w:t>危废资质单位处置，不在施工场地内暂存</w:t>
            </w:r>
          </w:p>
        </w:tc>
        <w:tc>
          <w:tcPr>
            <w:tcW w:w="513"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0</w:t>
            </w:r>
          </w:p>
        </w:tc>
        <w:tc>
          <w:tcPr>
            <w:tcW w:w="391" w:type="pct"/>
            <w:vAlign w:val="center"/>
          </w:tcPr>
          <w:p>
            <w:pPr>
              <w:pStyle w:val="118"/>
              <w:rPr>
                <w:rFonts w:ascii="Calibri" w:hAnsi="Calibri" w:eastAsia="Times New Roman"/>
                <w:color w:val="000000" w:themeColor="text1"/>
                <w:highlight w:val="none"/>
                <w:lang w:eastAsia="en-US"/>
                <w14:textFill>
                  <w14:solidFill>
                    <w14:schemeClr w14:val="tx1"/>
                  </w14:solidFill>
                </w14:textFill>
              </w:rPr>
            </w:pPr>
            <w:r>
              <w:rPr>
                <w:rFonts w:ascii="Calibri" w:hAnsi="Calibri" w:eastAsia="Times New Roman"/>
                <w:color w:val="000000" w:themeColor="text1"/>
                <w:highlight w:val="none"/>
                <w:lang w:eastAsia="en-US"/>
                <w14:textFill>
                  <w14:solidFill>
                    <w14:schemeClr w14:val="tx1"/>
                  </w14:solidFill>
                </w14:textFill>
              </w:rPr>
              <w:t>/</w:t>
            </w:r>
          </w:p>
        </w:tc>
      </w:tr>
    </w:tbl>
    <w:p>
      <w:pPr>
        <w:pStyle w:val="5"/>
        <w:spacing w:before="120"/>
        <w:ind w:firstLine="480"/>
        <w:rPr>
          <w:b/>
          <w:color w:val="000000" w:themeColor="text1"/>
          <w:highlight w:val="none"/>
          <w:lang w:eastAsia="zh-CN"/>
          <w14:textFill>
            <w14:solidFill>
              <w14:schemeClr w14:val="tx1"/>
            </w14:solidFill>
          </w14:textFill>
        </w:rPr>
      </w:pPr>
      <w:bookmarkStart w:id="173" w:name="3.4.2运营期污染源强分析"/>
      <w:bookmarkEnd w:id="173"/>
      <w:bookmarkStart w:id="174" w:name="_Toc120173113"/>
      <w:r>
        <w:rPr>
          <w:color w:val="000000" w:themeColor="text1"/>
          <w:highlight w:val="none"/>
          <w:lang w:eastAsia="zh-CN"/>
          <w14:textFill>
            <w14:solidFill>
              <w14:schemeClr w14:val="tx1"/>
            </w14:solidFill>
          </w14:textFill>
        </w:rPr>
        <w:t>试采期污染源强分析</w:t>
      </w:r>
      <w:bookmarkEnd w:id="174"/>
    </w:p>
    <w:p>
      <w:pPr>
        <w:pStyle w:val="6"/>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废气</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试采期</w:t>
      </w:r>
      <w:r>
        <w:rPr>
          <w:rFonts w:hint="eastAsia" w:cs="Times New Roman"/>
          <w:bCs/>
          <w:color w:val="000000" w:themeColor="text1"/>
          <w:highlight w:val="none"/>
          <w14:textFill>
            <w14:solidFill>
              <w14:schemeClr w14:val="tx1"/>
            </w14:solidFill>
          </w14:textFill>
        </w:rPr>
        <w:t>雷页1井</w:t>
      </w:r>
      <w:r>
        <w:rPr>
          <w:rFonts w:cs="Times New Roman"/>
          <w:bCs/>
          <w:color w:val="000000" w:themeColor="text1"/>
          <w:highlight w:val="none"/>
          <w14:textFill>
            <w14:solidFill>
              <w14:schemeClr w14:val="tx1"/>
            </w14:solidFill>
          </w14:textFill>
        </w:rPr>
        <w:t>试采站正常生产情况下，流程设备、管线、阀室等工艺设备为高压密闭作业，无</w:t>
      </w:r>
      <w:r>
        <w:rPr>
          <w:rFonts w:hint="eastAsia" w:cs="Times New Roman"/>
          <w:bCs/>
          <w:color w:val="000000" w:themeColor="text1"/>
          <w:highlight w:val="none"/>
          <w14:textFill>
            <w14:solidFill>
              <w14:schemeClr w14:val="tx1"/>
            </w14:solidFill>
          </w14:textFill>
        </w:rPr>
        <w:t>天然气泄漏</w:t>
      </w:r>
      <w:r>
        <w:rPr>
          <w:rFonts w:cs="Times New Roman"/>
          <w:bCs/>
          <w:color w:val="000000" w:themeColor="text1"/>
          <w:highlight w:val="none"/>
          <w14:textFill>
            <w14:solidFill>
              <w14:schemeClr w14:val="tx1"/>
            </w14:solidFill>
          </w14:textFill>
        </w:rPr>
        <w:t>废气产生；本项目试采期用电站</w:t>
      </w:r>
      <w:r>
        <w:rPr>
          <w:rFonts w:cs="Times New Roman"/>
          <w:color w:val="000000" w:themeColor="text1"/>
          <w:highlight w:val="none"/>
          <w14:textFill>
            <w14:solidFill>
              <w14:schemeClr w14:val="tx1"/>
            </w14:solidFill>
          </w14:textFill>
        </w:rPr>
        <w:t>外已建的架空线路</w:t>
      </w:r>
      <w:r>
        <w:rPr>
          <w:rFonts w:cs="Times New Roman"/>
          <w:bCs/>
          <w:color w:val="000000" w:themeColor="text1"/>
          <w:highlight w:val="none"/>
          <w14:textFill>
            <w14:solidFill>
              <w14:schemeClr w14:val="tx1"/>
            </w14:solidFill>
          </w14:textFill>
        </w:rPr>
        <w:t>接入，不单独设置备用燃气发电机，也无备用发电机</w:t>
      </w:r>
      <w:r>
        <w:rPr>
          <w:rFonts w:hint="eastAsia" w:cs="Times New Roman"/>
          <w:bCs/>
          <w:color w:val="000000" w:themeColor="text1"/>
          <w:highlight w:val="none"/>
          <w14:textFill>
            <w14:solidFill>
              <w14:schemeClr w14:val="tx1"/>
            </w14:solidFill>
          </w14:textFill>
        </w:rPr>
        <w:t>燃烧废气</w:t>
      </w:r>
      <w:r>
        <w:rPr>
          <w:rFonts w:cs="Times New Roman"/>
          <w:bCs/>
          <w:color w:val="000000" w:themeColor="text1"/>
          <w:highlight w:val="none"/>
          <w14:textFill>
            <w14:solidFill>
              <w14:schemeClr w14:val="tx1"/>
            </w14:solidFill>
          </w14:textFill>
        </w:rPr>
        <w:t>产生。试采期正常情况下主要废气为水套加热炉废气，</w:t>
      </w:r>
      <w:r>
        <w:rPr>
          <w:rFonts w:cs="Times New Roman"/>
          <w:bCs/>
          <w:color w:val="000000" w:themeColor="text1"/>
          <w:szCs w:val="24"/>
          <w:highlight w:val="none"/>
          <w14:textFill>
            <w14:solidFill>
              <w14:schemeClr w14:val="tx1"/>
            </w14:solidFill>
          </w14:textFill>
        </w:rPr>
        <w:t>本项目</w:t>
      </w:r>
      <w:r>
        <w:rPr>
          <w:rFonts w:hint="eastAsia" w:cs="Times New Roman"/>
          <w:bCs/>
          <w:color w:val="000000" w:themeColor="text1"/>
          <w:szCs w:val="24"/>
          <w:highlight w:val="none"/>
          <w14:textFill>
            <w14:solidFill>
              <w14:schemeClr w14:val="tx1"/>
            </w14:solidFill>
          </w14:textFill>
        </w:rPr>
        <w:t>拟设置</w:t>
      </w:r>
      <w:r>
        <w:rPr>
          <w:rFonts w:cs="Times New Roman"/>
          <w:bCs/>
          <w:color w:val="000000" w:themeColor="text1"/>
          <w:szCs w:val="24"/>
          <w:highlight w:val="none"/>
          <w14:textFill>
            <w14:solidFill>
              <w14:schemeClr w14:val="tx1"/>
            </w14:solidFill>
          </w14:textFill>
        </w:rPr>
        <w:t>水套加热炉（功率为</w:t>
      </w:r>
      <w:r>
        <w:rPr>
          <w:rFonts w:hint="eastAsia" w:cs="Times New Roman"/>
          <w:bCs/>
          <w:color w:val="000000" w:themeColor="text1"/>
          <w:szCs w:val="24"/>
          <w:highlight w:val="none"/>
          <w14:textFill>
            <w14:solidFill>
              <w14:schemeClr w14:val="tx1"/>
            </w14:solidFill>
          </w14:textFill>
        </w:rPr>
        <w:t>25</w:t>
      </w:r>
      <w:r>
        <w:rPr>
          <w:rFonts w:cs="Times New Roman"/>
          <w:bCs/>
          <w:color w:val="000000" w:themeColor="text1"/>
          <w:szCs w:val="24"/>
          <w:highlight w:val="none"/>
          <w14:textFill>
            <w14:solidFill>
              <w14:schemeClr w14:val="tx1"/>
            </w14:solidFill>
          </w14:textFill>
        </w:rPr>
        <w:t>0kW）</w:t>
      </w:r>
      <w:r>
        <w:rPr>
          <w:rFonts w:hint="eastAsia" w:cs="Times New Roman"/>
          <w:bCs/>
          <w:color w:val="000000" w:themeColor="text1"/>
          <w:szCs w:val="24"/>
          <w:highlight w:val="none"/>
          <w14:textFill>
            <w14:solidFill>
              <w14:schemeClr w14:val="tx1"/>
            </w14:solidFill>
          </w14:textFill>
        </w:rPr>
        <w:t>1座</w:t>
      </w:r>
      <w:r>
        <w:rPr>
          <w:rFonts w:cs="Times New Roman"/>
          <w:bCs/>
          <w:color w:val="000000" w:themeColor="text1"/>
          <w:highlight w:val="none"/>
          <w14:textFill>
            <w14:solidFill>
              <w14:schemeClr w14:val="tx1"/>
            </w14:solidFill>
          </w14:textFill>
        </w:rPr>
        <w:t>。</w:t>
      </w:r>
    </w:p>
    <w:p>
      <w:pPr>
        <w:ind w:firstLine="480"/>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（1）水套炉废气</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w:t>
      </w:r>
      <w:r>
        <w:rPr>
          <w:color w:val="000000" w:themeColor="text1"/>
          <w:highlight w:val="none"/>
          <w14:textFill>
            <w14:solidFill>
              <w14:schemeClr w14:val="tx1"/>
            </w14:solidFill>
          </w14:textFill>
        </w:rPr>
        <w:t>水套加热炉在运行过程中使用站场自产的天然气作燃料，由于天然气中不含硫，燃烧后产生的废气含</w:t>
      </w:r>
      <w:r>
        <w:rPr>
          <w:rFonts w:hint="eastAsia"/>
          <w:color w:val="000000" w:themeColor="text1"/>
          <w:highlight w:val="none"/>
          <w14:textFill>
            <w14:solidFill>
              <w14:schemeClr w14:val="tx1"/>
            </w14:solidFill>
          </w14:textFill>
        </w:rPr>
        <w:t>颗粒物</w:t>
      </w:r>
      <w:r>
        <w:rPr>
          <w:color w:val="000000" w:themeColor="text1"/>
          <w:highlight w:val="none"/>
          <w14:textFill>
            <w14:solidFill>
              <w14:schemeClr w14:val="tx1"/>
            </w14:solidFill>
          </w14:textFill>
        </w:rPr>
        <w:t>、NO</w:t>
      </w:r>
      <w:r>
        <w:rPr>
          <w:color w:val="000000" w:themeColor="text1"/>
          <w:highlight w:val="none"/>
          <w:vertAlign w:val="subscript"/>
          <w14:textFill>
            <w14:solidFill>
              <w14:schemeClr w14:val="tx1"/>
            </w14:solidFill>
          </w14:textFill>
        </w:rPr>
        <w:t>x</w:t>
      </w:r>
      <w:r>
        <w:rPr>
          <w:color w:val="000000" w:themeColor="text1"/>
          <w:highlight w:val="none"/>
          <w14:textFill>
            <w14:solidFill>
              <w14:schemeClr w14:val="tx1"/>
            </w14:solidFill>
          </w14:textFill>
        </w:rPr>
        <w:t>，通过8m高排气筒排放，排放方式为连续排放</w:t>
      </w:r>
      <w:r>
        <w:rPr>
          <w:rFonts w:cs="Times New Roman"/>
          <w:color w:val="000000" w:themeColor="text1"/>
          <w:szCs w:val="24"/>
          <w:highlight w:val="none"/>
          <w14:textFill>
            <w14:solidFill>
              <w14:schemeClr w14:val="tx1"/>
            </w14:solidFill>
          </w14:textFill>
        </w:rPr>
        <w:t>。根据可研报告核算，试采站单个</w:t>
      </w:r>
      <w:r>
        <w:rPr>
          <w:rFonts w:hint="eastAsia" w:cs="Times New Roman"/>
          <w:color w:val="000000" w:themeColor="text1"/>
          <w:szCs w:val="24"/>
          <w:highlight w:val="none"/>
          <w14:textFill>
            <w14:solidFill>
              <w14:schemeClr w14:val="tx1"/>
            </w14:solidFill>
          </w14:textFill>
        </w:rPr>
        <w:t>25</w:t>
      </w:r>
      <w:r>
        <w:rPr>
          <w:rFonts w:cs="Times New Roman"/>
          <w:color w:val="000000" w:themeColor="text1"/>
          <w:szCs w:val="24"/>
          <w:highlight w:val="none"/>
          <w14:textFill>
            <w14:solidFill>
              <w14:schemeClr w14:val="tx1"/>
            </w14:solidFill>
          </w14:textFill>
        </w:rPr>
        <w:t>0kW</w:t>
      </w:r>
      <w:r>
        <w:rPr>
          <w:rFonts w:hint="eastAsia" w:cs="Times New Roman"/>
          <w:color w:val="000000" w:themeColor="text1"/>
          <w:szCs w:val="24"/>
          <w:highlight w:val="none"/>
          <w14:textFill>
            <w14:solidFill>
              <w14:schemeClr w14:val="tx1"/>
            </w14:solidFill>
          </w14:textFill>
        </w:rPr>
        <w:t>的</w:t>
      </w:r>
      <w:r>
        <w:rPr>
          <w:rFonts w:cs="Times New Roman"/>
          <w:color w:val="000000" w:themeColor="text1"/>
          <w:szCs w:val="24"/>
          <w:highlight w:val="none"/>
          <w14:textFill>
            <w14:solidFill>
              <w14:schemeClr w14:val="tx1"/>
            </w14:solidFill>
          </w14:textFill>
        </w:rPr>
        <w:t>水套加热炉用气量为</w:t>
      </w:r>
      <w:r>
        <w:rPr>
          <w:rFonts w:hint="eastAsia" w:cs="Times New Roman"/>
          <w:color w:val="000000" w:themeColor="text1"/>
          <w:szCs w:val="24"/>
          <w:highlight w:val="none"/>
          <w14:textFill>
            <w14:solidFill>
              <w14:schemeClr w14:val="tx1"/>
            </w14:solidFill>
          </w14:textFill>
        </w:rPr>
        <w:t>25</w:t>
      </w:r>
      <w:r>
        <w:rPr>
          <w:rFonts w:cs="Times New Roman"/>
          <w:color w:val="000000" w:themeColor="text1"/>
          <w:szCs w:val="24"/>
          <w:highlight w:val="none"/>
          <w14:textFill>
            <w14:solidFill>
              <w14:schemeClr w14:val="tx1"/>
            </w14:solidFill>
          </w14:textFill>
        </w:rPr>
        <w:t>×10</w:t>
      </w:r>
      <w:r>
        <w:rPr>
          <w:rFonts w:cs="Times New Roman"/>
          <w:color w:val="000000" w:themeColor="text1"/>
          <w:szCs w:val="24"/>
          <w:highlight w:val="none"/>
          <w:vertAlign w:val="superscript"/>
          <w14:textFill>
            <w14:solidFill>
              <w14:schemeClr w14:val="tx1"/>
            </w14:solidFill>
          </w14:textFill>
        </w:rPr>
        <w:t>4</w:t>
      </w:r>
      <w:r>
        <w:rPr>
          <w:rFonts w:cs="Times New Roman"/>
          <w:color w:val="000000" w:themeColor="text1"/>
          <w:szCs w:val="24"/>
          <w:highlight w:val="none"/>
          <w14:textFill>
            <w14:solidFill>
              <w14:schemeClr w14:val="tx1"/>
            </w14:solidFill>
          </w14:textFill>
        </w:rPr>
        <w:t>m</w:t>
      </w:r>
      <w:r>
        <w:rPr>
          <w:rFonts w:cs="Times New Roman"/>
          <w:color w:val="000000" w:themeColor="text1"/>
          <w:szCs w:val="24"/>
          <w:highlight w:val="none"/>
          <w:vertAlign w:val="superscript"/>
          <w14:textFill>
            <w14:solidFill>
              <w14:schemeClr w14:val="tx1"/>
            </w14:solidFill>
          </w14:textFill>
        </w:rPr>
        <w:t>3</w:t>
      </w:r>
      <w:r>
        <w:rPr>
          <w:rFonts w:cs="Times New Roman"/>
          <w:color w:val="000000" w:themeColor="text1"/>
          <w:szCs w:val="24"/>
          <w:highlight w:val="none"/>
          <w14:textFill>
            <w14:solidFill>
              <w14:schemeClr w14:val="tx1"/>
            </w14:solidFill>
          </w14:textFill>
        </w:rPr>
        <w:t>/a，按年运行360天计算（扣除检修和关井恢复压力期），则水套加热炉燃气量约为</w:t>
      </w:r>
      <w:r>
        <w:rPr>
          <w:rFonts w:hint="eastAsia" w:cs="Times New Roman"/>
          <w:color w:val="000000" w:themeColor="text1"/>
          <w:szCs w:val="24"/>
          <w:highlight w:val="none"/>
          <w14:textFill>
            <w14:solidFill>
              <w14:schemeClr w14:val="tx1"/>
            </w14:solidFill>
          </w14:textFill>
        </w:rPr>
        <w:t>28.94</w:t>
      </w:r>
      <w:r>
        <w:rPr>
          <w:rFonts w:cs="Times New Roman"/>
          <w:color w:val="000000" w:themeColor="text1"/>
          <w:szCs w:val="24"/>
          <w:highlight w:val="none"/>
          <w14:textFill>
            <w14:solidFill>
              <w14:schemeClr w14:val="tx1"/>
            </w14:solidFill>
          </w14:textFill>
        </w:rPr>
        <w:t>m</w:t>
      </w:r>
      <w:r>
        <w:rPr>
          <w:rFonts w:cs="Times New Roman"/>
          <w:color w:val="000000" w:themeColor="text1"/>
          <w:szCs w:val="24"/>
          <w:highlight w:val="none"/>
          <w:vertAlign w:val="superscript"/>
          <w14:textFill>
            <w14:solidFill>
              <w14:schemeClr w14:val="tx1"/>
            </w14:solidFill>
          </w14:textFill>
        </w:rPr>
        <w:t>3</w:t>
      </w:r>
      <w:r>
        <w:rPr>
          <w:rFonts w:cs="Times New Roman"/>
          <w:color w:val="000000" w:themeColor="text1"/>
          <w:szCs w:val="24"/>
          <w:highlight w:val="none"/>
          <w14:textFill>
            <w14:solidFill>
              <w14:schemeClr w14:val="tx1"/>
            </w14:solidFill>
          </w14:textFill>
        </w:rPr>
        <w:t>/h。水套加热炉燃烧后产生的废气通过8m高排气筒排放，排放方式为连续排放。</w:t>
      </w:r>
      <w:r>
        <w:rPr>
          <w:color w:val="000000" w:themeColor="text1"/>
          <w:szCs w:val="24"/>
          <w:highlight w:val="none"/>
          <w14:textFill>
            <w14:solidFill>
              <w14:schemeClr w14:val="tx1"/>
            </w14:solidFill>
          </w14:textFill>
        </w:rPr>
        <w:t>水套加热炉的相关设计参数</w:t>
      </w:r>
      <w:r>
        <w:rPr>
          <w:color w:val="000000" w:themeColor="text1"/>
          <w:highlight w:val="none"/>
          <w14:textFill>
            <w14:solidFill>
              <w14:schemeClr w14:val="tx1"/>
            </w14:solidFill>
          </w14:textFill>
        </w:rPr>
        <w:t>见</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REF _Ref143004491 \h  \* MERGEFORMAT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bookmarkStart w:id="175" w:name="_Ref143004491"/>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fldChar w:fldCharType="end"/>
      </w:r>
      <w:bookmarkEnd w:id="175"/>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单台水套加热炉相关设计参数</w:t>
      </w:r>
    </w:p>
    <w:tbl>
      <w:tblPr>
        <w:tblStyle w:val="41"/>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4"/>
        <w:gridCol w:w="1175"/>
        <w:gridCol w:w="1175"/>
        <w:gridCol w:w="1174"/>
        <w:gridCol w:w="1175"/>
        <w:gridCol w:w="1175"/>
        <w:gridCol w:w="1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174"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水套加热炉功率</w:t>
            </w:r>
          </w:p>
        </w:tc>
        <w:tc>
          <w:tcPr>
            <w:tcW w:w="1175"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排气筒高度</w:t>
            </w:r>
            <w:r>
              <w:rPr>
                <w:rFonts w:hint="eastAsia"/>
                <w:b/>
                <w:bCs/>
                <w:color w:val="000000" w:themeColor="text1"/>
                <w:highlight w:val="none"/>
                <w14:textFill>
                  <w14:solidFill>
                    <w14:schemeClr w14:val="tx1"/>
                  </w14:solidFill>
                </w14:textFill>
              </w:rPr>
              <w:t>（</w:t>
            </w:r>
            <w:r>
              <w:rPr>
                <w:b/>
                <w:bCs/>
                <w:color w:val="000000" w:themeColor="text1"/>
                <w:highlight w:val="none"/>
                <w14:textFill>
                  <w14:solidFill>
                    <w14:schemeClr w14:val="tx1"/>
                  </w14:solidFill>
                </w14:textFill>
              </w:rPr>
              <w:t>m</w:t>
            </w:r>
            <w:r>
              <w:rPr>
                <w:rFonts w:hint="eastAsia"/>
                <w:b/>
                <w:bCs/>
                <w:color w:val="000000" w:themeColor="text1"/>
                <w:highlight w:val="none"/>
                <w14:textFill>
                  <w14:solidFill>
                    <w14:schemeClr w14:val="tx1"/>
                  </w14:solidFill>
                </w14:textFill>
              </w:rPr>
              <w:t>）</w:t>
            </w:r>
          </w:p>
        </w:tc>
        <w:tc>
          <w:tcPr>
            <w:tcW w:w="1175"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排气筒内径</w:t>
            </w:r>
            <w:r>
              <w:rPr>
                <w:rFonts w:hint="eastAsia"/>
                <w:b/>
                <w:bCs/>
                <w:color w:val="000000" w:themeColor="text1"/>
                <w:highlight w:val="none"/>
                <w14:textFill>
                  <w14:solidFill>
                    <w14:schemeClr w14:val="tx1"/>
                  </w14:solidFill>
                </w14:textFill>
              </w:rPr>
              <w:t>（</w:t>
            </w:r>
            <w:r>
              <w:rPr>
                <w:b/>
                <w:bCs/>
                <w:color w:val="000000" w:themeColor="text1"/>
                <w:highlight w:val="none"/>
                <w14:textFill>
                  <w14:solidFill>
                    <w14:schemeClr w14:val="tx1"/>
                  </w14:solidFill>
                </w14:textFill>
              </w:rPr>
              <w:t>m</w:t>
            </w:r>
            <w:r>
              <w:rPr>
                <w:rFonts w:hint="eastAsia"/>
                <w:b/>
                <w:bCs/>
                <w:color w:val="000000" w:themeColor="text1"/>
                <w:highlight w:val="none"/>
                <w14:textFill>
                  <w14:solidFill>
                    <w14:schemeClr w14:val="tx1"/>
                  </w14:solidFill>
                </w14:textFill>
              </w:rPr>
              <w:t>）</w:t>
            </w:r>
          </w:p>
        </w:tc>
        <w:tc>
          <w:tcPr>
            <w:tcW w:w="1174"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自耗气量</w:t>
            </w:r>
            <w:r>
              <w:rPr>
                <w:rFonts w:hint="eastAsia"/>
                <w:b/>
                <w:bCs/>
                <w:color w:val="000000" w:themeColor="text1"/>
                <w:highlight w:val="none"/>
                <w14:textFill>
                  <w14:solidFill>
                    <w14:schemeClr w14:val="tx1"/>
                  </w14:solidFill>
                </w14:textFill>
              </w:rPr>
              <w:t>（</w:t>
            </w:r>
            <w:r>
              <w:rPr>
                <w:b/>
                <w:bCs/>
                <w:color w:val="000000" w:themeColor="text1"/>
                <w:highlight w:val="none"/>
                <w14:textFill>
                  <w14:solidFill>
                    <w14:schemeClr w14:val="tx1"/>
                  </w14:solidFill>
                </w14:textFill>
              </w:rPr>
              <w:t>m</w:t>
            </w:r>
            <w:r>
              <w:rPr>
                <w:b/>
                <w:bCs/>
                <w:color w:val="000000" w:themeColor="text1"/>
                <w:highlight w:val="none"/>
                <w:vertAlign w:val="superscript"/>
                <w14:textFill>
                  <w14:solidFill>
                    <w14:schemeClr w14:val="tx1"/>
                  </w14:solidFill>
                </w14:textFill>
              </w:rPr>
              <w:t>3/</w:t>
            </w:r>
            <w:r>
              <w:rPr>
                <w:b/>
                <w:bCs/>
                <w:color w:val="000000" w:themeColor="text1"/>
                <w:highlight w:val="none"/>
                <w14:textFill>
                  <w14:solidFill>
                    <w14:schemeClr w14:val="tx1"/>
                  </w14:solidFill>
                </w14:textFill>
              </w:rPr>
              <w:t>h</w:t>
            </w:r>
            <w:r>
              <w:rPr>
                <w:rFonts w:hint="eastAsia"/>
                <w:b/>
                <w:bCs/>
                <w:color w:val="000000" w:themeColor="text1"/>
                <w:highlight w:val="none"/>
                <w14:textFill>
                  <w14:solidFill>
                    <w14:schemeClr w14:val="tx1"/>
                  </w14:solidFill>
                </w14:textFill>
              </w:rPr>
              <w:t>）</w:t>
            </w:r>
          </w:p>
        </w:tc>
        <w:tc>
          <w:tcPr>
            <w:tcW w:w="1175"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排放时间</w:t>
            </w:r>
            <w:r>
              <w:rPr>
                <w:rFonts w:hint="eastAsia"/>
                <w:b/>
                <w:bCs/>
                <w:color w:val="000000" w:themeColor="text1"/>
                <w:highlight w:val="none"/>
                <w14:textFill>
                  <w14:solidFill>
                    <w14:schemeClr w14:val="tx1"/>
                  </w14:solidFill>
                </w14:textFill>
              </w:rPr>
              <w:t>（</w:t>
            </w:r>
            <w:r>
              <w:rPr>
                <w:b/>
                <w:bCs/>
                <w:color w:val="000000" w:themeColor="text1"/>
                <w:highlight w:val="none"/>
                <w14:textFill>
                  <w14:solidFill>
                    <w14:schemeClr w14:val="tx1"/>
                  </w14:solidFill>
                </w14:textFill>
              </w:rPr>
              <w:t>h/a</w:t>
            </w:r>
            <w:r>
              <w:rPr>
                <w:rFonts w:hint="eastAsia"/>
                <w:b/>
                <w:bCs/>
                <w:color w:val="000000" w:themeColor="text1"/>
                <w:highlight w:val="none"/>
                <w14:textFill>
                  <w14:solidFill>
                    <w14:schemeClr w14:val="tx1"/>
                  </w14:solidFill>
                </w14:textFill>
              </w:rPr>
              <w:t>）</w:t>
            </w:r>
          </w:p>
        </w:tc>
        <w:tc>
          <w:tcPr>
            <w:tcW w:w="1175"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排放工况</w:t>
            </w:r>
          </w:p>
        </w:tc>
        <w:tc>
          <w:tcPr>
            <w:tcW w:w="1174"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烟气出口温度</w:t>
            </w:r>
            <w:r>
              <w:rPr>
                <w:rFonts w:hint="eastAsia"/>
                <w:b/>
                <w:bCs/>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4"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1000kW</w:t>
            </w:r>
          </w:p>
        </w:tc>
        <w:tc>
          <w:tcPr>
            <w:tcW w:w="117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w:t>
            </w:r>
          </w:p>
        </w:tc>
        <w:tc>
          <w:tcPr>
            <w:tcW w:w="117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0.2</w:t>
            </w:r>
          </w:p>
        </w:tc>
        <w:tc>
          <w:tcPr>
            <w:tcW w:w="1174"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28.94</w:t>
            </w:r>
          </w:p>
        </w:tc>
        <w:tc>
          <w:tcPr>
            <w:tcW w:w="117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8640</w:t>
            </w:r>
          </w:p>
        </w:tc>
        <w:tc>
          <w:tcPr>
            <w:tcW w:w="117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连续</w:t>
            </w:r>
          </w:p>
        </w:tc>
        <w:tc>
          <w:tcPr>
            <w:tcW w:w="1174"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200</w:t>
            </w:r>
          </w:p>
        </w:tc>
      </w:tr>
    </w:tbl>
    <w:p>
      <w:pPr>
        <w:spacing w:before="120" w:beforeLines="50"/>
        <w:ind w:firstLine="480"/>
        <w:rPr>
          <w:color w:val="000000" w:themeColor="text1"/>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本次评价采用水套加热炉废气产排核算均按照《排放源统计调查产排污核算方法和系数手册》（环境部公告2021第24号）中</w:t>
      </w:r>
      <w:r>
        <w:rPr>
          <w:rFonts w:hint="eastAsia" w:ascii="宋体" w:hAnsi="宋体" w:cs="宋体"/>
          <w:color w:val="000000" w:themeColor="text1"/>
          <w:szCs w:val="24"/>
          <w:highlight w:val="none"/>
          <w14:textFill>
            <w14:solidFill>
              <w14:schemeClr w14:val="tx1"/>
            </w14:solidFill>
          </w14:textFill>
        </w:rPr>
        <w:t>“锅炉产排污量核算系数手册”</w:t>
      </w:r>
      <w:r>
        <w:rPr>
          <w:rFonts w:cs="Times New Roman"/>
          <w:color w:val="000000" w:themeColor="text1"/>
          <w:szCs w:val="24"/>
          <w:highlight w:val="none"/>
          <w14:textFill>
            <w14:solidFill>
              <w14:schemeClr w14:val="tx1"/>
            </w14:solidFill>
          </w14:textFill>
        </w:rPr>
        <w:t>中燃气工业锅炉废气产排污系数计算，热力生产型燃气锅炉的工业废气产生量为10.7753标立</w:t>
      </w:r>
      <w:r>
        <w:rPr>
          <w:rFonts w:hint="eastAsia" w:cs="Times New Roman"/>
          <w:color w:val="000000" w:themeColor="text1"/>
          <w:szCs w:val="24"/>
          <w:highlight w:val="none"/>
          <w14:textFill>
            <w14:solidFill>
              <w14:schemeClr w14:val="tx1"/>
            </w14:solidFill>
          </w14:textFill>
        </w:rPr>
        <w:t>10.753</w:t>
      </w:r>
      <w:r>
        <w:rPr>
          <w:rFonts w:cs="Times New Roman"/>
          <w:color w:val="000000" w:themeColor="text1"/>
          <w:szCs w:val="24"/>
          <w:highlight w:val="none"/>
          <w14:textFill>
            <w14:solidFill>
              <w14:schemeClr w14:val="tx1"/>
            </w14:solidFill>
          </w14:textFill>
        </w:rPr>
        <w:t>方米/立方米-原料，其中水套加热炉采用</w:t>
      </w:r>
      <w:r>
        <w:rPr>
          <w:rFonts w:hint="eastAsia" w:cs="Times New Roman"/>
          <w:color w:val="000000" w:themeColor="text1"/>
          <w:szCs w:val="24"/>
          <w:highlight w:val="none"/>
          <w14:textFill>
            <w14:solidFill>
              <w14:schemeClr w14:val="tx1"/>
            </w14:solidFill>
          </w14:textFill>
        </w:rPr>
        <w:t>国内领先</w:t>
      </w:r>
      <w:r>
        <w:rPr>
          <w:rFonts w:cs="Times New Roman"/>
          <w:color w:val="000000" w:themeColor="text1"/>
          <w:szCs w:val="24"/>
          <w:highlight w:val="none"/>
          <w14:textFill>
            <w14:solidFill>
              <w14:schemeClr w14:val="tx1"/>
            </w14:solidFill>
          </w14:textFill>
        </w:rPr>
        <w:t>低氮燃烧，氮氧化物的产生系数为6.97千克/万立方米-原料</w:t>
      </w:r>
      <w:r>
        <w:rPr>
          <w:rFonts w:hint="eastAsia" w:cs="Times New Roman"/>
          <w:color w:val="000000" w:themeColor="text1"/>
          <w:szCs w:val="24"/>
          <w:highlight w:val="none"/>
          <w14:textFill>
            <w14:solidFill>
              <w14:schemeClr w14:val="tx1"/>
            </w14:solidFill>
          </w14:textFill>
        </w:rPr>
        <w:t>，</w:t>
      </w:r>
      <w:r>
        <w:rPr>
          <w:rFonts w:hint="eastAsia"/>
          <w:color w:val="000000" w:themeColor="text1"/>
          <w:highlight w:val="none"/>
          <w14:textFill>
            <w14:solidFill>
              <w14:schemeClr w14:val="tx1"/>
            </w14:solidFill>
          </w14:textFill>
        </w:rPr>
        <w:t>根据《工业锅炉污染防治可行技术指南》（HJ 1178-2021），燃气锅炉（不采取除尘措施）颗粒物的排放浓度控制水平为&lt;10mg/m</w:t>
      </w:r>
      <w:r>
        <w:rPr>
          <w:rFonts w:hint="eastAsia"/>
          <w:color w:val="000000" w:themeColor="text1"/>
          <w:highlight w:val="none"/>
          <w:vertAlign w:val="superscript"/>
          <w14:textFill>
            <w14:solidFill>
              <w14:schemeClr w14:val="tx1"/>
            </w14:solidFill>
          </w14:textFill>
        </w:rPr>
        <w:t>3</w:t>
      </w:r>
      <w:r>
        <w:rPr>
          <w:rFonts w:hint="eastAsia"/>
          <w:color w:val="000000" w:themeColor="text1"/>
          <w:highlight w:val="none"/>
          <w14:textFill>
            <w14:solidFill>
              <w14:schemeClr w14:val="tx1"/>
            </w14:solidFill>
          </w14:textFill>
        </w:rPr>
        <w:t>，本次评价水套炉颗粒物浓度按照10mg/m</w:t>
      </w:r>
      <w:r>
        <w:rPr>
          <w:rFonts w:hint="eastAsia"/>
          <w:color w:val="000000" w:themeColor="text1"/>
          <w:highlight w:val="none"/>
          <w:vertAlign w:val="superscript"/>
          <w14:textFill>
            <w14:solidFill>
              <w14:schemeClr w14:val="tx1"/>
            </w14:solidFill>
          </w14:textFill>
        </w:rPr>
        <w:t>3</w:t>
      </w:r>
      <w:r>
        <w:rPr>
          <w:rFonts w:hint="eastAsia"/>
          <w:color w:val="000000" w:themeColor="text1"/>
          <w:highlight w:val="none"/>
          <w14:textFill>
            <w14:solidFill>
              <w14:schemeClr w14:val="tx1"/>
            </w14:solidFill>
          </w14:textFill>
        </w:rPr>
        <w:t>评价</w:t>
      </w:r>
      <w:r>
        <w:rPr>
          <w:rFonts w:cs="Times New Roman"/>
          <w:color w:val="000000" w:themeColor="text1"/>
          <w:szCs w:val="24"/>
          <w:highlight w:val="none"/>
          <w14:textFill>
            <w14:solidFill>
              <w14:schemeClr w14:val="tx1"/>
            </w14:solidFill>
          </w14:textFill>
        </w:rPr>
        <w:t>。本项目水套加热炉燃气使用量为</w:t>
      </w:r>
      <w:r>
        <w:rPr>
          <w:rFonts w:hint="eastAsia" w:cs="Times New Roman"/>
          <w:color w:val="000000" w:themeColor="text1"/>
          <w:szCs w:val="24"/>
          <w:highlight w:val="none"/>
          <w14:textFill>
            <w14:solidFill>
              <w14:schemeClr w14:val="tx1"/>
            </w14:solidFill>
          </w14:textFill>
        </w:rPr>
        <w:t>28.94</w:t>
      </w:r>
      <w:r>
        <w:rPr>
          <w:rFonts w:cs="Times New Roman"/>
          <w:color w:val="000000" w:themeColor="text1"/>
          <w:szCs w:val="24"/>
          <w:highlight w:val="none"/>
          <w14:textFill>
            <w14:solidFill>
              <w14:schemeClr w14:val="tx1"/>
            </w14:solidFill>
          </w14:textFill>
        </w:rPr>
        <w:t>m</w:t>
      </w:r>
      <w:r>
        <w:rPr>
          <w:rFonts w:cs="Times New Roman"/>
          <w:color w:val="000000" w:themeColor="text1"/>
          <w:szCs w:val="24"/>
          <w:highlight w:val="none"/>
          <w:vertAlign w:val="superscript"/>
          <w14:textFill>
            <w14:solidFill>
              <w14:schemeClr w14:val="tx1"/>
            </w14:solidFill>
          </w14:textFill>
        </w:rPr>
        <w:t>3</w:t>
      </w:r>
      <w:r>
        <w:rPr>
          <w:rFonts w:cs="Times New Roman"/>
          <w:color w:val="000000" w:themeColor="text1"/>
          <w:szCs w:val="24"/>
          <w:highlight w:val="none"/>
          <w14:textFill>
            <w14:solidFill>
              <w14:schemeClr w14:val="tx1"/>
            </w14:solidFill>
          </w14:textFill>
        </w:rPr>
        <w:t>/h</w:t>
      </w:r>
      <w:r>
        <w:rPr>
          <w:color w:val="000000" w:themeColor="text1"/>
          <w:highlight w:val="none"/>
          <w14:textFill>
            <w14:solidFill>
              <w14:schemeClr w14:val="tx1"/>
            </w14:solidFill>
          </w14:textFill>
        </w:rPr>
        <w:t>。水套加热炉的污染物排放情况见</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REF _Ref143004562 \h  \* MERGEFORMAT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bookmarkStart w:id="176" w:name="_Ref143004562"/>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fldChar w:fldCharType="end"/>
      </w:r>
      <w:bookmarkEnd w:id="176"/>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水套加热炉污染物排放情况</w:t>
      </w:r>
    </w:p>
    <w:tbl>
      <w:tblPr>
        <w:tblStyle w:val="41"/>
        <w:tblW w:w="48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8"/>
        <w:gridCol w:w="1033"/>
        <w:gridCol w:w="1037"/>
        <w:gridCol w:w="1456"/>
        <w:gridCol w:w="870"/>
        <w:gridCol w:w="874"/>
        <w:gridCol w:w="874"/>
        <w:gridCol w:w="13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 w:hRule="atLeast"/>
          <w:tblHeader/>
          <w:jc w:val="center"/>
        </w:trPr>
        <w:tc>
          <w:tcPr>
            <w:tcW w:w="501" w:type="pct"/>
            <w:vMerge w:val="restart"/>
            <w:vAlign w:val="center"/>
          </w:tcPr>
          <w:p>
            <w:pPr>
              <w:pStyle w:val="185"/>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废气</w:t>
            </w:r>
          </w:p>
          <w:p>
            <w:pPr>
              <w:pStyle w:val="185"/>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类型</w:t>
            </w:r>
          </w:p>
        </w:tc>
        <w:tc>
          <w:tcPr>
            <w:tcW w:w="2109" w:type="pct"/>
            <w:gridSpan w:val="3"/>
            <w:vAlign w:val="center"/>
          </w:tcPr>
          <w:p>
            <w:pPr>
              <w:pStyle w:val="185"/>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排放量</w:t>
            </w:r>
          </w:p>
        </w:tc>
        <w:tc>
          <w:tcPr>
            <w:tcW w:w="1044" w:type="pct"/>
            <w:gridSpan w:val="2"/>
            <w:vAlign w:val="center"/>
          </w:tcPr>
          <w:p>
            <w:pPr>
              <w:pStyle w:val="185"/>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排气筒</w:t>
            </w:r>
          </w:p>
        </w:tc>
        <w:tc>
          <w:tcPr>
            <w:tcW w:w="523" w:type="pct"/>
            <w:vMerge w:val="restart"/>
            <w:vAlign w:val="center"/>
          </w:tcPr>
          <w:p>
            <w:pPr>
              <w:pStyle w:val="185"/>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排烟</w:t>
            </w:r>
          </w:p>
          <w:p>
            <w:pPr>
              <w:pStyle w:val="185"/>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温度</w:t>
            </w:r>
            <w:r>
              <w:rPr>
                <w:rFonts w:hint="eastAsia"/>
                <w:b/>
                <w:bCs/>
                <w:color w:val="000000" w:themeColor="text1"/>
                <w:highlight w:val="none"/>
                <w14:textFill>
                  <w14:solidFill>
                    <w14:schemeClr w14:val="tx1"/>
                  </w14:solidFill>
                </w14:textFill>
              </w:rPr>
              <w:t>（℃）</w:t>
            </w:r>
          </w:p>
        </w:tc>
        <w:tc>
          <w:tcPr>
            <w:tcW w:w="821" w:type="pct"/>
            <w:vMerge w:val="restart"/>
            <w:vAlign w:val="center"/>
          </w:tcPr>
          <w:p>
            <w:pPr>
              <w:pStyle w:val="185"/>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排放</w:t>
            </w:r>
          </w:p>
          <w:p>
            <w:pPr>
              <w:pStyle w:val="185"/>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 w:hRule="atLeast"/>
          <w:tblHeader/>
          <w:jc w:val="center"/>
        </w:trPr>
        <w:tc>
          <w:tcPr>
            <w:tcW w:w="501" w:type="pct"/>
            <w:vMerge w:val="continue"/>
            <w:vAlign w:val="center"/>
          </w:tcPr>
          <w:p>
            <w:pPr>
              <w:pStyle w:val="185"/>
              <w:rPr>
                <w:color w:val="000000" w:themeColor="text1"/>
                <w:highlight w:val="none"/>
                <w14:textFill>
                  <w14:solidFill>
                    <w14:schemeClr w14:val="tx1"/>
                  </w14:solidFill>
                </w14:textFill>
              </w:rPr>
            </w:pPr>
          </w:p>
        </w:tc>
        <w:tc>
          <w:tcPr>
            <w:tcW w:w="618" w:type="pct"/>
            <w:vAlign w:val="center"/>
          </w:tcPr>
          <w:p>
            <w:pPr>
              <w:pStyle w:val="185"/>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项目</w:t>
            </w:r>
          </w:p>
        </w:tc>
        <w:tc>
          <w:tcPr>
            <w:tcW w:w="620" w:type="pct"/>
            <w:vAlign w:val="center"/>
          </w:tcPr>
          <w:p>
            <w:pPr>
              <w:pStyle w:val="185"/>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排放浓度</w:t>
            </w:r>
          </w:p>
        </w:tc>
        <w:tc>
          <w:tcPr>
            <w:tcW w:w="870" w:type="pct"/>
            <w:vAlign w:val="center"/>
          </w:tcPr>
          <w:p>
            <w:pPr>
              <w:pStyle w:val="185"/>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排放强度</w:t>
            </w:r>
          </w:p>
        </w:tc>
        <w:tc>
          <w:tcPr>
            <w:tcW w:w="521" w:type="pct"/>
            <w:vAlign w:val="center"/>
          </w:tcPr>
          <w:p>
            <w:pPr>
              <w:pStyle w:val="185"/>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高度</w:t>
            </w:r>
          </w:p>
        </w:tc>
        <w:tc>
          <w:tcPr>
            <w:tcW w:w="523" w:type="pct"/>
            <w:vAlign w:val="center"/>
          </w:tcPr>
          <w:p>
            <w:pPr>
              <w:pStyle w:val="185"/>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内径</w:t>
            </w:r>
          </w:p>
        </w:tc>
        <w:tc>
          <w:tcPr>
            <w:tcW w:w="523" w:type="pct"/>
            <w:vMerge w:val="continue"/>
            <w:vAlign w:val="center"/>
          </w:tcPr>
          <w:p>
            <w:pPr>
              <w:pStyle w:val="185"/>
              <w:rPr>
                <w:color w:val="000000" w:themeColor="text1"/>
                <w:highlight w:val="none"/>
                <w14:textFill>
                  <w14:solidFill>
                    <w14:schemeClr w14:val="tx1"/>
                  </w14:solidFill>
                </w14:textFill>
              </w:rPr>
            </w:pPr>
          </w:p>
        </w:tc>
        <w:tc>
          <w:tcPr>
            <w:tcW w:w="821" w:type="pct"/>
            <w:vMerge w:val="continue"/>
            <w:vAlign w:val="center"/>
          </w:tcPr>
          <w:p>
            <w:pPr>
              <w:pStyle w:val="185"/>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501" w:type="pct"/>
            <w:vMerge w:val="restart"/>
            <w:vAlign w:val="center"/>
          </w:tcPr>
          <w:p>
            <w:pPr>
              <w:pStyle w:val="1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水套炉燃</w:t>
            </w:r>
          </w:p>
          <w:p>
            <w:pPr>
              <w:pStyle w:val="1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烧废气</w:t>
            </w:r>
          </w:p>
        </w:tc>
        <w:tc>
          <w:tcPr>
            <w:tcW w:w="618" w:type="pct"/>
            <w:vAlign w:val="center"/>
          </w:tcPr>
          <w:p>
            <w:pPr>
              <w:pStyle w:val="1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烟气流量</w:t>
            </w:r>
          </w:p>
        </w:tc>
        <w:tc>
          <w:tcPr>
            <w:tcW w:w="620" w:type="pct"/>
            <w:vAlign w:val="center"/>
          </w:tcPr>
          <w:p>
            <w:pPr>
              <w:pStyle w:val="1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870" w:type="pct"/>
            <w:vAlign w:val="center"/>
          </w:tcPr>
          <w:p>
            <w:pPr>
              <w:pStyle w:val="185"/>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311.19</w:t>
            </w:r>
            <w:r>
              <w:rPr>
                <w:color w:val="000000" w:themeColor="text1"/>
                <w:highlight w:val="none"/>
                <w14:textFill>
                  <w14:solidFill>
                    <w14:schemeClr w14:val="tx1"/>
                  </w14:solidFill>
                </w14:textFill>
              </w:rPr>
              <w:t>Nm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h</w:t>
            </w:r>
          </w:p>
          <w:p>
            <w:pPr>
              <w:pStyle w:val="185"/>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268.9</w:t>
            </w:r>
            <w:r>
              <w:rPr>
                <w:color w:val="000000" w:themeColor="text1"/>
                <w:highlight w:val="none"/>
                <w14:textFill>
                  <w14:solidFill>
                    <w14:schemeClr w14:val="tx1"/>
                  </w14:solidFill>
                </w14:textFill>
              </w:rPr>
              <w:t>万m</w:t>
            </w:r>
            <w:r>
              <w:rPr>
                <w:rFonts w:hint="eastAsia"/>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/a</w:t>
            </w:r>
          </w:p>
        </w:tc>
        <w:tc>
          <w:tcPr>
            <w:tcW w:w="521" w:type="pct"/>
            <w:vMerge w:val="restart"/>
            <w:vAlign w:val="center"/>
          </w:tcPr>
          <w:p>
            <w:pPr>
              <w:pStyle w:val="1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8m</w:t>
            </w:r>
          </w:p>
        </w:tc>
        <w:tc>
          <w:tcPr>
            <w:tcW w:w="523" w:type="pct"/>
            <w:vMerge w:val="restart"/>
            <w:vAlign w:val="center"/>
          </w:tcPr>
          <w:p>
            <w:pPr>
              <w:pStyle w:val="1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0.2m</w:t>
            </w:r>
          </w:p>
        </w:tc>
        <w:tc>
          <w:tcPr>
            <w:tcW w:w="523" w:type="pct"/>
            <w:vMerge w:val="restart"/>
            <w:vAlign w:val="center"/>
          </w:tcPr>
          <w:p>
            <w:pPr>
              <w:pStyle w:val="1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200</w:t>
            </w:r>
          </w:p>
        </w:tc>
        <w:tc>
          <w:tcPr>
            <w:tcW w:w="821" w:type="pct"/>
            <w:vMerge w:val="restart"/>
            <w:vAlign w:val="center"/>
          </w:tcPr>
          <w:p>
            <w:pPr>
              <w:pStyle w:val="1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有组织排放，连续24小时，年3</w:t>
            </w:r>
            <w:r>
              <w:rPr>
                <w:rFonts w:hint="eastAsia"/>
                <w:color w:val="000000" w:themeColor="text1"/>
                <w:highlight w:val="none"/>
                <w14:textFill>
                  <w14:solidFill>
                    <w14:schemeClr w14:val="tx1"/>
                  </w14:solidFill>
                </w14:textFill>
              </w:rPr>
              <w:t>60</w:t>
            </w:r>
            <w:r>
              <w:rPr>
                <w:color w:val="000000" w:themeColor="text1"/>
                <w:highlight w:val="none"/>
                <w14:textFill>
                  <w14:solidFill>
                    <w14:schemeClr w14:val="tx1"/>
                  </w14:solidFill>
                </w14:textFill>
              </w:rPr>
              <w:t>天</w:t>
            </w:r>
            <w:r>
              <w:rPr>
                <w:rFonts w:hint="eastAsia"/>
                <w:color w:val="000000" w:themeColor="text1"/>
                <w:highlight w:val="none"/>
                <w14:textFill>
                  <w14:solidFill>
                    <w14:schemeClr w14:val="tx1"/>
                  </w14:solidFill>
                </w14:textFill>
              </w:rPr>
              <w:t>（扣除检修和关井恢复压力期）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501" w:type="pct"/>
            <w:vMerge w:val="continue"/>
            <w:vAlign w:val="center"/>
          </w:tcPr>
          <w:p>
            <w:pPr>
              <w:pStyle w:val="185"/>
              <w:rPr>
                <w:color w:val="000000" w:themeColor="text1"/>
                <w:highlight w:val="none"/>
                <w14:textFill>
                  <w14:solidFill>
                    <w14:schemeClr w14:val="tx1"/>
                  </w14:solidFill>
                </w14:textFill>
              </w:rPr>
            </w:pPr>
          </w:p>
        </w:tc>
        <w:tc>
          <w:tcPr>
            <w:tcW w:w="618" w:type="pct"/>
            <w:vAlign w:val="center"/>
          </w:tcPr>
          <w:p>
            <w:pPr>
              <w:pStyle w:val="1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NOx</w:t>
            </w:r>
          </w:p>
        </w:tc>
        <w:tc>
          <w:tcPr>
            <w:tcW w:w="620" w:type="pct"/>
            <w:vAlign w:val="center"/>
          </w:tcPr>
          <w:p>
            <w:pPr>
              <w:pStyle w:val="1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64.68mg/m</w:t>
            </w:r>
            <w:r>
              <w:rPr>
                <w:color w:val="000000" w:themeColor="text1"/>
                <w:highlight w:val="none"/>
                <w:vertAlign w:val="superscript"/>
                <w14:textFill>
                  <w14:solidFill>
                    <w14:schemeClr w14:val="tx1"/>
                  </w14:solidFill>
                </w14:textFill>
              </w:rPr>
              <w:t>3</w:t>
            </w:r>
          </w:p>
        </w:tc>
        <w:tc>
          <w:tcPr>
            <w:tcW w:w="870" w:type="pct"/>
            <w:vAlign w:val="center"/>
          </w:tcPr>
          <w:p>
            <w:pPr>
              <w:pStyle w:val="1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r>
              <w:rPr>
                <w:rFonts w:hint="eastAsia"/>
                <w:color w:val="000000" w:themeColor="text1"/>
                <w:highlight w:val="none"/>
                <w14:textFill>
                  <w14:solidFill>
                    <w14:schemeClr w14:val="tx1"/>
                  </w14:solidFill>
                </w14:textFill>
              </w:rPr>
              <w:t>174</w:t>
            </w:r>
            <w:r>
              <w:rPr>
                <w:color w:val="000000" w:themeColor="text1"/>
                <w:highlight w:val="none"/>
                <w14:textFill>
                  <w14:solidFill>
                    <w14:schemeClr w14:val="tx1"/>
                  </w14:solidFill>
                </w14:textFill>
              </w:rPr>
              <w:t>t/a；0.0</w:t>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kg/h</w:t>
            </w:r>
          </w:p>
        </w:tc>
        <w:tc>
          <w:tcPr>
            <w:tcW w:w="521" w:type="pct"/>
            <w:vMerge w:val="continue"/>
            <w:vAlign w:val="center"/>
          </w:tcPr>
          <w:p>
            <w:pPr>
              <w:pStyle w:val="185"/>
              <w:rPr>
                <w:color w:val="000000" w:themeColor="text1"/>
                <w:highlight w:val="none"/>
                <w14:textFill>
                  <w14:solidFill>
                    <w14:schemeClr w14:val="tx1"/>
                  </w14:solidFill>
                </w14:textFill>
              </w:rPr>
            </w:pPr>
          </w:p>
        </w:tc>
        <w:tc>
          <w:tcPr>
            <w:tcW w:w="523" w:type="pct"/>
            <w:vMerge w:val="continue"/>
            <w:vAlign w:val="center"/>
          </w:tcPr>
          <w:p>
            <w:pPr>
              <w:pStyle w:val="185"/>
              <w:rPr>
                <w:color w:val="000000" w:themeColor="text1"/>
                <w:highlight w:val="none"/>
                <w14:textFill>
                  <w14:solidFill>
                    <w14:schemeClr w14:val="tx1"/>
                  </w14:solidFill>
                </w14:textFill>
              </w:rPr>
            </w:pPr>
          </w:p>
        </w:tc>
        <w:tc>
          <w:tcPr>
            <w:tcW w:w="523" w:type="pct"/>
            <w:vMerge w:val="continue"/>
            <w:vAlign w:val="center"/>
          </w:tcPr>
          <w:p>
            <w:pPr>
              <w:pStyle w:val="185"/>
              <w:rPr>
                <w:color w:val="000000" w:themeColor="text1"/>
                <w:highlight w:val="none"/>
                <w14:textFill>
                  <w14:solidFill>
                    <w14:schemeClr w14:val="tx1"/>
                  </w14:solidFill>
                </w14:textFill>
              </w:rPr>
            </w:pPr>
          </w:p>
        </w:tc>
        <w:tc>
          <w:tcPr>
            <w:tcW w:w="821" w:type="pct"/>
            <w:vMerge w:val="continue"/>
            <w:vAlign w:val="center"/>
          </w:tcPr>
          <w:p>
            <w:pPr>
              <w:pStyle w:val="185"/>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501" w:type="pct"/>
            <w:vMerge w:val="continue"/>
            <w:vAlign w:val="center"/>
          </w:tcPr>
          <w:p>
            <w:pPr>
              <w:pStyle w:val="185"/>
              <w:rPr>
                <w:color w:val="000000" w:themeColor="text1"/>
                <w:highlight w:val="none"/>
                <w14:textFill>
                  <w14:solidFill>
                    <w14:schemeClr w14:val="tx1"/>
                  </w14:solidFill>
                </w14:textFill>
              </w:rPr>
            </w:pPr>
          </w:p>
        </w:tc>
        <w:tc>
          <w:tcPr>
            <w:tcW w:w="618" w:type="pct"/>
            <w:vAlign w:val="center"/>
          </w:tcPr>
          <w:p>
            <w:pPr>
              <w:pStyle w:val="185"/>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颗粒物</w:t>
            </w:r>
          </w:p>
        </w:tc>
        <w:tc>
          <w:tcPr>
            <w:tcW w:w="620" w:type="pct"/>
            <w:vAlign w:val="center"/>
          </w:tcPr>
          <w:p>
            <w:pPr>
              <w:pStyle w:val="185"/>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w:t>
            </w:r>
            <w:r>
              <w:rPr>
                <w:color w:val="000000" w:themeColor="text1"/>
                <w:highlight w:val="none"/>
                <w14:textFill>
                  <w14:solidFill>
                    <w14:schemeClr w14:val="tx1"/>
                  </w14:solidFill>
                </w14:textFill>
              </w:rPr>
              <w:t>mg/m</w:t>
            </w:r>
            <w:r>
              <w:rPr>
                <w:color w:val="000000" w:themeColor="text1"/>
                <w:highlight w:val="none"/>
                <w:vertAlign w:val="superscript"/>
                <w14:textFill>
                  <w14:solidFill>
                    <w14:schemeClr w14:val="tx1"/>
                  </w14:solidFill>
                </w14:textFill>
              </w:rPr>
              <w:t>3</w:t>
            </w:r>
          </w:p>
        </w:tc>
        <w:tc>
          <w:tcPr>
            <w:tcW w:w="870" w:type="pct"/>
            <w:vAlign w:val="center"/>
          </w:tcPr>
          <w:p>
            <w:pPr>
              <w:pStyle w:val="1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r>
              <w:rPr>
                <w:rFonts w:hint="eastAsia"/>
                <w:color w:val="000000" w:themeColor="text1"/>
                <w:highlight w:val="none"/>
                <w14:textFill>
                  <w14:solidFill>
                    <w14:schemeClr w14:val="tx1"/>
                  </w14:solidFill>
                </w14:textFill>
              </w:rPr>
              <w:t>027</w:t>
            </w:r>
            <w:r>
              <w:rPr>
                <w:color w:val="000000" w:themeColor="text1"/>
                <w:highlight w:val="none"/>
                <w14:textFill>
                  <w14:solidFill>
                    <w14:schemeClr w14:val="tx1"/>
                  </w14:solidFill>
                </w14:textFill>
              </w:rPr>
              <w:t>t/a；0.0</w:t>
            </w:r>
            <w:r>
              <w:rPr>
                <w:rFonts w:hint="eastAsia"/>
                <w:color w:val="000000" w:themeColor="text1"/>
                <w:highlight w:val="none"/>
                <w14:textFill>
                  <w14:solidFill>
                    <w14:schemeClr w14:val="tx1"/>
                  </w14:solidFill>
                </w14:textFill>
              </w:rPr>
              <w:t>031</w:t>
            </w:r>
            <w:r>
              <w:rPr>
                <w:color w:val="000000" w:themeColor="text1"/>
                <w:highlight w:val="none"/>
                <w14:textFill>
                  <w14:solidFill>
                    <w14:schemeClr w14:val="tx1"/>
                  </w14:solidFill>
                </w14:textFill>
              </w:rPr>
              <w:t>kg/h</w:t>
            </w:r>
          </w:p>
        </w:tc>
        <w:tc>
          <w:tcPr>
            <w:tcW w:w="521" w:type="pct"/>
            <w:vMerge w:val="continue"/>
            <w:vAlign w:val="center"/>
          </w:tcPr>
          <w:p>
            <w:pPr>
              <w:pStyle w:val="185"/>
              <w:rPr>
                <w:color w:val="000000" w:themeColor="text1"/>
                <w:highlight w:val="none"/>
                <w14:textFill>
                  <w14:solidFill>
                    <w14:schemeClr w14:val="tx1"/>
                  </w14:solidFill>
                </w14:textFill>
              </w:rPr>
            </w:pPr>
          </w:p>
        </w:tc>
        <w:tc>
          <w:tcPr>
            <w:tcW w:w="523" w:type="pct"/>
            <w:vMerge w:val="continue"/>
            <w:vAlign w:val="center"/>
          </w:tcPr>
          <w:p>
            <w:pPr>
              <w:pStyle w:val="185"/>
              <w:rPr>
                <w:color w:val="000000" w:themeColor="text1"/>
                <w:highlight w:val="none"/>
                <w14:textFill>
                  <w14:solidFill>
                    <w14:schemeClr w14:val="tx1"/>
                  </w14:solidFill>
                </w14:textFill>
              </w:rPr>
            </w:pPr>
          </w:p>
        </w:tc>
        <w:tc>
          <w:tcPr>
            <w:tcW w:w="523" w:type="pct"/>
            <w:vMerge w:val="continue"/>
            <w:vAlign w:val="center"/>
          </w:tcPr>
          <w:p>
            <w:pPr>
              <w:pStyle w:val="185"/>
              <w:rPr>
                <w:color w:val="000000" w:themeColor="text1"/>
                <w:highlight w:val="none"/>
                <w14:textFill>
                  <w14:solidFill>
                    <w14:schemeClr w14:val="tx1"/>
                  </w14:solidFill>
                </w14:textFill>
              </w:rPr>
            </w:pPr>
          </w:p>
        </w:tc>
        <w:tc>
          <w:tcPr>
            <w:tcW w:w="821" w:type="pct"/>
            <w:vMerge w:val="continue"/>
            <w:vAlign w:val="center"/>
          </w:tcPr>
          <w:p>
            <w:pPr>
              <w:pStyle w:val="185"/>
              <w:rPr>
                <w:color w:val="000000" w:themeColor="text1"/>
                <w:highlight w:val="none"/>
                <w14:textFill>
                  <w14:solidFill>
                    <w14:schemeClr w14:val="tx1"/>
                  </w14:solidFill>
                </w14:textFill>
              </w:rPr>
            </w:pPr>
          </w:p>
        </w:tc>
      </w:tr>
    </w:tbl>
    <w:p>
      <w:pPr>
        <w:spacing w:before="120" w:beforeLines="50"/>
        <w:ind w:firstLine="480"/>
        <w:rPr>
          <w:rFonts w:cs="Times New Roman"/>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由上表可见本项目水套炉燃烧废气</w:t>
      </w:r>
      <w:r>
        <w:rPr>
          <w:color w:val="000000" w:themeColor="text1"/>
          <w:highlight w:val="none"/>
          <w14:textFill>
            <w14:solidFill>
              <w14:schemeClr w14:val="tx1"/>
            </w14:solidFill>
          </w14:textFill>
        </w:rPr>
        <w:t>通过水套炉自带8m高排气筒排放，满足《锅炉大气污染物排放标准》（GB13271-2014）中大气污染物</w:t>
      </w:r>
      <w:r>
        <w:rPr>
          <w:bCs/>
          <w:color w:val="000000" w:themeColor="text1"/>
          <w:highlight w:val="none"/>
          <w14:textFill>
            <w14:solidFill>
              <w14:schemeClr w14:val="tx1"/>
            </w14:solidFill>
          </w14:textFill>
        </w:rPr>
        <w:t>NOx：200</w:t>
      </w:r>
      <w:r>
        <w:rPr>
          <w:bCs/>
          <w:color w:val="000000" w:themeColor="text1"/>
          <w:szCs w:val="24"/>
          <w:highlight w:val="none"/>
          <w14:textFill>
            <w14:solidFill>
              <w14:schemeClr w14:val="tx1"/>
            </w14:solidFill>
          </w14:textFill>
        </w:rPr>
        <w:t>mg/m</w:t>
      </w:r>
      <w:r>
        <w:rPr>
          <w:bCs/>
          <w:color w:val="000000" w:themeColor="text1"/>
          <w:szCs w:val="24"/>
          <w:highlight w:val="none"/>
          <w:vertAlign w:val="superscript"/>
          <w14:textFill>
            <w14:solidFill>
              <w14:schemeClr w14:val="tx1"/>
            </w14:solidFill>
          </w14:textFill>
        </w:rPr>
        <w:t>3</w:t>
      </w:r>
      <w:r>
        <w:rPr>
          <w:bCs/>
          <w:color w:val="000000" w:themeColor="text1"/>
          <w:szCs w:val="24"/>
          <w:highlight w:val="none"/>
          <w14:textFill>
            <w14:solidFill>
              <w14:schemeClr w14:val="tx1"/>
            </w14:solidFill>
          </w14:textFill>
        </w:rPr>
        <w:t>、</w:t>
      </w:r>
      <w:r>
        <w:rPr>
          <w:bCs/>
          <w:color w:val="000000" w:themeColor="text1"/>
          <w:highlight w:val="none"/>
          <w14:textFill>
            <w14:solidFill>
              <w14:schemeClr w14:val="tx1"/>
            </w14:solidFill>
          </w14:textFill>
        </w:rPr>
        <w:t>颗粒物（烟尘）：20</w:t>
      </w:r>
      <w:r>
        <w:rPr>
          <w:bCs/>
          <w:color w:val="000000" w:themeColor="text1"/>
          <w:szCs w:val="24"/>
          <w:highlight w:val="none"/>
          <w14:textFill>
            <w14:solidFill>
              <w14:schemeClr w14:val="tx1"/>
            </w14:solidFill>
          </w14:textFill>
        </w:rPr>
        <w:t>mg/m</w:t>
      </w:r>
      <w:r>
        <w:rPr>
          <w:bCs/>
          <w:color w:val="000000" w:themeColor="text1"/>
          <w:szCs w:val="24"/>
          <w:highlight w:val="none"/>
          <w:vertAlign w:val="superscript"/>
          <w14:textFill>
            <w14:solidFill>
              <w14:schemeClr w14:val="tx1"/>
            </w14:solidFill>
          </w14:textFill>
        </w:rPr>
        <w:t>3</w:t>
      </w:r>
      <w:r>
        <w:rPr>
          <w:bCs/>
          <w:color w:val="000000" w:themeColor="text1"/>
          <w:szCs w:val="24"/>
          <w:highlight w:val="none"/>
          <w14:textFill>
            <w14:solidFill>
              <w14:schemeClr w14:val="tx1"/>
            </w14:solidFill>
          </w14:textFill>
        </w:rPr>
        <w:t>的</w:t>
      </w:r>
      <w:r>
        <w:rPr>
          <w:color w:val="000000" w:themeColor="text1"/>
          <w:highlight w:val="none"/>
          <w14:textFill>
            <w14:solidFill>
              <w14:schemeClr w14:val="tx1"/>
            </w14:solidFill>
          </w14:textFill>
        </w:rPr>
        <w:t>排放浓度限值要求</w:t>
      </w:r>
      <w:r>
        <w:rPr>
          <w:rFonts w:hint="eastAsia"/>
          <w:color w:val="000000" w:themeColor="text1"/>
          <w:highlight w:val="none"/>
          <w14:textFill>
            <w14:solidFill>
              <w14:schemeClr w14:val="tx1"/>
            </w14:solidFill>
          </w14:textFill>
        </w:rPr>
        <w:t>。</w:t>
      </w:r>
    </w:p>
    <w:p>
      <w:pPr>
        <w:ind w:firstLine="480"/>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（2）非正常工况</w:t>
      </w:r>
    </w:p>
    <w:p>
      <w:pPr>
        <w:ind w:firstLine="480"/>
        <w:rPr>
          <w:bCs/>
          <w:color w:val="000000" w:themeColor="text1"/>
          <w:szCs w:val="24"/>
          <w:highlight w:val="none"/>
          <w14:textFill>
            <w14:solidFill>
              <w14:schemeClr w14:val="tx1"/>
            </w14:solidFill>
          </w14:textFill>
        </w:rPr>
      </w:pPr>
      <w:r>
        <w:rPr>
          <w:rFonts w:hint="eastAsia"/>
          <w:bCs/>
          <w:color w:val="000000" w:themeColor="text1"/>
          <w:szCs w:val="24"/>
          <w:highlight w:val="none"/>
          <w14:textFill>
            <w14:solidFill>
              <w14:schemeClr w14:val="tx1"/>
            </w14:solidFill>
          </w14:textFill>
        </w:rPr>
        <w:t>①检修废气</w:t>
      </w:r>
    </w:p>
    <w:p>
      <w:pPr>
        <w:ind w:firstLine="480"/>
        <w:rPr>
          <w:bCs/>
          <w:color w:val="000000" w:themeColor="text1"/>
          <w:szCs w:val="24"/>
          <w:highlight w:val="none"/>
          <w14:textFill>
            <w14:solidFill>
              <w14:schemeClr w14:val="tx1"/>
            </w14:solidFill>
          </w14:textFill>
        </w:rPr>
      </w:pPr>
      <w:r>
        <w:rPr>
          <w:rFonts w:hint="eastAsia"/>
          <w:bCs/>
          <w:color w:val="000000" w:themeColor="text1"/>
          <w:szCs w:val="24"/>
          <w:highlight w:val="none"/>
          <w14:textFill>
            <w14:solidFill>
              <w14:schemeClr w14:val="tx1"/>
            </w14:solidFill>
          </w14:textFill>
        </w:rPr>
        <w:t>本项目水套加热炉或分离器需要检修时，将对装置内残余天然气进行放空，每次排放时间2min～2h（可控），根据普光现有工程类比分析，单次排放天然气约180m</w:t>
      </w:r>
      <w:r>
        <w:rPr>
          <w:rFonts w:hint="eastAsia"/>
          <w:bCs/>
          <w:color w:val="000000" w:themeColor="text1"/>
          <w:szCs w:val="24"/>
          <w:highlight w:val="none"/>
          <w:vertAlign w:val="superscript"/>
          <w14:textFill>
            <w14:solidFill>
              <w14:schemeClr w14:val="tx1"/>
            </w14:solidFill>
          </w14:textFill>
        </w:rPr>
        <w:t>3</w:t>
      </w:r>
      <w:r>
        <w:rPr>
          <w:rFonts w:hint="eastAsia"/>
          <w:bCs/>
          <w:color w:val="000000" w:themeColor="text1"/>
          <w:szCs w:val="24"/>
          <w:highlight w:val="none"/>
          <w14:textFill>
            <w14:solidFill>
              <w14:schemeClr w14:val="tx1"/>
            </w14:solidFill>
          </w14:textFill>
        </w:rPr>
        <w:t>按照每年检修2次，则排放天然气360m</w:t>
      </w:r>
      <w:r>
        <w:rPr>
          <w:rFonts w:hint="eastAsia"/>
          <w:bCs/>
          <w:color w:val="000000" w:themeColor="text1"/>
          <w:szCs w:val="24"/>
          <w:highlight w:val="none"/>
          <w:vertAlign w:val="superscript"/>
          <w14:textFill>
            <w14:solidFill>
              <w14:schemeClr w14:val="tx1"/>
            </w14:solidFill>
          </w14:textFill>
        </w:rPr>
        <w:t>3</w:t>
      </w:r>
      <w:r>
        <w:rPr>
          <w:rFonts w:hint="eastAsia"/>
          <w:bCs/>
          <w:color w:val="000000" w:themeColor="text1"/>
          <w:szCs w:val="24"/>
          <w:highlight w:val="none"/>
          <w14:textFill>
            <w14:solidFill>
              <w14:schemeClr w14:val="tx1"/>
            </w14:solidFill>
          </w14:textFill>
        </w:rPr>
        <w:t>。设备检修排放的废气采用放空管燃烧处理后排入大气环境。</w:t>
      </w:r>
    </w:p>
    <w:p>
      <w:pPr>
        <w:ind w:firstLine="480"/>
        <w:rPr>
          <w:bCs/>
          <w:color w:val="000000" w:themeColor="text1"/>
          <w:szCs w:val="24"/>
          <w:highlight w:val="none"/>
          <w14:textFill>
            <w14:solidFill>
              <w14:schemeClr w14:val="tx1"/>
            </w14:solidFill>
          </w14:textFill>
        </w:rPr>
      </w:pPr>
      <w:r>
        <w:rPr>
          <w:rFonts w:hint="eastAsia"/>
          <w:bCs/>
          <w:color w:val="000000" w:themeColor="text1"/>
          <w:szCs w:val="24"/>
          <w:highlight w:val="none"/>
          <w14:textFill>
            <w14:solidFill>
              <w14:schemeClr w14:val="tx1"/>
            </w14:solidFill>
          </w14:textFill>
        </w:rPr>
        <w:t>②事故放空燃烧废气</w:t>
      </w:r>
    </w:p>
    <w:p>
      <w:pPr>
        <w:ind w:firstLine="480"/>
        <w:rPr>
          <w:bCs/>
          <w:color w:val="000000" w:themeColor="text1"/>
          <w:szCs w:val="24"/>
          <w:highlight w:val="none"/>
          <w14:textFill>
            <w14:solidFill>
              <w14:schemeClr w14:val="tx1"/>
            </w14:solidFill>
          </w14:textFill>
        </w:rPr>
      </w:pPr>
      <w:r>
        <w:rPr>
          <w:rFonts w:hint="eastAsia"/>
          <w:bCs/>
          <w:color w:val="000000" w:themeColor="text1"/>
          <w:szCs w:val="24"/>
          <w:highlight w:val="none"/>
          <w14:textFill>
            <w14:solidFill>
              <w14:schemeClr w14:val="tx1"/>
            </w14:solidFill>
          </w14:textFill>
        </w:rPr>
        <w:t>若井场发生事故或站内超压自动放空，井下安全阀将在10s内启动，天然气将排放至放空管燃烧，天然气最大放空量为2.85x10</w:t>
      </w:r>
      <w:r>
        <w:rPr>
          <w:bCs/>
          <w:color w:val="000000" w:themeColor="text1"/>
          <w:szCs w:val="24"/>
          <w:highlight w:val="none"/>
          <w:vertAlign w:val="superscript"/>
          <w14:textFill>
            <w14:solidFill>
              <w14:schemeClr w14:val="tx1"/>
            </w14:solidFill>
          </w14:textFill>
        </w:rPr>
        <w:t>4</w:t>
      </w:r>
      <w:r>
        <w:rPr>
          <w:rFonts w:hint="eastAsia"/>
          <w:bCs/>
          <w:color w:val="000000" w:themeColor="text1"/>
          <w:szCs w:val="24"/>
          <w:highlight w:val="none"/>
          <w14:textFill>
            <w14:solidFill>
              <w14:schemeClr w14:val="tx1"/>
            </w14:solidFill>
          </w14:textFill>
        </w:rPr>
        <w:t>m</w:t>
      </w:r>
      <w:r>
        <w:rPr>
          <w:rFonts w:hint="eastAsia"/>
          <w:bCs/>
          <w:color w:val="000000" w:themeColor="text1"/>
          <w:szCs w:val="24"/>
          <w:highlight w:val="none"/>
          <w:vertAlign w:val="superscript"/>
          <w14:textFill>
            <w14:solidFill>
              <w14:schemeClr w14:val="tx1"/>
            </w14:solidFill>
          </w14:textFill>
        </w:rPr>
        <w:t>3</w:t>
      </w:r>
      <w:r>
        <w:rPr>
          <w:rFonts w:hint="eastAsia"/>
          <w:bCs/>
          <w:color w:val="000000" w:themeColor="text1"/>
          <w:szCs w:val="24"/>
          <w:highlight w:val="none"/>
          <w14:textFill>
            <w14:solidFill>
              <w14:schemeClr w14:val="tx1"/>
            </w14:solidFill>
          </w14:textFill>
        </w:rPr>
        <w:t>/h，放空时间（可控制）一次约为20min～2h。</w:t>
      </w:r>
    </w:p>
    <w:p>
      <w:pPr>
        <w:ind w:firstLine="480"/>
        <w:rPr>
          <w:rFonts w:cs="Times New Roman"/>
          <w:bCs/>
          <w:color w:val="000000" w:themeColor="text1"/>
          <w:highlight w:val="none"/>
          <w14:textFill>
            <w14:solidFill>
              <w14:schemeClr w14:val="tx1"/>
            </w14:solidFill>
          </w14:textFill>
        </w:rPr>
      </w:pPr>
      <w:r>
        <w:rPr>
          <w:bCs/>
          <w:color w:val="000000" w:themeColor="text1"/>
          <w:szCs w:val="24"/>
          <w:highlight w:val="none"/>
          <w14:textFill>
            <w14:solidFill>
              <w14:schemeClr w14:val="tx1"/>
            </w14:solidFill>
          </w14:textFill>
        </w:rPr>
        <w:t>事故放空频率较低，并且放空废气经点火燃烧后排放，加之当地地势较为开阔，大气扩散条件良好，故放空废气不会对周边环境造成明显不利影响</w:t>
      </w:r>
      <w:r>
        <w:rPr>
          <w:rFonts w:cs="Times New Roman"/>
          <w:bCs/>
          <w:color w:val="000000" w:themeColor="text1"/>
          <w:highlight w:val="none"/>
          <w14:textFill>
            <w14:solidFill>
              <w14:schemeClr w14:val="tx1"/>
            </w14:solidFill>
          </w14:textFill>
        </w:rPr>
        <w:t>。</w:t>
      </w:r>
    </w:p>
    <w:p>
      <w:pPr>
        <w:pStyle w:val="6"/>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废水</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本项目建成后，试采期废水主要为采气废水、</w:t>
      </w:r>
      <w:r>
        <w:rPr>
          <w:rFonts w:hint="eastAsia" w:cs="Times New Roman"/>
          <w:bCs/>
          <w:color w:val="000000" w:themeColor="text1"/>
          <w:highlight w:val="none"/>
          <w14:textFill>
            <w14:solidFill>
              <w14:schemeClr w14:val="tx1"/>
            </w14:solidFill>
          </w14:textFill>
        </w:rPr>
        <w:t>工作人员生活污水和</w:t>
      </w:r>
      <w:r>
        <w:rPr>
          <w:rFonts w:cs="Times New Roman"/>
          <w:bCs/>
          <w:color w:val="000000" w:themeColor="text1"/>
          <w:highlight w:val="none"/>
          <w14:textFill>
            <w14:solidFill>
              <w14:schemeClr w14:val="tx1"/>
            </w14:solidFill>
          </w14:textFill>
        </w:rPr>
        <w:t>非正常工况井下作业废水。具体产生情况分析如下：</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1）采气废水</w:t>
      </w:r>
    </w:p>
    <w:p>
      <w:pPr>
        <w:ind w:firstLine="480"/>
        <w:rPr>
          <w:rFonts w:cs="Times New Roman"/>
          <w:bCs/>
          <w:color w:val="000000" w:themeColor="text1"/>
          <w:highlight w:val="none"/>
          <w14:textFill>
            <w14:solidFill>
              <w14:schemeClr w14:val="tx1"/>
            </w14:solidFill>
          </w14:textFill>
        </w:rPr>
      </w:pPr>
      <w:r>
        <w:rPr>
          <w:rFonts w:hint="eastAsia"/>
          <w:color w:val="000000" w:themeColor="text1"/>
          <w:szCs w:val="24"/>
          <w:highlight w:val="none"/>
          <w14:textFill>
            <w14:solidFill>
              <w14:schemeClr w14:val="tx1"/>
            </w14:solidFill>
          </w14:textFill>
        </w:rPr>
        <w:t>根据雷页1井前期通过CNG方式试采情况，</w:t>
      </w:r>
      <w:r>
        <w:rPr>
          <w:rFonts w:hint="eastAsia"/>
          <w:color w:val="000000" w:themeColor="text1"/>
          <w:highlight w:val="none"/>
          <w14:textFill>
            <w14:solidFill>
              <w14:schemeClr w14:val="tx1"/>
            </w14:solidFill>
          </w14:textFill>
        </w:rPr>
        <w:t>试采阶段气</w:t>
      </w:r>
      <w:r>
        <w:rPr>
          <w:color w:val="000000" w:themeColor="text1"/>
          <w:highlight w:val="none"/>
          <w14:textFill>
            <w14:solidFill>
              <w14:schemeClr w14:val="tx1"/>
            </w14:solidFill>
          </w14:textFill>
        </w:rPr>
        <w:t>田水产生量最大约为10~20m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w:t>
      </w:r>
      <w:r>
        <w:rPr>
          <w:snapToGrid w:val="0"/>
          <w:color w:val="000000" w:themeColor="text1"/>
          <w:highlight w:val="none"/>
          <w14:textFill>
            <w14:solidFill>
              <w14:schemeClr w14:val="tx1"/>
            </w14:solidFill>
          </w14:textFill>
        </w:rPr>
        <w:t>·井</w:t>
      </w:r>
      <w:r>
        <w:rPr>
          <w:color w:val="000000" w:themeColor="text1"/>
          <w:highlight w:val="none"/>
          <w14:textFill>
            <w14:solidFill>
              <w14:schemeClr w14:val="tx1"/>
            </w14:solidFill>
          </w14:textFill>
        </w:rPr>
        <w:t>，其产生量特点为前期产生量较大，随着试采工程的进行，气田水逐渐减少，待后期产气量稳定后，气田水平均产生量约5m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/d·井</w:t>
      </w:r>
      <w:r>
        <w:rPr>
          <w:rFonts w:hint="eastAsia"/>
          <w:color w:val="000000" w:themeColor="text1"/>
          <w:highlight w:val="none"/>
          <w14:textFill>
            <w14:solidFill>
              <w14:schemeClr w14:val="tx1"/>
            </w14:solidFill>
          </w14:textFill>
        </w:rPr>
        <w:t>。本项目气田水产量取</w:t>
      </w:r>
      <w:r>
        <w:rPr>
          <w:rFonts w:hint="eastAsia"/>
          <w:snapToGrid w:val="0"/>
          <w:color w:val="000000" w:themeColor="text1"/>
          <w:highlight w:val="none"/>
          <w14:textFill>
            <w14:solidFill>
              <w14:schemeClr w14:val="tx1"/>
            </w14:solidFill>
          </w14:textFill>
        </w:rPr>
        <w:t>20</w:t>
      </w:r>
      <w:r>
        <w:rPr>
          <w:snapToGrid w:val="0"/>
          <w:color w:val="000000" w:themeColor="text1"/>
          <w:highlight w:val="none"/>
          <w14:textFill>
            <w14:solidFill>
              <w14:schemeClr w14:val="tx1"/>
            </w14:solidFill>
          </w14:textFill>
        </w:rPr>
        <w:t>m</w:t>
      </w:r>
      <w:r>
        <w:rPr>
          <w:snapToGrid w:val="0"/>
          <w:color w:val="000000" w:themeColor="text1"/>
          <w:highlight w:val="none"/>
          <w:vertAlign w:val="superscript"/>
          <w14:textFill>
            <w14:solidFill>
              <w14:schemeClr w14:val="tx1"/>
            </w14:solidFill>
          </w14:textFill>
        </w:rPr>
        <w:t>3</w:t>
      </w:r>
      <w:r>
        <w:rPr>
          <w:snapToGrid w:val="0"/>
          <w:color w:val="000000" w:themeColor="text1"/>
          <w:highlight w:val="none"/>
          <w14:textFill>
            <w14:solidFill>
              <w14:schemeClr w14:val="tx1"/>
            </w14:solidFill>
          </w14:textFill>
        </w:rPr>
        <w:t>/d，年产生量约为</w:t>
      </w:r>
      <w:r>
        <w:rPr>
          <w:rFonts w:hint="eastAsia"/>
          <w:snapToGrid w:val="0"/>
          <w:color w:val="000000" w:themeColor="text1"/>
          <w:highlight w:val="none"/>
          <w14:textFill>
            <w14:solidFill>
              <w14:schemeClr w14:val="tx1"/>
            </w14:solidFill>
          </w14:textFill>
        </w:rPr>
        <w:t>7300</w:t>
      </w:r>
      <w:r>
        <w:rPr>
          <w:snapToGrid w:val="0"/>
          <w:color w:val="000000" w:themeColor="text1"/>
          <w:highlight w:val="none"/>
          <w14:textFill>
            <w14:solidFill>
              <w14:schemeClr w14:val="tx1"/>
            </w14:solidFill>
          </w14:textFill>
        </w:rPr>
        <w:t>m</w:t>
      </w:r>
      <w:r>
        <w:rPr>
          <w:snapToGrid w:val="0"/>
          <w:color w:val="000000" w:themeColor="text1"/>
          <w:highlight w:val="none"/>
          <w:vertAlign w:val="superscript"/>
          <w14:textFill>
            <w14:solidFill>
              <w14:schemeClr w14:val="tx1"/>
            </w14:solidFill>
          </w14:textFill>
        </w:rPr>
        <w:t>3</w:t>
      </w:r>
      <w:r>
        <w:rPr>
          <w:snapToGrid w:val="0"/>
          <w:color w:val="000000" w:themeColor="text1"/>
          <w:highlight w:val="none"/>
          <w14:textFill>
            <w14:solidFill>
              <w14:schemeClr w14:val="tx1"/>
            </w14:solidFill>
          </w14:textFill>
        </w:rPr>
        <w:t>/a</w:t>
      </w:r>
      <w:r>
        <w:rPr>
          <w:rFonts w:hint="eastAsia"/>
          <w:color w:val="000000" w:themeColor="text1"/>
          <w:szCs w:val="24"/>
          <w:highlight w:val="none"/>
          <w14:textFill>
            <w14:solidFill>
              <w14:schemeClr w14:val="tx1"/>
            </w14:solidFill>
          </w14:textFill>
        </w:rPr>
        <w:t>，主要污染物为COD、氯化物、石油类，</w:t>
      </w:r>
      <w:r>
        <w:rPr>
          <w:color w:val="000000" w:themeColor="text1"/>
          <w:szCs w:val="24"/>
          <w:highlight w:val="none"/>
          <w14:textFill>
            <w14:solidFill>
              <w14:schemeClr w14:val="tx1"/>
            </w14:solidFill>
          </w14:textFill>
        </w:rPr>
        <w:t>各污染物浓度分别约为</w:t>
      </w:r>
      <w:r>
        <w:rPr>
          <w:rFonts w:hint="eastAsia"/>
          <w:color w:val="000000" w:themeColor="text1"/>
          <w:szCs w:val="24"/>
          <w:highlight w:val="none"/>
          <w14:textFill>
            <w14:solidFill>
              <w14:schemeClr w14:val="tx1"/>
            </w14:solidFill>
          </w14:textFill>
        </w:rPr>
        <w:t>50</w:t>
      </w:r>
      <w:r>
        <w:rPr>
          <w:color w:val="000000" w:themeColor="text1"/>
          <w:szCs w:val="24"/>
          <w:highlight w:val="none"/>
          <w14:textFill>
            <w14:solidFill>
              <w14:schemeClr w14:val="tx1"/>
            </w14:solidFill>
          </w14:textFill>
        </w:rPr>
        <w:t>00mg/L、</w:t>
      </w:r>
      <w:r>
        <w:rPr>
          <w:rFonts w:hint="eastAsia"/>
          <w:color w:val="000000" w:themeColor="text1"/>
          <w:szCs w:val="24"/>
          <w:highlight w:val="none"/>
          <w14:textFill>
            <w14:solidFill>
              <w14:schemeClr w14:val="tx1"/>
            </w14:solidFill>
          </w14:textFill>
        </w:rPr>
        <w:t>4</w:t>
      </w:r>
      <w:r>
        <w:rPr>
          <w:color w:val="000000" w:themeColor="text1"/>
          <w:szCs w:val="24"/>
          <w:highlight w:val="none"/>
          <w14:textFill>
            <w14:solidFill>
              <w14:schemeClr w14:val="tx1"/>
            </w14:solidFill>
          </w14:textFill>
        </w:rPr>
        <w:t>000mg/L和</w:t>
      </w:r>
      <w:r>
        <w:rPr>
          <w:rFonts w:hint="eastAsia"/>
          <w:color w:val="000000" w:themeColor="text1"/>
          <w:szCs w:val="24"/>
          <w:highlight w:val="none"/>
          <w14:textFill>
            <w14:solidFill>
              <w14:schemeClr w14:val="tx1"/>
            </w14:solidFill>
          </w14:textFill>
        </w:rPr>
        <w:t>200</w:t>
      </w:r>
      <w:r>
        <w:rPr>
          <w:color w:val="000000" w:themeColor="text1"/>
          <w:szCs w:val="24"/>
          <w:highlight w:val="none"/>
          <w14:textFill>
            <w14:solidFill>
              <w14:schemeClr w14:val="tx1"/>
            </w14:solidFill>
          </w14:textFill>
        </w:rPr>
        <w:t>mg/L</w:t>
      </w:r>
      <w:r>
        <w:rPr>
          <w:rFonts w:hint="eastAsia"/>
          <w:color w:val="000000" w:themeColor="text1"/>
          <w:szCs w:val="24"/>
          <w:highlight w:val="none"/>
          <w14:textFill>
            <w14:solidFill>
              <w14:schemeClr w14:val="tx1"/>
            </w14:solidFill>
          </w14:textFill>
        </w:rPr>
        <w:t>。</w:t>
      </w:r>
      <w:r>
        <w:rPr>
          <w:rFonts w:cs="Times New Roman"/>
          <w:bCs/>
          <w:color w:val="000000" w:themeColor="text1"/>
          <w:highlight w:val="none"/>
          <w14:textFill>
            <w14:solidFill>
              <w14:schemeClr w14:val="tx1"/>
            </w14:solidFill>
          </w14:textFill>
        </w:rPr>
        <w:t>分离气田水进入</w:t>
      </w:r>
      <w:r>
        <w:rPr>
          <w:rFonts w:hint="eastAsia" w:cs="Times New Roman"/>
          <w:bCs/>
          <w:color w:val="000000" w:themeColor="text1"/>
          <w:highlight w:val="none"/>
          <w14:textFill>
            <w14:solidFill>
              <w14:schemeClr w14:val="tx1"/>
            </w14:solidFill>
          </w14:textFill>
        </w:rPr>
        <w:t>试采</w:t>
      </w:r>
      <w:r>
        <w:rPr>
          <w:rFonts w:cs="Times New Roman"/>
          <w:bCs/>
          <w:color w:val="000000" w:themeColor="text1"/>
          <w:highlight w:val="none"/>
          <w14:textFill>
            <w14:solidFill>
              <w14:schemeClr w14:val="tx1"/>
            </w14:solidFill>
          </w14:textFill>
        </w:rPr>
        <w:t>站建设的</w:t>
      </w:r>
      <w:r>
        <w:rPr>
          <w:rFonts w:hint="eastAsia" w:cs="Times New Roman"/>
          <w:bCs/>
          <w:color w:val="000000" w:themeColor="text1"/>
          <w:highlight w:val="none"/>
          <w14:textFill>
            <w14:solidFill>
              <w14:schemeClr w14:val="tx1"/>
            </w14:solidFill>
          </w14:textFill>
        </w:rPr>
        <w:t>污水</w:t>
      </w:r>
      <w:r>
        <w:rPr>
          <w:rFonts w:cs="Times New Roman"/>
          <w:bCs/>
          <w:color w:val="000000" w:themeColor="text1"/>
          <w:highlight w:val="none"/>
          <w14:textFill>
            <w14:solidFill>
              <w14:schemeClr w14:val="tx1"/>
            </w14:solidFill>
          </w14:textFill>
        </w:rPr>
        <w:t>罐</w:t>
      </w:r>
      <w:r>
        <w:rPr>
          <w:rFonts w:hint="eastAsia" w:cs="Times New Roman"/>
          <w:bCs/>
          <w:color w:val="000000" w:themeColor="text1"/>
          <w:highlight w:val="none"/>
          <w14:textFill>
            <w14:solidFill>
              <w14:schemeClr w14:val="tx1"/>
            </w14:solidFill>
          </w14:textFill>
        </w:rPr>
        <w:t>（50m</w:t>
      </w:r>
      <w:r>
        <w:rPr>
          <w:rFonts w:hint="eastAsia" w:cs="Times New Roman"/>
          <w:bCs/>
          <w:color w:val="000000" w:themeColor="text1"/>
          <w:highlight w:val="none"/>
          <w:vertAlign w:val="superscript"/>
          <w14:textFill>
            <w14:solidFill>
              <w14:schemeClr w14:val="tx1"/>
            </w14:solidFill>
          </w14:textFill>
        </w:rPr>
        <w:t>3</w:t>
      </w:r>
      <w:r>
        <w:rPr>
          <w:rFonts w:hint="eastAsia" w:cs="Times New Roman"/>
          <w:bCs/>
          <w:color w:val="000000" w:themeColor="text1"/>
          <w:highlight w:val="none"/>
          <w14:textFill>
            <w14:solidFill>
              <w14:schemeClr w14:val="tx1"/>
            </w14:solidFill>
          </w14:textFill>
        </w:rPr>
        <w:t>）</w:t>
      </w:r>
      <w:r>
        <w:rPr>
          <w:rFonts w:cs="Times New Roman"/>
          <w:bCs/>
          <w:color w:val="000000" w:themeColor="text1"/>
          <w:highlight w:val="none"/>
          <w14:textFill>
            <w14:solidFill>
              <w14:schemeClr w14:val="tx1"/>
            </w14:solidFill>
          </w14:textFill>
        </w:rPr>
        <w:t>暂存，暂存一定量后</w:t>
      </w:r>
      <w:r>
        <w:rPr>
          <w:rFonts w:hint="eastAsia" w:cs="Times New Roman"/>
          <w:bCs/>
          <w:color w:val="000000" w:themeColor="text1"/>
          <w:highlight w:val="none"/>
          <w14:textFill>
            <w14:solidFill>
              <w14:schemeClr w14:val="tx1"/>
            </w14:solidFill>
          </w14:textFill>
        </w:rPr>
        <w:t>通过密闭罐车拉运至赵家坝污水处理站达到《气田水回注方法》（SY/T 6596-2016）中注入水基本要求后管输至普光3井回注站回注处理，不外排</w:t>
      </w:r>
      <w:r>
        <w:rPr>
          <w:rFonts w:cs="Times New Roman"/>
          <w:bCs/>
          <w:color w:val="000000" w:themeColor="text1"/>
          <w:highlight w:val="none"/>
          <w14:textFill>
            <w14:solidFill>
              <w14:schemeClr w14:val="tx1"/>
            </w14:solidFill>
          </w14:textFill>
        </w:rPr>
        <w:t>。</w:t>
      </w:r>
    </w:p>
    <w:p>
      <w:pPr>
        <w:autoSpaceDE w:val="0"/>
        <w:autoSpaceDN w:val="0"/>
        <w:spacing w:before="120" w:beforeLines="50"/>
        <w:ind w:firstLine="480"/>
        <w:textAlignment w:val="baseline"/>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2）非正常工况井下作业废水</w:t>
      </w:r>
    </w:p>
    <w:p>
      <w:pPr>
        <w:autoSpaceDE w:val="0"/>
        <w:autoSpaceDN w:val="0"/>
        <w:ind w:firstLine="480"/>
        <w:textAlignment w:val="baseline"/>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正常试采期，当地层堵塞时，为提高地层渗透率，需进行压裂酸化等作业，属于试采期非正常工况。根据类比调查，作业频次为1次/a，单井排放量为50m</w:t>
      </w:r>
      <w:r>
        <w:rPr>
          <w:rFonts w:cs="Times New Roman"/>
          <w:bCs/>
          <w:color w:val="000000" w:themeColor="text1"/>
          <w:highlight w:val="none"/>
          <w:vertAlign w:val="superscript"/>
          <w14:textFill>
            <w14:solidFill>
              <w14:schemeClr w14:val="tx1"/>
            </w14:solidFill>
          </w14:textFill>
        </w:rPr>
        <w:t>3</w:t>
      </w:r>
      <w:r>
        <w:rPr>
          <w:rFonts w:cs="Times New Roman"/>
          <w:bCs/>
          <w:color w:val="000000" w:themeColor="text1"/>
          <w:highlight w:val="none"/>
          <w14:textFill>
            <w14:solidFill>
              <w14:schemeClr w14:val="tx1"/>
            </w14:solidFill>
          </w14:textFill>
        </w:rPr>
        <w:t>/a，废水</w:t>
      </w:r>
      <w:r>
        <w:rPr>
          <w:rFonts w:hint="eastAsia" w:cs="Times New Roman"/>
          <w:bCs/>
          <w:color w:val="000000" w:themeColor="text1"/>
          <w:highlight w:val="none"/>
          <w14:textFill>
            <w14:solidFill>
              <w14:schemeClr w14:val="tx1"/>
            </w14:solidFill>
          </w14:textFill>
        </w:rPr>
        <w:t>通过密闭罐车拉运至赵家坝污水处理站达到《气田水回注方法》（SY/T 6596-2016）中注入水基本要求后管输至普光3井回注站回注处理，不外排</w:t>
      </w:r>
      <w:r>
        <w:rPr>
          <w:rFonts w:cs="Times New Roman"/>
          <w:bCs/>
          <w:color w:val="000000" w:themeColor="text1"/>
          <w:highlight w:val="none"/>
          <w14:textFill>
            <w14:solidFill>
              <w14:schemeClr w14:val="tx1"/>
            </w14:solidFill>
          </w14:textFill>
        </w:rPr>
        <w:t>。</w:t>
      </w:r>
    </w:p>
    <w:p>
      <w:pPr>
        <w:autoSpaceDE w:val="0"/>
        <w:autoSpaceDN w:val="0"/>
        <w:ind w:firstLine="480"/>
        <w:textAlignment w:val="baseline"/>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3）生活污水</w:t>
      </w:r>
    </w:p>
    <w:p>
      <w:pPr>
        <w:autoSpaceDE w:val="0"/>
        <w:autoSpaceDN w:val="0"/>
        <w:ind w:firstLine="480"/>
        <w:textAlignment w:val="baseline"/>
        <w:rPr>
          <w:rFonts w:cs="Times New Roman"/>
          <w:bCs/>
          <w:color w:val="000000" w:themeColor="text1"/>
          <w:highlight w:val="none"/>
          <w14:textFill>
            <w14:solidFill>
              <w14:schemeClr w14:val="tx1"/>
            </w14:solidFill>
          </w14:textFill>
        </w:rPr>
      </w:pPr>
      <w:r>
        <w:rPr>
          <w:rFonts w:cs="Times New Roman"/>
          <w:bCs/>
          <w:color w:val="000000" w:themeColor="text1"/>
          <w:kern w:val="0"/>
          <w:szCs w:val="24"/>
          <w:highlight w:val="none"/>
          <w14:textFill>
            <w14:solidFill>
              <w14:schemeClr w14:val="tx1"/>
            </w14:solidFill>
          </w14:textFill>
        </w:rPr>
        <w:t>本项目运营期有人值守，劳动定员</w:t>
      </w:r>
      <w:r>
        <w:rPr>
          <w:rFonts w:hint="eastAsia" w:cs="Times New Roman"/>
          <w:bCs/>
          <w:color w:val="000000" w:themeColor="text1"/>
          <w:kern w:val="0"/>
          <w:szCs w:val="24"/>
          <w:highlight w:val="none"/>
          <w14:textFill>
            <w14:solidFill>
              <w14:schemeClr w14:val="tx1"/>
            </w14:solidFill>
          </w14:textFill>
        </w:rPr>
        <w:t>10</w:t>
      </w:r>
      <w:r>
        <w:rPr>
          <w:rFonts w:cs="Times New Roman"/>
          <w:bCs/>
          <w:color w:val="000000" w:themeColor="text1"/>
          <w:kern w:val="0"/>
          <w:szCs w:val="24"/>
          <w:highlight w:val="none"/>
          <w14:textFill>
            <w14:solidFill>
              <w14:schemeClr w14:val="tx1"/>
            </w14:solidFill>
          </w14:textFill>
        </w:rPr>
        <w:t>人，</w:t>
      </w:r>
      <w:r>
        <w:rPr>
          <w:rFonts w:cs="Times New Roman"/>
          <w:color w:val="000000" w:themeColor="text1"/>
          <w:kern w:val="0"/>
          <w:highlight w:val="none"/>
          <w14:textFill>
            <w14:solidFill>
              <w14:schemeClr w14:val="tx1"/>
            </w14:solidFill>
          </w14:textFill>
        </w:rPr>
        <w:t>人均用水定额为130L/人·d（来源于四川省人民政府关于印发《四川省用水定额》的通知（川府函〔2021〕8号）），</w:t>
      </w:r>
      <w:r>
        <w:rPr>
          <w:rFonts w:cs="Times New Roman"/>
          <w:color w:val="000000" w:themeColor="text1"/>
          <w:szCs w:val="24"/>
          <w:highlight w:val="none"/>
          <w14:textFill>
            <w14:solidFill>
              <w14:schemeClr w14:val="tx1"/>
            </w14:solidFill>
          </w14:textFill>
        </w:rPr>
        <w:t>则生活用水量为</w:t>
      </w:r>
      <w:r>
        <w:rPr>
          <w:rFonts w:hint="eastAsia" w:cs="Times New Roman"/>
          <w:color w:val="000000" w:themeColor="text1"/>
          <w:szCs w:val="24"/>
          <w:highlight w:val="none"/>
          <w14:textFill>
            <w14:solidFill>
              <w14:schemeClr w14:val="tx1"/>
            </w14:solidFill>
          </w14:textFill>
        </w:rPr>
        <w:t>1.3</w:t>
      </w:r>
      <w:r>
        <w:rPr>
          <w:rFonts w:cs="Times New Roman"/>
          <w:color w:val="000000" w:themeColor="text1"/>
          <w:szCs w:val="24"/>
          <w:highlight w:val="none"/>
          <w14:textFill>
            <w14:solidFill>
              <w14:schemeClr w14:val="tx1"/>
            </w14:solidFill>
          </w14:textFill>
        </w:rPr>
        <w:t>m</w:t>
      </w:r>
      <w:r>
        <w:rPr>
          <w:rFonts w:cs="Times New Roman"/>
          <w:color w:val="000000" w:themeColor="text1"/>
          <w:szCs w:val="24"/>
          <w:highlight w:val="none"/>
          <w:vertAlign w:val="superscript"/>
          <w14:textFill>
            <w14:solidFill>
              <w14:schemeClr w14:val="tx1"/>
            </w14:solidFill>
          </w14:textFill>
        </w:rPr>
        <w:t>3</w:t>
      </w:r>
      <w:r>
        <w:rPr>
          <w:rFonts w:cs="Times New Roman"/>
          <w:color w:val="000000" w:themeColor="text1"/>
          <w:szCs w:val="24"/>
          <w:highlight w:val="none"/>
          <w14:textFill>
            <w14:solidFill>
              <w14:schemeClr w14:val="tx1"/>
            </w14:solidFill>
          </w14:textFill>
        </w:rPr>
        <w:t>/d，生活污水排放量按用水量的90%计，则开采期生活污水排放量为</w:t>
      </w:r>
      <w:r>
        <w:rPr>
          <w:rFonts w:hint="eastAsia" w:cs="Times New Roman"/>
          <w:color w:val="000000" w:themeColor="text1"/>
          <w:szCs w:val="24"/>
          <w:highlight w:val="none"/>
          <w14:textFill>
            <w14:solidFill>
              <w14:schemeClr w14:val="tx1"/>
            </w14:solidFill>
          </w14:textFill>
        </w:rPr>
        <w:t>1.17</w:t>
      </w:r>
      <w:r>
        <w:rPr>
          <w:rFonts w:cs="Times New Roman"/>
          <w:color w:val="000000" w:themeColor="text1"/>
          <w:szCs w:val="24"/>
          <w:highlight w:val="none"/>
          <w14:textFill>
            <w14:solidFill>
              <w14:schemeClr w14:val="tx1"/>
            </w14:solidFill>
          </w14:textFill>
        </w:rPr>
        <w:t>m</w:t>
      </w:r>
      <w:r>
        <w:rPr>
          <w:rFonts w:cs="Times New Roman"/>
          <w:color w:val="000000" w:themeColor="text1"/>
          <w:szCs w:val="24"/>
          <w:highlight w:val="none"/>
          <w:vertAlign w:val="superscript"/>
          <w14:textFill>
            <w14:solidFill>
              <w14:schemeClr w14:val="tx1"/>
            </w14:solidFill>
          </w14:textFill>
        </w:rPr>
        <w:t>3</w:t>
      </w:r>
      <w:r>
        <w:rPr>
          <w:rFonts w:cs="Times New Roman"/>
          <w:color w:val="000000" w:themeColor="text1"/>
          <w:szCs w:val="24"/>
          <w:highlight w:val="none"/>
          <w14:textFill>
            <w14:solidFill>
              <w14:schemeClr w14:val="tx1"/>
            </w14:solidFill>
          </w14:textFill>
        </w:rPr>
        <w:t>/d。类比调查同类型项目，生活污水主要污染物成分及浓度为：BOD</w:t>
      </w:r>
      <w:r>
        <w:rPr>
          <w:rFonts w:cs="Times New Roman"/>
          <w:color w:val="000000" w:themeColor="text1"/>
          <w:szCs w:val="24"/>
          <w:highlight w:val="none"/>
          <w:vertAlign w:val="subscript"/>
          <w14:textFill>
            <w14:solidFill>
              <w14:schemeClr w14:val="tx1"/>
            </w14:solidFill>
          </w14:textFill>
        </w:rPr>
        <w:t>5</w:t>
      </w:r>
      <w:r>
        <w:rPr>
          <w:rFonts w:cs="Times New Roman"/>
          <w:color w:val="000000" w:themeColor="text1"/>
          <w:szCs w:val="24"/>
          <w:highlight w:val="none"/>
          <w14:textFill>
            <w14:solidFill>
              <w14:schemeClr w14:val="tx1"/>
            </w14:solidFill>
          </w14:textFill>
        </w:rPr>
        <w:t>200~250mg/L，COD</w:t>
      </w:r>
      <w:r>
        <w:rPr>
          <w:rFonts w:cs="Times New Roman"/>
          <w:color w:val="000000" w:themeColor="text1"/>
          <w:szCs w:val="24"/>
          <w:highlight w:val="none"/>
          <w:vertAlign w:val="subscript"/>
          <w14:textFill>
            <w14:solidFill>
              <w14:schemeClr w14:val="tx1"/>
            </w14:solidFill>
          </w14:textFill>
        </w:rPr>
        <w:t>Cr</w:t>
      </w:r>
      <w:r>
        <w:rPr>
          <w:rFonts w:cs="Times New Roman"/>
          <w:color w:val="000000" w:themeColor="text1"/>
          <w:szCs w:val="24"/>
          <w:highlight w:val="none"/>
          <w14:textFill>
            <w14:solidFill>
              <w14:schemeClr w14:val="tx1"/>
            </w14:solidFill>
          </w14:textFill>
        </w:rPr>
        <w:t>400~500mg/L，NH</w:t>
      </w:r>
      <w:r>
        <w:rPr>
          <w:rFonts w:cs="Times New Roman"/>
          <w:color w:val="000000" w:themeColor="text1"/>
          <w:szCs w:val="24"/>
          <w:highlight w:val="none"/>
          <w:vertAlign w:val="subscript"/>
          <w14:textFill>
            <w14:solidFill>
              <w14:schemeClr w14:val="tx1"/>
            </w14:solidFill>
          </w14:textFill>
        </w:rPr>
        <w:t>3</w:t>
      </w:r>
      <w:r>
        <w:rPr>
          <w:rFonts w:cs="Times New Roman"/>
          <w:color w:val="000000" w:themeColor="text1"/>
          <w:szCs w:val="24"/>
          <w:highlight w:val="none"/>
          <w14:textFill>
            <w14:solidFill>
              <w14:schemeClr w14:val="tx1"/>
            </w14:solidFill>
          </w14:textFill>
        </w:rPr>
        <w:t>-N40~140mg/L，SS500~600mg/L，石油类2</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10mg/L，动植物油15</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40mg/L</w:t>
      </w:r>
      <w:r>
        <w:rPr>
          <w:rFonts w:cs="Times New Roman"/>
          <w:bCs/>
          <w:color w:val="000000" w:themeColor="text1"/>
          <w:kern w:val="0"/>
          <w:szCs w:val="24"/>
          <w:highlight w:val="none"/>
          <w14:textFill>
            <w14:solidFill>
              <w14:schemeClr w14:val="tx1"/>
            </w14:solidFill>
          </w14:textFill>
        </w:rPr>
        <w:t>。</w:t>
      </w:r>
      <w:r>
        <w:rPr>
          <w:rFonts w:cs="Times New Roman"/>
          <w:bCs/>
          <w:color w:val="000000" w:themeColor="text1"/>
          <w:kern w:val="0"/>
          <w:highlight w:val="none"/>
          <w14:textFill>
            <w14:solidFill>
              <w14:schemeClr w14:val="tx1"/>
            </w14:solidFill>
          </w14:textFill>
        </w:rPr>
        <w:t>值守人员生活污水经生态厕所收集后定期由密闭罐车拉运至周边生活污水处理厂处理。</w:t>
      </w:r>
    </w:p>
    <w:p>
      <w:pPr>
        <w:pStyle w:val="6"/>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噪声</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1、噪声源调查</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根据调查，本项目运营期噪声主要来自燃气发电机组、高压旋流分离器、组合式加热分离净化脱水撬等设备，另外</w:t>
      </w:r>
      <w:r>
        <w:rPr>
          <w:rFonts w:hint="eastAsia"/>
          <w:bCs/>
          <w:color w:val="000000" w:themeColor="text1"/>
          <w:highlight w:val="none"/>
          <w14:textFill>
            <w14:solidFill>
              <w14:schemeClr w14:val="tx1"/>
            </w14:solidFill>
          </w14:textFill>
        </w:rPr>
        <w:t>，系</w:t>
      </w:r>
      <w:r>
        <w:rPr>
          <w:bCs/>
          <w:color w:val="000000" w:themeColor="text1"/>
          <w:highlight w:val="none"/>
          <w14:textFill>
            <w14:solidFill>
              <w14:schemeClr w14:val="tx1"/>
            </w14:solidFill>
          </w14:textFill>
        </w:rPr>
        <w:t>统超压状况下，通过新建放</w:t>
      </w:r>
      <w:r>
        <w:rPr>
          <w:rFonts w:hint="eastAsia"/>
          <w:bCs/>
          <w:color w:val="000000" w:themeColor="text1"/>
          <w:highlight w:val="none"/>
          <w14:textFill>
            <w14:solidFill>
              <w14:schemeClr w14:val="tx1"/>
            </w14:solidFill>
          </w14:textFill>
        </w:rPr>
        <w:t>空</w:t>
      </w:r>
      <w:r>
        <w:rPr>
          <w:bCs/>
          <w:color w:val="000000" w:themeColor="text1"/>
          <w:highlight w:val="none"/>
          <w14:textFill>
            <w14:solidFill>
              <w14:schemeClr w14:val="tx1"/>
            </w14:solidFill>
          </w14:textFill>
        </w:rPr>
        <w:t>管引致</w:t>
      </w:r>
      <w:r>
        <w:rPr>
          <w:rFonts w:hint="eastAsia"/>
          <w:bCs/>
          <w:color w:val="000000" w:themeColor="text1"/>
          <w:highlight w:val="none"/>
          <w14:textFill>
            <w14:solidFill>
              <w14:schemeClr w14:val="tx1"/>
            </w14:solidFill>
          </w14:textFill>
        </w:rPr>
        <w:t>放空管</w:t>
      </w:r>
      <w:r>
        <w:rPr>
          <w:bCs/>
          <w:color w:val="000000" w:themeColor="text1"/>
          <w:highlight w:val="none"/>
          <w14:textFill>
            <w14:solidFill>
              <w14:schemeClr w14:val="tx1"/>
            </w14:solidFill>
          </w14:textFill>
        </w:rPr>
        <w:t>处点火燃烧也将产生</w:t>
      </w:r>
      <w:r>
        <w:rPr>
          <w:rFonts w:hint="eastAsia"/>
          <w:bCs/>
          <w:color w:val="000000" w:themeColor="text1"/>
          <w:highlight w:val="none"/>
          <w14:textFill>
            <w14:solidFill>
              <w14:schemeClr w14:val="tx1"/>
            </w14:solidFill>
          </w14:textFill>
        </w:rPr>
        <w:t>放空</w:t>
      </w:r>
      <w:r>
        <w:rPr>
          <w:bCs/>
          <w:color w:val="000000" w:themeColor="text1"/>
          <w:highlight w:val="none"/>
          <w14:textFill>
            <w14:solidFill>
              <w14:schemeClr w14:val="tx1"/>
            </w14:solidFill>
          </w14:textFill>
        </w:rPr>
        <w:t>噪声。项目主要的噪声源介绍如下。</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w:t>
      </w:r>
      <w:r>
        <w:rPr>
          <w:rFonts w:hint="eastAsia"/>
          <w:bCs/>
          <w:color w:val="000000" w:themeColor="text1"/>
          <w:highlight w:val="none"/>
          <w14:textFill>
            <w14:solidFill>
              <w14:schemeClr w14:val="tx1"/>
            </w14:solidFill>
          </w14:textFill>
        </w:rPr>
        <w:t>水套炉、分子筛脱水装置</w:t>
      </w:r>
      <w:r>
        <w:rPr>
          <w:bCs/>
          <w:color w:val="000000" w:themeColor="text1"/>
          <w:highlight w:val="none"/>
          <w14:textFill>
            <w14:solidFill>
              <w14:schemeClr w14:val="tx1"/>
            </w14:solidFill>
          </w14:textFill>
        </w:rPr>
        <w:t>及</w:t>
      </w:r>
      <w:r>
        <w:rPr>
          <w:rFonts w:hint="eastAsia"/>
          <w:bCs/>
          <w:color w:val="000000" w:themeColor="text1"/>
          <w:highlight w:val="none"/>
          <w14:textFill>
            <w14:solidFill>
              <w14:schemeClr w14:val="tx1"/>
            </w14:solidFill>
          </w14:textFill>
        </w:rPr>
        <w:t>重力分离</w:t>
      </w:r>
      <w:r>
        <w:rPr>
          <w:bCs/>
          <w:color w:val="000000" w:themeColor="text1"/>
          <w:highlight w:val="none"/>
          <w14:textFill>
            <w14:solidFill>
              <w14:schemeClr w14:val="tx1"/>
            </w14:solidFill>
          </w14:textFill>
        </w:rPr>
        <w:t>撬</w:t>
      </w:r>
    </w:p>
    <w:p>
      <w:pPr>
        <w:ind w:firstLine="480"/>
        <w:rPr>
          <w:bCs/>
          <w:color w:val="000000" w:themeColor="text1"/>
          <w:highlight w:val="none"/>
          <w14:textFill>
            <w14:solidFill>
              <w14:schemeClr w14:val="tx1"/>
            </w14:solidFill>
          </w14:textFill>
        </w:rPr>
      </w:pPr>
      <w:r>
        <w:rPr>
          <w:rFonts w:hint="eastAsia"/>
          <w:bCs/>
          <w:color w:val="000000" w:themeColor="text1"/>
          <w:highlight w:val="none"/>
          <w14:textFill>
            <w14:solidFill>
              <w14:schemeClr w14:val="tx1"/>
            </w14:solidFill>
          </w14:textFill>
        </w:rPr>
        <w:t>水套炉、分子筛脱水装置、装车泵撬</w:t>
      </w:r>
      <w:r>
        <w:rPr>
          <w:bCs/>
          <w:color w:val="000000" w:themeColor="text1"/>
          <w:highlight w:val="none"/>
          <w14:textFill>
            <w14:solidFill>
              <w14:schemeClr w14:val="tx1"/>
            </w14:solidFill>
          </w14:textFill>
        </w:rPr>
        <w:t>及</w:t>
      </w:r>
      <w:r>
        <w:rPr>
          <w:rFonts w:hint="eastAsia"/>
          <w:bCs/>
          <w:color w:val="000000" w:themeColor="text1"/>
          <w:highlight w:val="none"/>
          <w14:textFill>
            <w14:solidFill>
              <w14:schemeClr w14:val="tx1"/>
            </w14:solidFill>
          </w14:textFill>
        </w:rPr>
        <w:t>重力分离</w:t>
      </w:r>
      <w:r>
        <w:rPr>
          <w:bCs/>
          <w:color w:val="000000" w:themeColor="text1"/>
          <w:highlight w:val="none"/>
          <w14:textFill>
            <w14:solidFill>
              <w14:schemeClr w14:val="tx1"/>
            </w14:solidFill>
          </w14:textFill>
        </w:rPr>
        <w:t>撬</w:t>
      </w:r>
      <w:r>
        <w:rPr>
          <w:bCs/>
          <w:smallCaps/>
          <w:color w:val="000000" w:themeColor="text1"/>
          <w:highlight w:val="none"/>
          <w14:textFill>
            <w14:solidFill>
              <w14:schemeClr w14:val="tx1"/>
            </w14:solidFill>
          </w14:textFill>
        </w:rPr>
        <w:t>，其噪声来源于内部的组件，其噪声源强以机械噪声和气流摩擦噪声为主，噪声源强约60~70</w:t>
      </w:r>
      <w:r>
        <w:rPr>
          <w:rFonts w:hint="eastAsia"/>
          <w:bCs/>
          <w:color w:val="000000" w:themeColor="text1"/>
          <w:highlight w:val="none"/>
          <w14:textFill>
            <w14:solidFill>
              <w14:schemeClr w14:val="tx1"/>
            </w14:solidFill>
          </w14:textFill>
        </w:rPr>
        <w:t>d</w:t>
      </w:r>
      <w:r>
        <w:rPr>
          <w:bCs/>
          <w:smallCaps/>
          <w:color w:val="000000" w:themeColor="text1"/>
          <w:highlight w:val="none"/>
          <w14:textFill>
            <w14:solidFill>
              <w14:schemeClr w14:val="tx1"/>
            </w14:solidFill>
          </w14:textFill>
        </w:rPr>
        <w:t>B（A）</w:t>
      </w:r>
      <w:r>
        <w:rPr>
          <w:rFonts w:hint="eastAsia"/>
          <w:bCs/>
          <w:smallCaps/>
          <w:color w:val="000000" w:themeColor="text1"/>
          <w:highlight w:val="none"/>
          <w14:textFill>
            <w14:solidFill>
              <w14:schemeClr w14:val="tx1"/>
            </w14:solidFill>
          </w14:textFill>
        </w:rPr>
        <w:t>。</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w:t>
      </w:r>
      <w:r>
        <w:rPr>
          <w:rFonts w:hint="eastAsia"/>
          <w:bCs/>
          <w:color w:val="000000" w:themeColor="text1"/>
          <w:highlight w:val="none"/>
          <w14:textFill>
            <w14:solidFill>
              <w14:schemeClr w14:val="tx1"/>
            </w14:solidFill>
          </w14:textFill>
        </w:rPr>
        <w:t>2</w:t>
      </w:r>
      <w:r>
        <w:rPr>
          <w:bCs/>
          <w:color w:val="000000" w:themeColor="text1"/>
          <w:highlight w:val="none"/>
          <w14:textFill>
            <w14:solidFill>
              <w14:schemeClr w14:val="tx1"/>
            </w14:solidFill>
          </w14:textFill>
        </w:rPr>
        <w:t>）放空噪声</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放空噪声主要是在</w:t>
      </w:r>
      <w:r>
        <w:rPr>
          <w:rFonts w:hint="eastAsia"/>
          <w:bCs/>
          <w:color w:val="000000" w:themeColor="text1"/>
          <w:highlight w:val="none"/>
          <w14:textFill>
            <w14:solidFill>
              <w14:schemeClr w14:val="tx1"/>
            </w14:solidFill>
          </w14:textFill>
        </w:rPr>
        <w:t>试</w:t>
      </w:r>
      <w:r>
        <w:rPr>
          <w:bCs/>
          <w:color w:val="000000" w:themeColor="text1"/>
          <w:highlight w:val="none"/>
          <w14:textFill>
            <w14:solidFill>
              <w14:schemeClr w14:val="tx1"/>
            </w14:solidFill>
          </w14:textFill>
        </w:rPr>
        <w:t>采期事故和检修</w:t>
      </w:r>
      <w:r>
        <w:rPr>
          <w:rFonts w:hint="eastAsia"/>
          <w:bCs/>
          <w:color w:val="000000" w:themeColor="text1"/>
          <w:highlight w:val="none"/>
          <w14:textFill>
            <w14:solidFill>
              <w14:schemeClr w14:val="tx1"/>
            </w14:solidFill>
          </w14:textFill>
        </w:rPr>
        <w:t>工况时</w:t>
      </w:r>
      <w:r>
        <w:rPr>
          <w:bCs/>
          <w:color w:val="000000" w:themeColor="text1"/>
          <w:highlight w:val="none"/>
          <w14:textFill>
            <w14:solidFill>
              <w14:schemeClr w14:val="tx1"/>
            </w14:solidFill>
          </w14:textFill>
        </w:rPr>
        <w:t>排放的少量天然气引至</w:t>
      </w:r>
      <w:r>
        <w:rPr>
          <w:rFonts w:hint="eastAsia"/>
          <w:bCs/>
          <w:color w:val="000000" w:themeColor="text1"/>
          <w:highlight w:val="none"/>
          <w14:textFill>
            <w14:solidFill>
              <w14:schemeClr w14:val="tx1"/>
            </w14:solidFill>
          </w14:textFill>
        </w:rPr>
        <w:t>放空管</w:t>
      </w:r>
      <w:r>
        <w:rPr>
          <w:bCs/>
          <w:color w:val="000000" w:themeColor="text1"/>
          <w:highlight w:val="none"/>
          <w14:textFill>
            <w14:solidFill>
              <w14:schemeClr w14:val="tx1"/>
            </w14:solidFill>
          </w14:textFill>
        </w:rPr>
        <w:t>点火燃烧，噪声主要来源于气流摩擦噪声，放空噪声可达80dB左右，持续时间在2</w:t>
      </w:r>
      <w:r>
        <w:rPr>
          <w:rFonts w:hint="eastAsia"/>
          <w:bCs/>
          <w:color w:val="000000" w:themeColor="text1"/>
          <w:highlight w:val="none"/>
          <w14:textFill>
            <w14:solidFill>
              <w14:schemeClr w14:val="tx1"/>
            </w14:solidFill>
          </w14:textFill>
        </w:rPr>
        <w:t>～</w:t>
      </w:r>
      <w:r>
        <w:rPr>
          <w:bCs/>
          <w:color w:val="000000" w:themeColor="text1"/>
          <w:highlight w:val="none"/>
          <w14:textFill>
            <w14:solidFill>
              <w14:schemeClr w14:val="tx1"/>
            </w14:solidFill>
          </w14:textFill>
        </w:rPr>
        <w:t>5min。</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2、噪声控制措施</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为减小噪声影响，本项目拟采取以下噪声防治措施：</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首先在平面布置时进行合理布局，控制气流速度，减少站场工艺管线的弯头、三通等管件，降低</w:t>
      </w:r>
      <w:r>
        <w:rPr>
          <w:rFonts w:hint="eastAsia"/>
          <w:bCs/>
          <w:color w:val="000000" w:themeColor="text1"/>
          <w:highlight w:val="none"/>
          <w14:textFill>
            <w14:solidFill>
              <w14:schemeClr w14:val="tx1"/>
            </w14:solidFill>
          </w14:textFill>
        </w:rPr>
        <w:t>试采</w:t>
      </w:r>
      <w:r>
        <w:rPr>
          <w:bCs/>
          <w:color w:val="000000" w:themeColor="text1"/>
          <w:highlight w:val="none"/>
          <w14:textFill>
            <w14:solidFill>
              <w14:schemeClr w14:val="tx1"/>
            </w14:solidFill>
          </w14:textFill>
        </w:rPr>
        <w:t>站内噪声；</w:t>
      </w:r>
    </w:p>
    <w:p>
      <w:pPr>
        <w:ind w:firstLine="480"/>
        <w:rPr>
          <w:rFonts w:cs="Times New Roman"/>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其次，选用高效低噪声的</w:t>
      </w:r>
      <w:r>
        <w:rPr>
          <w:rFonts w:hint="eastAsia"/>
          <w:bCs/>
          <w:color w:val="000000" w:themeColor="text1"/>
          <w:highlight w:val="none"/>
          <w14:textFill>
            <w14:solidFill>
              <w14:schemeClr w14:val="tx1"/>
            </w14:solidFill>
          </w14:textFill>
        </w:rPr>
        <w:t>水套炉</w:t>
      </w:r>
      <w:r>
        <w:rPr>
          <w:bCs/>
          <w:color w:val="000000" w:themeColor="text1"/>
          <w:highlight w:val="none"/>
          <w14:textFill>
            <w14:solidFill>
              <w14:schemeClr w14:val="tx1"/>
            </w14:solidFill>
          </w14:textFill>
        </w:rPr>
        <w:t>、分离器</w:t>
      </w:r>
      <w:r>
        <w:rPr>
          <w:rFonts w:hint="eastAsia"/>
          <w:bCs/>
          <w:color w:val="000000" w:themeColor="text1"/>
          <w:highlight w:val="none"/>
          <w14:textFill>
            <w14:solidFill>
              <w14:schemeClr w14:val="tx1"/>
            </w14:solidFill>
          </w14:textFill>
        </w:rPr>
        <w:t>、装车泵撬</w:t>
      </w:r>
      <w:r>
        <w:rPr>
          <w:bCs/>
          <w:color w:val="000000" w:themeColor="text1"/>
          <w:highlight w:val="none"/>
          <w14:textFill>
            <w14:solidFill>
              <w14:schemeClr w14:val="tx1"/>
            </w14:solidFill>
          </w14:textFill>
        </w:rPr>
        <w:t>和</w:t>
      </w:r>
      <w:r>
        <w:rPr>
          <w:rFonts w:hint="eastAsia"/>
          <w:bCs/>
          <w:color w:val="000000" w:themeColor="text1"/>
          <w:highlight w:val="none"/>
          <w14:textFill>
            <w14:solidFill>
              <w14:schemeClr w14:val="tx1"/>
            </w14:solidFill>
          </w14:textFill>
        </w:rPr>
        <w:t>分子筛脱水装置</w:t>
      </w:r>
      <w:r>
        <w:rPr>
          <w:bCs/>
          <w:color w:val="000000" w:themeColor="text1"/>
          <w:highlight w:val="none"/>
          <w14:textFill>
            <w14:solidFill>
              <w14:schemeClr w14:val="tx1"/>
            </w14:solidFill>
          </w14:textFill>
        </w:rPr>
        <w:t>，</w:t>
      </w:r>
      <w:r>
        <w:rPr>
          <w:rFonts w:hint="eastAsia"/>
          <w:bCs/>
          <w:color w:val="000000" w:themeColor="text1"/>
          <w:highlight w:val="none"/>
          <w14:textFill>
            <w14:solidFill>
              <w14:schemeClr w14:val="tx1"/>
            </w14:solidFill>
          </w14:textFill>
        </w:rPr>
        <w:t>对产噪设备</w:t>
      </w:r>
      <w:r>
        <w:rPr>
          <w:bCs/>
          <w:color w:val="000000" w:themeColor="text1"/>
          <w:highlight w:val="none"/>
          <w14:textFill>
            <w14:solidFill>
              <w14:schemeClr w14:val="tx1"/>
            </w14:solidFill>
          </w14:textFill>
        </w:rPr>
        <w:t>安装减振基础、将设备置于具备降噪效果的撬装箱体内等。通过采取这些噪声控制措施后，噪声源的声级值约</w:t>
      </w:r>
      <w:r>
        <w:rPr>
          <w:rFonts w:hint="eastAsia"/>
          <w:bCs/>
          <w:color w:val="000000" w:themeColor="text1"/>
          <w:highlight w:val="none"/>
          <w14:textFill>
            <w14:solidFill>
              <w14:schemeClr w14:val="tx1"/>
            </w14:solidFill>
          </w14:textFill>
        </w:rPr>
        <w:t>60</w:t>
      </w:r>
      <w:r>
        <w:rPr>
          <w:bCs/>
          <w:color w:val="000000" w:themeColor="text1"/>
          <w:highlight w:val="none"/>
          <w14:textFill>
            <w14:solidFill>
              <w14:schemeClr w14:val="tx1"/>
            </w14:solidFill>
          </w14:textFill>
        </w:rPr>
        <w:t>dB（A）</w:t>
      </w:r>
      <w:r>
        <w:rPr>
          <w:rFonts w:hint="eastAsia"/>
          <w:bCs/>
          <w:color w:val="000000" w:themeColor="text1"/>
          <w:highlight w:val="none"/>
          <w14:textFill>
            <w14:solidFill>
              <w14:schemeClr w14:val="tx1"/>
            </w14:solidFill>
          </w14:textFill>
        </w:rPr>
        <w:t>～75</w:t>
      </w:r>
      <w:r>
        <w:rPr>
          <w:bCs/>
          <w:color w:val="000000" w:themeColor="text1"/>
          <w:highlight w:val="none"/>
          <w14:textFill>
            <w14:solidFill>
              <w14:schemeClr w14:val="tx1"/>
            </w14:solidFill>
          </w14:textFill>
        </w:rPr>
        <w:t>dB（A）之间</w:t>
      </w:r>
      <w:r>
        <w:rPr>
          <w:rFonts w:hint="eastAsia" w:cs="Times New Roman"/>
          <w:bCs/>
          <w:color w:val="000000" w:themeColor="text1"/>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主要噪声源及处理措施</w:t>
      </w:r>
    </w:p>
    <w:tbl>
      <w:tblPr>
        <w:tblStyle w:val="21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5"/>
        <w:gridCol w:w="951"/>
        <w:gridCol w:w="1342"/>
        <w:gridCol w:w="873"/>
        <w:gridCol w:w="873"/>
        <w:gridCol w:w="875"/>
        <w:gridCol w:w="1018"/>
        <w:gridCol w:w="1199"/>
        <w:gridCol w:w="7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361" w:type="pct"/>
            <w:vMerge w:val="restart"/>
            <w:vAlign w:val="center"/>
          </w:tcPr>
          <w:p>
            <w:pPr>
              <w:pStyle w:val="118"/>
              <w:rPr>
                <w:rFonts w:eastAsia="Times New Roman"/>
                <w:b/>
                <w:bCs/>
                <w:snapToGrid w:val="0"/>
                <w:color w:val="000000" w:themeColor="text1"/>
                <w:highlight w:val="none"/>
                <w14:textFill>
                  <w14:solidFill>
                    <w14:schemeClr w14:val="tx1"/>
                  </w14:solidFill>
                </w14:textFill>
              </w:rPr>
            </w:pPr>
            <w:bookmarkStart w:id="177" w:name="_Hlk160806999"/>
            <w:r>
              <w:rPr>
                <w:rFonts w:hint="eastAsia" w:eastAsia="Times New Roman"/>
                <w:b/>
                <w:bCs/>
                <w:snapToGrid w:val="0"/>
                <w:color w:val="000000" w:themeColor="text1"/>
                <w:highlight w:val="none"/>
                <w14:textFill>
                  <w14:solidFill>
                    <w14:schemeClr w14:val="tx1"/>
                  </w14:solidFill>
                </w14:textFill>
              </w:rPr>
              <w:t>序号</w:t>
            </w:r>
          </w:p>
        </w:tc>
        <w:tc>
          <w:tcPr>
            <w:tcW w:w="558" w:type="pct"/>
            <w:vMerge w:val="restart"/>
            <w:vAlign w:val="center"/>
          </w:tcPr>
          <w:p>
            <w:pPr>
              <w:pStyle w:val="118"/>
              <w:rPr>
                <w:rFonts w:eastAsia="Times New Roman"/>
                <w:b/>
                <w:bCs/>
                <w:snapToGrid w:val="0"/>
                <w:color w:val="000000" w:themeColor="text1"/>
                <w:highlight w:val="none"/>
                <w14:textFill>
                  <w14:solidFill>
                    <w14:schemeClr w14:val="tx1"/>
                  </w14:solidFill>
                </w14:textFill>
              </w:rPr>
            </w:pPr>
            <w:r>
              <w:rPr>
                <w:rFonts w:hint="eastAsia" w:eastAsia="Times New Roman"/>
                <w:b/>
                <w:bCs/>
                <w:snapToGrid w:val="0"/>
                <w:color w:val="000000" w:themeColor="text1"/>
                <w:highlight w:val="none"/>
                <w14:textFill>
                  <w14:solidFill>
                    <w14:schemeClr w14:val="tx1"/>
                  </w14:solidFill>
                </w14:textFill>
              </w:rPr>
              <w:t>噪声设备</w:t>
            </w:r>
          </w:p>
        </w:tc>
        <w:tc>
          <w:tcPr>
            <w:tcW w:w="787" w:type="pct"/>
            <w:vMerge w:val="restart"/>
            <w:vAlign w:val="center"/>
          </w:tcPr>
          <w:p>
            <w:pPr>
              <w:pStyle w:val="118"/>
              <w:rPr>
                <w:rFonts w:eastAsia="Times New Roman"/>
                <w:b/>
                <w:bCs/>
                <w:snapToGrid w:val="0"/>
                <w:color w:val="000000" w:themeColor="text1"/>
                <w:highlight w:val="none"/>
                <w14:textFill>
                  <w14:solidFill>
                    <w14:schemeClr w14:val="tx1"/>
                  </w14:solidFill>
                </w14:textFill>
              </w:rPr>
            </w:pPr>
            <w:r>
              <w:rPr>
                <w:rFonts w:hint="eastAsia" w:eastAsia="Times New Roman"/>
                <w:b/>
                <w:bCs/>
                <w:snapToGrid w:val="0"/>
                <w:color w:val="000000" w:themeColor="text1"/>
                <w:highlight w:val="none"/>
                <w14:textFill>
                  <w14:solidFill>
                    <w14:schemeClr w14:val="tx1"/>
                  </w14:solidFill>
                </w14:textFill>
              </w:rPr>
              <w:t>型号</w:t>
            </w:r>
          </w:p>
        </w:tc>
        <w:tc>
          <w:tcPr>
            <w:tcW w:w="1537" w:type="pct"/>
            <w:gridSpan w:val="3"/>
            <w:vAlign w:val="center"/>
          </w:tcPr>
          <w:p>
            <w:pPr>
              <w:pStyle w:val="118"/>
              <w:rPr>
                <w:rFonts w:eastAsia="Times New Roman"/>
                <w:b/>
                <w:bCs/>
                <w:snapToGrid w:val="0"/>
                <w:color w:val="000000" w:themeColor="text1"/>
                <w:highlight w:val="none"/>
                <w14:textFill>
                  <w14:solidFill>
                    <w14:schemeClr w14:val="tx1"/>
                  </w14:solidFill>
                </w14:textFill>
              </w:rPr>
            </w:pPr>
            <w:r>
              <w:rPr>
                <w:rFonts w:hint="eastAsia" w:eastAsia="Times New Roman"/>
                <w:b/>
                <w:bCs/>
                <w:snapToGrid w:val="0"/>
                <w:color w:val="000000" w:themeColor="text1"/>
                <w:highlight w:val="none"/>
                <w14:textFill>
                  <w14:solidFill>
                    <w14:schemeClr w14:val="tx1"/>
                  </w14:solidFill>
                </w14:textFill>
              </w:rPr>
              <w:t>空间相对位置关系（m）</w:t>
            </w:r>
          </w:p>
        </w:tc>
        <w:tc>
          <w:tcPr>
            <w:tcW w:w="597" w:type="pct"/>
            <w:vMerge w:val="restart"/>
            <w:vAlign w:val="center"/>
          </w:tcPr>
          <w:p>
            <w:pPr>
              <w:pStyle w:val="118"/>
              <w:rPr>
                <w:rFonts w:eastAsia="Times New Roman"/>
                <w:b/>
                <w:bCs/>
                <w:snapToGrid w:val="0"/>
                <w:color w:val="000000" w:themeColor="text1"/>
                <w:highlight w:val="none"/>
                <w14:textFill>
                  <w14:solidFill>
                    <w14:schemeClr w14:val="tx1"/>
                  </w14:solidFill>
                </w14:textFill>
              </w:rPr>
            </w:pPr>
            <w:r>
              <w:rPr>
                <w:rFonts w:hint="eastAsia" w:eastAsia="Times New Roman"/>
                <w:b/>
                <w:bCs/>
                <w:snapToGrid w:val="0"/>
                <w:color w:val="000000" w:themeColor="text1"/>
                <w:highlight w:val="none"/>
                <w14:textFill>
                  <w14:solidFill>
                    <w14:schemeClr w14:val="tx1"/>
                  </w14:solidFill>
                </w14:textFill>
              </w:rPr>
              <w:t>声源源强</w:t>
            </w:r>
            <w:r>
              <w:rPr>
                <w:rFonts w:eastAsia="Times New Roman"/>
                <w:b/>
                <w:bCs/>
                <w:snapToGrid w:val="0"/>
                <w:color w:val="000000" w:themeColor="text1"/>
                <w:highlight w:val="none"/>
                <w14:textFill>
                  <w14:solidFill>
                    <w14:schemeClr w14:val="tx1"/>
                  </w14:solidFill>
                </w14:textFill>
              </w:rPr>
              <w:t>dB</w:t>
            </w:r>
            <w:r>
              <w:rPr>
                <w:rFonts w:hint="eastAsia" w:eastAsia="Times New Roman"/>
                <w:b/>
                <w:bCs/>
                <w:snapToGrid w:val="0"/>
                <w:color w:val="000000" w:themeColor="text1"/>
                <w:highlight w:val="none"/>
                <w14:textFill>
                  <w14:solidFill>
                    <w14:schemeClr w14:val="tx1"/>
                  </w14:solidFill>
                </w14:textFill>
              </w:rPr>
              <w:t>（</w:t>
            </w:r>
            <w:r>
              <w:rPr>
                <w:rFonts w:eastAsia="Times New Roman"/>
                <w:b/>
                <w:bCs/>
                <w:snapToGrid w:val="0"/>
                <w:color w:val="000000" w:themeColor="text1"/>
                <w:highlight w:val="none"/>
                <w14:textFill>
                  <w14:solidFill>
                    <w14:schemeClr w14:val="tx1"/>
                  </w14:solidFill>
                </w14:textFill>
              </w:rPr>
              <w:t>A</w:t>
            </w:r>
            <w:r>
              <w:rPr>
                <w:rFonts w:hint="eastAsia" w:eastAsia="Times New Roman"/>
                <w:b/>
                <w:bCs/>
                <w:snapToGrid w:val="0"/>
                <w:color w:val="000000" w:themeColor="text1"/>
                <w:highlight w:val="none"/>
                <w14:textFill>
                  <w14:solidFill>
                    <w14:schemeClr w14:val="tx1"/>
                  </w14:solidFill>
                </w14:textFill>
              </w:rPr>
              <w:t>）</w:t>
            </w:r>
          </w:p>
        </w:tc>
        <w:tc>
          <w:tcPr>
            <w:tcW w:w="703" w:type="pct"/>
            <w:vMerge w:val="restart"/>
            <w:vAlign w:val="center"/>
          </w:tcPr>
          <w:p>
            <w:pPr>
              <w:pStyle w:val="118"/>
              <w:rPr>
                <w:rFonts w:eastAsia="Times New Roman"/>
                <w:b/>
                <w:bCs/>
                <w:snapToGrid w:val="0"/>
                <w:color w:val="000000" w:themeColor="text1"/>
                <w:highlight w:val="none"/>
                <w14:textFill>
                  <w14:solidFill>
                    <w14:schemeClr w14:val="tx1"/>
                  </w14:solidFill>
                </w14:textFill>
              </w:rPr>
            </w:pPr>
            <w:r>
              <w:rPr>
                <w:rFonts w:hint="eastAsia" w:eastAsia="Times New Roman"/>
                <w:b/>
                <w:bCs/>
                <w:snapToGrid w:val="0"/>
                <w:color w:val="000000" w:themeColor="text1"/>
                <w:highlight w:val="none"/>
                <w14:textFill>
                  <w14:solidFill>
                    <w14:schemeClr w14:val="tx1"/>
                  </w14:solidFill>
                </w14:textFill>
              </w:rPr>
              <w:t>声源控制措施</w:t>
            </w:r>
          </w:p>
        </w:tc>
        <w:tc>
          <w:tcPr>
            <w:tcW w:w="457" w:type="pct"/>
            <w:vMerge w:val="restart"/>
            <w:vAlign w:val="center"/>
          </w:tcPr>
          <w:p>
            <w:pPr>
              <w:pStyle w:val="118"/>
              <w:rPr>
                <w:rFonts w:eastAsia="Times New Roman"/>
                <w:b/>
                <w:bCs/>
                <w:snapToGrid w:val="0"/>
                <w:color w:val="000000" w:themeColor="text1"/>
                <w:highlight w:val="none"/>
                <w14:textFill>
                  <w14:solidFill>
                    <w14:schemeClr w14:val="tx1"/>
                  </w14:solidFill>
                </w14:textFill>
              </w:rPr>
            </w:pPr>
            <w:r>
              <w:rPr>
                <w:rFonts w:hint="eastAsia" w:eastAsia="Times New Roman"/>
                <w:b/>
                <w:bCs/>
                <w:snapToGrid w:val="0"/>
                <w:color w:val="000000" w:themeColor="text1"/>
                <w:highlight w:val="none"/>
                <w14:textFill>
                  <w14:solidFill>
                    <w14:schemeClr w14:val="tx1"/>
                  </w14:solidFill>
                </w14:textFill>
              </w:rPr>
              <w:t>运行时段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361"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c>
          <w:tcPr>
            <w:tcW w:w="558"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c>
          <w:tcPr>
            <w:tcW w:w="78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c>
          <w:tcPr>
            <w:tcW w:w="512" w:type="pct"/>
            <w:vAlign w:val="center"/>
          </w:tcPr>
          <w:p>
            <w:pPr>
              <w:pStyle w:val="118"/>
              <w:rPr>
                <w:rFonts w:eastAsia="Times New Roman"/>
                <w:b/>
                <w:bCs/>
                <w:snapToGrid w:val="0"/>
                <w:color w:val="000000" w:themeColor="text1"/>
                <w:highlight w:val="none"/>
                <w14:textFill>
                  <w14:solidFill>
                    <w14:schemeClr w14:val="tx1"/>
                  </w14:solidFill>
                </w14:textFill>
              </w:rPr>
            </w:pPr>
            <w:r>
              <w:rPr>
                <w:rFonts w:hint="eastAsia" w:eastAsia="Times New Roman"/>
                <w:b/>
                <w:bCs/>
                <w:snapToGrid w:val="0"/>
                <w:color w:val="000000" w:themeColor="text1"/>
                <w:highlight w:val="none"/>
                <w14:textFill>
                  <w14:solidFill>
                    <w14:schemeClr w14:val="tx1"/>
                  </w14:solidFill>
                </w14:textFill>
              </w:rPr>
              <w:t>X</w:t>
            </w:r>
          </w:p>
        </w:tc>
        <w:tc>
          <w:tcPr>
            <w:tcW w:w="512" w:type="pct"/>
            <w:vAlign w:val="center"/>
          </w:tcPr>
          <w:p>
            <w:pPr>
              <w:pStyle w:val="118"/>
              <w:rPr>
                <w:rFonts w:eastAsia="Times New Roman"/>
                <w:b/>
                <w:bCs/>
                <w:snapToGrid w:val="0"/>
                <w:color w:val="000000" w:themeColor="text1"/>
                <w:highlight w:val="none"/>
                <w14:textFill>
                  <w14:solidFill>
                    <w14:schemeClr w14:val="tx1"/>
                  </w14:solidFill>
                </w14:textFill>
              </w:rPr>
            </w:pPr>
            <w:r>
              <w:rPr>
                <w:rFonts w:hint="eastAsia" w:eastAsia="Times New Roman"/>
                <w:b/>
                <w:bCs/>
                <w:snapToGrid w:val="0"/>
                <w:color w:val="000000" w:themeColor="text1"/>
                <w:highlight w:val="none"/>
                <w14:textFill>
                  <w14:solidFill>
                    <w14:schemeClr w14:val="tx1"/>
                  </w14:solidFill>
                </w14:textFill>
              </w:rPr>
              <w:t>Y</w:t>
            </w:r>
          </w:p>
        </w:tc>
        <w:tc>
          <w:tcPr>
            <w:tcW w:w="513" w:type="pct"/>
            <w:vAlign w:val="center"/>
          </w:tcPr>
          <w:p>
            <w:pPr>
              <w:pStyle w:val="118"/>
              <w:rPr>
                <w:rFonts w:eastAsia="Times New Roman"/>
                <w:b/>
                <w:bCs/>
                <w:snapToGrid w:val="0"/>
                <w:color w:val="000000" w:themeColor="text1"/>
                <w:highlight w:val="none"/>
                <w14:textFill>
                  <w14:solidFill>
                    <w14:schemeClr w14:val="tx1"/>
                  </w14:solidFill>
                </w14:textFill>
              </w:rPr>
            </w:pPr>
            <w:r>
              <w:rPr>
                <w:rFonts w:hint="eastAsia" w:eastAsia="Times New Roman"/>
                <w:b/>
                <w:bCs/>
                <w:snapToGrid w:val="0"/>
                <w:color w:val="000000" w:themeColor="text1"/>
                <w:highlight w:val="none"/>
                <w14:textFill>
                  <w14:solidFill>
                    <w14:schemeClr w14:val="tx1"/>
                  </w14:solidFill>
                </w14:textFill>
              </w:rPr>
              <w:t>Z</w:t>
            </w:r>
          </w:p>
        </w:tc>
        <w:tc>
          <w:tcPr>
            <w:tcW w:w="59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c>
          <w:tcPr>
            <w:tcW w:w="703"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c>
          <w:tcPr>
            <w:tcW w:w="45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1"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1</w:t>
            </w:r>
          </w:p>
        </w:tc>
        <w:tc>
          <w:tcPr>
            <w:tcW w:w="558"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eastAsia="Times New Roman"/>
                <w:snapToGrid w:val="0"/>
                <w:color w:val="000000" w:themeColor="text1"/>
                <w:highlight w:val="none"/>
                <w14:textFill>
                  <w14:solidFill>
                    <w14:schemeClr w14:val="tx1"/>
                  </w14:solidFill>
                </w14:textFill>
              </w:rPr>
              <w:t>水套加热炉</w:t>
            </w:r>
          </w:p>
        </w:tc>
        <w:tc>
          <w:tcPr>
            <w:tcW w:w="787"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250kw （四盘管）</w:t>
            </w:r>
          </w:p>
        </w:tc>
        <w:tc>
          <w:tcPr>
            <w:tcW w:w="512"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7</w:t>
            </w:r>
          </w:p>
        </w:tc>
        <w:tc>
          <w:tcPr>
            <w:tcW w:w="512"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-30</w:t>
            </w:r>
          </w:p>
        </w:tc>
        <w:tc>
          <w:tcPr>
            <w:tcW w:w="513"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0</w:t>
            </w:r>
          </w:p>
        </w:tc>
        <w:tc>
          <w:tcPr>
            <w:tcW w:w="59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eastAsia="Times New Roman"/>
                <w:snapToGrid w:val="0"/>
                <w:color w:val="000000" w:themeColor="text1"/>
                <w:highlight w:val="none"/>
                <w14:textFill>
                  <w14:solidFill>
                    <w14:schemeClr w14:val="tx1"/>
                  </w14:solidFill>
                </w14:textFill>
              </w:rPr>
              <w:t>6</w:t>
            </w:r>
            <w:r>
              <w:rPr>
                <w:rFonts w:hint="eastAsia" w:eastAsiaTheme="minorEastAsia"/>
                <w:snapToGrid w:val="0"/>
                <w:color w:val="000000" w:themeColor="text1"/>
                <w:highlight w:val="none"/>
                <w14:textFill>
                  <w14:solidFill>
                    <w14:schemeClr w14:val="tx1"/>
                  </w14:solidFill>
                </w14:textFill>
              </w:rPr>
              <w:t>5</w:t>
            </w:r>
            <w:r>
              <w:rPr>
                <w:rFonts w:hint="eastAsia" w:ascii="宋体" w:hAnsi="宋体" w:eastAsia="Times New Roman" w:cs="宋体"/>
                <w:snapToGrid w:val="0"/>
                <w:color w:val="000000" w:themeColor="text1"/>
                <w:highlight w:val="none"/>
                <w14:textFill>
                  <w14:solidFill>
                    <w14:schemeClr w14:val="tx1"/>
                  </w14:solidFill>
                </w14:textFill>
              </w:rPr>
              <w:t>～</w:t>
            </w:r>
            <w:r>
              <w:rPr>
                <w:rFonts w:hint="eastAsia" w:eastAsia="Times New Roman"/>
                <w:snapToGrid w:val="0"/>
                <w:color w:val="000000" w:themeColor="text1"/>
                <w:highlight w:val="none"/>
                <w14:textFill>
                  <w14:solidFill>
                    <w14:schemeClr w14:val="tx1"/>
                  </w14:solidFill>
                </w14:textFill>
              </w:rPr>
              <w:t>70</w:t>
            </w:r>
          </w:p>
        </w:tc>
        <w:tc>
          <w:tcPr>
            <w:tcW w:w="703" w:type="pct"/>
            <w:vMerge w:val="restart"/>
            <w:vAlign w:val="center"/>
          </w:tcPr>
          <w:p>
            <w:pPr>
              <w:pStyle w:val="118"/>
              <w:rPr>
                <w:rFonts w:eastAsia="Times New Roman"/>
                <w:snapToGrid w:val="0"/>
                <w:color w:val="000000" w:themeColor="text1"/>
                <w:highlight w:val="none"/>
                <w14:textFill>
                  <w14:solidFill>
                    <w14:schemeClr w14:val="tx1"/>
                  </w14:solidFill>
                </w14:textFill>
              </w:rPr>
            </w:pPr>
            <w:r>
              <w:rPr>
                <w:rFonts w:hint="eastAsia" w:eastAsia="Times New Roman"/>
                <w:snapToGrid w:val="0"/>
                <w:color w:val="000000" w:themeColor="text1"/>
                <w:highlight w:val="none"/>
                <w14:textFill>
                  <w14:solidFill>
                    <w14:schemeClr w14:val="tx1"/>
                  </w14:solidFill>
                </w14:textFill>
              </w:rPr>
              <w:t>减少平台站场工艺管线的弯头、三通等管件；选用高效低噪声的水套炉、装车泵、分离器并安装减震垫层</w:t>
            </w:r>
          </w:p>
        </w:tc>
        <w:tc>
          <w:tcPr>
            <w:tcW w:w="457" w:type="pct"/>
            <w:vMerge w:val="restart"/>
            <w:vAlign w:val="center"/>
          </w:tcPr>
          <w:p>
            <w:pPr>
              <w:pStyle w:val="118"/>
              <w:rPr>
                <w:rFonts w:eastAsia="Times New Roman"/>
                <w:snapToGrid w:val="0"/>
                <w:color w:val="000000" w:themeColor="text1"/>
                <w:highlight w:val="none"/>
                <w14:textFill>
                  <w14:solidFill>
                    <w14:schemeClr w14:val="tx1"/>
                  </w14:solidFill>
                </w14:textFill>
              </w:rPr>
            </w:pPr>
            <w:r>
              <w:rPr>
                <w:rFonts w:hint="eastAsia" w:eastAsia="Times New Roman"/>
                <w:snapToGrid w:val="0"/>
                <w:color w:val="000000" w:themeColor="text1"/>
                <w:highlight w:val="none"/>
                <w14:textFill>
                  <w14:solidFill>
                    <w14:schemeClr w14:val="tx1"/>
                  </w14:solidFill>
                </w14:textFill>
              </w:rPr>
              <w:t>昼夜连续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1"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2</w:t>
            </w:r>
          </w:p>
        </w:tc>
        <w:tc>
          <w:tcPr>
            <w:tcW w:w="558"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eastAsia="Times New Roman"/>
                <w:snapToGrid w:val="0"/>
                <w:color w:val="000000" w:themeColor="text1"/>
                <w:highlight w:val="none"/>
                <w14:textFill>
                  <w14:solidFill>
                    <w14:schemeClr w14:val="tx1"/>
                  </w14:solidFill>
                </w14:textFill>
              </w:rPr>
              <w:t>分离器</w:t>
            </w:r>
          </w:p>
        </w:tc>
        <w:tc>
          <w:tcPr>
            <w:tcW w:w="787"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PN</w:t>
            </w:r>
            <w:r>
              <w:rPr>
                <w:rFonts w:hint="eastAsia" w:eastAsiaTheme="minorEastAsia"/>
                <w:snapToGrid w:val="0"/>
                <w:color w:val="000000" w:themeColor="text1"/>
                <w:highlight w:val="none"/>
                <w14:textFill>
                  <w14:solidFill>
                    <w14:schemeClr w14:val="tx1"/>
                  </w14:solidFill>
                </w14:textFill>
              </w:rPr>
              <w:t>6.3</w:t>
            </w:r>
            <w:r>
              <w:rPr>
                <w:rFonts w:eastAsia="Times New Roman"/>
                <w:snapToGrid w:val="0"/>
                <w:color w:val="000000" w:themeColor="text1"/>
                <w:highlight w:val="none"/>
                <w14:textFill>
                  <w14:solidFill>
                    <w14:schemeClr w14:val="tx1"/>
                  </w14:solidFill>
                </w14:textFill>
              </w:rPr>
              <w:t>MPa</w:t>
            </w:r>
          </w:p>
        </w:tc>
        <w:tc>
          <w:tcPr>
            <w:tcW w:w="512"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0</w:t>
            </w:r>
          </w:p>
        </w:tc>
        <w:tc>
          <w:tcPr>
            <w:tcW w:w="512"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-25</w:t>
            </w:r>
          </w:p>
        </w:tc>
        <w:tc>
          <w:tcPr>
            <w:tcW w:w="513"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0</w:t>
            </w:r>
          </w:p>
        </w:tc>
        <w:tc>
          <w:tcPr>
            <w:tcW w:w="597"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6</w:t>
            </w:r>
            <w:r>
              <w:rPr>
                <w:rFonts w:hint="eastAsia" w:eastAsiaTheme="minorEastAsia"/>
                <w:snapToGrid w:val="0"/>
                <w:color w:val="000000" w:themeColor="text1"/>
                <w:highlight w:val="none"/>
                <w14:textFill>
                  <w14:solidFill>
                    <w14:schemeClr w14:val="tx1"/>
                  </w14:solidFill>
                </w14:textFill>
              </w:rPr>
              <w:t>5</w:t>
            </w:r>
            <w:r>
              <w:rPr>
                <w:rFonts w:hint="eastAsia" w:ascii="宋体" w:hAnsi="宋体" w:eastAsia="Times New Roman" w:cs="宋体"/>
                <w:snapToGrid w:val="0"/>
                <w:color w:val="000000" w:themeColor="text1"/>
                <w:highlight w:val="none"/>
                <w14:textFill>
                  <w14:solidFill>
                    <w14:schemeClr w14:val="tx1"/>
                  </w14:solidFill>
                </w14:textFill>
              </w:rPr>
              <w:t>～</w:t>
            </w:r>
            <w:r>
              <w:rPr>
                <w:rFonts w:eastAsia="Times New Roman"/>
                <w:snapToGrid w:val="0"/>
                <w:color w:val="000000" w:themeColor="text1"/>
                <w:highlight w:val="none"/>
                <w14:textFill>
                  <w14:solidFill>
                    <w14:schemeClr w14:val="tx1"/>
                  </w14:solidFill>
                </w14:textFill>
              </w:rPr>
              <w:t>70</w:t>
            </w:r>
          </w:p>
        </w:tc>
        <w:tc>
          <w:tcPr>
            <w:tcW w:w="703"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c>
          <w:tcPr>
            <w:tcW w:w="45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1"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3</w:t>
            </w:r>
          </w:p>
        </w:tc>
        <w:tc>
          <w:tcPr>
            <w:tcW w:w="558"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eastAsia="Times New Roman"/>
                <w:snapToGrid w:val="0"/>
                <w:color w:val="000000" w:themeColor="text1"/>
                <w:highlight w:val="none"/>
                <w14:textFill>
                  <w14:solidFill>
                    <w14:schemeClr w14:val="tx1"/>
                  </w14:solidFill>
                </w14:textFill>
              </w:rPr>
              <w:t>分子筛脱水装置1</w:t>
            </w:r>
          </w:p>
        </w:tc>
        <w:tc>
          <w:tcPr>
            <w:tcW w:w="787"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PN</w:t>
            </w:r>
            <w:r>
              <w:rPr>
                <w:rFonts w:hint="eastAsia" w:eastAsiaTheme="minorEastAsia"/>
                <w:snapToGrid w:val="0"/>
                <w:color w:val="000000" w:themeColor="text1"/>
                <w:highlight w:val="none"/>
                <w14:textFill>
                  <w14:solidFill>
                    <w14:schemeClr w14:val="tx1"/>
                  </w14:solidFill>
                </w14:textFill>
              </w:rPr>
              <w:t>6.3</w:t>
            </w:r>
            <w:r>
              <w:rPr>
                <w:rFonts w:eastAsia="Times New Roman"/>
                <w:snapToGrid w:val="0"/>
                <w:color w:val="000000" w:themeColor="text1"/>
                <w:highlight w:val="none"/>
                <w14:textFill>
                  <w14:solidFill>
                    <w14:schemeClr w14:val="tx1"/>
                  </w14:solidFill>
                </w14:textFill>
              </w:rPr>
              <w:t>MPa</w:t>
            </w:r>
          </w:p>
        </w:tc>
        <w:tc>
          <w:tcPr>
            <w:tcW w:w="512"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-11</w:t>
            </w:r>
          </w:p>
        </w:tc>
        <w:tc>
          <w:tcPr>
            <w:tcW w:w="512"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-24</w:t>
            </w:r>
          </w:p>
        </w:tc>
        <w:tc>
          <w:tcPr>
            <w:tcW w:w="513"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0</w:t>
            </w:r>
          </w:p>
        </w:tc>
        <w:tc>
          <w:tcPr>
            <w:tcW w:w="59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eastAsia="Times New Roman"/>
                <w:snapToGrid w:val="0"/>
                <w:color w:val="000000" w:themeColor="text1"/>
                <w:highlight w:val="none"/>
                <w14:textFill>
                  <w14:solidFill>
                    <w14:schemeClr w14:val="tx1"/>
                  </w14:solidFill>
                </w14:textFill>
              </w:rPr>
              <w:t>6</w:t>
            </w:r>
            <w:r>
              <w:rPr>
                <w:rFonts w:hint="eastAsia" w:eastAsiaTheme="minorEastAsia"/>
                <w:snapToGrid w:val="0"/>
                <w:color w:val="000000" w:themeColor="text1"/>
                <w:highlight w:val="none"/>
                <w14:textFill>
                  <w14:solidFill>
                    <w14:schemeClr w14:val="tx1"/>
                  </w14:solidFill>
                </w14:textFill>
              </w:rPr>
              <w:t>5</w:t>
            </w:r>
            <w:r>
              <w:rPr>
                <w:rFonts w:hint="eastAsia" w:ascii="宋体" w:hAnsi="宋体" w:eastAsia="Times New Roman" w:cs="宋体"/>
                <w:snapToGrid w:val="0"/>
                <w:color w:val="000000" w:themeColor="text1"/>
                <w:highlight w:val="none"/>
                <w14:textFill>
                  <w14:solidFill>
                    <w14:schemeClr w14:val="tx1"/>
                  </w14:solidFill>
                </w14:textFill>
              </w:rPr>
              <w:t>～</w:t>
            </w:r>
            <w:r>
              <w:rPr>
                <w:rFonts w:hint="eastAsia" w:eastAsia="Times New Roman"/>
                <w:snapToGrid w:val="0"/>
                <w:color w:val="000000" w:themeColor="text1"/>
                <w:highlight w:val="none"/>
                <w14:textFill>
                  <w14:solidFill>
                    <w14:schemeClr w14:val="tx1"/>
                  </w14:solidFill>
                </w14:textFill>
              </w:rPr>
              <w:t>70</w:t>
            </w:r>
          </w:p>
        </w:tc>
        <w:tc>
          <w:tcPr>
            <w:tcW w:w="703"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c>
          <w:tcPr>
            <w:tcW w:w="45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1"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4</w:t>
            </w:r>
          </w:p>
        </w:tc>
        <w:tc>
          <w:tcPr>
            <w:tcW w:w="558"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eastAsia="Times New Roman"/>
                <w:snapToGrid w:val="0"/>
                <w:color w:val="000000" w:themeColor="text1"/>
                <w:highlight w:val="none"/>
                <w14:textFill>
                  <w14:solidFill>
                    <w14:schemeClr w14:val="tx1"/>
                  </w14:solidFill>
                </w14:textFill>
              </w:rPr>
              <w:t>分子筛脱水装置1</w:t>
            </w:r>
          </w:p>
        </w:tc>
        <w:tc>
          <w:tcPr>
            <w:tcW w:w="787"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PN</w:t>
            </w:r>
            <w:r>
              <w:rPr>
                <w:rFonts w:hint="eastAsia" w:eastAsiaTheme="minorEastAsia"/>
                <w:snapToGrid w:val="0"/>
                <w:color w:val="000000" w:themeColor="text1"/>
                <w:highlight w:val="none"/>
                <w14:textFill>
                  <w14:solidFill>
                    <w14:schemeClr w14:val="tx1"/>
                  </w14:solidFill>
                </w14:textFill>
              </w:rPr>
              <w:t>6.3</w:t>
            </w:r>
            <w:r>
              <w:rPr>
                <w:rFonts w:eastAsia="Times New Roman"/>
                <w:snapToGrid w:val="0"/>
                <w:color w:val="000000" w:themeColor="text1"/>
                <w:highlight w:val="none"/>
                <w14:textFill>
                  <w14:solidFill>
                    <w14:schemeClr w14:val="tx1"/>
                  </w14:solidFill>
                </w14:textFill>
              </w:rPr>
              <w:t>MPa</w:t>
            </w:r>
          </w:p>
        </w:tc>
        <w:tc>
          <w:tcPr>
            <w:tcW w:w="512"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-19</w:t>
            </w:r>
          </w:p>
        </w:tc>
        <w:tc>
          <w:tcPr>
            <w:tcW w:w="512"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-18</w:t>
            </w:r>
          </w:p>
        </w:tc>
        <w:tc>
          <w:tcPr>
            <w:tcW w:w="513"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0</w:t>
            </w:r>
          </w:p>
        </w:tc>
        <w:tc>
          <w:tcPr>
            <w:tcW w:w="59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eastAsia="Times New Roman"/>
                <w:snapToGrid w:val="0"/>
                <w:color w:val="000000" w:themeColor="text1"/>
                <w:highlight w:val="none"/>
                <w14:textFill>
                  <w14:solidFill>
                    <w14:schemeClr w14:val="tx1"/>
                  </w14:solidFill>
                </w14:textFill>
              </w:rPr>
              <w:t>6</w:t>
            </w:r>
            <w:r>
              <w:rPr>
                <w:rFonts w:hint="eastAsia" w:eastAsiaTheme="minorEastAsia"/>
                <w:snapToGrid w:val="0"/>
                <w:color w:val="000000" w:themeColor="text1"/>
                <w:highlight w:val="none"/>
                <w14:textFill>
                  <w14:solidFill>
                    <w14:schemeClr w14:val="tx1"/>
                  </w14:solidFill>
                </w14:textFill>
              </w:rPr>
              <w:t>5</w:t>
            </w:r>
            <w:r>
              <w:rPr>
                <w:rFonts w:hint="eastAsia" w:ascii="宋体" w:hAnsi="宋体" w:eastAsia="Times New Roman" w:cs="宋体"/>
                <w:snapToGrid w:val="0"/>
                <w:color w:val="000000" w:themeColor="text1"/>
                <w:highlight w:val="none"/>
                <w14:textFill>
                  <w14:solidFill>
                    <w14:schemeClr w14:val="tx1"/>
                  </w14:solidFill>
                </w14:textFill>
              </w:rPr>
              <w:t>～</w:t>
            </w:r>
            <w:r>
              <w:rPr>
                <w:rFonts w:hint="eastAsia" w:eastAsia="Times New Roman"/>
                <w:snapToGrid w:val="0"/>
                <w:color w:val="000000" w:themeColor="text1"/>
                <w:highlight w:val="none"/>
                <w14:textFill>
                  <w14:solidFill>
                    <w14:schemeClr w14:val="tx1"/>
                  </w14:solidFill>
                </w14:textFill>
              </w:rPr>
              <w:t>70</w:t>
            </w:r>
          </w:p>
        </w:tc>
        <w:tc>
          <w:tcPr>
            <w:tcW w:w="703"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c>
          <w:tcPr>
            <w:tcW w:w="45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1"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5</w:t>
            </w:r>
          </w:p>
        </w:tc>
        <w:tc>
          <w:tcPr>
            <w:tcW w:w="558"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eastAsia="Times New Roman"/>
                <w:snapToGrid w:val="0"/>
                <w:color w:val="000000" w:themeColor="text1"/>
                <w:highlight w:val="none"/>
                <w14:textFill>
                  <w14:solidFill>
                    <w14:schemeClr w14:val="tx1"/>
                  </w14:solidFill>
                </w14:textFill>
              </w:rPr>
              <w:t>装车泵撬</w:t>
            </w:r>
          </w:p>
        </w:tc>
        <w:tc>
          <w:tcPr>
            <w:tcW w:w="787"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w:t>
            </w:r>
          </w:p>
        </w:tc>
        <w:tc>
          <w:tcPr>
            <w:tcW w:w="512"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15</w:t>
            </w:r>
          </w:p>
        </w:tc>
        <w:tc>
          <w:tcPr>
            <w:tcW w:w="512"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-2</w:t>
            </w:r>
          </w:p>
        </w:tc>
        <w:tc>
          <w:tcPr>
            <w:tcW w:w="513"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0</w:t>
            </w:r>
          </w:p>
        </w:tc>
        <w:tc>
          <w:tcPr>
            <w:tcW w:w="597"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imes New Roman"/>
                <w:snapToGrid w:val="0"/>
                <w:color w:val="000000" w:themeColor="text1"/>
                <w:highlight w:val="none"/>
                <w14:textFill>
                  <w14:solidFill>
                    <w14:schemeClr w14:val="tx1"/>
                  </w14:solidFill>
                </w14:textFill>
              </w:rPr>
              <w:t>6</w:t>
            </w:r>
            <w:r>
              <w:rPr>
                <w:rFonts w:hint="eastAsia" w:eastAsiaTheme="minorEastAsia"/>
                <w:snapToGrid w:val="0"/>
                <w:color w:val="000000" w:themeColor="text1"/>
                <w:highlight w:val="none"/>
                <w14:textFill>
                  <w14:solidFill>
                    <w14:schemeClr w14:val="tx1"/>
                  </w14:solidFill>
                </w14:textFill>
              </w:rPr>
              <w:t>5</w:t>
            </w:r>
            <w:r>
              <w:rPr>
                <w:rFonts w:hint="eastAsia" w:ascii="宋体" w:hAnsi="宋体" w:eastAsia="Times New Roman" w:cs="宋体"/>
                <w:snapToGrid w:val="0"/>
                <w:color w:val="000000" w:themeColor="text1"/>
                <w:highlight w:val="none"/>
                <w14:textFill>
                  <w14:solidFill>
                    <w14:schemeClr w14:val="tx1"/>
                  </w14:solidFill>
                </w14:textFill>
              </w:rPr>
              <w:t>～</w:t>
            </w:r>
            <w:r>
              <w:rPr>
                <w:rFonts w:hint="eastAsia" w:eastAsia="Times New Roman"/>
                <w:snapToGrid w:val="0"/>
                <w:color w:val="000000" w:themeColor="text1"/>
                <w:highlight w:val="none"/>
                <w14:textFill>
                  <w14:solidFill>
                    <w14:schemeClr w14:val="tx1"/>
                  </w14:solidFill>
                </w14:textFill>
              </w:rPr>
              <w:t>7</w:t>
            </w:r>
            <w:r>
              <w:rPr>
                <w:rFonts w:hint="eastAsia" w:eastAsiaTheme="minorEastAsia"/>
                <w:snapToGrid w:val="0"/>
                <w:color w:val="000000" w:themeColor="text1"/>
                <w:highlight w:val="none"/>
                <w14:textFill>
                  <w14:solidFill>
                    <w14:schemeClr w14:val="tx1"/>
                  </w14:solidFill>
                </w14:textFill>
              </w:rPr>
              <w:t>5</w:t>
            </w:r>
          </w:p>
        </w:tc>
        <w:tc>
          <w:tcPr>
            <w:tcW w:w="703"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c>
          <w:tcPr>
            <w:tcW w:w="45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1"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eastAsia="Times New Roman"/>
                <w:snapToGrid w:val="0"/>
                <w:color w:val="000000" w:themeColor="text1"/>
                <w:highlight w:val="none"/>
                <w14:textFill>
                  <w14:solidFill>
                    <w14:schemeClr w14:val="tx1"/>
                  </w14:solidFill>
                </w14:textFill>
              </w:rPr>
              <w:t>6</w:t>
            </w:r>
          </w:p>
        </w:tc>
        <w:tc>
          <w:tcPr>
            <w:tcW w:w="558"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eastAsia="Times New Roman"/>
                <w:snapToGrid w:val="0"/>
                <w:color w:val="000000" w:themeColor="text1"/>
                <w:highlight w:val="none"/>
                <w14:textFill>
                  <w14:solidFill>
                    <w14:schemeClr w14:val="tx1"/>
                  </w14:solidFill>
                </w14:textFill>
              </w:rPr>
              <w:t>节流阀</w:t>
            </w:r>
          </w:p>
        </w:tc>
        <w:tc>
          <w:tcPr>
            <w:tcW w:w="787"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w:t>
            </w:r>
          </w:p>
        </w:tc>
        <w:tc>
          <w:tcPr>
            <w:tcW w:w="512"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-24</w:t>
            </w:r>
          </w:p>
        </w:tc>
        <w:tc>
          <w:tcPr>
            <w:tcW w:w="512"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-7</w:t>
            </w:r>
          </w:p>
        </w:tc>
        <w:tc>
          <w:tcPr>
            <w:tcW w:w="513"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0</w:t>
            </w:r>
          </w:p>
        </w:tc>
        <w:tc>
          <w:tcPr>
            <w:tcW w:w="59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eastAsia="Times New Roman"/>
                <w:snapToGrid w:val="0"/>
                <w:color w:val="000000" w:themeColor="text1"/>
                <w:highlight w:val="none"/>
                <w14:textFill>
                  <w14:solidFill>
                    <w14:schemeClr w14:val="tx1"/>
                  </w14:solidFill>
                </w14:textFill>
              </w:rPr>
              <w:t>65</w:t>
            </w:r>
            <w:r>
              <w:rPr>
                <w:rFonts w:hint="eastAsia" w:ascii="宋体" w:hAnsi="宋体" w:eastAsia="Times New Roman" w:cs="宋体"/>
                <w:snapToGrid w:val="0"/>
                <w:color w:val="000000" w:themeColor="text1"/>
                <w:highlight w:val="none"/>
                <w14:textFill>
                  <w14:solidFill>
                    <w14:schemeClr w14:val="tx1"/>
                  </w14:solidFill>
                </w14:textFill>
              </w:rPr>
              <w:t>～</w:t>
            </w:r>
            <w:r>
              <w:rPr>
                <w:rFonts w:hint="eastAsia" w:eastAsia="Times New Roman"/>
                <w:snapToGrid w:val="0"/>
                <w:color w:val="000000" w:themeColor="text1"/>
                <w:highlight w:val="none"/>
                <w14:textFill>
                  <w14:solidFill>
                    <w14:schemeClr w14:val="tx1"/>
                  </w14:solidFill>
                </w14:textFill>
              </w:rPr>
              <w:t>70</w:t>
            </w:r>
          </w:p>
        </w:tc>
        <w:tc>
          <w:tcPr>
            <w:tcW w:w="703"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c>
          <w:tcPr>
            <w:tcW w:w="45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bookmarkEnd w:id="177"/>
    </w:tbl>
    <w:p>
      <w:pPr>
        <w:pStyle w:val="6"/>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固废</w:t>
      </w:r>
    </w:p>
    <w:p>
      <w:pPr>
        <w:ind w:firstLine="480"/>
        <w:rPr>
          <w:bCs/>
          <w:color w:val="000000" w:themeColor="text1"/>
          <w:highlight w:val="none"/>
          <w14:textFill>
            <w14:solidFill>
              <w14:schemeClr w14:val="tx1"/>
            </w14:solidFill>
          </w14:textFill>
        </w:rPr>
      </w:pPr>
      <w:bookmarkStart w:id="178" w:name="_Hlk139554817"/>
      <w:r>
        <w:rPr>
          <w:bCs/>
          <w:color w:val="000000" w:themeColor="text1"/>
          <w:highlight w:val="none"/>
          <w14:textFill>
            <w14:solidFill>
              <w14:schemeClr w14:val="tx1"/>
            </w14:solidFill>
          </w14:textFill>
        </w:rPr>
        <w:t>本项目运营期将会涉及一般工业固废、危险废物、生活垃圾，具体产生及治理情况如下。</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（1）一般工业固废</w:t>
      </w:r>
    </w:p>
    <w:p>
      <w:pPr>
        <w:pStyle w:val="33"/>
        <w:ind w:left="0" w:firstLine="480"/>
        <w:rPr>
          <w:bCs/>
          <w:smallCaps w:val="0"/>
          <w:color w:val="000000" w:themeColor="text1"/>
          <w:kern w:val="0"/>
          <w:sz w:val="24"/>
          <w:szCs w:val="22"/>
          <w:highlight w:val="none"/>
          <w14:textFill>
            <w14:solidFill>
              <w14:schemeClr w14:val="tx1"/>
            </w14:solidFill>
          </w14:textFill>
        </w:rPr>
      </w:pPr>
      <w:r>
        <w:rPr>
          <w:bCs/>
          <w:smallCaps w:val="0"/>
          <w:color w:val="000000" w:themeColor="text1"/>
          <w:kern w:val="0"/>
          <w:sz w:val="24"/>
          <w:szCs w:val="22"/>
          <w:highlight w:val="none"/>
          <w14:textFill>
            <w14:solidFill>
              <w14:schemeClr w14:val="tx1"/>
            </w14:solidFill>
          </w14:textFill>
        </w:rPr>
        <w:t>根据前文工程分析，本项目装置分离器除砂分离过程产生的废渣，主要为固态杂质，约0.5t/a；脱水分离撬内分子筛使用时产生的废分子筛，废分子筛每3年更换1次，每次约5.5t</w:t>
      </w:r>
      <w:r>
        <w:rPr>
          <w:rFonts w:hint="eastAsia"/>
          <w:bCs/>
          <w:smallCaps w:val="0"/>
          <w:color w:val="000000" w:themeColor="text1"/>
          <w:kern w:val="0"/>
          <w:sz w:val="24"/>
          <w:szCs w:val="22"/>
          <w:highlight w:val="none"/>
          <w14:textFill>
            <w14:solidFill>
              <w14:schemeClr w14:val="tx1"/>
            </w14:solidFill>
          </w14:textFill>
        </w:rPr>
        <w:t>；管线清管/检修废渣，</w:t>
      </w:r>
      <w:r>
        <w:rPr>
          <w:bCs/>
          <w:smallCaps w:val="0"/>
          <w:color w:val="000000" w:themeColor="text1"/>
          <w:kern w:val="0"/>
          <w:sz w:val="24"/>
          <w:szCs w:val="22"/>
          <w:highlight w:val="none"/>
          <w14:textFill>
            <w14:solidFill>
              <w14:schemeClr w14:val="tx1"/>
            </w14:solidFill>
          </w14:textFill>
        </w:rPr>
        <w:t>主要为固态杂质，约</w:t>
      </w:r>
      <w:r>
        <w:rPr>
          <w:rFonts w:hint="eastAsia"/>
          <w:bCs/>
          <w:smallCaps w:val="0"/>
          <w:color w:val="000000" w:themeColor="text1"/>
          <w:kern w:val="0"/>
          <w:sz w:val="24"/>
          <w:szCs w:val="22"/>
          <w:highlight w:val="none"/>
          <w14:textFill>
            <w14:solidFill>
              <w14:schemeClr w14:val="tx1"/>
            </w14:solidFill>
          </w14:textFill>
        </w:rPr>
        <w:t>1</w:t>
      </w:r>
      <w:r>
        <w:rPr>
          <w:bCs/>
          <w:smallCaps w:val="0"/>
          <w:color w:val="000000" w:themeColor="text1"/>
          <w:kern w:val="0"/>
          <w:sz w:val="24"/>
          <w:szCs w:val="22"/>
          <w:highlight w:val="none"/>
          <w14:textFill>
            <w14:solidFill>
              <w14:schemeClr w14:val="tx1"/>
            </w14:solidFill>
          </w14:textFill>
        </w:rPr>
        <w:t>t/a。废渣及废分子筛均为一般工业废物，收集后定期交由当地具备处理工业废物能力的单位处置</w:t>
      </w:r>
      <w:r>
        <w:rPr>
          <w:rFonts w:hint="eastAsia"/>
          <w:bCs/>
          <w:smallCaps w:val="0"/>
          <w:color w:val="000000" w:themeColor="text1"/>
          <w:kern w:val="0"/>
          <w:sz w:val="24"/>
          <w:szCs w:val="22"/>
          <w:highlight w:val="none"/>
          <w14:textFill>
            <w14:solidFill>
              <w14:schemeClr w14:val="tx1"/>
            </w14:solidFill>
          </w14:textFill>
        </w:rPr>
        <w:t>（其中废分子筛若厂家可回收则交由厂家回收）</w:t>
      </w:r>
      <w:r>
        <w:rPr>
          <w:bCs/>
          <w:smallCaps w:val="0"/>
          <w:color w:val="000000" w:themeColor="text1"/>
          <w:kern w:val="0"/>
          <w:sz w:val="24"/>
          <w:szCs w:val="22"/>
          <w:highlight w:val="none"/>
          <w14:textFill>
            <w14:solidFill>
              <w14:schemeClr w14:val="tx1"/>
            </w14:solidFill>
          </w14:textFill>
        </w:rPr>
        <w:t>。</w:t>
      </w:r>
    </w:p>
    <w:p>
      <w:pPr>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本项目一般工业固体废物产生量见表3.4-7。</w:t>
      </w:r>
    </w:p>
    <w:p>
      <w:pPr>
        <w:pStyle w:val="96"/>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STYLEREF 2 \s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7   本项目一般工业固体废物汇总表</w:t>
      </w:r>
    </w:p>
    <w:tbl>
      <w:tblPr>
        <w:tblStyle w:val="41"/>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04"/>
        <w:gridCol w:w="1559"/>
        <w:gridCol w:w="1134"/>
        <w:gridCol w:w="1276"/>
        <w:gridCol w:w="1134"/>
        <w:gridCol w:w="24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263" w:type="dxa"/>
            <w:gridSpan w:val="2"/>
            <w:vAlign w:val="center"/>
          </w:tcPr>
          <w:p>
            <w:pPr>
              <w:spacing w:line="240" w:lineRule="auto"/>
              <w:ind w:firstLine="0" w:firstLineChars="0"/>
              <w:jc w:val="center"/>
              <w:rPr>
                <w:b/>
                <w:bCs/>
                <w:color w:val="000000" w:themeColor="text1"/>
                <w:sz w:val="21"/>
                <w:szCs w:val="21"/>
                <w:highlight w:val="none"/>
                <w14:textFill>
                  <w14:solidFill>
                    <w14:schemeClr w14:val="tx1"/>
                  </w14:solidFill>
                </w14:textFill>
              </w:rPr>
            </w:pPr>
            <w:bookmarkStart w:id="179" w:name="_Hlk161413952"/>
            <w:r>
              <w:rPr>
                <w:b/>
                <w:bCs/>
                <w:color w:val="000000" w:themeColor="text1"/>
                <w:sz w:val="21"/>
                <w:szCs w:val="21"/>
                <w:highlight w:val="none"/>
                <w14:textFill>
                  <w14:solidFill>
                    <w14:schemeClr w14:val="tx1"/>
                  </w14:solidFill>
                </w14:textFill>
              </w:rPr>
              <w:t>污染源</w:t>
            </w:r>
          </w:p>
        </w:tc>
        <w:tc>
          <w:tcPr>
            <w:tcW w:w="1134" w:type="dxa"/>
            <w:vAlign w:val="center"/>
          </w:tcPr>
          <w:p>
            <w:pPr>
              <w:spacing w:line="240" w:lineRule="auto"/>
              <w:ind w:firstLine="0" w:firstLineChars="0"/>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主要污染物</w:t>
            </w:r>
          </w:p>
        </w:tc>
        <w:tc>
          <w:tcPr>
            <w:tcW w:w="1276" w:type="dxa"/>
            <w:vAlign w:val="center"/>
          </w:tcPr>
          <w:p>
            <w:pPr>
              <w:spacing w:line="240" w:lineRule="auto"/>
              <w:ind w:firstLine="0" w:firstLineChars="0"/>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产生量</w:t>
            </w:r>
          </w:p>
        </w:tc>
        <w:tc>
          <w:tcPr>
            <w:tcW w:w="1134" w:type="dxa"/>
            <w:vAlign w:val="center"/>
          </w:tcPr>
          <w:p>
            <w:pPr>
              <w:spacing w:line="240" w:lineRule="auto"/>
              <w:ind w:firstLine="0" w:firstLineChars="0"/>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排放量</w:t>
            </w:r>
          </w:p>
        </w:tc>
        <w:tc>
          <w:tcPr>
            <w:tcW w:w="2415" w:type="dxa"/>
            <w:vAlign w:val="center"/>
          </w:tcPr>
          <w:p>
            <w:pPr>
              <w:spacing w:line="240" w:lineRule="auto"/>
              <w:ind w:firstLine="0" w:firstLineChars="0"/>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704" w:type="dxa"/>
            <w:vMerge w:val="restart"/>
            <w:tcMar>
              <w:left w:w="0" w:type="dxa"/>
              <w:right w:w="0" w:type="dxa"/>
            </w:tcMar>
            <w:vAlign w:val="center"/>
          </w:tcPr>
          <w:p>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一般工业固废</w:t>
            </w:r>
          </w:p>
        </w:tc>
        <w:tc>
          <w:tcPr>
            <w:tcW w:w="1559" w:type="dxa"/>
            <w:vAlign w:val="center"/>
          </w:tcPr>
          <w:p>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废渣（分离器除砂）</w:t>
            </w:r>
          </w:p>
        </w:tc>
        <w:tc>
          <w:tcPr>
            <w:tcW w:w="1134" w:type="dxa"/>
            <w:vAlign w:val="center"/>
          </w:tcPr>
          <w:p>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杂质</w:t>
            </w:r>
          </w:p>
        </w:tc>
        <w:tc>
          <w:tcPr>
            <w:tcW w:w="1276" w:type="dxa"/>
            <w:vAlign w:val="center"/>
          </w:tcPr>
          <w:p>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0.5t/a</w:t>
            </w:r>
          </w:p>
        </w:tc>
        <w:tc>
          <w:tcPr>
            <w:tcW w:w="1134" w:type="dxa"/>
            <w:vAlign w:val="center"/>
          </w:tcPr>
          <w:p>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0.5t/a</w:t>
            </w:r>
          </w:p>
        </w:tc>
        <w:tc>
          <w:tcPr>
            <w:tcW w:w="2415" w:type="dxa"/>
            <w:vAlign w:val="center"/>
          </w:tcPr>
          <w:p>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收集后定期交由当地具备处理工业废物能力的单位处置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704" w:type="dxa"/>
            <w:vMerge w:val="continue"/>
            <w:tcMar>
              <w:left w:w="0" w:type="dxa"/>
              <w:right w:w="0" w:type="dxa"/>
            </w:tcMar>
            <w:vAlign w:val="center"/>
          </w:tcPr>
          <w:p>
            <w:pPr>
              <w:spacing w:line="240" w:lineRule="auto"/>
              <w:ind w:firstLine="0" w:firstLineChars="0"/>
              <w:jc w:val="center"/>
              <w:rPr>
                <w:color w:val="000000" w:themeColor="text1"/>
                <w:sz w:val="21"/>
                <w:szCs w:val="21"/>
                <w:highlight w:val="none"/>
                <w14:textFill>
                  <w14:solidFill>
                    <w14:schemeClr w14:val="tx1"/>
                  </w14:solidFill>
                </w14:textFill>
              </w:rPr>
            </w:pPr>
          </w:p>
        </w:tc>
        <w:tc>
          <w:tcPr>
            <w:tcW w:w="1559" w:type="dxa"/>
            <w:vAlign w:val="center"/>
          </w:tcPr>
          <w:p>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废分子筛</w:t>
            </w:r>
          </w:p>
        </w:tc>
        <w:tc>
          <w:tcPr>
            <w:tcW w:w="1134" w:type="dxa"/>
            <w:vAlign w:val="center"/>
          </w:tcPr>
          <w:p>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固体</w:t>
            </w:r>
          </w:p>
        </w:tc>
        <w:tc>
          <w:tcPr>
            <w:tcW w:w="1276" w:type="dxa"/>
            <w:vAlign w:val="center"/>
          </w:tcPr>
          <w:p>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5.5t/</w:t>
            </w:r>
            <w:r>
              <w:rPr>
                <w:rFonts w:hint="eastAsia"/>
                <w:color w:val="000000" w:themeColor="text1"/>
                <w:sz w:val="21"/>
                <w:szCs w:val="21"/>
                <w:highlight w:val="none"/>
                <w14:textFill>
                  <w14:solidFill>
                    <w14:schemeClr w14:val="tx1"/>
                  </w14:solidFill>
                </w14:textFill>
              </w:rPr>
              <w:t>3</w:t>
            </w:r>
            <w:r>
              <w:rPr>
                <w:color w:val="000000" w:themeColor="text1"/>
                <w:sz w:val="21"/>
                <w:szCs w:val="21"/>
                <w:highlight w:val="none"/>
                <w14:textFill>
                  <w14:solidFill>
                    <w14:schemeClr w14:val="tx1"/>
                  </w14:solidFill>
                </w14:textFill>
              </w:rPr>
              <w:t>a</w:t>
            </w:r>
          </w:p>
        </w:tc>
        <w:tc>
          <w:tcPr>
            <w:tcW w:w="1134" w:type="dxa"/>
            <w:vAlign w:val="center"/>
          </w:tcPr>
          <w:p>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5.5t/</w:t>
            </w:r>
            <w:r>
              <w:rPr>
                <w:rFonts w:hint="eastAsia"/>
                <w:color w:val="000000" w:themeColor="text1"/>
                <w:sz w:val="21"/>
                <w:szCs w:val="21"/>
                <w:highlight w:val="none"/>
                <w14:textFill>
                  <w14:solidFill>
                    <w14:schemeClr w14:val="tx1"/>
                  </w14:solidFill>
                </w14:textFill>
              </w:rPr>
              <w:t>3</w:t>
            </w:r>
            <w:r>
              <w:rPr>
                <w:color w:val="000000" w:themeColor="text1"/>
                <w:sz w:val="21"/>
                <w:szCs w:val="21"/>
                <w:highlight w:val="none"/>
                <w14:textFill>
                  <w14:solidFill>
                    <w14:schemeClr w14:val="tx1"/>
                  </w14:solidFill>
                </w14:textFill>
              </w:rPr>
              <w:t>a</w:t>
            </w:r>
          </w:p>
        </w:tc>
        <w:tc>
          <w:tcPr>
            <w:tcW w:w="2415" w:type="dxa"/>
            <w:vAlign w:val="center"/>
          </w:tcPr>
          <w:p>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收集后定期交由当地具备处理工业废物能力的单位处置</w:t>
            </w:r>
            <w:r>
              <w:rPr>
                <w:rFonts w:hint="eastAsia"/>
                <w:color w:val="000000" w:themeColor="text1"/>
                <w:sz w:val="21"/>
                <w:szCs w:val="21"/>
                <w:highlight w:val="none"/>
                <w14:textFill>
                  <w14:solidFill>
                    <w14:schemeClr w14:val="tx1"/>
                  </w14:solidFill>
                </w14:textFill>
              </w:rPr>
              <w:t>或交由厂家回收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704" w:type="dxa"/>
            <w:vMerge w:val="continue"/>
            <w:tcMar>
              <w:left w:w="0" w:type="dxa"/>
              <w:right w:w="0" w:type="dxa"/>
            </w:tcMar>
            <w:vAlign w:val="center"/>
          </w:tcPr>
          <w:p>
            <w:pPr>
              <w:spacing w:line="240" w:lineRule="auto"/>
              <w:ind w:firstLine="0" w:firstLineChars="0"/>
              <w:jc w:val="center"/>
              <w:rPr>
                <w:color w:val="000000" w:themeColor="text1"/>
                <w:sz w:val="21"/>
                <w:szCs w:val="21"/>
                <w:highlight w:val="none"/>
                <w14:textFill>
                  <w14:solidFill>
                    <w14:schemeClr w14:val="tx1"/>
                  </w14:solidFill>
                </w14:textFill>
              </w:rPr>
            </w:pPr>
          </w:p>
        </w:tc>
        <w:tc>
          <w:tcPr>
            <w:tcW w:w="1559" w:type="dxa"/>
            <w:vAlign w:val="center"/>
          </w:tcPr>
          <w:p>
            <w:pPr>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清管/检修废渣</w:t>
            </w:r>
          </w:p>
        </w:tc>
        <w:tc>
          <w:tcPr>
            <w:tcW w:w="1134" w:type="dxa"/>
            <w:vAlign w:val="center"/>
          </w:tcPr>
          <w:p>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固体</w:t>
            </w:r>
          </w:p>
        </w:tc>
        <w:tc>
          <w:tcPr>
            <w:tcW w:w="1276" w:type="dxa"/>
            <w:vAlign w:val="center"/>
          </w:tcPr>
          <w:p>
            <w:pPr>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r>
              <w:rPr>
                <w:color w:val="000000" w:themeColor="text1"/>
                <w:sz w:val="21"/>
                <w:szCs w:val="21"/>
                <w:highlight w:val="none"/>
                <w14:textFill>
                  <w14:solidFill>
                    <w14:schemeClr w14:val="tx1"/>
                  </w14:solidFill>
                </w14:textFill>
              </w:rPr>
              <w:t>t/a</w:t>
            </w:r>
          </w:p>
        </w:tc>
        <w:tc>
          <w:tcPr>
            <w:tcW w:w="1134" w:type="dxa"/>
            <w:vAlign w:val="center"/>
          </w:tcPr>
          <w:p>
            <w:pPr>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r>
              <w:rPr>
                <w:color w:val="000000" w:themeColor="text1"/>
                <w:sz w:val="21"/>
                <w:szCs w:val="21"/>
                <w:highlight w:val="none"/>
                <w14:textFill>
                  <w14:solidFill>
                    <w14:schemeClr w14:val="tx1"/>
                  </w14:solidFill>
                </w14:textFill>
              </w:rPr>
              <w:t>t/a</w:t>
            </w:r>
          </w:p>
        </w:tc>
        <w:tc>
          <w:tcPr>
            <w:tcW w:w="2415" w:type="dxa"/>
            <w:vAlign w:val="center"/>
          </w:tcPr>
          <w:p>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收集后定期交由当地具备处理工业废物能力的单位处置</w:t>
            </w:r>
          </w:p>
        </w:tc>
      </w:tr>
      <w:bookmarkEnd w:id="179"/>
    </w:tbl>
    <w:p>
      <w:pPr>
        <w:spacing w:before="120" w:beforeLines="50"/>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（2）生活垃圾</w:t>
      </w:r>
    </w:p>
    <w:p>
      <w:pPr>
        <w:ind w:firstLine="480"/>
        <w:rPr>
          <w:rFonts w:cs="Times New Roman"/>
          <w:color w:val="000000" w:themeColor="text1"/>
          <w:szCs w:val="24"/>
          <w:highlight w:val="none"/>
          <w14:textFill>
            <w14:solidFill>
              <w14:schemeClr w14:val="tx1"/>
            </w14:solidFill>
          </w14:textFill>
        </w:rPr>
      </w:pPr>
      <w:r>
        <w:rPr>
          <w:bCs/>
          <w:color w:val="000000" w:themeColor="text1"/>
          <w:highlight w:val="none"/>
          <w14:textFill>
            <w14:solidFill>
              <w14:schemeClr w14:val="tx1"/>
            </w14:solidFill>
          </w14:textFill>
        </w:rPr>
        <w:t>本项目</w:t>
      </w:r>
      <w:r>
        <w:rPr>
          <w:rFonts w:hint="eastAsia"/>
          <w:bCs/>
          <w:color w:val="000000" w:themeColor="text1"/>
          <w:highlight w:val="none"/>
          <w14:textFill>
            <w14:solidFill>
              <w14:schemeClr w14:val="tx1"/>
            </w14:solidFill>
          </w14:textFill>
        </w:rPr>
        <w:t>试</w:t>
      </w:r>
      <w:r>
        <w:rPr>
          <w:bCs/>
          <w:color w:val="000000" w:themeColor="text1"/>
          <w:highlight w:val="none"/>
          <w14:textFill>
            <w14:solidFill>
              <w14:schemeClr w14:val="tx1"/>
            </w14:solidFill>
          </w14:textFill>
        </w:rPr>
        <w:t>采期有人值守，配置人员</w:t>
      </w:r>
      <w:r>
        <w:rPr>
          <w:rFonts w:hint="eastAsia"/>
          <w:bCs/>
          <w:color w:val="000000" w:themeColor="text1"/>
          <w:highlight w:val="none"/>
          <w14:textFill>
            <w14:solidFill>
              <w14:schemeClr w14:val="tx1"/>
            </w14:solidFill>
          </w14:textFill>
        </w:rPr>
        <w:t>10</w:t>
      </w:r>
      <w:r>
        <w:rPr>
          <w:bCs/>
          <w:color w:val="000000" w:themeColor="text1"/>
          <w:highlight w:val="none"/>
          <w14:textFill>
            <w14:solidFill>
              <w14:schemeClr w14:val="tx1"/>
            </w14:solidFill>
          </w14:textFill>
        </w:rPr>
        <w:t>人，每人每天产生的生活垃圾按0.5kg计，产生的生活垃圾为</w:t>
      </w:r>
      <w:r>
        <w:rPr>
          <w:rFonts w:hint="eastAsia"/>
          <w:bCs/>
          <w:color w:val="000000" w:themeColor="text1"/>
          <w:highlight w:val="none"/>
          <w14:textFill>
            <w14:solidFill>
              <w14:schemeClr w14:val="tx1"/>
            </w14:solidFill>
          </w14:textFill>
        </w:rPr>
        <w:t>5</w:t>
      </w:r>
      <w:r>
        <w:rPr>
          <w:bCs/>
          <w:color w:val="000000" w:themeColor="text1"/>
          <w:highlight w:val="none"/>
          <w14:textFill>
            <w14:solidFill>
              <w14:schemeClr w14:val="tx1"/>
            </w14:solidFill>
          </w14:textFill>
        </w:rPr>
        <w:t>kg/d，产生的生活垃圾均集中收集后交由市政环卫统一清运。</w:t>
      </w:r>
    </w:p>
    <w:bookmarkEnd w:id="178"/>
    <w:p>
      <w:pPr>
        <w:pStyle w:val="6"/>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生态环境</w:t>
      </w:r>
    </w:p>
    <w:p>
      <w:pPr>
        <w:ind w:firstLine="480"/>
        <w:rPr>
          <w:rFonts w:cs="Times New Roman"/>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营运期生态环境影响是施工期影响的一种延续，本项目试采期为2年，因此，试采期间</w:t>
      </w:r>
      <w:r>
        <w:rPr>
          <w:rFonts w:hint="eastAsia"/>
          <w:color w:val="000000" w:themeColor="text1"/>
          <w:highlight w:val="none"/>
          <w14:textFill>
            <w14:solidFill>
              <w14:schemeClr w14:val="tx1"/>
            </w14:solidFill>
          </w14:textFill>
        </w:rPr>
        <w:t>雷页1井试采站</w:t>
      </w:r>
      <w:r>
        <w:rPr>
          <w:color w:val="000000" w:themeColor="text1"/>
          <w:highlight w:val="none"/>
          <w14:textFill>
            <w14:solidFill>
              <w14:schemeClr w14:val="tx1"/>
            </w14:solidFill>
          </w14:textFill>
        </w:rPr>
        <w:t>占地范围内植被暂时无法得到恢复</w:t>
      </w:r>
      <w:r>
        <w:rPr>
          <w:rFonts w:hint="eastAsia"/>
          <w:color w:val="000000" w:themeColor="text1"/>
          <w:highlight w:val="none"/>
          <w14:textFill>
            <w14:solidFill>
              <w14:schemeClr w14:val="tx1"/>
            </w14:solidFill>
          </w14:textFill>
        </w:rPr>
        <w:t>；集输管线施工完成后立即进行复垦、复植，管线施工范围内生态环境将会逐步恢复。</w:t>
      </w:r>
      <w:r>
        <w:rPr>
          <w:color w:val="000000" w:themeColor="text1"/>
          <w:highlight w:val="none"/>
          <w14:textFill>
            <w14:solidFill>
              <w14:schemeClr w14:val="tx1"/>
            </w14:solidFill>
          </w14:textFill>
        </w:rPr>
        <w:t>试采期内主要于项目站场内开展试采活动，不会新增对占地范围外的影响，生态环境影响也逐步趋于稳定，同时，项目占地范围内进行了硬化处理，基本不会造成水土流失</w:t>
      </w:r>
      <w:r>
        <w:rPr>
          <w:rFonts w:cs="Times New Roman"/>
          <w:bCs/>
          <w:color w:val="000000" w:themeColor="text1"/>
          <w:highlight w:val="none"/>
          <w14:textFill>
            <w14:solidFill>
              <w14:schemeClr w14:val="tx1"/>
            </w14:solidFill>
          </w14:textFill>
        </w:rPr>
        <w:t>。</w:t>
      </w:r>
    </w:p>
    <w:p>
      <w:pPr>
        <w:pStyle w:val="6"/>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土壤</w:t>
      </w:r>
      <w:r>
        <w:rPr>
          <w:rFonts w:hint="eastAsia"/>
          <w:color w:val="000000" w:themeColor="text1"/>
          <w:highlight w:val="none"/>
          <w14:textFill>
            <w14:solidFill>
              <w14:schemeClr w14:val="tx1"/>
            </w14:solidFill>
          </w14:textFill>
        </w:rPr>
        <w:t>及地下水</w:t>
      </w:r>
      <w:r>
        <w:rPr>
          <w:color w:val="000000" w:themeColor="text1"/>
          <w:highlight w:val="none"/>
          <w14:textFill>
            <w14:solidFill>
              <w14:schemeClr w14:val="tx1"/>
            </w14:solidFill>
          </w14:textFill>
        </w:rPr>
        <w:t>环境</w:t>
      </w:r>
    </w:p>
    <w:p>
      <w:pPr>
        <w:adjustRightInd/>
        <w:ind w:firstLine="482"/>
        <w:rPr>
          <w:b/>
          <w:color w:val="000000" w:themeColor="text1"/>
          <w:highlight w:val="none"/>
          <w14:textFill>
            <w14:solidFill>
              <w14:schemeClr w14:val="tx1"/>
            </w14:solidFill>
          </w14:textFill>
        </w:rPr>
      </w:pPr>
      <w:bookmarkStart w:id="180" w:name="_Toc20378"/>
      <w:r>
        <w:rPr>
          <w:b/>
          <w:color w:val="000000" w:themeColor="text1"/>
          <w:highlight w:val="none"/>
          <w14:textFill>
            <w14:solidFill>
              <w14:schemeClr w14:val="tx1"/>
            </w14:solidFill>
          </w14:textFill>
        </w:rPr>
        <w:t>（1）污染途径</w:t>
      </w:r>
      <w:bookmarkEnd w:id="180"/>
    </w:p>
    <w:p>
      <w:pPr>
        <w:adjustRightInd/>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污染物进入地下水的途径主要是由于泄漏或废水排放等通过垂直渗透进入包气带，进入包气带的污染物在物理、化学和生物作用下经吸附、转化、迁移和分解后输入地下水。根据工程所处区域的地质情况，本项目可能对地下水造成污染的途径主要有：</w:t>
      </w:r>
      <w:r>
        <w:rPr>
          <w:rFonts w:hint="eastAsia"/>
          <w:color w:val="000000" w:themeColor="text1"/>
          <w:highlight w:val="none"/>
          <w14:textFill>
            <w14:solidFill>
              <w14:schemeClr w14:val="tx1"/>
            </w14:solidFill>
          </w14:textFill>
        </w:rPr>
        <w:t>污水罐破裂造成污水</w:t>
      </w:r>
      <w:r>
        <w:rPr>
          <w:color w:val="000000" w:themeColor="text1"/>
          <w:highlight w:val="none"/>
          <w14:textFill>
            <w14:solidFill>
              <w14:schemeClr w14:val="tx1"/>
            </w14:solidFill>
          </w14:textFill>
        </w:rPr>
        <w:t>下渗对地下水</w:t>
      </w:r>
      <w:r>
        <w:rPr>
          <w:rFonts w:hint="eastAsia"/>
          <w:color w:val="000000" w:themeColor="text1"/>
          <w:highlight w:val="none"/>
          <w14:textFill>
            <w14:solidFill>
              <w14:schemeClr w14:val="tx1"/>
            </w14:solidFill>
          </w14:textFill>
        </w:rPr>
        <w:t>、土壤</w:t>
      </w:r>
      <w:r>
        <w:rPr>
          <w:color w:val="000000" w:themeColor="text1"/>
          <w:highlight w:val="none"/>
          <w14:textFill>
            <w14:solidFill>
              <w14:schemeClr w14:val="tx1"/>
            </w14:solidFill>
          </w14:textFill>
        </w:rPr>
        <w:t>造成的污染。</w:t>
      </w:r>
    </w:p>
    <w:p>
      <w:pPr>
        <w:adjustRightInd/>
        <w:ind w:firstLine="482"/>
        <w:rPr>
          <w:color w:val="000000" w:themeColor="text1"/>
          <w:highlight w:val="none"/>
          <w14:textFill>
            <w14:solidFill>
              <w14:schemeClr w14:val="tx1"/>
            </w14:solidFill>
          </w14:textFill>
        </w:rPr>
      </w:pPr>
      <w:bookmarkStart w:id="181" w:name="_Toc11675"/>
      <w:r>
        <w:rPr>
          <w:b/>
          <w:color w:val="000000" w:themeColor="text1"/>
          <w:highlight w:val="none"/>
          <w14:textFill>
            <w14:solidFill>
              <w14:schemeClr w14:val="tx1"/>
            </w14:solidFill>
          </w14:textFill>
        </w:rPr>
        <w:t>（2）防治措施</w:t>
      </w:r>
      <w:bookmarkEnd w:id="181"/>
    </w:p>
    <w:p>
      <w:pPr>
        <w:adjustRightInd/>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本项目地下水与土壤污染防治措施和对策，应</w:t>
      </w:r>
      <w:r>
        <w:rPr>
          <w:rFonts w:ascii="宋体" w:hAnsi="宋体"/>
          <w:color w:val="000000" w:themeColor="text1"/>
          <w:highlight w:val="none"/>
          <w14:textFill>
            <w14:solidFill>
              <w14:schemeClr w14:val="tx1"/>
            </w14:solidFill>
          </w14:textFill>
        </w:rPr>
        <w:t>坚持“源头控制、分区防治、污染监控、应急响应”的原</w:t>
      </w:r>
      <w:r>
        <w:rPr>
          <w:color w:val="000000" w:themeColor="text1"/>
          <w:highlight w:val="none"/>
          <w14:textFill>
            <w14:solidFill>
              <w14:schemeClr w14:val="tx1"/>
            </w14:solidFill>
          </w14:textFill>
        </w:rPr>
        <w:t>则。本项目拟采取的地下水的防治措施如下所述。</w:t>
      </w:r>
    </w:p>
    <w:p>
      <w:pPr>
        <w:adjustRightInd/>
        <w:ind w:firstLine="480"/>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①</w:t>
      </w:r>
      <w:r>
        <w:rPr>
          <w:color w:val="000000" w:themeColor="text1"/>
          <w:highlight w:val="none"/>
          <w14:textFill>
            <w14:solidFill>
              <w14:schemeClr w14:val="tx1"/>
            </w14:solidFill>
          </w14:textFill>
        </w:rPr>
        <w:t>源头控制措施</w:t>
      </w:r>
    </w:p>
    <w:p>
      <w:pPr>
        <w:adjustRightInd/>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积极推行实施清洁生产，实现各类废物循环利用，减少污染物的排放量；项目应根据国家现行相关规范加强环境管理，采取防止和降低污染物跑、冒、滴、漏的措施。正常生产过程中应加强巡检及时处理污染物跑、冒、滴、漏，同时应加强对防渗工程的检查，若发现防渗密封材料老化或损坏，应及时维修更换；对工艺、管道、设备、污水储存及处理构筑物采取控制措施，防止污染物的跑、冒、滴、漏，将污染物泄漏的环境风险事故降到最低限度。</w:t>
      </w:r>
    </w:p>
    <w:p>
      <w:pPr>
        <w:adjustRightInd/>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站场设置清污分流系统。</w:t>
      </w:r>
      <w:r>
        <w:rPr>
          <w:rFonts w:hint="eastAsia"/>
          <w:color w:val="000000" w:themeColor="text1"/>
          <w:highlight w:val="none"/>
          <w14:textFill>
            <w14:solidFill>
              <w14:schemeClr w14:val="tx1"/>
            </w14:solidFill>
          </w14:textFill>
        </w:rPr>
        <w:t>依托</w:t>
      </w:r>
      <w:r>
        <w:rPr>
          <w:color w:val="000000" w:themeColor="text1"/>
          <w:highlight w:val="none"/>
          <w14:textFill>
            <w14:solidFill>
              <w14:schemeClr w14:val="tx1"/>
            </w14:solidFill>
          </w14:textFill>
        </w:rPr>
        <w:t>清污分流排水系统</w:t>
      </w:r>
      <w:r>
        <w:rPr>
          <w:rFonts w:hint="eastAsia"/>
          <w:color w:val="000000" w:themeColor="text1"/>
          <w:highlight w:val="none"/>
          <w14:textFill>
            <w14:solidFill>
              <w14:schemeClr w14:val="tx1"/>
            </w14:solidFill>
          </w14:textFill>
        </w:rPr>
        <w:t>，可</w:t>
      </w:r>
      <w:r>
        <w:rPr>
          <w:color w:val="000000" w:themeColor="text1"/>
          <w:highlight w:val="none"/>
          <w14:textFill>
            <w14:solidFill>
              <w14:schemeClr w14:val="tx1"/>
            </w14:solidFill>
          </w14:textFill>
        </w:rPr>
        <w:t>对站场的雨水及生产废水进行有效的分离，可以降低因暴雨等自然灾害而导致废水外溢污染浅层地下水的风险。</w:t>
      </w:r>
    </w:p>
    <w:p>
      <w:pPr>
        <w:adjustRightInd/>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严格执行废水运输保障的“三联单”制度（即出站单据、进站单据和水量单据），运输车辆安装GPS，防止生活污水随意排放引发环境污染事件，确保回注水运输安全性。</w:t>
      </w:r>
    </w:p>
    <w:p>
      <w:pPr>
        <w:pStyle w:val="19"/>
        <w:spacing w:line="360" w:lineRule="auto"/>
        <w:ind w:firstLine="480" w:firstLineChars="200"/>
        <w:jc w:val="both"/>
        <w:rPr>
          <w:color w:val="000000" w:themeColor="text1"/>
          <w:highlight w:val="none"/>
          <w:lang w:eastAsia="zh-CN"/>
          <w14:textFill>
            <w14:solidFill>
              <w14:schemeClr w14:val="tx1"/>
            </w14:solidFill>
          </w14:textFill>
        </w:rPr>
      </w:pPr>
      <w:r>
        <w:rPr>
          <w:rFonts w:hint="eastAsia" w:ascii="Times New Roman" w:hAnsi="Times New Roman"/>
          <w:color w:val="000000" w:themeColor="text1"/>
          <w:highlight w:val="none"/>
          <w:lang w:eastAsia="zh-CN"/>
          <w14:textFill>
            <w14:solidFill>
              <w14:schemeClr w14:val="tx1"/>
            </w14:solidFill>
          </w14:textFill>
        </w:rPr>
        <w:t>3）</w:t>
      </w:r>
      <w:r>
        <w:rPr>
          <w:rFonts w:ascii="Times New Roman" w:hAnsi="Times New Roman"/>
          <w:color w:val="000000" w:themeColor="text1"/>
          <w:highlight w:val="none"/>
          <w:lang w:eastAsia="zh-CN"/>
          <w14:textFill>
            <w14:solidFill>
              <w14:schemeClr w14:val="tx1"/>
            </w14:solidFill>
          </w14:textFill>
        </w:rPr>
        <w:t>用罐车运送污水时，加强对罐车司机的安全教育，定期对罐车进行安全检查，严格遵守交通规则，避免交通事故发生。加强对除驾驶员外的其他拉运工作人员管理，要求运输人员技术过硬、经验丰富、工作认真负责。加强对罐车的管理，防止人为原因造成的污染物泄漏</w:t>
      </w:r>
      <w:r>
        <w:rPr>
          <w:rFonts w:hint="eastAsia" w:ascii="Times New Roman" w:hAnsi="Times New Roman"/>
          <w:color w:val="000000" w:themeColor="text1"/>
          <w:highlight w:val="none"/>
          <w:lang w:eastAsia="zh-CN"/>
          <w14:textFill>
            <w14:solidFill>
              <w14:schemeClr w14:val="tx1"/>
            </w14:solidFill>
          </w14:textFill>
        </w:rPr>
        <w:t>。</w:t>
      </w:r>
    </w:p>
    <w:p>
      <w:pPr>
        <w:adjustRightInd/>
        <w:ind w:firstLine="480"/>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②</w:t>
      </w:r>
      <w:r>
        <w:rPr>
          <w:color w:val="000000" w:themeColor="text1"/>
          <w:highlight w:val="none"/>
          <w14:textFill>
            <w14:solidFill>
              <w14:schemeClr w14:val="tx1"/>
            </w14:solidFill>
          </w14:textFill>
        </w:rPr>
        <w:t>分区防治措施</w:t>
      </w:r>
    </w:p>
    <w:p>
      <w:pPr>
        <w:pStyle w:val="13"/>
        <w:adjustRightInd/>
        <w:spacing w:line="360" w:lineRule="auto"/>
        <w:ind w:firstLine="480" w:firstLineChars="200"/>
        <w:jc w:val="both"/>
        <w:rPr>
          <w:rFonts w:ascii="Times New Roman" w:hAnsi="Times New Roman"/>
          <w:color w:val="000000" w:themeColor="text1"/>
          <w:kern w:val="0"/>
          <w:sz w:val="24"/>
          <w:szCs w:val="21"/>
          <w:highlight w:val="none"/>
          <w14:textFill>
            <w14:solidFill>
              <w14:schemeClr w14:val="tx1"/>
            </w14:solidFill>
          </w14:textFill>
        </w:rPr>
      </w:pPr>
      <w:r>
        <w:rPr>
          <w:rFonts w:ascii="Times New Roman" w:hAnsi="Times New Roman"/>
          <w:color w:val="000000" w:themeColor="text1"/>
          <w:kern w:val="0"/>
          <w:sz w:val="24"/>
          <w:szCs w:val="21"/>
          <w:highlight w:val="none"/>
          <w14:textFill>
            <w14:solidFill>
              <w14:schemeClr w14:val="tx1"/>
            </w14:solidFill>
          </w14:textFill>
        </w:rPr>
        <w:t>由于项目所属行业未颁布相关的标准，需根据预测结果和场地包气带特征及其防污性能，提出防渗技术要求。天然包气带防污性能分级，污染控制难易程度划分，地下水污染防渗分区参照下表，同时考虑到项目类别等情况，进行分区防渗工程。</w:t>
      </w:r>
    </w:p>
    <w:p>
      <w:pPr>
        <w:pStyle w:val="14"/>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天然包气带防污性能分级参照表</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5" w:type="dxa"/>
          <w:left w:w="15" w:type="dxa"/>
          <w:bottom w:w="15" w:type="dxa"/>
          <w:right w:w="15" w:type="dxa"/>
        </w:tblCellMar>
      </w:tblPr>
      <w:tblGrid>
        <w:gridCol w:w="572"/>
        <w:gridCol w:w="77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7" w:hRule="atLeast"/>
          <w:tblHeader/>
          <w:jc w:val="center"/>
        </w:trPr>
        <w:tc>
          <w:tcPr>
            <w:tcW w:w="344" w:type="pct"/>
            <w:shd w:val="clear" w:color="auto" w:fill="auto"/>
            <w:tcMar>
              <w:top w:w="0" w:type="dxa"/>
              <w:left w:w="0" w:type="dxa"/>
              <w:bottom w:w="0" w:type="dxa"/>
              <w:right w:w="0" w:type="dxa"/>
            </w:tcMar>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分级</w:t>
            </w:r>
          </w:p>
        </w:tc>
        <w:tc>
          <w:tcPr>
            <w:tcW w:w="4656" w:type="pct"/>
            <w:shd w:val="clear" w:color="auto" w:fill="auto"/>
            <w:tcMar>
              <w:top w:w="0" w:type="dxa"/>
              <w:left w:w="0" w:type="dxa"/>
              <w:bottom w:w="0" w:type="dxa"/>
              <w:right w:w="0" w:type="dxa"/>
            </w:tcMar>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包气带岩土的渗透性能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344" w:type="pct"/>
            <w:shd w:val="clear" w:color="auto" w:fill="auto"/>
            <w:tcMar>
              <w:top w:w="0" w:type="dxa"/>
              <w:left w:w="0" w:type="dxa"/>
              <w:bottom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强</w:t>
            </w:r>
          </w:p>
        </w:tc>
        <w:tc>
          <w:tcPr>
            <w:tcW w:w="4656" w:type="pct"/>
            <w:shd w:val="clear" w:color="auto" w:fill="auto"/>
            <w:tcMar>
              <w:top w:w="0" w:type="dxa"/>
              <w:left w:w="0" w:type="dxa"/>
              <w:bottom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岩（土）层单层厚度Mb≥1.0m，渗透系数K≤1×10</w:t>
            </w:r>
            <w:r>
              <w:rPr>
                <w:color w:val="000000" w:themeColor="text1"/>
                <w:highlight w:val="none"/>
                <w:vertAlign w:val="superscript"/>
                <w14:textFill>
                  <w14:solidFill>
                    <w14:schemeClr w14:val="tx1"/>
                  </w14:solidFill>
                </w14:textFill>
              </w:rPr>
              <w:t>-6</w:t>
            </w:r>
            <w:r>
              <w:rPr>
                <w:color w:val="000000" w:themeColor="text1"/>
                <w:highlight w:val="none"/>
                <w14:textFill>
                  <w14:solidFill>
                    <w14:schemeClr w14:val="tx1"/>
                  </w14:solidFill>
                </w14:textFill>
              </w:rPr>
              <w:t>cm/s，且分布连续、稳定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344" w:type="pct"/>
            <w:shd w:val="clear" w:color="auto" w:fill="auto"/>
            <w:tcMar>
              <w:top w:w="0" w:type="dxa"/>
              <w:left w:w="0" w:type="dxa"/>
              <w:bottom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w:t>
            </w:r>
          </w:p>
        </w:tc>
        <w:tc>
          <w:tcPr>
            <w:tcW w:w="4656" w:type="pct"/>
            <w:shd w:val="clear" w:color="auto" w:fill="auto"/>
            <w:tcMar>
              <w:top w:w="0" w:type="dxa"/>
              <w:left w:w="0" w:type="dxa"/>
              <w:bottom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岩（土）层单层厚度0.</w:t>
            </w: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m≤Mb＜1.0m，渗透系数K≤1×10</w:t>
            </w:r>
            <w:r>
              <w:rPr>
                <w:color w:val="000000" w:themeColor="text1"/>
                <w:highlight w:val="none"/>
                <w:vertAlign w:val="superscript"/>
                <w14:textFill>
                  <w14:solidFill>
                    <w14:schemeClr w14:val="tx1"/>
                  </w14:solidFill>
                </w14:textFill>
              </w:rPr>
              <w:t>-6</w:t>
            </w:r>
            <w:r>
              <w:rPr>
                <w:color w:val="000000" w:themeColor="text1"/>
                <w:highlight w:val="none"/>
                <w14:textFill>
                  <w14:solidFill>
                    <w14:schemeClr w14:val="tx1"/>
                  </w14:solidFill>
                </w14:textFill>
              </w:rPr>
              <w:t>cm/s，且分布连续、稳定岩（土）层单层厚度Mb≥1.0m，渗透系数1×10</w:t>
            </w:r>
            <w:r>
              <w:rPr>
                <w:color w:val="000000" w:themeColor="text1"/>
                <w:highlight w:val="none"/>
                <w:vertAlign w:val="superscript"/>
                <w14:textFill>
                  <w14:solidFill>
                    <w14:schemeClr w14:val="tx1"/>
                  </w14:solidFill>
                </w14:textFill>
              </w:rPr>
              <w:t>-6</w:t>
            </w:r>
            <w:r>
              <w:rPr>
                <w:color w:val="000000" w:themeColor="text1"/>
                <w:highlight w:val="none"/>
                <w14:textFill>
                  <w14:solidFill>
                    <w14:schemeClr w14:val="tx1"/>
                  </w14:solidFill>
                </w14:textFill>
              </w:rPr>
              <w:t>cm/s＜K≤1×10</w:t>
            </w:r>
            <w:r>
              <w:rPr>
                <w:color w:val="000000" w:themeColor="text1"/>
                <w:highlight w:val="none"/>
                <w:vertAlign w:val="superscript"/>
                <w14:textFill>
                  <w14:solidFill>
                    <w14:schemeClr w14:val="tx1"/>
                  </w14:solidFill>
                </w14:textFill>
              </w:rPr>
              <w:t>-4</w:t>
            </w:r>
            <w:r>
              <w:rPr>
                <w:color w:val="000000" w:themeColor="text1"/>
                <w:highlight w:val="none"/>
                <w14:textFill>
                  <w14:solidFill>
                    <w14:schemeClr w14:val="tx1"/>
                  </w14:solidFill>
                </w14:textFill>
              </w:rPr>
              <w:t>cm/s，且分布连续、稳定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344" w:type="pct"/>
            <w:shd w:val="clear" w:color="auto" w:fill="auto"/>
            <w:tcMar>
              <w:top w:w="0" w:type="dxa"/>
              <w:left w:w="0" w:type="dxa"/>
              <w:bottom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弱</w:t>
            </w:r>
          </w:p>
        </w:tc>
        <w:tc>
          <w:tcPr>
            <w:tcW w:w="4656" w:type="pct"/>
            <w:shd w:val="clear" w:color="auto" w:fill="auto"/>
            <w:tcMar>
              <w:top w:w="0" w:type="dxa"/>
              <w:left w:w="0" w:type="dxa"/>
              <w:bottom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岩（土）层不满足上述“强”和“中”条件</w:t>
            </w:r>
          </w:p>
        </w:tc>
      </w:tr>
    </w:tbl>
    <w:p>
      <w:pPr>
        <w:pStyle w:val="14"/>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10</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污染控制难易程度分级参照表</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5" w:type="dxa"/>
          <w:left w:w="15" w:type="dxa"/>
          <w:bottom w:w="15" w:type="dxa"/>
          <w:right w:w="15" w:type="dxa"/>
        </w:tblCellMar>
      </w:tblPr>
      <w:tblGrid>
        <w:gridCol w:w="694"/>
        <w:gridCol w:w="76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7" w:hRule="atLeast"/>
          <w:tblHeader/>
          <w:jc w:val="center"/>
        </w:trPr>
        <w:tc>
          <w:tcPr>
            <w:tcW w:w="417" w:type="pct"/>
            <w:shd w:val="clear" w:color="auto" w:fill="auto"/>
            <w:tcMar>
              <w:top w:w="0" w:type="dxa"/>
              <w:left w:w="0" w:type="dxa"/>
              <w:bottom w:w="0" w:type="dxa"/>
              <w:right w:w="0" w:type="dxa"/>
            </w:tcMar>
            <w:vAlign w:val="center"/>
          </w:tcPr>
          <w:p>
            <w:pPr>
              <w:pStyle w:val="118"/>
              <w:rPr>
                <w:b/>
                <w:bCs/>
                <w:color w:val="000000" w:themeColor="text1"/>
                <w:highlight w:val="none"/>
                <w:lang w:bidi="ar"/>
                <w14:textFill>
                  <w14:solidFill>
                    <w14:schemeClr w14:val="tx1"/>
                  </w14:solidFill>
                </w14:textFill>
              </w:rPr>
            </w:pPr>
            <w:r>
              <w:rPr>
                <w:b/>
                <w:bCs/>
                <w:color w:val="000000" w:themeColor="text1"/>
                <w:highlight w:val="none"/>
                <w:lang w:bidi="ar"/>
                <w14:textFill>
                  <w14:solidFill>
                    <w14:schemeClr w14:val="tx1"/>
                  </w14:solidFill>
                </w14:textFill>
              </w:rPr>
              <w:t>分级</w:t>
            </w:r>
          </w:p>
        </w:tc>
        <w:tc>
          <w:tcPr>
            <w:tcW w:w="4583" w:type="pct"/>
            <w:shd w:val="clear" w:color="auto" w:fill="auto"/>
            <w:tcMar>
              <w:top w:w="0" w:type="dxa"/>
              <w:left w:w="0" w:type="dxa"/>
              <w:bottom w:w="0" w:type="dxa"/>
              <w:right w:w="0" w:type="dxa"/>
            </w:tcMar>
            <w:vAlign w:val="center"/>
          </w:tcPr>
          <w:p>
            <w:pPr>
              <w:pStyle w:val="118"/>
              <w:rPr>
                <w:b/>
                <w:bCs/>
                <w:color w:val="000000" w:themeColor="text1"/>
                <w:highlight w:val="none"/>
                <w:lang w:bidi="ar"/>
                <w14:textFill>
                  <w14:solidFill>
                    <w14:schemeClr w14:val="tx1"/>
                  </w14:solidFill>
                </w14:textFill>
              </w:rPr>
            </w:pPr>
            <w:r>
              <w:rPr>
                <w:b/>
                <w:bCs/>
                <w:color w:val="000000" w:themeColor="text1"/>
                <w:highlight w:val="none"/>
                <w:lang w:bidi="ar"/>
                <w14:textFill>
                  <w14:solidFill>
                    <w14:schemeClr w14:val="tx1"/>
                  </w14:solidFill>
                </w14:textFill>
              </w:rPr>
              <w:t>包气带岩土的渗透性能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417" w:type="pct"/>
            <w:shd w:val="clear" w:color="auto" w:fill="auto"/>
            <w:tcMar>
              <w:top w:w="0" w:type="dxa"/>
              <w:left w:w="0" w:type="dxa"/>
              <w:bottom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难</w:t>
            </w:r>
          </w:p>
        </w:tc>
        <w:tc>
          <w:tcPr>
            <w:tcW w:w="4583" w:type="pct"/>
            <w:shd w:val="clear" w:color="auto" w:fill="auto"/>
            <w:tcMar>
              <w:top w:w="0" w:type="dxa"/>
              <w:left w:w="0" w:type="dxa"/>
              <w:bottom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对地下水环境有污染的物料或污染物泄漏后，不能及时发现和处理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417" w:type="pct"/>
            <w:shd w:val="clear" w:color="auto" w:fill="auto"/>
            <w:tcMar>
              <w:top w:w="0" w:type="dxa"/>
              <w:left w:w="0" w:type="dxa"/>
              <w:bottom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易</w:t>
            </w:r>
          </w:p>
        </w:tc>
        <w:tc>
          <w:tcPr>
            <w:tcW w:w="4583" w:type="pct"/>
            <w:shd w:val="clear" w:color="auto" w:fill="auto"/>
            <w:tcMar>
              <w:top w:w="0" w:type="dxa"/>
              <w:left w:w="0" w:type="dxa"/>
              <w:bottom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对地下水环境有污染的物料或污染物泄漏后，可及时发现和处理</w:t>
            </w:r>
          </w:p>
        </w:tc>
      </w:tr>
    </w:tbl>
    <w:p>
      <w:pPr>
        <w:pStyle w:val="14"/>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11</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地下水污染防渗分区参照表</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5" w:type="dxa"/>
          <w:left w:w="15" w:type="dxa"/>
          <w:bottom w:w="15" w:type="dxa"/>
          <w:right w:w="15" w:type="dxa"/>
        </w:tblCellMar>
      </w:tblPr>
      <w:tblGrid>
        <w:gridCol w:w="1000"/>
        <w:gridCol w:w="1551"/>
        <w:gridCol w:w="1391"/>
        <w:gridCol w:w="1870"/>
        <w:gridCol w:w="25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7" w:hRule="atLeast"/>
          <w:tblHeader/>
          <w:jc w:val="center"/>
        </w:trPr>
        <w:tc>
          <w:tcPr>
            <w:tcW w:w="601" w:type="pct"/>
            <w:shd w:val="clear" w:color="auto" w:fill="auto"/>
            <w:tcMar>
              <w:top w:w="0" w:type="dxa"/>
              <w:left w:w="0" w:type="dxa"/>
              <w:bottom w:w="0" w:type="dxa"/>
              <w:right w:w="0" w:type="dxa"/>
            </w:tcMar>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防渗分区</w:t>
            </w:r>
          </w:p>
        </w:tc>
        <w:tc>
          <w:tcPr>
            <w:tcW w:w="932" w:type="pct"/>
            <w:shd w:val="clear" w:color="auto" w:fill="auto"/>
            <w:tcMar>
              <w:top w:w="0" w:type="dxa"/>
              <w:left w:w="0" w:type="dxa"/>
              <w:bottom w:w="0" w:type="dxa"/>
              <w:right w:w="0" w:type="dxa"/>
            </w:tcMar>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天然包气带防污性能</w:t>
            </w:r>
          </w:p>
        </w:tc>
        <w:tc>
          <w:tcPr>
            <w:tcW w:w="836" w:type="pct"/>
            <w:shd w:val="clear" w:color="auto" w:fill="auto"/>
            <w:tcMar>
              <w:top w:w="0" w:type="dxa"/>
              <w:left w:w="0" w:type="dxa"/>
              <w:bottom w:w="0" w:type="dxa"/>
              <w:right w:w="0" w:type="dxa"/>
            </w:tcMar>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污染控制难易程度</w:t>
            </w:r>
          </w:p>
        </w:tc>
        <w:tc>
          <w:tcPr>
            <w:tcW w:w="1124" w:type="pct"/>
            <w:shd w:val="clear" w:color="auto" w:fill="auto"/>
            <w:tcMar>
              <w:top w:w="0" w:type="dxa"/>
              <w:left w:w="0" w:type="dxa"/>
              <w:bottom w:w="0" w:type="dxa"/>
              <w:right w:w="0" w:type="dxa"/>
            </w:tcMar>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污染物类型</w:t>
            </w:r>
          </w:p>
        </w:tc>
        <w:tc>
          <w:tcPr>
            <w:tcW w:w="1507" w:type="pct"/>
            <w:shd w:val="clear" w:color="auto" w:fill="auto"/>
            <w:tcMar>
              <w:top w:w="0" w:type="dxa"/>
              <w:left w:w="0" w:type="dxa"/>
              <w:bottom w:w="0" w:type="dxa"/>
              <w:right w:w="0" w:type="dxa"/>
            </w:tcMar>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防渗技术要求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601" w:type="pct"/>
            <w:vMerge w:val="restart"/>
            <w:shd w:val="clear" w:color="auto" w:fill="auto"/>
            <w:tcMar>
              <w:top w:w="0" w:type="dxa"/>
              <w:left w:w="0" w:type="dxa"/>
              <w:bottom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重点防渗区</w:t>
            </w:r>
          </w:p>
        </w:tc>
        <w:tc>
          <w:tcPr>
            <w:tcW w:w="932" w:type="pct"/>
            <w:shd w:val="clear" w:color="auto" w:fill="auto"/>
            <w:tcMar>
              <w:top w:w="0" w:type="dxa"/>
              <w:left w:w="0" w:type="dxa"/>
              <w:bottom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弱</w:t>
            </w:r>
          </w:p>
        </w:tc>
        <w:tc>
          <w:tcPr>
            <w:tcW w:w="836" w:type="pct"/>
            <w:shd w:val="clear" w:color="auto" w:fill="auto"/>
            <w:tcMar>
              <w:top w:w="0" w:type="dxa"/>
              <w:left w:w="0" w:type="dxa"/>
              <w:bottom w:w="0" w:type="dxa"/>
              <w:right w:w="0" w:type="dxa"/>
            </w:tcMar>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易—</w:t>
            </w:r>
            <w:r>
              <w:rPr>
                <w:color w:val="000000" w:themeColor="text1"/>
                <w:highlight w:val="none"/>
                <w14:textFill>
                  <w14:solidFill>
                    <w14:schemeClr w14:val="tx1"/>
                  </w14:solidFill>
                </w14:textFill>
              </w:rPr>
              <w:t>难</w:t>
            </w:r>
          </w:p>
        </w:tc>
        <w:tc>
          <w:tcPr>
            <w:tcW w:w="1124" w:type="pct"/>
            <w:vMerge w:val="restart"/>
            <w:shd w:val="clear" w:color="auto" w:fill="auto"/>
            <w:tcMar>
              <w:top w:w="0" w:type="dxa"/>
              <w:left w:w="0" w:type="dxa"/>
              <w:bottom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重金属、持久性有机物污染物</w:t>
            </w:r>
          </w:p>
        </w:tc>
        <w:tc>
          <w:tcPr>
            <w:tcW w:w="1507" w:type="pct"/>
            <w:vMerge w:val="restart"/>
            <w:shd w:val="clear" w:color="auto" w:fill="auto"/>
            <w:tcMar>
              <w:top w:w="0" w:type="dxa"/>
              <w:left w:w="0" w:type="dxa"/>
              <w:bottom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等效粘土防渗层Mb≥6.0m，K≤1×10-7cm/s；或参照GB18698执行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601" w:type="pct"/>
            <w:vMerge w:val="continue"/>
            <w:shd w:val="clear" w:color="auto" w:fill="auto"/>
            <w:tcMar>
              <w:top w:w="0" w:type="dxa"/>
              <w:left w:w="0" w:type="dxa"/>
              <w:bottom w:w="0" w:type="dxa"/>
              <w:right w:w="0" w:type="dxa"/>
            </w:tcMar>
            <w:vAlign w:val="center"/>
          </w:tcPr>
          <w:p>
            <w:pPr>
              <w:pStyle w:val="118"/>
              <w:rPr>
                <w:color w:val="000000" w:themeColor="text1"/>
                <w:highlight w:val="none"/>
                <w14:textFill>
                  <w14:solidFill>
                    <w14:schemeClr w14:val="tx1"/>
                  </w14:solidFill>
                </w14:textFill>
              </w:rPr>
            </w:pPr>
          </w:p>
        </w:tc>
        <w:tc>
          <w:tcPr>
            <w:tcW w:w="932" w:type="pct"/>
            <w:shd w:val="clear" w:color="auto" w:fill="auto"/>
            <w:tcMar>
              <w:top w:w="0" w:type="dxa"/>
              <w:left w:w="0" w:type="dxa"/>
              <w:bottom w:w="0" w:type="dxa"/>
              <w:right w:w="0" w:type="dxa"/>
            </w:tcMar>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中—</w:t>
            </w:r>
            <w:r>
              <w:rPr>
                <w:color w:val="000000" w:themeColor="text1"/>
                <w:highlight w:val="none"/>
                <w14:textFill>
                  <w14:solidFill>
                    <w14:schemeClr w14:val="tx1"/>
                  </w14:solidFill>
                </w14:textFill>
              </w:rPr>
              <w:t>强</w:t>
            </w:r>
          </w:p>
        </w:tc>
        <w:tc>
          <w:tcPr>
            <w:tcW w:w="836" w:type="pct"/>
            <w:shd w:val="clear" w:color="auto" w:fill="auto"/>
            <w:tcMar>
              <w:top w:w="0" w:type="dxa"/>
              <w:left w:w="0" w:type="dxa"/>
              <w:bottom w:w="0" w:type="dxa"/>
              <w:right w:w="0" w:type="dxa"/>
            </w:tcMar>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难</w:t>
            </w:r>
          </w:p>
        </w:tc>
        <w:tc>
          <w:tcPr>
            <w:tcW w:w="1124" w:type="pct"/>
            <w:vMerge w:val="continue"/>
            <w:shd w:val="clear" w:color="auto" w:fill="auto"/>
            <w:tcMar>
              <w:top w:w="0" w:type="dxa"/>
              <w:left w:w="0" w:type="dxa"/>
              <w:bottom w:w="0" w:type="dxa"/>
              <w:right w:w="0" w:type="dxa"/>
            </w:tcMar>
            <w:vAlign w:val="center"/>
          </w:tcPr>
          <w:p>
            <w:pPr>
              <w:pStyle w:val="118"/>
              <w:rPr>
                <w:color w:val="000000" w:themeColor="text1"/>
                <w:highlight w:val="none"/>
                <w14:textFill>
                  <w14:solidFill>
                    <w14:schemeClr w14:val="tx1"/>
                  </w14:solidFill>
                </w14:textFill>
              </w:rPr>
            </w:pPr>
          </w:p>
        </w:tc>
        <w:tc>
          <w:tcPr>
            <w:tcW w:w="1507" w:type="pct"/>
            <w:vMerge w:val="continue"/>
            <w:shd w:val="clear" w:color="auto" w:fill="auto"/>
            <w:tcMar>
              <w:top w:w="0" w:type="dxa"/>
              <w:left w:w="0" w:type="dxa"/>
              <w:bottom w:w="0" w:type="dxa"/>
              <w:right w:w="0" w:type="dxa"/>
            </w:tcMar>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601" w:type="pct"/>
            <w:vMerge w:val="restart"/>
            <w:shd w:val="clear" w:color="auto" w:fill="auto"/>
            <w:tcMar>
              <w:top w:w="0" w:type="dxa"/>
              <w:left w:w="0" w:type="dxa"/>
              <w:bottom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一般防渗区</w:t>
            </w:r>
          </w:p>
        </w:tc>
        <w:tc>
          <w:tcPr>
            <w:tcW w:w="932" w:type="pct"/>
            <w:shd w:val="clear" w:color="auto" w:fill="auto"/>
            <w:tcMar>
              <w:top w:w="0" w:type="dxa"/>
              <w:left w:w="0" w:type="dxa"/>
              <w:bottom w:w="0" w:type="dxa"/>
              <w:right w:w="0" w:type="dxa"/>
            </w:tcMar>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中—</w:t>
            </w:r>
            <w:r>
              <w:rPr>
                <w:color w:val="000000" w:themeColor="text1"/>
                <w:highlight w:val="none"/>
                <w14:textFill>
                  <w14:solidFill>
                    <w14:schemeClr w14:val="tx1"/>
                  </w14:solidFill>
                </w14:textFill>
              </w:rPr>
              <w:t>强</w:t>
            </w:r>
          </w:p>
        </w:tc>
        <w:tc>
          <w:tcPr>
            <w:tcW w:w="836" w:type="pct"/>
            <w:shd w:val="clear" w:color="auto" w:fill="auto"/>
            <w:tcMar>
              <w:top w:w="0" w:type="dxa"/>
              <w:left w:w="0" w:type="dxa"/>
              <w:bottom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易</w:t>
            </w:r>
          </w:p>
        </w:tc>
        <w:tc>
          <w:tcPr>
            <w:tcW w:w="1124" w:type="pct"/>
            <w:shd w:val="clear" w:color="auto" w:fill="auto"/>
            <w:tcMar>
              <w:top w:w="0" w:type="dxa"/>
              <w:left w:w="0" w:type="dxa"/>
              <w:bottom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重金属、持久性有机物污染物</w:t>
            </w:r>
          </w:p>
        </w:tc>
        <w:tc>
          <w:tcPr>
            <w:tcW w:w="1507" w:type="pct"/>
            <w:vMerge w:val="restart"/>
            <w:shd w:val="clear" w:color="auto" w:fill="auto"/>
            <w:tcMar>
              <w:top w:w="0" w:type="dxa"/>
              <w:left w:w="0" w:type="dxa"/>
              <w:bottom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等效粘土防渗层Mb≥1.</w:t>
            </w: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m，K≤1×10-7cm/s；或参照GB16889执行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601" w:type="pct"/>
            <w:vMerge w:val="continue"/>
            <w:shd w:val="clear" w:color="auto" w:fill="auto"/>
            <w:tcMar>
              <w:top w:w="0" w:type="dxa"/>
              <w:left w:w="0" w:type="dxa"/>
              <w:bottom w:w="0" w:type="dxa"/>
              <w:right w:w="0" w:type="dxa"/>
            </w:tcMar>
            <w:vAlign w:val="center"/>
          </w:tcPr>
          <w:p>
            <w:pPr>
              <w:pStyle w:val="118"/>
              <w:rPr>
                <w:color w:val="000000" w:themeColor="text1"/>
                <w:highlight w:val="none"/>
                <w14:textFill>
                  <w14:solidFill>
                    <w14:schemeClr w14:val="tx1"/>
                  </w14:solidFill>
                </w14:textFill>
              </w:rPr>
            </w:pPr>
          </w:p>
        </w:tc>
        <w:tc>
          <w:tcPr>
            <w:tcW w:w="932" w:type="pct"/>
            <w:shd w:val="clear" w:color="auto" w:fill="auto"/>
            <w:tcMar>
              <w:top w:w="0" w:type="dxa"/>
              <w:left w:w="0" w:type="dxa"/>
              <w:bottom w:w="0" w:type="dxa"/>
              <w:right w:w="0" w:type="dxa"/>
            </w:tcMar>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弱</w:t>
            </w:r>
          </w:p>
        </w:tc>
        <w:tc>
          <w:tcPr>
            <w:tcW w:w="836" w:type="pct"/>
            <w:shd w:val="clear" w:color="auto" w:fill="auto"/>
            <w:tcMar>
              <w:top w:w="0" w:type="dxa"/>
              <w:left w:w="0" w:type="dxa"/>
              <w:bottom w:w="0" w:type="dxa"/>
              <w:right w:w="0" w:type="dxa"/>
            </w:tcMar>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易—</w:t>
            </w:r>
            <w:r>
              <w:rPr>
                <w:color w:val="000000" w:themeColor="text1"/>
                <w:highlight w:val="none"/>
                <w14:textFill>
                  <w14:solidFill>
                    <w14:schemeClr w14:val="tx1"/>
                  </w14:solidFill>
                </w14:textFill>
              </w:rPr>
              <w:t>难</w:t>
            </w:r>
          </w:p>
        </w:tc>
        <w:tc>
          <w:tcPr>
            <w:tcW w:w="1124" w:type="pct"/>
            <w:vMerge w:val="restart"/>
            <w:shd w:val="clear" w:color="auto" w:fill="auto"/>
            <w:tcMar>
              <w:top w:w="0" w:type="dxa"/>
              <w:left w:w="0" w:type="dxa"/>
              <w:bottom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其他类型</w:t>
            </w:r>
          </w:p>
        </w:tc>
        <w:tc>
          <w:tcPr>
            <w:tcW w:w="1507" w:type="pct"/>
            <w:vMerge w:val="continue"/>
            <w:shd w:val="clear" w:color="auto" w:fill="auto"/>
            <w:tcMar>
              <w:top w:w="0" w:type="dxa"/>
              <w:left w:w="0" w:type="dxa"/>
              <w:bottom w:w="0" w:type="dxa"/>
              <w:right w:w="0" w:type="dxa"/>
            </w:tcMar>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601" w:type="pct"/>
            <w:vMerge w:val="continue"/>
            <w:shd w:val="clear" w:color="auto" w:fill="auto"/>
            <w:tcMar>
              <w:top w:w="0" w:type="dxa"/>
              <w:left w:w="0" w:type="dxa"/>
              <w:bottom w:w="0" w:type="dxa"/>
              <w:right w:w="0" w:type="dxa"/>
            </w:tcMar>
            <w:vAlign w:val="center"/>
          </w:tcPr>
          <w:p>
            <w:pPr>
              <w:pStyle w:val="118"/>
              <w:rPr>
                <w:color w:val="000000" w:themeColor="text1"/>
                <w:highlight w:val="none"/>
                <w14:textFill>
                  <w14:solidFill>
                    <w14:schemeClr w14:val="tx1"/>
                  </w14:solidFill>
                </w14:textFill>
              </w:rPr>
            </w:pPr>
          </w:p>
        </w:tc>
        <w:tc>
          <w:tcPr>
            <w:tcW w:w="932" w:type="pct"/>
            <w:shd w:val="clear" w:color="auto" w:fill="auto"/>
            <w:tcMar>
              <w:top w:w="0" w:type="dxa"/>
              <w:left w:w="0" w:type="dxa"/>
              <w:bottom w:w="0" w:type="dxa"/>
              <w:right w:w="0" w:type="dxa"/>
            </w:tcMar>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中—</w:t>
            </w:r>
            <w:r>
              <w:rPr>
                <w:color w:val="000000" w:themeColor="text1"/>
                <w:highlight w:val="none"/>
                <w14:textFill>
                  <w14:solidFill>
                    <w14:schemeClr w14:val="tx1"/>
                  </w14:solidFill>
                </w14:textFill>
              </w:rPr>
              <w:t>强</w:t>
            </w:r>
          </w:p>
        </w:tc>
        <w:tc>
          <w:tcPr>
            <w:tcW w:w="836" w:type="pct"/>
            <w:shd w:val="clear" w:color="auto" w:fill="auto"/>
            <w:tcMar>
              <w:top w:w="0" w:type="dxa"/>
              <w:left w:w="0" w:type="dxa"/>
              <w:bottom w:w="0" w:type="dxa"/>
              <w:right w:w="0" w:type="dxa"/>
            </w:tcMar>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难</w:t>
            </w:r>
          </w:p>
        </w:tc>
        <w:tc>
          <w:tcPr>
            <w:tcW w:w="1124" w:type="pct"/>
            <w:vMerge w:val="continue"/>
            <w:shd w:val="clear" w:color="auto" w:fill="auto"/>
            <w:tcMar>
              <w:top w:w="0" w:type="dxa"/>
              <w:left w:w="0" w:type="dxa"/>
              <w:bottom w:w="0" w:type="dxa"/>
              <w:right w:w="0" w:type="dxa"/>
            </w:tcMar>
            <w:vAlign w:val="center"/>
          </w:tcPr>
          <w:p>
            <w:pPr>
              <w:pStyle w:val="118"/>
              <w:rPr>
                <w:color w:val="000000" w:themeColor="text1"/>
                <w:highlight w:val="none"/>
                <w14:textFill>
                  <w14:solidFill>
                    <w14:schemeClr w14:val="tx1"/>
                  </w14:solidFill>
                </w14:textFill>
              </w:rPr>
            </w:pPr>
          </w:p>
        </w:tc>
        <w:tc>
          <w:tcPr>
            <w:tcW w:w="1507" w:type="pct"/>
            <w:vMerge w:val="continue"/>
            <w:shd w:val="clear" w:color="auto" w:fill="auto"/>
            <w:tcMar>
              <w:top w:w="0" w:type="dxa"/>
              <w:left w:w="0" w:type="dxa"/>
              <w:bottom w:w="0" w:type="dxa"/>
              <w:right w:w="0" w:type="dxa"/>
            </w:tcMar>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601" w:type="pct"/>
            <w:shd w:val="clear" w:color="auto" w:fill="auto"/>
            <w:tcMar>
              <w:top w:w="0" w:type="dxa"/>
              <w:left w:w="0" w:type="dxa"/>
              <w:bottom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简单防渗区</w:t>
            </w:r>
          </w:p>
        </w:tc>
        <w:tc>
          <w:tcPr>
            <w:tcW w:w="932" w:type="pct"/>
            <w:shd w:val="clear" w:color="auto" w:fill="auto"/>
            <w:tcMar>
              <w:top w:w="0" w:type="dxa"/>
              <w:left w:w="0" w:type="dxa"/>
              <w:bottom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中—强</w:t>
            </w:r>
          </w:p>
        </w:tc>
        <w:tc>
          <w:tcPr>
            <w:tcW w:w="836" w:type="pct"/>
            <w:shd w:val="clear" w:color="auto" w:fill="auto"/>
            <w:tcMar>
              <w:top w:w="0" w:type="dxa"/>
              <w:left w:w="0" w:type="dxa"/>
              <w:bottom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易</w:t>
            </w:r>
          </w:p>
        </w:tc>
        <w:tc>
          <w:tcPr>
            <w:tcW w:w="1124" w:type="pct"/>
            <w:shd w:val="clear" w:color="auto" w:fill="auto"/>
            <w:tcMar>
              <w:top w:w="0" w:type="dxa"/>
              <w:left w:w="0" w:type="dxa"/>
              <w:bottom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其他类型</w:t>
            </w:r>
          </w:p>
        </w:tc>
        <w:tc>
          <w:tcPr>
            <w:tcW w:w="1507" w:type="pct"/>
            <w:shd w:val="clear" w:color="auto" w:fill="auto"/>
            <w:tcMar>
              <w:top w:w="0" w:type="dxa"/>
              <w:left w:w="0" w:type="dxa"/>
              <w:bottom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一般地面硬化</w:t>
            </w:r>
          </w:p>
        </w:tc>
      </w:tr>
    </w:tbl>
    <w:p>
      <w:pPr>
        <w:adjustRightInd/>
        <w:spacing w:before="120" w:beforeLines="5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根据本项目各生产环节及构筑物污染防控难易程度，环评要求项目设置重点防渗区、一般防渗区和简单防渗区。项目分区防渗情况见</w:t>
      </w:r>
      <w:r>
        <w:rPr>
          <w:rFonts w:hint="eastAsia"/>
          <w:color w:val="000000" w:themeColor="text1"/>
          <w:highlight w:val="none"/>
          <w14:textFill>
            <w14:solidFill>
              <w14:schemeClr w14:val="tx1"/>
            </w14:solidFill>
          </w14:textFill>
        </w:rPr>
        <w:t>下</w:t>
      </w:r>
      <w:r>
        <w:rPr>
          <w:color w:val="000000" w:themeColor="text1"/>
          <w:highlight w:val="none"/>
          <w14:textFill>
            <w14:solidFill>
              <w14:schemeClr w14:val="tx1"/>
            </w14:solidFill>
          </w14:textFill>
        </w:rPr>
        <w:t>表。</w:t>
      </w:r>
    </w:p>
    <w:p>
      <w:pPr>
        <w:pStyle w:val="14"/>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12</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项目分区防渗一览表</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20"/>
        <w:gridCol w:w="1365"/>
        <w:gridCol w:w="1135"/>
        <w:gridCol w:w="2700"/>
        <w:gridCol w:w="25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blHeader/>
          <w:jc w:val="center"/>
        </w:trPr>
        <w:tc>
          <w:tcPr>
            <w:tcW w:w="373" w:type="pct"/>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防渗分区</w:t>
            </w:r>
          </w:p>
        </w:tc>
        <w:tc>
          <w:tcPr>
            <w:tcW w:w="820" w:type="pct"/>
            <w:shd w:val="clear" w:color="auto" w:fill="auto"/>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装置、单元</w:t>
            </w:r>
          </w:p>
        </w:tc>
        <w:tc>
          <w:tcPr>
            <w:tcW w:w="682"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防渗区域及部位</w:t>
            </w:r>
          </w:p>
        </w:tc>
        <w:tc>
          <w:tcPr>
            <w:tcW w:w="1622" w:type="pct"/>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防渗技术要求</w:t>
            </w:r>
          </w:p>
        </w:tc>
        <w:tc>
          <w:tcPr>
            <w:tcW w:w="1502" w:type="pct"/>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防渗措施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17" w:hRule="atLeast"/>
          <w:jc w:val="center"/>
        </w:trPr>
        <w:tc>
          <w:tcPr>
            <w:tcW w:w="37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重点防渗区</w:t>
            </w:r>
          </w:p>
        </w:tc>
        <w:tc>
          <w:tcPr>
            <w:tcW w:w="820"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污水罐区</w:t>
            </w:r>
          </w:p>
        </w:tc>
        <w:tc>
          <w:tcPr>
            <w:tcW w:w="682"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地面</w:t>
            </w:r>
            <w:r>
              <w:rPr>
                <w:color w:val="000000" w:themeColor="text1"/>
                <w:highlight w:val="none"/>
                <w14:textFill>
                  <w14:solidFill>
                    <w14:schemeClr w14:val="tx1"/>
                  </w14:solidFill>
                </w14:textFill>
              </w:rPr>
              <w:t>、围堰</w:t>
            </w:r>
          </w:p>
        </w:tc>
        <w:tc>
          <w:tcPr>
            <w:tcW w:w="1622"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等效黏土防渗层Mb≥6.0m，防渗系数1.0×10</w:t>
            </w:r>
            <w:r>
              <w:rPr>
                <w:color w:val="000000" w:themeColor="text1"/>
                <w:highlight w:val="none"/>
                <w:vertAlign w:val="superscript"/>
                <w14:textFill>
                  <w14:solidFill>
                    <w14:schemeClr w14:val="tx1"/>
                  </w14:solidFill>
                </w14:textFill>
              </w:rPr>
              <w:t>-7</w:t>
            </w:r>
            <w:r>
              <w:rPr>
                <w:color w:val="000000" w:themeColor="text1"/>
                <w:highlight w:val="none"/>
                <w14:textFill>
                  <w14:solidFill>
                    <w14:schemeClr w14:val="tx1"/>
                  </w14:solidFill>
                </w14:textFill>
              </w:rPr>
              <w:t>cm/s，或参照GB18598执行</w:t>
            </w:r>
          </w:p>
        </w:tc>
        <w:tc>
          <w:tcPr>
            <w:tcW w:w="1502"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混凝土+2mm厚高密度聚乙烯膜处理或防渗系数达到1.0×10</w:t>
            </w:r>
            <w:r>
              <w:rPr>
                <w:color w:val="000000" w:themeColor="text1"/>
                <w:highlight w:val="none"/>
                <w:vertAlign w:val="superscript"/>
                <w14:textFill>
                  <w14:solidFill>
                    <w14:schemeClr w14:val="tx1"/>
                  </w14:solidFill>
                </w14:textFill>
              </w:rPr>
              <w:t>-10</w:t>
            </w:r>
            <w:r>
              <w:rPr>
                <w:color w:val="000000" w:themeColor="text1"/>
                <w:highlight w:val="none"/>
                <w14:textFill>
                  <w14:solidFill>
                    <w14:schemeClr w14:val="tx1"/>
                  </w14:solidFill>
                </w14:textFill>
              </w:rPr>
              <w:t>cm/s的防渗材料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73" w:type="pct"/>
            <w:vMerge w:val="restar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一般防渗区</w:t>
            </w:r>
          </w:p>
        </w:tc>
        <w:tc>
          <w:tcPr>
            <w:tcW w:w="820"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工艺区</w:t>
            </w:r>
          </w:p>
        </w:tc>
        <w:tc>
          <w:tcPr>
            <w:tcW w:w="682"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基础、地面</w:t>
            </w:r>
          </w:p>
        </w:tc>
        <w:tc>
          <w:tcPr>
            <w:tcW w:w="1622" w:type="pct"/>
            <w:vMerge w:val="restar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等效黏土防渗层Mb≥1m，防渗系数1.0×10</w:t>
            </w:r>
            <w:r>
              <w:rPr>
                <w:color w:val="000000" w:themeColor="text1"/>
                <w:highlight w:val="none"/>
                <w:vertAlign w:val="superscript"/>
                <w14:textFill>
                  <w14:solidFill>
                    <w14:schemeClr w14:val="tx1"/>
                  </w14:solidFill>
                </w14:textFill>
              </w:rPr>
              <w:t>-7</w:t>
            </w:r>
            <w:r>
              <w:rPr>
                <w:color w:val="000000" w:themeColor="text1"/>
                <w:highlight w:val="none"/>
                <w14:textFill>
                  <w14:solidFill>
                    <w14:schemeClr w14:val="tx1"/>
                  </w14:solidFill>
                </w14:textFill>
              </w:rPr>
              <w:t>cm/s，或参照GB16889执行</w:t>
            </w:r>
          </w:p>
        </w:tc>
        <w:tc>
          <w:tcPr>
            <w:tcW w:w="1502" w:type="pct"/>
            <w:vMerge w:val="restart"/>
            <w:shd w:val="clear" w:color="auto" w:fill="auto"/>
            <w:vAlign w:val="center"/>
          </w:tcPr>
          <w:p>
            <w:pPr>
              <w:pStyle w:val="118"/>
              <w:rPr>
                <w:color w:val="000000" w:themeColor="text1"/>
                <w:highlight w:val="none"/>
                <w14:textFill>
                  <w14:solidFill>
                    <w14:schemeClr w14:val="tx1"/>
                  </w14:solidFill>
                </w14:textFill>
              </w:rPr>
            </w:pPr>
            <w:bookmarkStart w:id="182" w:name="OLE_LINK7"/>
            <w:bookmarkStart w:id="183" w:name="OLE_LINK8"/>
            <w:r>
              <w:rPr>
                <w:color w:val="000000" w:themeColor="text1"/>
                <w:highlight w:val="none"/>
                <w14:textFill>
                  <w14:solidFill>
                    <w14:schemeClr w14:val="tx1"/>
                  </w14:solidFill>
                </w14:textFill>
              </w:rPr>
              <w:t>混凝土+防渗系数</w:t>
            </w:r>
          </w:p>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达到1.0×10</w:t>
            </w:r>
            <w:r>
              <w:rPr>
                <w:color w:val="000000" w:themeColor="text1"/>
                <w:highlight w:val="none"/>
                <w:vertAlign w:val="superscript"/>
                <w14:textFill>
                  <w14:solidFill>
                    <w14:schemeClr w14:val="tx1"/>
                  </w14:solidFill>
                </w14:textFill>
              </w:rPr>
              <w:t>-7</w:t>
            </w:r>
            <w:r>
              <w:rPr>
                <w:color w:val="000000" w:themeColor="text1"/>
                <w:highlight w:val="none"/>
                <w14:textFill>
                  <w14:solidFill>
                    <w14:schemeClr w14:val="tx1"/>
                  </w14:solidFill>
                </w14:textFill>
              </w:rPr>
              <w:t>cm/s的防渗材料</w:t>
            </w:r>
            <w:bookmarkEnd w:id="182"/>
            <w:bookmarkEnd w:id="183"/>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73" w:type="pct"/>
            <w:vMerge w:val="continue"/>
            <w:shd w:val="clear" w:color="auto" w:fill="auto"/>
            <w:vAlign w:val="center"/>
          </w:tcPr>
          <w:p>
            <w:pPr>
              <w:pStyle w:val="118"/>
              <w:rPr>
                <w:color w:val="000000" w:themeColor="text1"/>
                <w:highlight w:val="none"/>
                <w14:textFill>
                  <w14:solidFill>
                    <w14:schemeClr w14:val="tx1"/>
                  </w14:solidFill>
                </w14:textFill>
              </w:rPr>
            </w:pPr>
          </w:p>
        </w:tc>
        <w:tc>
          <w:tcPr>
            <w:tcW w:w="820"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生态厕所</w:t>
            </w:r>
          </w:p>
        </w:tc>
        <w:tc>
          <w:tcPr>
            <w:tcW w:w="68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池底及池壁</w:t>
            </w:r>
          </w:p>
        </w:tc>
        <w:tc>
          <w:tcPr>
            <w:tcW w:w="1622" w:type="pct"/>
            <w:vMerge w:val="continue"/>
            <w:shd w:val="clear" w:color="auto" w:fill="auto"/>
            <w:vAlign w:val="center"/>
          </w:tcPr>
          <w:p>
            <w:pPr>
              <w:pStyle w:val="118"/>
              <w:rPr>
                <w:color w:val="000000" w:themeColor="text1"/>
                <w:highlight w:val="none"/>
                <w14:textFill>
                  <w14:solidFill>
                    <w14:schemeClr w14:val="tx1"/>
                  </w14:solidFill>
                </w14:textFill>
              </w:rPr>
            </w:pPr>
          </w:p>
        </w:tc>
        <w:tc>
          <w:tcPr>
            <w:tcW w:w="1502" w:type="pct"/>
            <w:vMerge w:val="continue"/>
            <w:shd w:val="clear" w:color="auto" w:fill="auto"/>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7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简单防渗区</w:t>
            </w:r>
          </w:p>
        </w:tc>
        <w:tc>
          <w:tcPr>
            <w:tcW w:w="820"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道路及其他区域</w:t>
            </w:r>
          </w:p>
        </w:tc>
        <w:tc>
          <w:tcPr>
            <w:tcW w:w="68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622"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一般地面硬化</w:t>
            </w:r>
          </w:p>
        </w:tc>
        <w:tc>
          <w:tcPr>
            <w:tcW w:w="1502"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水泥地面硬化或砂石黏土碾压</w:t>
            </w:r>
          </w:p>
        </w:tc>
      </w:tr>
    </w:tbl>
    <w:p>
      <w:pPr>
        <w:adjustRightInd/>
        <w:spacing w:before="120" w:beforeLines="50"/>
        <w:ind w:firstLine="480"/>
        <w:textAlignment w:val="center"/>
        <w:rPr>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③</w:t>
      </w:r>
      <w:r>
        <w:rPr>
          <w:color w:val="000000" w:themeColor="text1"/>
          <w:szCs w:val="24"/>
          <w:highlight w:val="none"/>
          <w14:textFill>
            <w14:solidFill>
              <w14:schemeClr w14:val="tx1"/>
            </w14:solidFill>
          </w14:textFill>
        </w:rPr>
        <w:t>建立污染监控体系</w:t>
      </w:r>
    </w:p>
    <w:p>
      <w:pPr>
        <w:adjustRightInd/>
        <w:ind w:firstLine="48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为了及时准确的掌握厂区区域地下水环境质量状况和地下水中污染物的动态变化，应根据当地地下水流向、污染源分布情况及污染物在地下水中的扩散形式，</w:t>
      </w:r>
      <w:r>
        <w:rPr>
          <w:rFonts w:hint="eastAsia"/>
          <w:color w:val="000000" w:themeColor="text1"/>
          <w:szCs w:val="21"/>
          <w:highlight w:val="none"/>
          <w14:textFill>
            <w14:solidFill>
              <w14:schemeClr w14:val="tx1"/>
            </w14:solidFill>
          </w14:textFill>
        </w:rPr>
        <w:t>依托地下水上游居民水井作为地下水背景值监测点，依托地下水侧流居民水井作为</w:t>
      </w:r>
      <w:r>
        <w:rPr>
          <w:color w:val="000000" w:themeColor="text1"/>
          <w:szCs w:val="21"/>
          <w:highlight w:val="none"/>
          <w14:textFill>
            <w14:solidFill>
              <w14:schemeClr w14:val="tx1"/>
            </w14:solidFill>
          </w14:textFill>
        </w:rPr>
        <w:t>地下水污染</w:t>
      </w:r>
      <w:r>
        <w:rPr>
          <w:rFonts w:hint="eastAsia"/>
          <w:color w:val="000000" w:themeColor="text1"/>
          <w:szCs w:val="21"/>
          <w:highlight w:val="none"/>
          <w14:textFill>
            <w14:solidFill>
              <w14:schemeClr w14:val="tx1"/>
            </w14:solidFill>
          </w14:textFill>
        </w:rPr>
        <w:t>扩散</w:t>
      </w:r>
      <w:r>
        <w:rPr>
          <w:color w:val="000000" w:themeColor="text1"/>
          <w:szCs w:val="21"/>
          <w:highlight w:val="none"/>
          <w14:textFill>
            <w14:solidFill>
              <w14:schemeClr w14:val="tx1"/>
            </w14:solidFill>
          </w14:textFill>
        </w:rPr>
        <w:t>监控井</w:t>
      </w:r>
      <w:r>
        <w:rPr>
          <w:rFonts w:hint="eastAsia"/>
          <w:color w:val="000000" w:themeColor="text1"/>
          <w:szCs w:val="21"/>
          <w:highlight w:val="none"/>
          <w14:textFill>
            <w14:solidFill>
              <w14:schemeClr w14:val="tx1"/>
            </w14:solidFill>
          </w14:textFill>
        </w:rPr>
        <w:t>，依托地下水下游居民水井作为地下水环境影响跟踪监测点。</w:t>
      </w:r>
      <w:r>
        <w:rPr>
          <w:color w:val="000000" w:themeColor="text1"/>
          <w:szCs w:val="21"/>
          <w:highlight w:val="none"/>
          <w14:textFill>
            <w14:solidFill>
              <w14:schemeClr w14:val="tx1"/>
            </w14:solidFill>
          </w14:textFill>
        </w:rPr>
        <w:t>建立地下水污染监控体系，建立完善的监测制度，配备先进的监测仪器设备，以便及时发现、及时控制。</w:t>
      </w:r>
      <w:r>
        <w:rPr>
          <w:color w:val="000000" w:themeColor="text1"/>
          <w:highlight w:val="none"/>
          <w14:textFill>
            <w14:solidFill>
              <w14:schemeClr w14:val="tx1"/>
            </w14:solidFill>
          </w14:textFill>
        </w:rPr>
        <w:t>加强对项目区域的日常检查，以便及时发现污染，及时控制。</w:t>
      </w:r>
    </w:p>
    <w:p>
      <w:pPr>
        <w:adjustRightInd/>
        <w:ind w:firstLine="480"/>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④</w:t>
      </w:r>
      <w:r>
        <w:rPr>
          <w:color w:val="000000" w:themeColor="text1"/>
          <w:highlight w:val="none"/>
          <w14:textFill>
            <w14:solidFill>
              <w14:schemeClr w14:val="tx1"/>
            </w14:solidFill>
          </w14:textFill>
        </w:rPr>
        <w:t>应急响应措施</w:t>
      </w:r>
    </w:p>
    <w:p>
      <w:pPr>
        <w:ind w:firstLine="480"/>
        <w:rPr>
          <w:rFonts w:cs="Times New Roman"/>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一旦发现地下水污染事故，立即启动应急预案、采取应急措施控制地下水污染，并使污染得到治理</w:t>
      </w:r>
      <w:r>
        <w:rPr>
          <w:rFonts w:cs="Times New Roman"/>
          <w:bCs/>
          <w:color w:val="000000" w:themeColor="text1"/>
          <w:highlight w:val="none"/>
          <w14:textFill>
            <w14:solidFill>
              <w14:schemeClr w14:val="tx1"/>
            </w14:solidFill>
          </w14:textFill>
        </w:rPr>
        <w:t>。</w:t>
      </w:r>
    </w:p>
    <w:p>
      <w:pPr>
        <w:pStyle w:val="6"/>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环境风险</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本项目试采期环境风险主要表现为站内采气管线或设备发生破裂造成天然气泄漏事故以及</w:t>
      </w:r>
      <w:r>
        <w:rPr>
          <w:rFonts w:hint="eastAsia" w:cs="Times New Roman"/>
          <w:bCs/>
          <w:color w:val="000000" w:themeColor="text1"/>
          <w:szCs w:val="24"/>
          <w:highlight w:val="none"/>
          <w14:textFill>
            <w14:solidFill>
              <w14:schemeClr w14:val="tx1"/>
            </w14:solidFill>
          </w14:textFill>
        </w:rPr>
        <w:t>泄漏</w:t>
      </w:r>
      <w:r>
        <w:rPr>
          <w:rFonts w:cs="Times New Roman"/>
          <w:bCs/>
          <w:color w:val="000000" w:themeColor="text1"/>
          <w:szCs w:val="24"/>
          <w:highlight w:val="none"/>
          <w14:textFill>
            <w14:solidFill>
              <w14:schemeClr w14:val="tx1"/>
            </w14:solidFill>
          </w14:textFill>
        </w:rPr>
        <w:t>气体遇明火引起火灾或爆炸对附近人群生命财产造成伤害与损失，集气站事故时的天然气放空，对附近人群生命财产造成伤害与损失。</w:t>
      </w:r>
      <w:r>
        <w:rPr>
          <w:rFonts w:cs="Times New Roman"/>
          <w:bCs/>
          <w:color w:val="000000" w:themeColor="text1"/>
          <w:highlight w:val="none"/>
          <w14:textFill>
            <w14:solidFill>
              <w14:schemeClr w14:val="tx1"/>
            </w14:solidFill>
          </w14:textFill>
        </w:rPr>
        <w:t>火炬分液罐</w:t>
      </w:r>
      <w:r>
        <w:rPr>
          <w:rFonts w:cs="Times New Roman"/>
          <w:bCs/>
          <w:color w:val="000000" w:themeColor="text1"/>
          <w:szCs w:val="24"/>
          <w:highlight w:val="none"/>
          <w14:textFill>
            <w14:solidFill>
              <w14:schemeClr w14:val="tx1"/>
            </w14:solidFill>
          </w14:textFill>
        </w:rPr>
        <w:t>存储的采气废水泄漏环境风险；污染物外运处理中的运输风险等。</w:t>
      </w:r>
    </w:p>
    <w:p>
      <w:pPr>
        <w:pStyle w:val="6"/>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试采期“三废”汇总表</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综上所述，本项目试采期污染物产生量及排放状况与生态影响见下表。</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13</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本项目试采期正常工况下“三废”及生态影响汇总表</w:t>
      </w:r>
    </w:p>
    <w:tbl>
      <w:tblPr>
        <w:tblStyle w:val="41"/>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04"/>
        <w:gridCol w:w="1559"/>
        <w:gridCol w:w="1134"/>
        <w:gridCol w:w="1276"/>
        <w:gridCol w:w="992"/>
        <w:gridCol w:w="25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263" w:type="dxa"/>
            <w:gridSpan w:val="2"/>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污染源</w:t>
            </w:r>
          </w:p>
        </w:tc>
        <w:tc>
          <w:tcPr>
            <w:tcW w:w="1134"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主要污染物</w:t>
            </w:r>
          </w:p>
        </w:tc>
        <w:tc>
          <w:tcPr>
            <w:tcW w:w="1276"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产生量</w:t>
            </w:r>
          </w:p>
        </w:tc>
        <w:tc>
          <w:tcPr>
            <w:tcW w:w="992"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排放量</w:t>
            </w:r>
          </w:p>
        </w:tc>
        <w:tc>
          <w:tcPr>
            <w:tcW w:w="2557"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37" w:hRule="atLeast"/>
          <w:jc w:val="center"/>
        </w:trPr>
        <w:tc>
          <w:tcPr>
            <w:tcW w:w="704" w:type="dxa"/>
            <w:vMerge w:val="restart"/>
            <w:tcMar>
              <w:left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废气</w:t>
            </w:r>
          </w:p>
        </w:tc>
        <w:tc>
          <w:tcPr>
            <w:tcW w:w="1559"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加热炉燃烧产生的烟气</w:t>
            </w:r>
          </w:p>
        </w:tc>
        <w:tc>
          <w:tcPr>
            <w:tcW w:w="1134"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颗粒物</w:t>
            </w:r>
          </w:p>
        </w:tc>
        <w:tc>
          <w:tcPr>
            <w:tcW w:w="1276"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r>
              <w:rPr>
                <w:rFonts w:hint="eastAsia"/>
                <w:color w:val="000000" w:themeColor="text1"/>
                <w:highlight w:val="none"/>
                <w14:textFill>
                  <w14:solidFill>
                    <w14:schemeClr w14:val="tx1"/>
                  </w14:solidFill>
                </w14:textFill>
              </w:rPr>
              <w:t>027</w:t>
            </w:r>
            <w:r>
              <w:rPr>
                <w:color w:val="000000" w:themeColor="text1"/>
                <w:highlight w:val="none"/>
                <w14:textFill>
                  <w14:solidFill>
                    <w14:schemeClr w14:val="tx1"/>
                  </w14:solidFill>
                </w14:textFill>
              </w:rPr>
              <w:t>t/a</w:t>
            </w:r>
          </w:p>
        </w:tc>
        <w:tc>
          <w:tcPr>
            <w:tcW w:w="99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r>
              <w:rPr>
                <w:rFonts w:hint="eastAsia"/>
                <w:color w:val="000000" w:themeColor="text1"/>
                <w:highlight w:val="none"/>
                <w14:textFill>
                  <w14:solidFill>
                    <w14:schemeClr w14:val="tx1"/>
                  </w14:solidFill>
                </w14:textFill>
              </w:rPr>
              <w:t>027</w:t>
            </w:r>
            <w:r>
              <w:rPr>
                <w:color w:val="000000" w:themeColor="text1"/>
                <w:highlight w:val="none"/>
                <w14:textFill>
                  <w14:solidFill>
                    <w14:schemeClr w14:val="tx1"/>
                  </w14:solidFill>
                </w14:textFill>
              </w:rPr>
              <w:t>t/a</w:t>
            </w:r>
          </w:p>
        </w:tc>
        <w:tc>
          <w:tcPr>
            <w:tcW w:w="2557"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水套加热炉燃烧废气通过自带8m高排气筒排放；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71" w:hRule="atLeast"/>
          <w:jc w:val="center"/>
        </w:trPr>
        <w:tc>
          <w:tcPr>
            <w:tcW w:w="704" w:type="dxa"/>
            <w:vMerge w:val="continue"/>
            <w:tcMar>
              <w:left w:w="0" w:type="dxa"/>
              <w:right w:w="0" w:type="dxa"/>
            </w:tcMar>
            <w:vAlign w:val="center"/>
          </w:tcPr>
          <w:p>
            <w:pPr>
              <w:pStyle w:val="118"/>
              <w:rPr>
                <w:color w:val="000000" w:themeColor="text1"/>
                <w:highlight w:val="none"/>
                <w14:textFill>
                  <w14:solidFill>
                    <w14:schemeClr w14:val="tx1"/>
                  </w14:solidFill>
                </w14:textFill>
              </w:rPr>
            </w:pPr>
          </w:p>
        </w:tc>
        <w:tc>
          <w:tcPr>
            <w:tcW w:w="1559" w:type="dxa"/>
            <w:vMerge w:val="continue"/>
            <w:vAlign w:val="center"/>
          </w:tcPr>
          <w:p>
            <w:pPr>
              <w:pStyle w:val="118"/>
              <w:rPr>
                <w:color w:val="000000" w:themeColor="text1"/>
                <w:highlight w:val="none"/>
                <w14:textFill>
                  <w14:solidFill>
                    <w14:schemeClr w14:val="tx1"/>
                  </w14:solidFill>
                </w14:textFill>
              </w:rPr>
            </w:pPr>
          </w:p>
        </w:tc>
        <w:tc>
          <w:tcPr>
            <w:tcW w:w="1134"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NOx</w:t>
            </w:r>
          </w:p>
        </w:tc>
        <w:tc>
          <w:tcPr>
            <w:tcW w:w="1276"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r>
              <w:rPr>
                <w:rFonts w:hint="eastAsia"/>
                <w:color w:val="000000" w:themeColor="text1"/>
                <w:highlight w:val="none"/>
                <w14:textFill>
                  <w14:solidFill>
                    <w14:schemeClr w14:val="tx1"/>
                  </w14:solidFill>
                </w14:textFill>
              </w:rPr>
              <w:t>174</w:t>
            </w:r>
            <w:r>
              <w:rPr>
                <w:color w:val="000000" w:themeColor="text1"/>
                <w:highlight w:val="none"/>
                <w14:textFill>
                  <w14:solidFill>
                    <w14:schemeClr w14:val="tx1"/>
                  </w14:solidFill>
                </w14:textFill>
              </w:rPr>
              <w:t>t/a</w:t>
            </w:r>
          </w:p>
        </w:tc>
        <w:tc>
          <w:tcPr>
            <w:tcW w:w="99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r>
              <w:rPr>
                <w:rFonts w:hint="eastAsia"/>
                <w:color w:val="000000" w:themeColor="text1"/>
                <w:highlight w:val="none"/>
                <w14:textFill>
                  <w14:solidFill>
                    <w14:schemeClr w14:val="tx1"/>
                  </w14:solidFill>
                </w14:textFill>
              </w:rPr>
              <w:t>174</w:t>
            </w:r>
            <w:r>
              <w:rPr>
                <w:color w:val="000000" w:themeColor="text1"/>
                <w:highlight w:val="none"/>
                <w14:textFill>
                  <w14:solidFill>
                    <w14:schemeClr w14:val="tx1"/>
                  </w14:solidFill>
                </w14:textFill>
              </w:rPr>
              <w:t>t/a</w:t>
            </w:r>
          </w:p>
        </w:tc>
        <w:tc>
          <w:tcPr>
            <w:tcW w:w="2557" w:type="dxa"/>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704" w:type="dxa"/>
            <w:vMerge w:val="continue"/>
            <w:tcMar>
              <w:left w:w="0" w:type="dxa"/>
              <w:right w:w="0" w:type="dxa"/>
            </w:tcMar>
            <w:vAlign w:val="center"/>
          </w:tcPr>
          <w:p>
            <w:pPr>
              <w:pStyle w:val="118"/>
              <w:rPr>
                <w:color w:val="000000" w:themeColor="text1"/>
                <w:highlight w:val="none"/>
                <w14:textFill>
                  <w14:solidFill>
                    <w14:schemeClr w14:val="tx1"/>
                  </w14:solidFill>
                </w14:textFill>
              </w:rPr>
            </w:pPr>
          </w:p>
        </w:tc>
        <w:tc>
          <w:tcPr>
            <w:tcW w:w="155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设备检修或系统超压时排放少量</w:t>
            </w:r>
            <w:r>
              <w:rPr>
                <w:rFonts w:hint="eastAsia"/>
                <w:color w:val="000000" w:themeColor="text1"/>
                <w:highlight w:val="none"/>
                <w14:textFill>
                  <w14:solidFill>
                    <w14:schemeClr w14:val="tx1"/>
                  </w14:solidFill>
                </w14:textFill>
              </w:rPr>
              <w:t>放空燃烧废</w:t>
            </w:r>
            <w:r>
              <w:rPr>
                <w:color w:val="000000" w:themeColor="text1"/>
                <w:highlight w:val="none"/>
                <w14:textFill>
                  <w14:solidFill>
                    <w14:schemeClr w14:val="tx1"/>
                  </w14:solidFill>
                </w14:textFill>
              </w:rPr>
              <w:t>气</w:t>
            </w:r>
          </w:p>
        </w:tc>
        <w:tc>
          <w:tcPr>
            <w:tcW w:w="1134"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NOx</w:t>
            </w:r>
            <w:r>
              <w:rPr>
                <w:rFonts w:hint="eastAsia"/>
                <w:color w:val="000000" w:themeColor="text1"/>
                <w:highlight w:val="none"/>
                <w14:textFill>
                  <w14:solidFill>
                    <w14:schemeClr w14:val="tx1"/>
                  </w14:solidFill>
                </w14:textFill>
              </w:rPr>
              <w:t>、颗粒物</w:t>
            </w:r>
          </w:p>
        </w:tc>
        <w:tc>
          <w:tcPr>
            <w:tcW w:w="1276" w:type="dxa"/>
            <w:vAlign w:val="center"/>
          </w:tcPr>
          <w:p>
            <w:pPr>
              <w:pStyle w:val="118"/>
              <w:rPr>
                <w:color w:val="000000" w:themeColor="text1"/>
                <w:highlight w:val="none"/>
                <w14:textFill>
                  <w14:solidFill>
                    <w14:schemeClr w14:val="tx1"/>
                  </w14:solidFill>
                </w14:textFill>
              </w:rPr>
            </w:pPr>
            <w:bookmarkStart w:id="184" w:name="_Toc123682147"/>
            <w:bookmarkStart w:id="185" w:name="_Toc123682535"/>
            <w:r>
              <w:rPr>
                <w:color w:val="000000" w:themeColor="text1"/>
                <w:highlight w:val="none"/>
                <w14:textFill>
                  <w14:solidFill>
                    <w14:schemeClr w14:val="tx1"/>
                  </w14:solidFill>
                </w14:textFill>
              </w:rPr>
              <w:t>/</w:t>
            </w:r>
            <w:bookmarkEnd w:id="184"/>
            <w:bookmarkEnd w:id="185"/>
          </w:p>
        </w:tc>
        <w:tc>
          <w:tcPr>
            <w:tcW w:w="99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2557"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放空系统和点火排放，排气筒高度</w:t>
            </w:r>
            <w:r>
              <w:rPr>
                <w:rFonts w:hint="eastAsia"/>
                <w:color w:val="000000" w:themeColor="text1"/>
                <w:highlight w:val="none"/>
                <w14:textFill>
                  <w14:solidFill>
                    <w14:schemeClr w14:val="tx1"/>
                  </w14:solidFill>
                </w14:textFill>
              </w:rPr>
              <w:t>20</w:t>
            </w:r>
            <w:r>
              <w:rPr>
                <w:color w:val="000000" w:themeColor="text1"/>
                <w:highlight w:val="none"/>
                <w14:textFill>
                  <w14:solidFill>
                    <w14:schemeClr w14:val="tx1"/>
                  </w14:solidFill>
                </w14:textFill>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704" w:type="dxa"/>
            <w:vMerge w:val="restart"/>
            <w:tcMar>
              <w:left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废水</w:t>
            </w:r>
          </w:p>
        </w:tc>
        <w:tc>
          <w:tcPr>
            <w:tcW w:w="155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采气废水</w:t>
            </w:r>
          </w:p>
        </w:tc>
        <w:tc>
          <w:tcPr>
            <w:tcW w:w="1134"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石油类、悬浮物、COD及氯化物等</w:t>
            </w:r>
          </w:p>
        </w:tc>
        <w:tc>
          <w:tcPr>
            <w:tcW w:w="127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0m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w:t>
            </w:r>
          </w:p>
        </w:tc>
        <w:tc>
          <w:tcPr>
            <w:tcW w:w="99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2557"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通过密闭罐车拉运至赵家坝污水处理站达到《气田水回注方法》（SY/T 6596-2016）中注入水基本要求后管输至普光3井回注站回注处理，不外排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704" w:type="dxa"/>
            <w:vMerge w:val="continue"/>
            <w:tcMar>
              <w:left w:w="0" w:type="dxa"/>
              <w:right w:w="0" w:type="dxa"/>
            </w:tcMar>
            <w:vAlign w:val="center"/>
          </w:tcPr>
          <w:p>
            <w:pPr>
              <w:pStyle w:val="118"/>
              <w:rPr>
                <w:color w:val="000000" w:themeColor="text1"/>
                <w:highlight w:val="none"/>
                <w14:textFill>
                  <w14:solidFill>
                    <w14:schemeClr w14:val="tx1"/>
                  </w14:solidFill>
                </w14:textFill>
              </w:rPr>
            </w:pPr>
          </w:p>
        </w:tc>
        <w:tc>
          <w:tcPr>
            <w:tcW w:w="155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生活污水</w:t>
            </w:r>
          </w:p>
        </w:tc>
        <w:tc>
          <w:tcPr>
            <w:tcW w:w="1134"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COD、BOD</w:t>
            </w:r>
            <w:r>
              <w:rPr>
                <w:color w:val="000000" w:themeColor="text1"/>
                <w:highlight w:val="none"/>
                <w:vertAlign w:val="subscript"/>
                <w14:textFill>
                  <w14:solidFill>
                    <w14:schemeClr w14:val="tx1"/>
                  </w14:solidFill>
                </w14:textFill>
              </w:rPr>
              <w:t>5</w:t>
            </w:r>
            <w:r>
              <w:rPr>
                <w:color w:val="000000" w:themeColor="text1"/>
                <w:highlight w:val="none"/>
                <w14:textFill>
                  <w14:solidFill>
                    <w14:schemeClr w14:val="tx1"/>
                  </w14:solidFill>
                </w14:textFill>
              </w:rPr>
              <w:t>等</w:t>
            </w:r>
          </w:p>
        </w:tc>
        <w:tc>
          <w:tcPr>
            <w:tcW w:w="1276" w:type="dxa"/>
            <w:vAlign w:val="center"/>
          </w:tcPr>
          <w:p>
            <w:pPr>
              <w:pStyle w:val="118"/>
              <w:rPr>
                <w:bCs/>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1.17</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w:t>
            </w:r>
          </w:p>
        </w:tc>
        <w:tc>
          <w:tcPr>
            <w:tcW w:w="992"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1.17</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w:t>
            </w:r>
          </w:p>
        </w:tc>
        <w:tc>
          <w:tcPr>
            <w:tcW w:w="2557"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本项目新增值班人员1</w:t>
            </w:r>
            <w:r>
              <w:rPr>
                <w:color w:val="000000" w:themeColor="text1"/>
                <w:highlight w:val="none"/>
                <w14:textFill>
                  <w14:solidFill>
                    <w14:schemeClr w14:val="tx1"/>
                  </w14:solidFill>
                </w14:textFill>
              </w:rPr>
              <w:t>0</w:t>
            </w:r>
            <w:r>
              <w:rPr>
                <w:rFonts w:hint="eastAsia"/>
                <w:color w:val="000000" w:themeColor="text1"/>
                <w:highlight w:val="none"/>
                <w14:textFill>
                  <w14:solidFill>
                    <w14:schemeClr w14:val="tx1"/>
                  </w14:solidFill>
                </w14:textFill>
              </w:rPr>
              <w:t>人，</w:t>
            </w:r>
            <w:r>
              <w:rPr>
                <w:color w:val="000000" w:themeColor="text1"/>
                <w:highlight w:val="none"/>
                <w14:textFill>
                  <w14:solidFill>
                    <w14:schemeClr w14:val="tx1"/>
                  </w14:solidFill>
                </w14:textFill>
              </w:rPr>
              <w:t>值守人员生活污水经站场化粪池处理后定期由密闭罐车拉运至周边生活污水处理厂处理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704" w:type="dxa"/>
            <w:tcMar>
              <w:left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噪声</w:t>
            </w:r>
          </w:p>
        </w:tc>
        <w:tc>
          <w:tcPr>
            <w:tcW w:w="155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设备噪声</w:t>
            </w:r>
          </w:p>
        </w:tc>
        <w:tc>
          <w:tcPr>
            <w:tcW w:w="5959" w:type="dxa"/>
            <w:gridSpan w:val="4"/>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设备选型时选择低噪声设备，设置减震基础；工艺管道的设计考虑合理的流速，减少气流噪声；站内设备合理布局。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93" w:hRule="atLeast"/>
          <w:jc w:val="center"/>
        </w:trPr>
        <w:tc>
          <w:tcPr>
            <w:tcW w:w="704" w:type="dxa"/>
            <w:tcMar>
              <w:left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固废</w:t>
            </w:r>
          </w:p>
        </w:tc>
        <w:tc>
          <w:tcPr>
            <w:tcW w:w="7518" w:type="dxa"/>
            <w:gridSpan w:val="5"/>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本项目分离器除砂分离过程产生的废渣，主要为固态杂质，约0.5t/a；脱水分离撬内分子筛使用时产生的废分子筛，废分子筛每3年更换1次，每次约5.5t</w:t>
            </w:r>
            <w:r>
              <w:rPr>
                <w:rFonts w:hint="eastAsia"/>
                <w:color w:val="000000" w:themeColor="text1"/>
                <w:highlight w:val="none"/>
                <w14:textFill>
                  <w14:solidFill>
                    <w14:schemeClr w14:val="tx1"/>
                  </w14:solidFill>
                </w14:textFill>
              </w:rPr>
              <w:t>；管线清管/检修废渣，</w:t>
            </w:r>
            <w:r>
              <w:rPr>
                <w:color w:val="000000" w:themeColor="text1"/>
                <w:highlight w:val="none"/>
                <w14:textFill>
                  <w14:solidFill>
                    <w14:schemeClr w14:val="tx1"/>
                  </w14:solidFill>
                </w14:textFill>
              </w:rPr>
              <w:t>主要为固态杂质，约</w:t>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t/a</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值守人员生活垃圾交由环卫部门处置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704" w:type="dxa"/>
            <w:tcMar>
              <w:left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生态</w:t>
            </w:r>
          </w:p>
        </w:tc>
        <w:tc>
          <w:tcPr>
            <w:tcW w:w="1559"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试采</w:t>
            </w:r>
            <w:r>
              <w:rPr>
                <w:color w:val="000000" w:themeColor="text1"/>
                <w:highlight w:val="none"/>
                <w14:textFill>
                  <w14:solidFill>
                    <w14:schemeClr w14:val="tx1"/>
                  </w14:solidFill>
                </w14:textFill>
              </w:rPr>
              <w:t>站、</w:t>
            </w:r>
            <w:r>
              <w:rPr>
                <w:rFonts w:hint="eastAsia"/>
                <w:color w:val="000000" w:themeColor="text1"/>
                <w:highlight w:val="none"/>
                <w14:textFill>
                  <w14:solidFill>
                    <w14:schemeClr w14:val="tx1"/>
                  </w14:solidFill>
                </w14:textFill>
              </w:rPr>
              <w:t>防空区、外输管线</w:t>
            </w:r>
            <w:r>
              <w:rPr>
                <w:color w:val="000000" w:themeColor="text1"/>
                <w:highlight w:val="none"/>
                <w14:textFill>
                  <w14:solidFill>
                    <w14:schemeClr w14:val="tx1"/>
                  </w14:solidFill>
                </w14:textFill>
              </w:rPr>
              <w:t>、进场道路占地</w:t>
            </w:r>
          </w:p>
        </w:tc>
        <w:tc>
          <w:tcPr>
            <w:tcW w:w="3402"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改变土地利用类型</w:t>
            </w:r>
          </w:p>
        </w:tc>
        <w:tc>
          <w:tcPr>
            <w:tcW w:w="2557"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加强站场绿化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704" w:type="dxa"/>
            <w:tcMar>
              <w:left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环境风险</w:t>
            </w:r>
          </w:p>
        </w:tc>
        <w:tc>
          <w:tcPr>
            <w:tcW w:w="7518" w:type="dxa"/>
            <w:gridSpan w:val="5"/>
            <w:vAlign w:val="center"/>
          </w:tcPr>
          <w:p>
            <w:pPr>
              <w:pStyle w:val="118"/>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1、试采期环境风险主要是采气管线发生破裂造成天然气泄漏事故以及泄漏气体遇明火引起火灾或爆炸对附近人群生命财产造成伤害与损失。</w:t>
            </w:r>
          </w:p>
          <w:p>
            <w:pPr>
              <w:pStyle w:val="118"/>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r>
              <w:rPr>
                <w:rFonts w:hint="eastAsia"/>
                <w:color w:val="000000" w:themeColor="text1"/>
                <w:highlight w:val="none"/>
                <w14:textFill>
                  <w14:solidFill>
                    <w14:schemeClr w14:val="tx1"/>
                  </w14:solidFill>
                </w14:textFill>
              </w:rPr>
              <w:t>试采</w:t>
            </w:r>
            <w:r>
              <w:rPr>
                <w:color w:val="000000" w:themeColor="text1"/>
                <w:highlight w:val="none"/>
                <w14:textFill>
                  <w14:solidFill>
                    <w14:schemeClr w14:val="tx1"/>
                  </w14:solidFill>
                </w14:textFill>
              </w:rPr>
              <w:t>站事故时的天然气放空，对附近人群生命财产造成伤害与损失。</w:t>
            </w:r>
          </w:p>
          <w:p>
            <w:pPr>
              <w:pStyle w:val="118"/>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r>
              <w:rPr>
                <w:rFonts w:hint="eastAsia"/>
                <w:color w:val="000000" w:themeColor="text1"/>
                <w:highlight w:val="none"/>
                <w14:textFill>
                  <w14:solidFill>
                    <w14:schemeClr w14:val="tx1"/>
                  </w14:solidFill>
                </w14:textFill>
              </w:rPr>
              <w:t>污水</w:t>
            </w:r>
            <w:r>
              <w:rPr>
                <w:color w:val="000000" w:themeColor="text1"/>
                <w:highlight w:val="none"/>
                <w14:textFill>
                  <w14:solidFill>
                    <w14:schemeClr w14:val="tx1"/>
                  </w14:solidFill>
                </w14:textFill>
              </w:rPr>
              <w:t>罐存储的采气废水泄漏环境风险；污染物外运处理中的运输风险等</w:t>
            </w:r>
          </w:p>
        </w:tc>
      </w:tr>
    </w:tbl>
    <w:p>
      <w:pPr>
        <w:pStyle w:val="3"/>
        <w:spacing w:before="480" w:beforeLines="200" w:after="0" w:line="480" w:lineRule="auto"/>
        <w:ind w:firstLine="560"/>
        <w:rPr>
          <w:b/>
          <w:color w:val="000000" w:themeColor="text1"/>
          <w:szCs w:val="28"/>
          <w:highlight w:val="none"/>
          <w:lang w:eastAsia="zh-CN"/>
          <w14:textFill>
            <w14:solidFill>
              <w14:schemeClr w14:val="tx1"/>
            </w14:solidFill>
          </w14:textFill>
        </w:rPr>
        <w:sectPr>
          <w:pgSz w:w="11910" w:h="16840"/>
          <w:pgMar w:top="1440" w:right="1800" w:bottom="1440" w:left="1800" w:header="964" w:footer="964" w:gutter="0"/>
          <w:cols w:space="720" w:num="1"/>
          <w:docGrid w:linePitch="326" w:charSpace="0"/>
        </w:sectPr>
      </w:pPr>
      <w:bookmarkStart w:id="186" w:name="_bookmark22"/>
      <w:bookmarkEnd w:id="186"/>
      <w:bookmarkStart w:id="187" w:name="第四章__环境现状调查与评价"/>
      <w:bookmarkEnd w:id="187"/>
      <w:bookmarkStart w:id="188" w:name="3.4.4污染物排放情况汇总"/>
      <w:bookmarkEnd w:id="188"/>
    </w:p>
    <w:p>
      <w:pPr>
        <w:pStyle w:val="3"/>
        <w:rPr>
          <w:b/>
          <w:color w:val="000000" w:themeColor="text1"/>
          <w:highlight w:val="none"/>
          <w:lang w:eastAsia="zh-CN"/>
          <w14:textFill>
            <w14:solidFill>
              <w14:schemeClr w14:val="tx1"/>
            </w14:solidFill>
          </w14:textFill>
        </w:rPr>
      </w:pPr>
      <w:bookmarkStart w:id="189" w:name="_Toc16071"/>
      <w:r>
        <w:rPr>
          <w:color w:val="000000" w:themeColor="text1"/>
          <w:highlight w:val="none"/>
          <w:lang w:eastAsia="zh-CN"/>
          <w14:textFill>
            <w14:solidFill>
              <w14:schemeClr w14:val="tx1"/>
            </w14:solidFill>
          </w14:textFill>
        </w:rPr>
        <w:t>环境现状调查与评价</w:t>
      </w:r>
      <w:bookmarkEnd w:id="189"/>
    </w:p>
    <w:p>
      <w:pPr>
        <w:pStyle w:val="4"/>
        <w:spacing w:before="120"/>
        <w:rPr>
          <w:color w:val="000000" w:themeColor="text1"/>
          <w:highlight w:val="none"/>
          <w:lang w:eastAsia="zh-CN"/>
          <w14:textFill>
            <w14:solidFill>
              <w14:schemeClr w14:val="tx1"/>
            </w14:solidFill>
          </w14:textFill>
        </w:rPr>
      </w:pPr>
      <w:bookmarkStart w:id="190" w:name="4.1自然环境现状"/>
      <w:bookmarkEnd w:id="190"/>
      <w:bookmarkStart w:id="191" w:name="_bookmark23"/>
      <w:bookmarkEnd w:id="191"/>
      <w:bookmarkStart w:id="192" w:name="_Toc25370"/>
      <w:r>
        <w:rPr>
          <w:color w:val="000000" w:themeColor="text1"/>
          <w:highlight w:val="none"/>
          <w:lang w:eastAsia="zh-CN"/>
          <w14:textFill>
            <w14:solidFill>
              <w14:schemeClr w14:val="tx1"/>
            </w14:solidFill>
          </w14:textFill>
        </w:rPr>
        <w:t>自然环境现状</w:t>
      </w:r>
      <w:bookmarkEnd w:id="192"/>
    </w:p>
    <w:p>
      <w:pPr>
        <w:ind w:firstLine="480"/>
        <w:rPr>
          <w:color w:val="000000" w:themeColor="text1"/>
          <w:highlight w:val="none"/>
          <w14:textFill>
            <w14:solidFill>
              <w14:schemeClr w14:val="tx1"/>
            </w14:solidFill>
          </w14:textFill>
        </w:rPr>
      </w:pPr>
      <w:bookmarkStart w:id="193" w:name="4.1.1地理位置"/>
      <w:bookmarkEnd w:id="193"/>
      <w:bookmarkStart w:id="194" w:name="_Toc120173119"/>
      <w:r>
        <w:rPr>
          <w:color w:val="000000" w:themeColor="text1"/>
          <w:highlight w:val="none"/>
          <w14:textFill>
            <w14:solidFill>
              <w14:schemeClr w14:val="tx1"/>
            </w14:solidFill>
          </w14:textFill>
        </w:rPr>
        <w:t>地理位置</w:t>
      </w:r>
      <w:bookmarkEnd w:id="194"/>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宣汉县介于东经107°22′至108°32′和北纬31°06′～31°49′之间。东北与城口接壤，东与开县相邻，南连开江，西接达川、通川和平昌，北与万源交界，是北通陕西、东达湖北的要口。境内地形地貌复杂、山势逶迤，由东北向西南倾斜绵延，呈</w:t>
      </w:r>
      <w:r>
        <w:rPr>
          <w:rFonts w:ascii="宋体" w:hAnsi="宋体" w:cs="Times New Roman"/>
          <w:color w:val="000000" w:themeColor="text1"/>
          <w:szCs w:val="24"/>
          <w:highlight w:val="none"/>
          <w14:textFill>
            <w14:solidFill>
              <w14:schemeClr w14:val="tx1"/>
            </w14:solidFill>
          </w14:textFill>
        </w:rPr>
        <w:t>“七山一水两分田”</w:t>
      </w:r>
      <w:r>
        <w:rPr>
          <w:rFonts w:cs="Times New Roman"/>
          <w:color w:val="000000" w:themeColor="text1"/>
          <w:szCs w:val="24"/>
          <w:highlight w:val="none"/>
          <w14:textFill>
            <w14:solidFill>
              <w14:schemeClr w14:val="tx1"/>
            </w14:solidFill>
          </w14:textFill>
        </w:rPr>
        <w:t>总体地貌。县境东西最长110.6km，南北最78.8km，边界线总长590.6km。</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本项目位于达州市宣汉县</w:t>
      </w:r>
      <w:r>
        <w:rPr>
          <w:rFonts w:hint="eastAsia" w:cs="Times New Roman"/>
          <w:color w:val="000000" w:themeColor="text1"/>
          <w:szCs w:val="24"/>
          <w:highlight w:val="none"/>
          <w:lang w:eastAsia="zh-CN"/>
          <w14:textFill>
            <w14:solidFill>
              <w14:schemeClr w14:val="tx1"/>
            </w14:solidFill>
          </w14:textFill>
        </w:rPr>
        <w:t>**</w:t>
      </w:r>
      <w:r>
        <w:rPr>
          <w:rFonts w:cs="Times New Roman"/>
          <w:color w:val="000000" w:themeColor="text1"/>
          <w:szCs w:val="24"/>
          <w:highlight w:val="none"/>
          <w14:textFill>
            <w14:solidFill>
              <w14:schemeClr w14:val="tx1"/>
            </w14:solidFill>
          </w14:textFill>
        </w:rPr>
        <w:t>。项目地理位置见附图1。</w:t>
      </w:r>
    </w:p>
    <w:p>
      <w:pPr>
        <w:pStyle w:val="5"/>
        <w:spacing w:before="120"/>
        <w:ind w:firstLine="480"/>
        <w:rPr>
          <w:b/>
          <w:color w:val="000000" w:themeColor="text1"/>
          <w:highlight w:val="none"/>
          <w:lang w:eastAsia="zh-CN"/>
          <w14:textFill>
            <w14:solidFill>
              <w14:schemeClr w14:val="tx1"/>
            </w14:solidFill>
          </w14:textFill>
        </w:rPr>
      </w:pPr>
      <w:bookmarkStart w:id="195" w:name="4.1.2地形、地貌"/>
      <w:bookmarkEnd w:id="195"/>
      <w:bookmarkStart w:id="196" w:name="_Toc120173120"/>
      <w:r>
        <w:rPr>
          <w:color w:val="000000" w:themeColor="text1"/>
          <w:highlight w:val="none"/>
          <w:lang w:eastAsia="zh-CN"/>
          <w14:textFill>
            <w14:solidFill>
              <w14:schemeClr w14:val="tx1"/>
            </w14:solidFill>
          </w14:textFill>
        </w:rPr>
        <w:t>地形、地貌</w:t>
      </w:r>
      <w:bookmarkEnd w:id="196"/>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宣汉县按地形、地貌形态可分为3区：一、丘陵河谷区，约占县境内四川地貌区划中属米仓山</w:t>
      </w:r>
      <w:r>
        <w:rPr>
          <w:rFonts w:hint="eastAsia" w:cs="Times New Roman"/>
          <w:color w:val="000000" w:themeColor="text1"/>
          <w:szCs w:val="24"/>
          <w:highlight w:val="none"/>
          <w:lang w:eastAsia="zh-CN"/>
          <w14:textFill>
            <w14:solidFill>
              <w14:schemeClr w14:val="tx1"/>
            </w14:solidFill>
          </w14:textFill>
        </w:rPr>
        <w:t>**</w:t>
      </w:r>
      <w:r>
        <w:rPr>
          <w:rFonts w:cs="Times New Roman"/>
          <w:color w:val="000000" w:themeColor="text1"/>
          <w:szCs w:val="24"/>
          <w:highlight w:val="none"/>
          <w14:textFill>
            <w14:solidFill>
              <w14:schemeClr w14:val="tx1"/>
            </w14:solidFill>
          </w14:textFill>
        </w:rPr>
        <w:t>中山区和盆北低山区、盆东平行岭谷区的一部分，以低山和低中山为主。低山、中山面积占全县总幅员的90.2%；二、低山区，约占25%；三、低中山区，约占65.2%，可分为平坝、台地或高阶台地、浅丘陵、深丘陵、低山。</w:t>
      </w:r>
    </w:p>
    <w:p>
      <w:pPr>
        <w:ind w:firstLine="480"/>
        <w:rPr>
          <w:rFonts w:cs="Times New Roman"/>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本项目位于达州市宣汉县</w:t>
      </w:r>
      <w:r>
        <w:rPr>
          <w:rFonts w:hint="eastAsia"/>
          <w:color w:val="000000" w:themeColor="text1"/>
          <w:szCs w:val="24"/>
          <w:highlight w:val="none"/>
          <w:lang w:eastAsia="zh-CN"/>
          <w14:textFill>
            <w14:solidFill>
              <w14:schemeClr w14:val="tx1"/>
            </w14:solidFill>
          </w14:textFill>
        </w:rPr>
        <w:t>**</w:t>
      </w:r>
      <w:r>
        <w:rPr>
          <w:color w:val="000000" w:themeColor="text1"/>
          <w:szCs w:val="24"/>
          <w:highlight w:val="none"/>
          <w14:textFill>
            <w14:solidFill>
              <w14:schemeClr w14:val="tx1"/>
            </w14:solidFill>
          </w14:textFill>
        </w:rPr>
        <w:t>石虎村8组。项目地理位置见附图1</w:t>
      </w:r>
      <w:r>
        <w:rPr>
          <w:color w:val="000000" w:themeColor="text1"/>
          <w:highlight w:val="none"/>
          <w14:textFill>
            <w14:solidFill>
              <w14:schemeClr w14:val="tx1"/>
            </w14:solidFill>
          </w14:textFill>
        </w:rPr>
        <w:t>。</w:t>
      </w:r>
    </w:p>
    <w:p>
      <w:pPr>
        <w:pStyle w:val="5"/>
        <w:spacing w:before="120"/>
        <w:ind w:firstLine="480"/>
        <w:rPr>
          <w:b/>
          <w:color w:val="000000" w:themeColor="text1"/>
          <w:highlight w:val="none"/>
          <w:lang w:eastAsia="zh-CN"/>
          <w14:textFill>
            <w14:solidFill>
              <w14:schemeClr w14:val="tx1"/>
            </w14:solidFill>
          </w14:textFill>
        </w:rPr>
      </w:pPr>
      <w:bookmarkStart w:id="197" w:name="4.1.3水文水系"/>
      <w:bookmarkEnd w:id="197"/>
      <w:bookmarkStart w:id="198" w:name="_Toc120173121"/>
      <w:r>
        <w:rPr>
          <w:color w:val="000000" w:themeColor="text1"/>
          <w:highlight w:val="none"/>
          <w:lang w:eastAsia="zh-CN"/>
          <w14:textFill>
            <w14:solidFill>
              <w14:schemeClr w14:val="tx1"/>
            </w14:solidFill>
          </w14:textFill>
        </w:rPr>
        <w:t>水文水系</w:t>
      </w:r>
      <w:bookmarkEnd w:id="198"/>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1、地表水</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本工程建设区域属渠江流域。渠江流域位于四川盆地东北部，是四川省五大水系（嘉、涪、渠、岷、乌）之一，是嘉陵江右岸的最大支流。渠江源出流域北、东北部的</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南麓，流域面积为39220km</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。渠江为多源头河流，其主要支流有前河、中河、后河；南江河、恩阳河、通江河。前三支流在宣汉汇而为州河；正流由南江、巴河、渠江三段自然河段组成。本工程建设区域内主要河流为</w:t>
      </w:r>
      <w:r>
        <w:rPr>
          <w:rFonts w:hint="eastAsia"/>
          <w:color w:val="000000" w:themeColor="text1"/>
          <w:highlight w:val="none"/>
          <w14:textFill>
            <w14:solidFill>
              <w14:schemeClr w14:val="tx1"/>
            </w14:solidFill>
          </w14:textFill>
        </w:rPr>
        <w:t>州</w:t>
      </w:r>
      <w:r>
        <w:rPr>
          <w:color w:val="000000" w:themeColor="text1"/>
          <w:highlight w:val="none"/>
          <w14:textFill>
            <w14:solidFill>
              <w14:schemeClr w14:val="tx1"/>
            </w14:solidFill>
          </w14:textFill>
        </w:rPr>
        <w:t>河。</w:t>
      </w:r>
      <w:r>
        <w:rPr>
          <w:rFonts w:hint="eastAsia"/>
          <w:color w:val="000000" w:themeColor="text1"/>
          <w:highlight w:val="none"/>
          <w14:textFill>
            <w14:solidFill>
              <w14:schemeClr w14:val="tx1"/>
            </w14:solidFill>
          </w14:textFill>
        </w:rPr>
        <w:t>州河始于宣汉县江口，蜿蜒流向西南，经宣汉城南门、西北、东林、洋烈至千丘旁入达州境。由东北向西南经达州罗江镇红梁村曹家湾入达州境、穿过达州市达川区的罗江、河市、渡市三个区的7个乡，于木头乡的大河咀出境，流入渠县的农乐、汇东、汇南等乡，在三汇镇与巴河相汇，以下始称渠江干流。州河古名通川江</w:t>
      </w:r>
      <w:r>
        <w:rPr>
          <w:color w:val="000000" w:themeColor="text1"/>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州河均属山溪性河流，河谷狭窄，河道弯曲，落差大。河道开阔段与峡谷段相间出现，滩沱交错，水量丰富。项目区州河属河道开阔段。</w:t>
      </w:r>
    </w:p>
    <w:p>
      <w:pPr>
        <w:ind w:firstLine="480"/>
        <w:rPr>
          <w:color w:val="000000" w:themeColor="text1"/>
          <w:highlight w:val="none"/>
          <w14:textFill>
            <w14:solidFill>
              <w14:schemeClr w14:val="tx1"/>
            </w14:solidFill>
          </w14:textFill>
        </w:rPr>
      </w:pPr>
      <w:bookmarkStart w:id="199" w:name="_Toc19816012"/>
      <w:r>
        <w:rPr>
          <w:color w:val="000000" w:themeColor="text1"/>
          <w:highlight w:val="none"/>
          <w14:textFill>
            <w14:solidFill>
              <w14:schemeClr w14:val="tx1"/>
            </w14:solidFill>
          </w14:textFill>
        </w:rPr>
        <w:t>2、</w:t>
      </w:r>
      <w:bookmarkEnd w:id="199"/>
      <w:r>
        <w:rPr>
          <w:color w:val="000000" w:themeColor="text1"/>
          <w:highlight w:val="none"/>
          <w14:textFill>
            <w14:solidFill>
              <w14:schemeClr w14:val="tx1"/>
            </w14:solidFill>
          </w14:textFill>
        </w:rPr>
        <w:t>地下水</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普光气田开发区内地下水类型包括松散堆积层孔隙水、碎屑岩裂隙孔隙水和基岩裂隙水，其中本项目所在区域以基岩裂隙水与碎屑岩类裂隙水为主。沟谷地段为地下水的排泄区。岩性变化地段和结构松散的卸荷岩体具有较强的透水性能，岩体的透水性具有随着深度的增加、卸荷的减弱而递减的一般规律。地层富水性差、水量较小，水位埋深一般小于20m，含水层顶板埋深一般小于50m。</w:t>
      </w:r>
    </w:p>
    <w:p>
      <w:pPr>
        <w:pStyle w:val="5"/>
        <w:spacing w:before="120"/>
        <w:ind w:firstLine="480"/>
        <w:rPr>
          <w:b/>
          <w:color w:val="000000" w:themeColor="text1"/>
          <w:highlight w:val="none"/>
          <w:lang w:eastAsia="zh-CN"/>
          <w14:textFill>
            <w14:solidFill>
              <w14:schemeClr w14:val="tx1"/>
            </w14:solidFill>
          </w14:textFill>
        </w:rPr>
      </w:pPr>
      <w:bookmarkStart w:id="200" w:name="4.1.4气候气象"/>
      <w:bookmarkEnd w:id="200"/>
      <w:bookmarkStart w:id="201" w:name="_Toc120173122"/>
      <w:r>
        <w:rPr>
          <w:color w:val="000000" w:themeColor="text1"/>
          <w:highlight w:val="none"/>
          <w:lang w:eastAsia="zh-CN"/>
          <w14:textFill>
            <w14:solidFill>
              <w14:schemeClr w14:val="tx1"/>
            </w14:solidFill>
          </w14:textFill>
        </w:rPr>
        <w:t>气候气象</w:t>
      </w:r>
      <w:bookmarkEnd w:id="201"/>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境内</w:t>
      </w:r>
      <w:r>
        <w:rPr>
          <w:rFonts w:hint="eastAsia"/>
          <w:color w:val="000000" w:themeColor="text1"/>
          <w:highlight w:val="none"/>
          <w14:textFill>
            <w14:solidFill>
              <w14:schemeClr w14:val="tx1"/>
            </w14:solidFill>
          </w14:textFill>
        </w:rPr>
        <w:t>气候</w:t>
      </w:r>
      <w:r>
        <w:rPr>
          <w:color w:val="000000" w:themeColor="text1"/>
          <w:highlight w:val="none"/>
          <w14:textFill>
            <w14:solidFill>
              <w14:schemeClr w14:val="tx1"/>
            </w14:solidFill>
          </w14:textFill>
        </w:rPr>
        <w:t>属中亚热带湿润季风气候区，由于地处四川盆地东北缘，北有秦岭、</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的天然屏障，因此气候温和，热量丰富，四季分明，雨量充沛，季风气候明显，立体气候突出。冬季属大陆性气候，常受西北冷空气影响，气候干冷；夏季属海洋性季风气候，常受东南及西南暖湿空气影响，湿热多雷雨。受</w:t>
      </w:r>
      <w:r>
        <w:rPr>
          <w:rFonts w:hint="eastAsia"/>
          <w:color w:val="000000" w:themeColor="text1"/>
          <w:highlight w:val="none"/>
          <w14:textFill>
            <w14:solidFill>
              <w14:schemeClr w14:val="tx1"/>
            </w14:solidFill>
          </w14:textFill>
        </w:rPr>
        <w:t>海拔</w:t>
      </w:r>
      <w:r>
        <w:rPr>
          <w:color w:val="000000" w:themeColor="text1"/>
          <w:highlight w:val="none"/>
          <w14:textFill>
            <w14:solidFill>
              <w14:schemeClr w14:val="tx1"/>
            </w14:solidFill>
          </w14:textFill>
        </w:rPr>
        <w:t>影响区内立体气候明显，海拔500m以下地区春早夏热，雨水集中，旱涝交错，多风雹，秋雨，冬暖霜雪少，属四川盆地亚热带气候；海拔800m以上地区春迟秋早，夏短冬长，具有盆缘同地温带气候特征。低山、高丘云雾较多，日照较浅丘平坝少。</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灾害性天气主要有干旱，暴雨山洪，雷电，低温冷害，冰雹及大风等，其中暴雨山洪、大风等对管道及</w:t>
      </w:r>
      <w:r>
        <w:rPr>
          <w:rFonts w:hint="eastAsia"/>
          <w:color w:val="000000" w:themeColor="text1"/>
          <w:highlight w:val="none"/>
          <w14:textFill>
            <w14:solidFill>
              <w14:schemeClr w14:val="tx1"/>
            </w14:solidFill>
          </w14:textFill>
        </w:rPr>
        <w:t>试采</w:t>
      </w:r>
      <w:r>
        <w:rPr>
          <w:color w:val="000000" w:themeColor="text1"/>
          <w:highlight w:val="none"/>
          <w14:textFill>
            <w14:solidFill>
              <w14:schemeClr w14:val="tx1"/>
            </w14:solidFill>
          </w14:textFill>
        </w:rPr>
        <w:t>站建设构成一定危害。</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宣汉县多年平均降水量1132.69mm，多年平均气温16.8℃，相对湿度77%，每年5~10月份为多雨季，降水量占全年总降水量约80%，3月份为旱季，降水量约占全年降水量</w:t>
      </w:r>
      <w:r>
        <w:rPr>
          <w:rFonts w:hint="eastAsia"/>
          <w:color w:val="000000" w:themeColor="text1"/>
          <w:highlight w:val="none"/>
          <w14:textFill>
            <w14:solidFill>
              <w14:schemeClr w14:val="tx1"/>
            </w14:solidFill>
          </w14:textFill>
        </w:rPr>
        <w:t>8%～12%</w:t>
      </w:r>
      <w:r>
        <w:rPr>
          <w:color w:val="000000" w:themeColor="text1"/>
          <w:highlight w:val="none"/>
          <w14:textFill>
            <w14:solidFill>
              <w14:schemeClr w14:val="tx1"/>
            </w14:solidFill>
          </w14:textFill>
        </w:rPr>
        <w:t>，无霜期长达10个月，冬季多雾，雨季多暴雨，雨后往往形成洪流。</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宣汉县主要气象要素见</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REF _Ref142907039 \h  \* MERGEFORMAT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4.1</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bookmarkStart w:id="202" w:name="_Ref142907039"/>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bookmarkEnd w:id="202"/>
      <w:r>
        <w:rPr>
          <w:rFonts w:hint="eastAsia"/>
          <w:color w:val="000000" w:themeColor="text1"/>
          <w:highlight w:val="none"/>
          <w14:textFill>
            <w14:solidFill>
              <w14:schemeClr w14:val="tx1"/>
            </w14:solidFill>
          </w14:textFill>
        </w:rPr>
        <w:t>宣汉县主要气象资料一览表</w:t>
      </w:r>
    </w:p>
    <w:tbl>
      <w:tblPr>
        <w:tblStyle w:val="41"/>
        <w:tblW w:w="515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0"/>
        <w:gridCol w:w="1903"/>
        <w:gridCol w:w="2670"/>
        <w:gridCol w:w="29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1810" w:type="pct"/>
            <w:gridSpan w:val="2"/>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气象要素</w:t>
            </w:r>
          </w:p>
        </w:tc>
        <w:tc>
          <w:tcPr>
            <w:tcW w:w="1518" w:type="pct"/>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单位</w:t>
            </w:r>
          </w:p>
        </w:tc>
        <w:tc>
          <w:tcPr>
            <w:tcW w:w="1672"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数值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728" w:type="pct"/>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气温</w:t>
            </w:r>
          </w:p>
        </w:tc>
        <w:tc>
          <w:tcPr>
            <w:tcW w:w="108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年平均气温</w:t>
            </w:r>
          </w:p>
        </w:tc>
        <w:tc>
          <w:tcPr>
            <w:tcW w:w="1518" w:type="pct"/>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67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0" w:type="auto"/>
            <w:vMerge w:val="continue"/>
            <w:vAlign w:val="center"/>
          </w:tcPr>
          <w:p>
            <w:pPr>
              <w:pStyle w:val="118"/>
              <w:rPr>
                <w:color w:val="000000" w:themeColor="text1"/>
                <w:highlight w:val="none"/>
                <w14:textFill>
                  <w14:solidFill>
                    <w14:schemeClr w14:val="tx1"/>
                  </w14:solidFill>
                </w14:textFill>
              </w:rPr>
            </w:pPr>
          </w:p>
        </w:tc>
        <w:tc>
          <w:tcPr>
            <w:tcW w:w="108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极端最高气温</w:t>
            </w:r>
          </w:p>
        </w:tc>
        <w:tc>
          <w:tcPr>
            <w:tcW w:w="1518" w:type="pct"/>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67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0" w:type="auto"/>
            <w:vMerge w:val="continue"/>
            <w:vAlign w:val="center"/>
          </w:tcPr>
          <w:p>
            <w:pPr>
              <w:pStyle w:val="118"/>
              <w:rPr>
                <w:color w:val="000000" w:themeColor="text1"/>
                <w:highlight w:val="none"/>
                <w14:textFill>
                  <w14:solidFill>
                    <w14:schemeClr w14:val="tx1"/>
                  </w14:solidFill>
                </w14:textFill>
              </w:rPr>
            </w:pPr>
          </w:p>
        </w:tc>
        <w:tc>
          <w:tcPr>
            <w:tcW w:w="108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极端最低气温</w:t>
            </w:r>
          </w:p>
        </w:tc>
        <w:tc>
          <w:tcPr>
            <w:tcW w:w="1518" w:type="pct"/>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67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728" w:type="pct"/>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年降水量</w:t>
            </w:r>
          </w:p>
        </w:tc>
        <w:tc>
          <w:tcPr>
            <w:tcW w:w="108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平均</w:t>
            </w:r>
          </w:p>
        </w:tc>
        <w:tc>
          <w:tcPr>
            <w:tcW w:w="1518" w:type="pct"/>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mm</w:t>
            </w:r>
          </w:p>
        </w:tc>
        <w:tc>
          <w:tcPr>
            <w:tcW w:w="167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1132.69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0" w:type="auto"/>
            <w:vMerge w:val="continue"/>
            <w:vAlign w:val="center"/>
          </w:tcPr>
          <w:p>
            <w:pPr>
              <w:pStyle w:val="118"/>
              <w:rPr>
                <w:color w:val="000000" w:themeColor="text1"/>
                <w:highlight w:val="none"/>
                <w14:textFill>
                  <w14:solidFill>
                    <w14:schemeClr w14:val="tx1"/>
                  </w14:solidFill>
                </w14:textFill>
              </w:rPr>
            </w:pPr>
          </w:p>
        </w:tc>
        <w:tc>
          <w:tcPr>
            <w:tcW w:w="108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最大</w:t>
            </w:r>
          </w:p>
        </w:tc>
        <w:tc>
          <w:tcPr>
            <w:tcW w:w="1518" w:type="pct"/>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mm</w:t>
            </w:r>
          </w:p>
        </w:tc>
        <w:tc>
          <w:tcPr>
            <w:tcW w:w="167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1698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0" w:type="auto"/>
            <w:vMerge w:val="continue"/>
            <w:vAlign w:val="center"/>
          </w:tcPr>
          <w:p>
            <w:pPr>
              <w:pStyle w:val="118"/>
              <w:rPr>
                <w:color w:val="000000" w:themeColor="text1"/>
                <w:highlight w:val="none"/>
                <w14:textFill>
                  <w14:solidFill>
                    <w14:schemeClr w14:val="tx1"/>
                  </w14:solidFill>
                </w14:textFill>
              </w:rPr>
            </w:pPr>
          </w:p>
        </w:tc>
        <w:tc>
          <w:tcPr>
            <w:tcW w:w="108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最小</w:t>
            </w:r>
          </w:p>
        </w:tc>
        <w:tc>
          <w:tcPr>
            <w:tcW w:w="1518" w:type="pct"/>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mm</w:t>
            </w:r>
          </w:p>
        </w:tc>
        <w:tc>
          <w:tcPr>
            <w:tcW w:w="167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865.9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728" w:type="pct"/>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风速</w:t>
            </w:r>
          </w:p>
        </w:tc>
        <w:tc>
          <w:tcPr>
            <w:tcW w:w="108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平均</w:t>
            </w:r>
          </w:p>
        </w:tc>
        <w:tc>
          <w:tcPr>
            <w:tcW w:w="1518" w:type="pct"/>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m/s</w:t>
            </w:r>
          </w:p>
        </w:tc>
        <w:tc>
          <w:tcPr>
            <w:tcW w:w="167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0" w:type="auto"/>
            <w:vMerge w:val="continue"/>
            <w:vAlign w:val="center"/>
          </w:tcPr>
          <w:p>
            <w:pPr>
              <w:pStyle w:val="118"/>
              <w:rPr>
                <w:color w:val="000000" w:themeColor="text1"/>
                <w:highlight w:val="none"/>
                <w14:textFill>
                  <w14:solidFill>
                    <w14:schemeClr w14:val="tx1"/>
                  </w14:solidFill>
                </w14:textFill>
              </w:rPr>
            </w:pPr>
          </w:p>
        </w:tc>
        <w:tc>
          <w:tcPr>
            <w:tcW w:w="108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最大</w:t>
            </w:r>
          </w:p>
        </w:tc>
        <w:tc>
          <w:tcPr>
            <w:tcW w:w="1518" w:type="pct"/>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m/s</w:t>
            </w:r>
          </w:p>
        </w:tc>
        <w:tc>
          <w:tcPr>
            <w:tcW w:w="167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0" w:type="auto"/>
            <w:vMerge w:val="continue"/>
            <w:vAlign w:val="center"/>
          </w:tcPr>
          <w:p>
            <w:pPr>
              <w:pStyle w:val="118"/>
              <w:rPr>
                <w:color w:val="000000" w:themeColor="text1"/>
                <w:highlight w:val="none"/>
                <w14:textFill>
                  <w14:solidFill>
                    <w14:schemeClr w14:val="tx1"/>
                  </w14:solidFill>
                </w14:textFill>
              </w:rPr>
            </w:pPr>
          </w:p>
        </w:tc>
        <w:tc>
          <w:tcPr>
            <w:tcW w:w="108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主导风向</w:t>
            </w:r>
          </w:p>
        </w:tc>
        <w:tc>
          <w:tcPr>
            <w:tcW w:w="1518" w:type="pct"/>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m/s</w:t>
            </w:r>
          </w:p>
        </w:tc>
        <w:tc>
          <w:tcPr>
            <w:tcW w:w="167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728" w:type="pct"/>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多年平均地温</w:t>
            </w:r>
          </w:p>
        </w:tc>
        <w:tc>
          <w:tcPr>
            <w:tcW w:w="108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地面</w:t>
            </w:r>
          </w:p>
        </w:tc>
        <w:tc>
          <w:tcPr>
            <w:tcW w:w="1518" w:type="pct"/>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67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0" w:type="auto"/>
            <w:vMerge w:val="continue"/>
            <w:vAlign w:val="center"/>
          </w:tcPr>
          <w:p>
            <w:pPr>
              <w:pStyle w:val="118"/>
              <w:rPr>
                <w:color w:val="000000" w:themeColor="text1"/>
                <w:highlight w:val="none"/>
                <w14:textFill>
                  <w14:solidFill>
                    <w14:schemeClr w14:val="tx1"/>
                  </w14:solidFill>
                </w14:textFill>
              </w:rPr>
            </w:pPr>
          </w:p>
        </w:tc>
        <w:tc>
          <w:tcPr>
            <w:tcW w:w="108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-0.2m</w:t>
            </w:r>
          </w:p>
        </w:tc>
        <w:tc>
          <w:tcPr>
            <w:tcW w:w="1518" w:type="pct"/>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67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1810" w:type="pct"/>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年平均日照时数</w:t>
            </w:r>
          </w:p>
        </w:tc>
        <w:tc>
          <w:tcPr>
            <w:tcW w:w="1518" w:type="pct"/>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h</w:t>
            </w:r>
          </w:p>
        </w:tc>
        <w:tc>
          <w:tcPr>
            <w:tcW w:w="167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1596.3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1810" w:type="pct"/>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年平均蒸发量</w:t>
            </w:r>
          </w:p>
        </w:tc>
        <w:tc>
          <w:tcPr>
            <w:tcW w:w="1518" w:type="pct"/>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mm</w:t>
            </w:r>
          </w:p>
        </w:tc>
        <w:tc>
          <w:tcPr>
            <w:tcW w:w="167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1215.9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1810" w:type="pct"/>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年均无霜期</w:t>
            </w:r>
          </w:p>
        </w:tc>
        <w:tc>
          <w:tcPr>
            <w:tcW w:w="1518" w:type="pct"/>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d</w:t>
            </w:r>
          </w:p>
        </w:tc>
        <w:tc>
          <w:tcPr>
            <w:tcW w:w="167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1810" w:type="pct"/>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相对湿度</w:t>
            </w:r>
          </w:p>
        </w:tc>
        <w:tc>
          <w:tcPr>
            <w:tcW w:w="1518" w:type="pct"/>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67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77</w:t>
            </w:r>
          </w:p>
        </w:tc>
      </w:tr>
    </w:tbl>
    <w:p>
      <w:pPr>
        <w:pStyle w:val="5"/>
        <w:spacing w:before="120"/>
        <w:ind w:firstLine="480"/>
        <w:rPr>
          <w:b/>
          <w:color w:val="000000" w:themeColor="text1"/>
          <w:highlight w:val="none"/>
          <w:lang w:eastAsia="zh-CN"/>
          <w14:textFill>
            <w14:solidFill>
              <w14:schemeClr w14:val="tx1"/>
            </w14:solidFill>
          </w14:textFill>
        </w:rPr>
      </w:pPr>
      <w:bookmarkStart w:id="203" w:name="4.1.5动植物及生物多样性"/>
      <w:bookmarkEnd w:id="203"/>
      <w:bookmarkStart w:id="204" w:name="_Toc120173123"/>
      <w:r>
        <w:rPr>
          <w:color w:val="000000" w:themeColor="text1"/>
          <w:highlight w:val="none"/>
          <w:lang w:eastAsia="zh-CN"/>
          <w14:textFill>
            <w14:solidFill>
              <w14:schemeClr w14:val="tx1"/>
            </w14:solidFill>
          </w14:textFill>
        </w:rPr>
        <w:t>地质构造与地震</w:t>
      </w:r>
      <w:bookmarkEnd w:id="204"/>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1、地质构造</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本项目区位于宣汉县</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石虎村8组，区域构造上位于四川盆地川东北褶皱带的东北段，华蓥山断裂带北端黄金口构造带，因受燕山、喜山运动影响，断裂发育，但构造变形强度较弱，平面上分两组，即：北西向断层和北东向断层。其中，北东向断层数量少，仅在西部高部位有少量发育，北西向断层较为发育但断距通常较小，断距为50～100m，断层一般消失于千佛崖组。千佛崖组顶、自流井组顶、千佛崖组顶和下沙溪庙组顶部构造形态是相似的，地层均呈西高东低、南高北低的大斜坡，沿普光302-1—普光9—普光3井以东一线，构造相对较低。在普光1—普光3—普光7井一线以西，地层很陡，而在普光3井以东构造非常平缓。此外，工区内地面海拔300-1200m，属中－低山区，相对高差20～600m。全区乡村公路纵横交错，交通较为便利。</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2、地震</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建筑抗震设计规范》（GB50011-2010），宣汉抗震设防烈度为6度，设计基本地震加速度值为0.05g，属第一组，可不考虑地震液化问题。另查阅县志，整个宣汉县境尚无地震活动的记载。因此总体上区域稳定性良好，适宜工程修建。</w:t>
      </w:r>
    </w:p>
    <w:p>
      <w:pPr>
        <w:pStyle w:val="5"/>
        <w:spacing w:before="120"/>
        <w:ind w:firstLine="480"/>
        <w:rPr>
          <w:b/>
          <w:color w:val="000000" w:themeColor="text1"/>
          <w:highlight w:val="none"/>
          <w:lang w:eastAsia="zh-CN"/>
          <w14:textFill>
            <w14:solidFill>
              <w14:schemeClr w14:val="tx1"/>
            </w14:solidFill>
          </w14:textFill>
        </w:rPr>
      </w:pPr>
      <w:bookmarkStart w:id="205" w:name="_Toc120173124"/>
      <w:r>
        <w:rPr>
          <w:color w:val="000000" w:themeColor="text1"/>
          <w:highlight w:val="none"/>
          <w:lang w:eastAsia="zh-CN"/>
          <w14:textFill>
            <w14:solidFill>
              <w14:schemeClr w14:val="tx1"/>
            </w14:solidFill>
          </w14:textFill>
        </w:rPr>
        <w:t>土壤</w:t>
      </w:r>
      <w:bookmarkEnd w:id="205"/>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所在地面（区域硬化前）以残坡积和崩坡积之砂质粘土夹碎块石为主，局部有小卵石混杂其中。区内土壤多由灰岩和砂页岩发育而成的砾石土、砾质土为主。土壤质地与母岩和地形关系密切，一般由砂岩发育的多为沙质土；由砂页岩互层发育的多为壤质土；泥岩和灰岩发育的多为粘质土，陡坡地和二迭系以前母岩发育的多为砾石土和砾质土。土壤剖面各发生层的质地上下变化较小，仅少数土壤剖面物粘含量有随深度增加而增加的趋势。</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土壤以中性和微碱性为主，其次是微酸性，少数酸性。pH值在4.5～5.4之间的占6.4%；5.5～6.4之间的占34%；6.5～7.5之间的占34.2%；7.6～8.5之间的占25.3%。</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工程区域地层岩性较为单一，上部主要为第四系松散覆盖层，包括残坡积层、崩坡积层，下伏基岩为侏罗系中统沙溪庙组（J</w:t>
      </w:r>
      <w:r>
        <w:rPr>
          <w:color w:val="000000" w:themeColor="text1"/>
          <w:highlight w:val="none"/>
          <w:vertAlign w:val="subscript"/>
          <w14:textFill>
            <w14:solidFill>
              <w14:schemeClr w14:val="tx1"/>
            </w14:solidFill>
          </w14:textFill>
        </w:rPr>
        <w:t>2</w:t>
      </w:r>
      <w:r>
        <w:rPr>
          <w:color w:val="000000" w:themeColor="text1"/>
          <w:highlight w:val="none"/>
          <w14:textFill>
            <w14:solidFill>
              <w14:schemeClr w14:val="tx1"/>
            </w14:solidFill>
          </w14:textFill>
        </w:rPr>
        <w:t>S）。沿线出露地层由上至下分别为：</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1）第四系残坡积层：</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主要为砂土、砂质粘土、粘土，干燥，松散，分布很广。坡体及坡体上覆盖层厚度很薄，一般0.2～0.5m。沟谷中为砂质粘土、粘土。厚度较大，一般为1.0～2.5m左右，为可塑状。</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2）第四系崩坡积层：</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主要分布于陡坡下部，为含碎块石土，厚度一般为1.0～3.0m。碎块石</w:t>
      </w:r>
      <w:r>
        <w:rPr>
          <w:rFonts w:hint="eastAsia"/>
          <w:color w:val="000000" w:themeColor="text1"/>
          <w:highlight w:val="none"/>
          <w14:textFill>
            <w14:solidFill>
              <w14:schemeClr w14:val="tx1"/>
            </w14:solidFill>
          </w14:textFill>
        </w:rPr>
        <w:t>成分</w:t>
      </w:r>
      <w:r>
        <w:rPr>
          <w:color w:val="000000" w:themeColor="text1"/>
          <w:highlight w:val="none"/>
          <w14:textFill>
            <w14:solidFill>
              <w14:schemeClr w14:val="tx1"/>
            </w14:solidFill>
          </w14:textFill>
        </w:rPr>
        <w:t>主要为砂岩碎块石，另外可见巨大孤石。</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3）基岩</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侏罗系中统沙溪庙组为含钙质结核的紫红色砂质泥岩、粉砂岩、泥质粉砂岩与黄灰色块状长石岩屑石英砂岩不等厚互层。砂岩坚硬性脆，常形成陡坎陡崖，泥岩易风化剥落，多形成缓坡。</w:t>
      </w:r>
    </w:p>
    <w:p>
      <w:pPr>
        <w:pStyle w:val="5"/>
        <w:spacing w:before="120"/>
        <w:ind w:firstLine="480"/>
        <w:rPr>
          <w:b/>
          <w:color w:val="000000" w:themeColor="text1"/>
          <w:highlight w:val="none"/>
          <w:lang w:eastAsia="zh-CN"/>
          <w14:textFill>
            <w14:solidFill>
              <w14:schemeClr w14:val="tx1"/>
            </w14:solidFill>
          </w14:textFill>
        </w:rPr>
      </w:pPr>
      <w:bookmarkStart w:id="206" w:name="_Toc120173125"/>
      <w:r>
        <w:rPr>
          <w:color w:val="000000" w:themeColor="text1"/>
          <w:highlight w:val="none"/>
          <w:lang w:eastAsia="zh-CN"/>
          <w14:textFill>
            <w14:solidFill>
              <w14:schemeClr w14:val="tx1"/>
            </w14:solidFill>
          </w14:textFill>
        </w:rPr>
        <w:t>矿产资源</w:t>
      </w:r>
      <w:bookmarkEnd w:id="206"/>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截至2018年，宣汉县共探测到的资源达28种，主要矿产资源概括为：一煤（煤炭），二气（石油、天然气），三土（粘土、高岭土、膨润土），五石（滑石、长石、大理石、石英石、石灰石），八矿（铁、砷、硅、硫磺、石膏、铝、卤钾、岩盐）。天然气预测储量高达1.5万亿立方米，居中国第2位，已探明开发储量达</w:t>
      </w:r>
      <w:r>
        <w:rPr>
          <w:rFonts w:hint="eastAsia"/>
          <w:color w:val="000000" w:themeColor="text1"/>
          <w:highlight w:val="none"/>
          <w14:textFill>
            <w14:solidFill>
              <w14:schemeClr w14:val="tx1"/>
            </w14:solidFill>
          </w14:textFill>
        </w:rPr>
        <w:t>3000亿-6000亿</w:t>
      </w:r>
      <w:r>
        <w:rPr>
          <w:color w:val="000000" w:themeColor="text1"/>
          <w:highlight w:val="none"/>
          <w14:textFill>
            <w14:solidFill>
              <w14:schemeClr w14:val="tx1"/>
            </w14:solidFill>
          </w14:textFill>
        </w:rPr>
        <w:t>立方米，系西南地区天然气气田中心、国家“西气东输工程”重要基地。原煤储量达1.6亿吨，发热量6000大卡以上。富钾卤水储量达1.3亿立方米，是国家盐化工业基地自贡黑卤的10倍。此外，还有大理石30亿立方米，石灰石30亿立方米，石英石3000万立方米，硫磺矿867万吨，铁矿1800万吨等。</w:t>
      </w:r>
    </w:p>
    <w:p>
      <w:pPr>
        <w:pStyle w:val="5"/>
        <w:spacing w:before="120"/>
        <w:ind w:firstLine="480"/>
        <w:rPr>
          <w:b/>
          <w:color w:val="000000" w:themeColor="text1"/>
          <w:highlight w:val="none"/>
          <w:lang w:eastAsia="zh-CN"/>
          <w14:textFill>
            <w14:solidFill>
              <w14:schemeClr w14:val="tx1"/>
            </w14:solidFill>
          </w14:textFill>
        </w:rPr>
      </w:pPr>
      <w:bookmarkStart w:id="207" w:name="_Toc120173126"/>
      <w:r>
        <w:rPr>
          <w:color w:val="000000" w:themeColor="text1"/>
          <w:highlight w:val="none"/>
          <w:lang w:eastAsia="zh-CN"/>
          <w14:textFill>
            <w14:solidFill>
              <w14:schemeClr w14:val="tx1"/>
            </w14:solidFill>
          </w14:textFill>
        </w:rPr>
        <w:t>周边自然遗迹、自然保护区的分布情况</w:t>
      </w:r>
      <w:bookmarkEnd w:id="207"/>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评价区域无自然保护区、风景名胜区、自然遗迹、文物古迹等，在项目建设过程中如果发现有保护价值的文物遗迹，建设单位应保护好现场，并报告文物主管部门。</w:t>
      </w:r>
    </w:p>
    <w:p>
      <w:pPr>
        <w:pStyle w:val="4"/>
        <w:spacing w:before="120"/>
        <w:rPr>
          <w:color w:val="000000" w:themeColor="text1"/>
          <w:highlight w:val="none"/>
          <w:lang w:eastAsia="zh-CN"/>
          <w14:textFill>
            <w14:solidFill>
              <w14:schemeClr w14:val="tx1"/>
            </w14:solidFill>
          </w14:textFill>
        </w:rPr>
      </w:pPr>
      <w:bookmarkStart w:id="208" w:name="4.2项目周边环境概况"/>
      <w:bookmarkEnd w:id="208"/>
      <w:bookmarkStart w:id="209" w:name="_bookmark24"/>
      <w:bookmarkEnd w:id="209"/>
      <w:bookmarkStart w:id="210" w:name="4.3环境质量现状评价"/>
      <w:bookmarkEnd w:id="210"/>
      <w:bookmarkStart w:id="211" w:name="_bookmark25"/>
      <w:bookmarkEnd w:id="211"/>
      <w:bookmarkStart w:id="212" w:name="_Toc5549"/>
      <w:r>
        <w:rPr>
          <w:color w:val="000000" w:themeColor="text1"/>
          <w:highlight w:val="none"/>
          <w:lang w:eastAsia="zh-CN"/>
          <w14:textFill>
            <w14:solidFill>
              <w14:schemeClr w14:val="tx1"/>
            </w14:solidFill>
          </w14:textFill>
        </w:rPr>
        <w:t>环境质量现状评价</w:t>
      </w:r>
      <w:bookmarkEnd w:id="212"/>
    </w:p>
    <w:p>
      <w:pPr>
        <w:pStyle w:val="5"/>
        <w:spacing w:before="120"/>
        <w:ind w:firstLine="480"/>
        <w:rPr>
          <w:b/>
          <w:color w:val="000000" w:themeColor="text1"/>
          <w:highlight w:val="none"/>
          <w:lang w:eastAsia="zh-CN"/>
          <w14:textFill>
            <w14:solidFill>
              <w14:schemeClr w14:val="tx1"/>
            </w14:solidFill>
          </w14:textFill>
        </w:rPr>
      </w:pPr>
      <w:bookmarkStart w:id="213" w:name="_Toc120173128"/>
      <w:r>
        <w:rPr>
          <w:color w:val="000000" w:themeColor="text1"/>
          <w:highlight w:val="none"/>
          <w:lang w:eastAsia="zh-CN"/>
          <w14:textFill>
            <w14:solidFill>
              <w14:schemeClr w14:val="tx1"/>
            </w14:solidFill>
          </w14:textFill>
        </w:rPr>
        <w:t>环境空气质量现状</w:t>
      </w:r>
      <w:bookmarkEnd w:id="213"/>
    </w:p>
    <w:p>
      <w:pPr>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本次评价采用了现场实测和资料复用相结合的方法。</w:t>
      </w:r>
    </w:p>
    <w:p>
      <w:pPr>
        <w:pStyle w:val="392"/>
        <w:adjustRightInd w:val="0"/>
        <w:snapToGrid w:val="0"/>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根据项目工程特点和站场</w:t>
      </w:r>
      <w:r>
        <w:rPr>
          <w:rFonts w:hint="eastAsia"/>
          <w:color w:val="000000" w:themeColor="text1"/>
          <w:szCs w:val="24"/>
          <w:highlight w:val="none"/>
          <w14:textFill>
            <w14:solidFill>
              <w14:schemeClr w14:val="tx1"/>
            </w14:solidFill>
          </w14:textFill>
        </w:rPr>
        <w:t>、外输管线</w:t>
      </w:r>
      <w:r>
        <w:rPr>
          <w:color w:val="000000" w:themeColor="text1"/>
          <w:szCs w:val="24"/>
          <w:highlight w:val="none"/>
          <w14:textFill>
            <w14:solidFill>
              <w14:schemeClr w14:val="tx1"/>
            </w14:solidFill>
          </w14:textFill>
        </w:rPr>
        <w:t>的具体情况，以项目涉及区域作为本项目大气环境质量现状调查、评价的对象。</w:t>
      </w:r>
      <w:r>
        <w:rPr>
          <w:color w:val="000000" w:themeColor="text1"/>
          <w:szCs w:val="21"/>
          <w:highlight w:val="none"/>
          <w14:textFill>
            <w14:solidFill>
              <w14:schemeClr w14:val="tx1"/>
            </w14:solidFill>
          </w14:textFill>
        </w:rPr>
        <w:t>本次采用达州市生态环境局发布（https://sthjj.dazhou.gov.cn/news-show-18384.html）的《达州市2023年环境空气质量状况》中的数据进行评价。</w:t>
      </w:r>
    </w:p>
    <w:p>
      <w:pPr>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1、达标</w:t>
      </w:r>
      <w:r>
        <w:rPr>
          <w:rFonts w:hint="eastAsia"/>
          <w:b/>
          <w:bCs/>
          <w:color w:val="000000" w:themeColor="text1"/>
          <w:highlight w:val="none"/>
          <w14:textFill>
            <w14:solidFill>
              <w14:schemeClr w14:val="tx1"/>
            </w14:solidFill>
          </w14:textFill>
        </w:rPr>
        <w:t>区判定</w:t>
      </w:r>
    </w:p>
    <w:p>
      <w:pPr>
        <w:wordWrap w:val="0"/>
        <w:ind w:firstLine="480"/>
        <w:rPr>
          <w:rFonts w:cs="Times New Roman"/>
          <w:color w:val="000000" w:themeColor="text1"/>
          <w:kern w:val="0"/>
          <w:szCs w:val="21"/>
          <w:highlight w:val="none"/>
          <w14:textFill>
            <w14:solidFill>
              <w14:schemeClr w14:val="tx1"/>
            </w14:solidFill>
          </w14:textFill>
        </w:rPr>
      </w:pPr>
      <w:r>
        <w:rPr>
          <w:color w:val="000000" w:themeColor="text1"/>
          <w:szCs w:val="24"/>
          <w:highlight w:val="none"/>
          <w14:textFill>
            <w14:solidFill>
              <w14:schemeClr w14:val="tx1"/>
            </w14:solidFill>
          </w14:textFill>
        </w:rPr>
        <w:t>本项目</w:t>
      </w:r>
      <w:r>
        <w:rPr>
          <w:rFonts w:hint="eastAsia"/>
          <w:color w:val="000000" w:themeColor="text1"/>
          <w:szCs w:val="24"/>
          <w:highlight w:val="none"/>
          <w14:textFill>
            <w14:solidFill>
              <w14:schemeClr w14:val="tx1"/>
            </w14:solidFill>
          </w14:textFill>
        </w:rPr>
        <w:t>试采站</w:t>
      </w:r>
      <w:r>
        <w:rPr>
          <w:color w:val="000000" w:themeColor="text1"/>
          <w:szCs w:val="24"/>
          <w:highlight w:val="none"/>
          <w14:textFill>
            <w14:solidFill>
              <w14:schemeClr w14:val="tx1"/>
            </w14:solidFill>
          </w14:textFill>
        </w:rPr>
        <w:t>位于达州市宣汉县</w:t>
      </w:r>
      <w:r>
        <w:rPr>
          <w:rFonts w:hint="eastAsia"/>
          <w:color w:val="000000" w:themeColor="text1"/>
          <w:szCs w:val="24"/>
          <w:highlight w:val="none"/>
          <w14:textFill>
            <w14:solidFill>
              <w14:schemeClr w14:val="tx1"/>
            </w14:solidFill>
          </w14:textFill>
        </w:rPr>
        <w:t>，外输管线还涉及达州市通川区</w:t>
      </w:r>
      <w:r>
        <w:rPr>
          <w:color w:val="000000" w:themeColor="text1"/>
          <w:szCs w:val="24"/>
          <w:highlight w:val="none"/>
          <w14:textFill>
            <w14:solidFill>
              <w14:schemeClr w14:val="tx1"/>
            </w14:solidFill>
          </w14:textFill>
        </w:rPr>
        <w:t>，项目所在区环境空气功能分区为二类区。根据《环境影响评价技术导则总纲》（HJ2.1-2016）与《环境影响评价技术导则大气环境》（HJ2.2-2018）的要求，本次评价收集了《</w:t>
      </w:r>
      <w:r>
        <w:rPr>
          <w:color w:val="000000" w:themeColor="text1"/>
          <w:highlight w:val="none"/>
          <w14:textFill>
            <w14:solidFill>
              <w14:schemeClr w14:val="tx1"/>
            </w14:solidFill>
          </w14:textFill>
        </w:rPr>
        <w:t>达州市202</w:t>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年环境空气质量状况</w:t>
      </w:r>
      <w:r>
        <w:rPr>
          <w:color w:val="000000" w:themeColor="text1"/>
          <w:szCs w:val="24"/>
          <w:highlight w:val="none"/>
          <w14:textFill>
            <w14:solidFill>
              <w14:schemeClr w14:val="tx1"/>
            </w14:solidFill>
          </w14:textFill>
        </w:rPr>
        <w:t>》</w:t>
      </w:r>
      <w:r>
        <w:rPr>
          <w:rFonts w:hint="eastAsia"/>
          <w:color w:val="000000" w:themeColor="text1"/>
          <w:szCs w:val="24"/>
          <w:highlight w:val="none"/>
          <w14:textFill>
            <w14:solidFill>
              <w14:schemeClr w14:val="tx1"/>
            </w14:solidFill>
          </w14:textFill>
        </w:rPr>
        <w:t>。</w:t>
      </w:r>
      <w:r>
        <w:rPr>
          <w:rFonts w:cs="Times New Roman"/>
          <w:color w:val="000000" w:themeColor="text1"/>
          <w:kern w:val="0"/>
          <w:szCs w:val="21"/>
          <w:highlight w:val="none"/>
          <w14:textFill>
            <w14:solidFill>
              <w14:schemeClr w14:val="tx1"/>
            </w14:solidFill>
          </w14:textFill>
        </w:rPr>
        <w:t>具体见</w:t>
      </w:r>
      <w:r>
        <w:rPr>
          <w:rFonts w:cs="Times New Roman"/>
          <w:color w:val="000000" w:themeColor="text1"/>
          <w:kern w:val="0"/>
          <w:szCs w:val="21"/>
          <w:highlight w:val="none"/>
          <w14:textFill>
            <w14:solidFill>
              <w14:schemeClr w14:val="tx1"/>
            </w14:solidFill>
          </w14:textFill>
        </w:rPr>
        <w:fldChar w:fldCharType="begin"/>
      </w:r>
      <w:r>
        <w:rPr>
          <w:rFonts w:cs="Times New Roman"/>
          <w:color w:val="000000" w:themeColor="text1"/>
          <w:kern w:val="0"/>
          <w:szCs w:val="21"/>
          <w:highlight w:val="none"/>
          <w14:textFill>
            <w14:solidFill>
              <w14:schemeClr w14:val="tx1"/>
            </w14:solidFill>
          </w14:textFill>
        </w:rPr>
        <w:instrText xml:space="preserve"> REF _Ref142907064 \h  \* MERGEFORMAT </w:instrText>
      </w:r>
      <w:r>
        <w:rPr>
          <w:rFonts w:cs="Times New Roman"/>
          <w:color w:val="000000" w:themeColor="text1"/>
          <w:kern w:val="0"/>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w:t>
      </w:r>
      <w:r>
        <w:rPr>
          <w:rFonts w:cs="Times New Roman"/>
          <w:color w:val="000000" w:themeColor="text1"/>
          <w:kern w:val="0"/>
          <w:szCs w:val="21"/>
          <w:highlight w:val="none"/>
          <w14:textFill>
            <w14:solidFill>
              <w14:schemeClr w14:val="tx1"/>
            </w14:solidFill>
          </w14:textFill>
        </w:rPr>
        <w:fldChar w:fldCharType="end"/>
      </w:r>
      <w:r>
        <w:rPr>
          <w:rFonts w:cs="Times New Roman"/>
          <w:color w:val="000000" w:themeColor="text1"/>
          <w:kern w:val="0"/>
          <w:szCs w:val="21"/>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bookmarkStart w:id="214" w:name="_Ref142907064"/>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bookmarkEnd w:id="214"/>
      <w:r>
        <w:rPr>
          <w:color w:val="000000" w:themeColor="text1"/>
          <w:highlight w:val="none"/>
          <w14:textFill>
            <w14:solidFill>
              <w14:schemeClr w14:val="tx1"/>
            </w14:solidFill>
          </w14:textFill>
        </w:rPr>
        <w:t xml:space="preserve">  2023年宣汉县</w:t>
      </w:r>
      <w:r>
        <w:rPr>
          <w:rFonts w:hint="eastAsia"/>
          <w:color w:val="000000" w:themeColor="text1"/>
          <w:highlight w:val="none"/>
          <w14:textFill>
            <w14:solidFill>
              <w14:schemeClr w14:val="tx1"/>
            </w14:solidFill>
          </w14:textFill>
        </w:rPr>
        <w:t>和通川区</w:t>
      </w:r>
      <w:r>
        <w:rPr>
          <w:color w:val="000000" w:themeColor="text1"/>
          <w:highlight w:val="none"/>
          <w14:textFill>
            <w14:solidFill>
              <w14:schemeClr w14:val="tx1"/>
            </w14:solidFill>
          </w14:textFill>
        </w:rPr>
        <w:t>环境空气质量状况统计表</w:t>
      </w:r>
    </w:p>
    <w:tbl>
      <w:tblPr>
        <w:tblStyle w:val="4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2"/>
        <w:gridCol w:w="2000"/>
        <w:gridCol w:w="1488"/>
        <w:gridCol w:w="1489"/>
        <w:gridCol w:w="1422"/>
        <w:gridCol w:w="9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2" w:type="dxa"/>
            <w:vMerge w:val="restart"/>
            <w:vAlign w:val="center"/>
          </w:tcPr>
          <w:p>
            <w:pPr>
              <w:pStyle w:val="118"/>
              <w:rPr>
                <w:b/>
                <w:bCs/>
                <w:color w:val="000000" w:themeColor="text1"/>
                <w:highlight w:val="none"/>
                <w:shd w:val="clear" w:color="auto" w:fill="FFFFFF"/>
                <w14:textFill>
                  <w14:solidFill>
                    <w14:schemeClr w14:val="tx1"/>
                  </w14:solidFill>
                </w14:textFill>
              </w:rPr>
            </w:pPr>
            <w:r>
              <w:rPr>
                <w:b/>
                <w:bCs/>
                <w:color w:val="000000" w:themeColor="text1"/>
                <w:highlight w:val="none"/>
                <w:shd w:val="clear" w:color="auto" w:fill="FFFFFF"/>
                <w14:textFill>
                  <w14:solidFill>
                    <w14:schemeClr w14:val="tx1"/>
                  </w14:solidFill>
                </w14:textFill>
              </w:rPr>
              <w:t>污染物</w:t>
            </w:r>
          </w:p>
        </w:tc>
        <w:tc>
          <w:tcPr>
            <w:tcW w:w="2000" w:type="dxa"/>
            <w:vMerge w:val="restart"/>
            <w:vAlign w:val="center"/>
          </w:tcPr>
          <w:p>
            <w:pPr>
              <w:pStyle w:val="118"/>
              <w:rPr>
                <w:b/>
                <w:bCs/>
                <w:color w:val="000000" w:themeColor="text1"/>
                <w:highlight w:val="none"/>
                <w:shd w:val="clear" w:color="auto" w:fill="FFFFFF"/>
                <w14:textFill>
                  <w14:solidFill>
                    <w14:schemeClr w14:val="tx1"/>
                  </w14:solidFill>
                </w14:textFill>
              </w:rPr>
            </w:pPr>
            <w:r>
              <w:rPr>
                <w:b/>
                <w:bCs/>
                <w:color w:val="000000" w:themeColor="text1"/>
                <w:highlight w:val="none"/>
                <w:shd w:val="clear" w:color="auto" w:fill="FFFFFF"/>
                <w14:textFill>
                  <w14:solidFill>
                    <w14:schemeClr w14:val="tx1"/>
                  </w14:solidFill>
                </w14:textFill>
              </w:rPr>
              <w:t>评价指标</w:t>
            </w:r>
          </w:p>
        </w:tc>
        <w:tc>
          <w:tcPr>
            <w:tcW w:w="2977" w:type="dxa"/>
            <w:gridSpan w:val="2"/>
            <w:vAlign w:val="center"/>
          </w:tcPr>
          <w:p>
            <w:pPr>
              <w:pStyle w:val="118"/>
              <w:rPr>
                <w:b/>
                <w:bCs/>
                <w:color w:val="000000" w:themeColor="text1"/>
                <w:highlight w:val="none"/>
                <w:shd w:val="clear" w:color="auto" w:fill="FFFFFF"/>
                <w14:textFill>
                  <w14:solidFill>
                    <w14:schemeClr w14:val="tx1"/>
                  </w14:solidFill>
                </w14:textFill>
              </w:rPr>
            </w:pPr>
            <w:r>
              <w:rPr>
                <w:b/>
                <w:bCs/>
                <w:color w:val="000000" w:themeColor="text1"/>
                <w:highlight w:val="none"/>
                <w:shd w:val="clear" w:color="auto" w:fill="FFFFFF"/>
                <w14:textFill>
                  <w14:solidFill>
                    <w14:schemeClr w14:val="tx1"/>
                  </w14:solidFill>
                </w14:textFill>
              </w:rPr>
              <w:t>现状浓度（μ</w:t>
            </w:r>
            <w:r>
              <w:rPr>
                <w:rFonts w:hint="eastAsia"/>
                <w:b/>
                <w:bCs/>
                <w:color w:val="000000" w:themeColor="text1"/>
                <w:highlight w:val="none"/>
                <w:shd w:val="clear" w:color="auto" w:fill="FFFFFF"/>
                <w14:textFill>
                  <w14:solidFill>
                    <w14:schemeClr w14:val="tx1"/>
                  </w14:solidFill>
                </w14:textFill>
              </w:rPr>
              <w:t>g/m</w:t>
            </w:r>
            <w:r>
              <w:rPr>
                <w:rFonts w:hint="eastAsia"/>
                <w:b/>
                <w:bCs/>
                <w:color w:val="000000" w:themeColor="text1"/>
                <w:highlight w:val="none"/>
                <w:shd w:val="clear" w:color="auto" w:fill="FFFFFF"/>
                <w:vertAlign w:val="superscript"/>
                <w14:textFill>
                  <w14:solidFill>
                    <w14:schemeClr w14:val="tx1"/>
                  </w14:solidFill>
                </w14:textFill>
              </w:rPr>
              <w:t>3</w:t>
            </w:r>
            <w:r>
              <w:rPr>
                <w:b/>
                <w:bCs/>
                <w:color w:val="000000" w:themeColor="text1"/>
                <w:highlight w:val="none"/>
                <w:shd w:val="clear" w:color="auto" w:fill="FFFFFF"/>
                <w14:textFill>
                  <w14:solidFill>
                    <w14:schemeClr w14:val="tx1"/>
                  </w14:solidFill>
                </w14:textFill>
              </w:rPr>
              <w:t>）</w:t>
            </w:r>
          </w:p>
        </w:tc>
        <w:tc>
          <w:tcPr>
            <w:tcW w:w="1422" w:type="dxa"/>
            <w:vMerge w:val="restart"/>
            <w:vAlign w:val="center"/>
          </w:tcPr>
          <w:p>
            <w:pPr>
              <w:pStyle w:val="118"/>
              <w:rPr>
                <w:b/>
                <w:bCs/>
                <w:color w:val="000000" w:themeColor="text1"/>
                <w:highlight w:val="none"/>
                <w:shd w:val="clear" w:color="auto" w:fill="FFFFFF"/>
                <w14:textFill>
                  <w14:solidFill>
                    <w14:schemeClr w14:val="tx1"/>
                  </w14:solidFill>
                </w14:textFill>
              </w:rPr>
            </w:pPr>
            <w:r>
              <w:rPr>
                <w:b/>
                <w:bCs/>
                <w:color w:val="000000" w:themeColor="text1"/>
                <w:highlight w:val="none"/>
                <w:shd w:val="clear" w:color="auto" w:fill="FFFFFF"/>
                <w14:textFill>
                  <w14:solidFill>
                    <w14:schemeClr w14:val="tx1"/>
                  </w14:solidFill>
                </w14:textFill>
              </w:rPr>
              <w:t>标准值（μ</w:t>
            </w:r>
            <w:r>
              <w:rPr>
                <w:rFonts w:hint="eastAsia"/>
                <w:b/>
                <w:bCs/>
                <w:color w:val="000000" w:themeColor="text1"/>
                <w:highlight w:val="none"/>
                <w:shd w:val="clear" w:color="auto" w:fill="FFFFFF"/>
                <w14:textFill>
                  <w14:solidFill>
                    <w14:schemeClr w14:val="tx1"/>
                  </w14:solidFill>
                </w14:textFill>
              </w:rPr>
              <w:t>g/m</w:t>
            </w:r>
            <w:r>
              <w:rPr>
                <w:rFonts w:hint="eastAsia"/>
                <w:b/>
                <w:bCs/>
                <w:color w:val="000000" w:themeColor="text1"/>
                <w:highlight w:val="none"/>
                <w:shd w:val="clear" w:color="auto" w:fill="FFFFFF"/>
                <w:vertAlign w:val="superscript"/>
                <w14:textFill>
                  <w14:solidFill>
                    <w14:schemeClr w14:val="tx1"/>
                  </w14:solidFill>
                </w14:textFill>
              </w:rPr>
              <w:t>3</w:t>
            </w:r>
            <w:r>
              <w:rPr>
                <w:b/>
                <w:bCs/>
                <w:color w:val="000000" w:themeColor="text1"/>
                <w:highlight w:val="none"/>
                <w:shd w:val="clear" w:color="auto" w:fill="FFFFFF"/>
                <w14:textFill>
                  <w14:solidFill>
                    <w14:schemeClr w14:val="tx1"/>
                  </w14:solidFill>
                </w14:textFill>
              </w:rPr>
              <w:t>）</w:t>
            </w:r>
          </w:p>
        </w:tc>
        <w:tc>
          <w:tcPr>
            <w:tcW w:w="929" w:type="dxa"/>
            <w:vMerge w:val="restart"/>
            <w:vAlign w:val="center"/>
          </w:tcPr>
          <w:p>
            <w:pPr>
              <w:pStyle w:val="118"/>
              <w:rPr>
                <w:b/>
                <w:bCs/>
                <w:color w:val="000000" w:themeColor="text1"/>
                <w:highlight w:val="none"/>
                <w:shd w:val="clear" w:color="auto" w:fill="FFFFFF"/>
                <w14:textFill>
                  <w14:solidFill>
                    <w14:schemeClr w14:val="tx1"/>
                  </w14:solidFill>
                </w14:textFill>
              </w:rPr>
            </w:pPr>
            <w:r>
              <w:rPr>
                <w:b/>
                <w:bCs/>
                <w:color w:val="000000" w:themeColor="text1"/>
                <w:highlight w:val="none"/>
                <w:shd w:val="clear" w:color="auto" w:fill="FFFFFF"/>
                <w14:textFill>
                  <w14:solidFill>
                    <w14:schemeClr w14:val="tx1"/>
                  </w14:solidFill>
                </w14:textFill>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2" w:type="dxa"/>
            <w:vMerge w:val="continue"/>
            <w:vAlign w:val="center"/>
          </w:tcPr>
          <w:p>
            <w:pPr>
              <w:pStyle w:val="118"/>
              <w:rPr>
                <w:color w:val="000000" w:themeColor="text1"/>
                <w:highlight w:val="none"/>
                <w:shd w:val="clear" w:color="auto" w:fill="FFFFFF"/>
                <w14:textFill>
                  <w14:solidFill>
                    <w14:schemeClr w14:val="tx1"/>
                  </w14:solidFill>
                </w14:textFill>
              </w:rPr>
            </w:pPr>
          </w:p>
        </w:tc>
        <w:tc>
          <w:tcPr>
            <w:tcW w:w="2000" w:type="dxa"/>
            <w:vMerge w:val="continue"/>
            <w:vAlign w:val="center"/>
          </w:tcPr>
          <w:p>
            <w:pPr>
              <w:pStyle w:val="118"/>
              <w:rPr>
                <w:color w:val="000000" w:themeColor="text1"/>
                <w:highlight w:val="none"/>
                <w:shd w:val="clear" w:color="auto" w:fill="FFFFFF"/>
                <w14:textFill>
                  <w14:solidFill>
                    <w14:schemeClr w14:val="tx1"/>
                  </w14:solidFill>
                </w14:textFill>
              </w:rPr>
            </w:pPr>
          </w:p>
        </w:tc>
        <w:tc>
          <w:tcPr>
            <w:tcW w:w="1488" w:type="dxa"/>
            <w:vAlign w:val="center"/>
          </w:tcPr>
          <w:p>
            <w:pPr>
              <w:pStyle w:val="118"/>
              <w:rPr>
                <w:b/>
                <w:bCs/>
                <w:color w:val="000000" w:themeColor="text1"/>
                <w:highlight w:val="none"/>
                <w:shd w:val="clear" w:color="auto" w:fill="FFFFFF"/>
                <w14:textFill>
                  <w14:solidFill>
                    <w14:schemeClr w14:val="tx1"/>
                  </w14:solidFill>
                </w14:textFill>
              </w:rPr>
            </w:pPr>
            <w:r>
              <w:rPr>
                <w:rFonts w:hint="eastAsia"/>
                <w:b/>
                <w:bCs/>
                <w:color w:val="000000" w:themeColor="text1"/>
                <w:highlight w:val="none"/>
                <w:shd w:val="clear" w:color="auto" w:fill="FFFFFF"/>
                <w14:textFill>
                  <w14:solidFill>
                    <w14:schemeClr w14:val="tx1"/>
                  </w14:solidFill>
                </w14:textFill>
              </w:rPr>
              <w:t>宣汉县</w:t>
            </w:r>
          </w:p>
        </w:tc>
        <w:tc>
          <w:tcPr>
            <w:tcW w:w="1489" w:type="dxa"/>
            <w:vAlign w:val="center"/>
          </w:tcPr>
          <w:p>
            <w:pPr>
              <w:pStyle w:val="118"/>
              <w:rPr>
                <w:b/>
                <w:bCs/>
                <w:color w:val="000000" w:themeColor="text1"/>
                <w:highlight w:val="none"/>
                <w:shd w:val="clear" w:color="auto" w:fill="FFFFFF"/>
                <w14:textFill>
                  <w14:solidFill>
                    <w14:schemeClr w14:val="tx1"/>
                  </w14:solidFill>
                </w14:textFill>
              </w:rPr>
            </w:pPr>
            <w:r>
              <w:rPr>
                <w:rFonts w:hint="eastAsia"/>
                <w:b/>
                <w:bCs/>
                <w:color w:val="000000" w:themeColor="text1"/>
                <w:highlight w:val="none"/>
                <w:shd w:val="clear" w:color="auto" w:fill="FFFFFF"/>
                <w14:textFill>
                  <w14:solidFill>
                    <w14:schemeClr w14:val="tx1"/>
                  </w14:solidFill>
                </w14:textFill>
              </w:rPr>
              <w:t>通川区</w:t>
            </w:r>
          </w:p>
        </w:tc>
        <w:tc>
          <w:tcPr>
            <w:tcW w:w="1422" w:type="dxa"/>
            <w:vMerge w:val="continue"/>
            <w:vAlign w:val="center"/>
          </w:tcPr>
          <w:p>
            <w:pPr>
              <w:pStyle w:val="118"/>
              <w:rPr>
                <w:color w:val="000000" w:themeColor="text1"/>
                <w:highlight w:val="none"/>
                <w:shd w:val="clear" w:color="auto" w:fill="FFFFFF"/>
                <w14:textFill>
                  <w14:solidFill>
                    <w14:schemeClr w14:val="tx1"/>
                  </w14:solidFill>
                </w14:textFill>
              </w:rPr>
            </w:pPr>
          </w:p>
        </w:tc>
        <w:tc>
          <w:tcPr>
            <w:tcW w:w="929" w:type="dxa"/>
            <w:vMerge w:val="continue"/>
            <w:vAlign w:val="center"/>
          </w:tcPr>
          <w:p>
            <w:pPr>
              <w:pStyle w:val="118"/>
              <w:rPr>
                <w:color w:val="000000" w:themeColor="text1"/>
                <w:highlight w:val="none"/>
                <w:shd w:val="clear" w:color="auto" w:fill="FFFFFF"/>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2" w:type="dxa"/>
            <w:vAlign w:val="center"/>
          </w:tcPr>
          <w:p>
            <w:pPr>
              <w:pStyle w:val="118"/>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SO</w:t>
            </w:r>
            <w:r>
              <w:rPr>
                <w:color w:val="000000" w:themeColor="text1"/>
                <w:highlight w:val="none"/>
                <w:shd w:val="clear" w:color="auto" w:fill="FFFFFF"/>
                <w:vertAlign w:val="subscript"/>
                <w14:textFill>
                  <w14:solidFill>
                    <w14:schemeClr w14:val="tx1"/>
                  </w14:solidFill>
                </w14:textFill>
              </w:rPr>
              <w:t>2</w:t>
            </w:r>
          </w:p>
        </w:tc>
        <w:tc>
          <w:tcPr>
            <w:tcW w:w="2000" w:type="dxa"/>
            <w:vMerge w:val="restart"/>
            <w:vAlign w:val="center"/>
          </w:tcPr>
          <w:p>
            <w:pPr>
              <w:pStyle w:val="118"/>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年评价质量浓度</w:t>
            </w:r>
          </w:p>
        </w:tc>
        <w:tc>
          <w:tcPr>
            <w:tcW w:w="1488" w:type="dxa"/>
            <w:vAlign w:val="center"/>
          </w:tcPr>
          <w:p>
            <w:pPr>
              <w:pStyle w:val="118"/>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6</w:t>
            </w:r>
          </w:p>
        </w:tc>
        <w:tc>
          <w:tcPr>
            <w:tcW w:w="1489" w:type="dxa"/>
            <w:vAlign w:val="center"/>
          </w:tcPr>
          <w:p>
            <w:pPr>
              <w:pStyle w:val="118"/>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9</w:t>
            </w:r>
          </w:p>
        </w:tc>
        <w:tc>
          <w:tcPr>
            <w:tcW w:w="1422" w:type="dxa"/>
            <w:vAlign w:val="center"/>
          </w:tcPr>
          <w:p>
            <w:pPr>
              <w:pStyle w:val="118"/>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60</w:t>
            </w:r>
          </w:p>
        </w:tc>
        <w:tc>
          <w:tcPr>
            <w:tcW w:w="929" w:type="dxa"/>
            <w:vAlign w:val="center"/>
          </w:tcPr>
          <w:p>
            <w:pPr>
              <w:pStyle w:val="118"/>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2" w:type="dxa"/>
            <w:vAlign w:val="center"/>
          </w:tcPr>
          <w:p>
            <w:pPr>
              <w:pStyle w:val="118"/>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NO</w:t>
            </w:r>
            <w:r>
              <w:rPr>
                <w:color w:val="000000" w:themeColor="text1"/>
                <w:highlight w:val="none"/>
                <w:shd w:val="clear" w:color="auto" w:fill="FFFFFF"/>
                <w:vertAlign w:val="subscript"/>
                <w14:textFill>
                  <w14:solidFill>
                    <w14:schemeClr w14:val="tx1"/>
                  </w14:solidFill>
                </w14:textFill>
              </w:rPr>
              <w:t>2</w:t>
            </w:r>
          </w:p>
        </w:tc>
        <w:tc>
          <w:tcPr>
            <w:tcW w:w="2000" w:type="dxa"/>
            <w:vMerge w:val="continue"/>
            <w:vAlign w:val="center"/>
          </w:tcPr>
          <w:p>
            <w:pPr>
              <w:pStyle w:val="118"/>
              <w:rPr>
                <w:color w:val="000000" w:themeColor="text1"/>
                <w:highlight w:val="none"/>
                <w:shd w:val="clear" w:color="auto" w:fill="FFFFFF"/>
                <w14:textFill>
                  <w14:solidFill>
                    <w14:schemeClr w14:val="tx1"/>
                  </w14:solidFill>
                </w14:textFill>
              </w:rPr>
            </w:pPr>
          </w:p>
        </w:tc>
        <w:tc>
          <w:tcPr>
            <w:tcW w:w="1488" w:type="dxa"/>
            <w:vAlign w:val="center"/>
          </w:tcPr>
          <w:p>
            <w:pPr>
              <w:pStyle w:val="118"/>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20</w:t>
            </w:r>
          </w:p>
        </w:tc>
        <w:tc>
          <w:tcPr>
            <w:tcW w:w="1489" w:type="dxa"/>
            <w:vAlign w:val="center"/>
          </w:tcPr>
          <w:p>
            <w:pPr>
              <w:pStyle w:val="118"/>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33</w:t>
            </w:r>
          </w:p>
        </w:tc>
        <w:tc>
          <w:tcPr>
            <w:tcW w:w="1422" w:type="dxa"/>
            <w:vAlign w:val="center"/>
          </w:tcPr>
          <w:p>
            <w:pPr>
              <w:pStyle w:val="118"/>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40</w:t>
            </w:r>
          </w:p>
        </w:tc>
        <w:tc>
          <w:tcPr>
            <w:tcW w:w="929" w:type="dxa"/>
            <w:vAlign w:val="center"/>
          </w:tcPr>
          <w:p>
            <w:pPr>
              <w:pStyle w:val="118"/>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2" w:type="dxa"/>
            <w:vAlign w:val="center"/>
          </w:tcPr>
          <w:p>
            <w:pPr>
              <w:pStyle w:val="118"/>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PM</w:t>
            </w:r>
            <w:r>
              <w:rPr>
                <w:color w:val="000000" w:themeColor="text1"/>
                <w:highlight w:val="none"/>
                <w:shd w:val="clear" w:color="auto" w:fill="FFFFFF"/>
                <w:vertAlign w:val="subscript"/>
                <w14:textFill>
                  <w14:solidFill>
                    <w14:schemeClr w14:val="tx1"/>
                  </w14:solidFill>
                </w14:textFill>
              </w:rPr>
              <w:t>10</w:t>
            </w:r>
          </w:p>
        </w:tc>
        <w:tc>
          <w:tcPr>
            <w:tcW w:w="2000" w:type="dxa"/>
            <w:vMerge w:val="continue"/>
            <w:vAlign w:val="center"/>
          </w:tcPr>
          <w:p>
            <w:pPr>
              <w:pStyle w:val="118"/>
              <w:rPr>
                <w:color w:val="000000" w:themeColor="text1"/>
                <w:highlight w:val="none"/>
                <w:shd w:val="clear" w:color="auto" w:fill="FFFFFF"/>
                <w14:textFill>
                  <w14:solidFill>
                    <w14:schemeClr w14:val="tx1"/>
                  </w14:solidFill>
                </w14:textFill>
              </w:rPr>
            </w:pPr>
          </w:p>
        </w:tc>
        <w:tc>
          <w:tcPr>
            <w:tcW w:w="1488" w:type="dxa"/>
            <w:vAlign w:val="center"/>
          </w:tcPr>
          <w:p>
            <w:pPr>
              <w:pStyle w:val="118"/>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55</w:t>
            </w:r>
          </w:p>
        </w:tc>
        <w:tc>
          <w:tcPr>
            <w:tcW w:w="1489" w:type="dxa"/>
            <w:vAlign w:val="center"/>
          </w:tcPr>
          <w:p>
            <w:pPr>
              <w:pStyle w:val="118"/>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56</w:t>
            </w:r>
          </w:p>
        </w:tc>
        <w:tc>
          <w:tcPr>
            <w:tcW w:w="1422" w:type="dxa"/>
            <w:vAlign w:val="center"/>
          </w:tcPr>
          <w:p>
            <w:pPr>
              <w:pStyle w:val="118"/>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70</w:t>
            </w:r>
          </w:p>
        </w:tc>
        <w:tc>
          <w:tcPr>
            <w:tcW w:w="929" w:type="dxa"/>
            <w:vAlign w:val="center"/>
          </w:tcPr>
          <w:p>
            <w:pPr>
              <w:pStyle w:val="118"/>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2" w:type="dxa"/>
            <w:vAlign w:val="center"/>
          </w:tcPr>
          <w:p>
            <w:pPr>
              <w:pStyle w:val="118"/>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PM</w:t>
            </w:r>
            <w:r>
              <w:rPr>
                <w:color w:val="000000" w:themeColor="text1"/>
                <w:highlight w:val="none"/>
                <w:shd w:val="clear" w:color="auto" w:fill="FFFFFF"/>
                <w:vertAlign w:val="subscript"/>
                <w14:textFill>
                  <w14:solidFill>
                    <w14:schemeClr w14:val="tx1"/>
                  </w14:solidFill>
                </w14:textFill>
              </w:rPr>
              <w:t>2.5</w:t>
            </w:r>
          </w:p>
        </w:tc>
        <w:tc>
          <w:tcPr>
            <w:tcW w:w="2000" w:type="dxa"/>
            <w:vMerge w:val="continue"/>
            <w:vAlign w:val="center"/>
          </w:tcPr>
          <w:p>
            <w:pPr>
              <w:pStyle w:val="118"/>
              <w:rPr>
                <w:color w:val="000000" w:themeColor="text1"/>
                <w:highlight w:val="none"/>
                <w:shd w:val="clear" w:color="auto" w:fill="FFFFFF"/>
                <w14:textFill>
                  <w14:solidFill>
                    <w14:schemeClr w14:val="tx1"/>
                  </w14:solidFill>
                </w14:textFill>
              </w:rPr>
            </w:pPr>
          </w:p>
        </w:tc>
        <w:tc>
          <w:tcPr>
            <w:tcW w:w="1488" w:type="dxa"/>
            <w:vAlign w:val="center"/>
          </w:tcPr>
          <w:p>
            <w:pPr>
              <w:pStyle w:val="118"/>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29</w:t>
            </w:r>
          </w:p>
        </w:tc>
        <w:tc>
          <w:tcPr>
            <w:tcW w:w="1489" w:type="dxa"/>
            <w:vAlign w:val="center"/>
          </w:tcPr>
          <w:p>
            <w:pPr>
              <w:pStyle w:val="118"/>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31</w:t>
            </w:r>
          </w:p>
        </w:tc>
        <w:tc>
          <w:tcPr>
            <w:tcW w:w="1422" w:type="dxa"/>
            <w:vAlign w:val="center"/>
          </w:tcPr>
          <w:p>
            <w:pPr>
              <w:pStyle w:val="118"/>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35</w:t>
            </w:r>
          </w:p>
        </w:tc>
        <w:tc>
          <w:tcPr>
            <w:tcW w:w="929" w:type="dxa"/>
            <w:vAlign w:val="center"/>
          </w:tcPr>
          <w:p>
            <w:pPr>
              <w:pStyle w:val="118"/>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972" w:type="dxa"/>
            <w:vAlign w:val="center"/>
          </w:tcPr>
          <w:p>
            <w:pPr>
              <w:pStyle w:val="118"/>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CO</w:t>
            </w:r>
          </w:p>
        </w:tc>
        <w:tc>
          <w:tcPr>
            <w:tcW w:w="2000" w:type="dxa"/>
            <w:vAlign w:val="center"/>
          </w:tcPr>
          <w:p>
            <w:pPr>
              <w:pStyle w:val="118"/>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日均浓度的第95百分位数</w:t>
            </w:r>
          </w:p>
        </w:tc>
        <w:tc>
          <w:tcPr>
            <w:tcW w:w="1488" w:type="dxa"/>
            <w:vAlign w:val="center"/>
          </w:tcPr>
          <w:p>
            <w:pPr>
              <w:pStyle w:val="118"/>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1</w:t>
            </w:r>
            <w:r>
              <w:rPr>
                <w:rFonts w:hint="eastAsia"/>
                <w:color w:val="000000" w:themeColor="text1"/>
                <w:highlight w:val="none"/>
                <w:shd w:val="clear" w:color="auto" w:fill="FFFFFF"/>
                <w14:textFill>
                  <w14:solidFill>
                    <w14:schemeClr w14:val="tx1"/>
                  </w14:solidFill>
                </w14:textFill>
              </w:rPr>
              <w:t>2</w:t>
            </w:r>
            <w:r>
              <w:rPr>
                <w:color w:val="000000" w:themeColor="text1"/>
                <w:highlight w:val="none"/>
                <w:shd w:val="clear" w:color="auto" w:fill="FFFFFF"/>
                <w14:textFill>
                  <w14:solidFill>
                    <w14:schemeClr w14:val="tx1"/>
                  </w14:solidFill>
                </w14:textFill>
              </w:rPr>
              <w:t>00</w:t>
            </w:r>
          </w:p>
        </w:tc>
        <w:tc>
          <w:tcPr>
            <w:tcW w:w="1489" w:type="dxa"/>
            <w:vAlign w:val="center"/>
          </w:tcPr>
          <w:p>
            <w:pPr>
              <w:pStyle w:val="118"/>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1400</w:t>
            </w:r>
          </w:p>
        </w:tc>
        <w:tc>
          <w:tcPr>
            <w:tcW w:w="1422" w:type="dxa"/>
            <w:vAlign w:val="center"/>
          </w:tcPr>
          <w:p>
            <w:pPr>
              <w:pStyle w:val="118"/>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4000</w:t>
            </w:r>
          </w:p>
        </w:tc>
        <w:tc>
          <w:tcPr>
            <w:tcW w:w="929" w:type="dxa"/>
            <w:vAlign w:val="center"/>
          </w:tcPr>
          <w:p>
            <w:pPr>
              <w:pStyle w:val="118"/>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2" w:type="dxa"/>
            <w:vAlign w:val="center"/>
          </w:tcPr>
          <w:p>
            <w:pPr>
              <w:pStyle w:val="118"/>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O</w:t>
            </w:r>
            <w:r>
              <w:rPr>
                <w:color w:val="000000" w:themeColor="text1"/>
                <w:highlight w:val="none"/>
                <w:shd w:val="clear" w:color="auto" w:fill="FFFFFF"/>
                <w:vertAlign w:val="subscript"/>
                <w14:textFill>
                  <w14:solidFill>
                    <w14:schemeClr w14:val="tx1"/>
                  </w14:solidFill>
                </w14:textFill>
              </w:rPr>
              <w:t>3</w:t>
            </w:r>
          </w:p>
        </w:tc>
        <w:tc>
          <w:tcPr>
            <w:tcW w:w="2000" w:type="dxa"/>
            <w:vAlign w:val="center"/>
          </w:tcPr>
          <w:p>
            <w:pPr>
              <w:pStyle w:val="118"/>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日最大8h平均浓度的第90百分位数</w:t>
            </w:r>
          </w:p>
        </w:tc>
        <w:tc>
          <w:tcPr>
            <w:tcW w:w="1488" w:type="dxa"/>
            <w:vAlign w:val="center"/>
          </w:tcPr>
          <w:p>
            <w:pPr>
              <w:pStyle w:val="118"/>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90</w:t>
            </w:r>
          </w:p>
        </w:tc>
        <w:tc>
          <w:tcPr>
            <w:tcW w:w="1489" w:type="dxa"/>
            <w:vAlign w:val="center"/>
          </w:tcPr>
          <w:p>
            <w:pPr>
              <w:pStyle w:val="118"/>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124</w:t>
            </w:r>
          </w:p>
        </w:tc>
        <w:tc>
          <w:tcPr>
            <w:tcW w:w="1422" w:type="dxa"/>
            <w:vAlign w:val="center"/>
          </w:tcPr>
          <w:p>
            <w:pPr>
              <w:pStyle w:val="118"/>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160</w:t>
            </w:r>
          </w:p>
        </w:tc>
        <w:tc>
          <w:tcPr>
            <w:tcW w:w="929" w:type="dxa"/>
            <w:vAlign w:val="center"/>
          </w:tcPr>
          <w:p>
            <w:pPr>
              <w:pStyle w:val="118"/>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达标</w:t>
            </w:r>
          </w:p>
        </w:tc>
      </w:tr>
    </w:tbl>
    <w:p>
      <w:pPr>
        <w:spacing w:before="120" w:beforeLines="50"/>
        <w:ind w:firstLine="480"/>
        <w:rPr>
          <w:color w:val="000000" w:themeColor="text1"/>
          <w:szCs w:val="24"/>
          <w:highlight w:val="none"/>
          <w14:textFill>
            <w14:solidFill>
              <w14:schemeClr w14:val="tx1"/>
            </w14:solidFill>
          </w14:textFill>
        </w:rPr>
      </w:pPr>
      <w:r>
        <w:rPr>
          <w:color w:val="000000" w:themeColor="text1"/>
          <w:szCs w:val="21"/>
          <w:highlight w:val="none"/>
          <w14:textFill>
            <w14:solidFill>
              <w14:schemeClr w14:val="tx1"/>
            </w14:solidFill>
          </w14:textFill>
        </w:rPr>
        <w:t>根据《</w:t>
      </w:r>
      <w:r>
        <w:rPr>
          <w:rFonts w:hint="eastAsia"/>
          <w:color w:val="000000" w:themeColor="text1"/>
          <w:szCs w:val="21"/>
          <w:highlight w:val="none"/>
          <w14:textFill>
            <w14:solidFill>
              <w14:schemeClr w14:val="tx1"/>
            </w14:solidFill>
          </w14:textFill>
        </w:rPr>
        <w:t>达州市2023年环境空气质量状况</w:t>
      </w:r>
      <w:r>
        <w:rPr>
          <w:color w:val="000000" w:themeColor="text1"/>
          <w:szCs w:val="21"/>
          <w:highlight w:val="none"/>
          <w14:textFill>
            <w14:solidFill>
              <w14:schemeClr w14:val="tx1"/>
            </w14:solidFill>
          </w14:textFill>
        </w:rPr>
        <w:t>》内容，宣汉县</w:t>
      </w:r>
      <w:r>
        <w:rPr>
          <w:rFonts w:hint="eastAsia"/>
          <w:color w:val="000000" w:themeColor="text1"/>
          <w:szCs w:val="21"/>
          <w:highlight w:val="none"/>
          <w14:textFill>
            <w14:solidFill>
              <w14:schemeClr w14:val="tx1"/>
            </w14:solidFill>
          </w14:textFill>
        </w:rPr>
        <w:t>和通川区</w:t>
      </w:r>
      <w:r>
        <w:rPr>
          <w:color w:val="000000" w:themeColor="text1"/>
          <w:szCs w:val="21"/>
          <w:highlight w:val="none"/>
          <w14:textFill>
            <w14:solidFill>
              <w14:schemeClr w14:val="tx1"/>
            </w14:solidFill>
          </w14:textFill>
        </w:rPr>
        <w:t>202</w:t>
      </w:r>
      <w:r>
        <w:rPr>
          <w:rFonts w:hint="eastAsia"/>
          <w:color w:val="000000" w:themeColor="text1"/>
          <w:szCs w:val="21"/>
          <w:highlight w:val="none"/>
          <w14:textFill>
            <w14:solidFill>
              <w14:schemeClr w14:val="tx1"/>
            </w14:solidFill>
          </w14:textFill>
        </w:rPr>
        <w:t>3</w:t>
      </w:r>
      <w:r>
        <w:rPr>
          <w:color w:val="000000" w:themeColor="text1"/>
          <w:szCs w:val="21"/>
          <w:highlight w:val="none"/>
          <w14:textFill>
            <w14:solidFill>
              <w14:schemeClr w14:val="tx1"/>
            </w14:solidFill>
          </w14:textFill>
        </w:rPr>
        <w:t>年度主要污染物SO</w:t>
      </w:r>
      <w:r>
        <w:rPr>
          <w:color w:val="000000" w:themeColor="text1"/>
          <w:szCs w:val="21"/>
          <w:highlight w:val="none"/>
          <w:vertAlign w:val="subscript"/>
          <w14:textFill>
            <w14:solidFill>
              <w14:schemeClr w14:val="tx1"/>
            </w14:solidFill>
          </w14:textFill>
        </w:rPr>
        <w:t>2</w:t>
      </w:r>
      <w:r>
        <w:rPr>
          <w:color w:val="000000" w:themeColor="text1"/>
          <w:szCs w:val="21"/>
          <w:highlight w:val="none"/>
          <w14:textFill>
            <w14:solidFill>
              <w14:schemeClr w14:val="tx1"/>
            </w14:solidFill>
          </w14:textFill>
        </w:rPr>
        <w:t>、NO</w:t>
      </w:r>
      <w:r>
        <w:rPr>
          <w:color w:val="000000" w:themeColor="text1"/>
          <w:szCs w:val="21"/>
          <w:highlight w:val="none"/>
          <w:vertAlign w:val="subscript"/>
          <w14:textFill>
            <w14:solidFill>
              <w14:schemeClr w14:val="tx1"/>
            </w14:solidFill>
          </w14:textFill>
        </w:rPr>
        <w:t>2</w:t>
      </w:r>
      <w:r>
        <w:rPr>
          <w:color w:val="000000" w:themeColor="text1"/>
          <w:szCs w:val="21"/>
          <w:highlight w:val="none"/>
          <w14:textFill>
            <w14:solidFill>
              <w14:schemeClr w14:val="tx1"/>
            </w14:solidFill>
          </w14:textFill>
        </w:rPr>
        <w:t>、PM</w:t>
      </w:r>
      <w:r>
        <w:rPr>
          <w:color w:val="000000" w:themeColor="text1"/>
          <w:szCs w:val="21"/>
          <w:highlight w:val="none"/>
          <w:vertAlign w:val="subscript"/>
          <w14:textFill>
            <w14:solidFill>
              <w14:schemeClr w14:val="tx1"/>
            </w14:solidFill>
          </w14:textFill>
        </w:rPr>
        <w:t>10</w:t>
      </w:r>
      <w:r>
        <w:rPr>
          <w:color w:val="000000" w:themeColor="text1"/>
          <w:szCs w:val="21"/>
          <w:highlight w:val="none"/>
          <w14:textFill>
            <w14:solidFill>
              <w14:schemeClr w14:val="tx1"/>
            </w14:solidFill>
          </w14:textFill>
        </w:rPr>
        <w:t>、PM</w:t>
      </w:r>
      <w:r>
        <w:rPr>
          <w:color w:val="000000" w:themeColor="text1"/>
          <w:szCs w:val="21"/>
          <w:highlight w:val="none"/>
          <w:vertAlign w:val="subscript"/>
          <w14:textFill>
            <w14:solidFill>
              <w14:schemeClr w14:val="tx1"/>
            </w14:solidFill>
          </w14:textFill>
        </w:rPr>
        <w:t>2.5</w:t>
      </w:r>
      <w:r>
        <w:rPr>
          <w:color w:val="000000" w:themeColor="text1"/>
          <w:szCs w:val="21"/>
          <w:highlight w:val="none"/>
          <w14:textFill>
            <w14:solidFill>
              <w14:schemeClr w14:val="tx1"/>
            </w14:solidFill>
          </w14:textFill>
        </w:rPr>
        <w:t>、CO、O</w:t>
      </w:r>
      <w:r>
        <w:rPr>
          <w:color w:val="000000" w:themeColor="text1"/>
          <w:szCs w:val="21"/>
          <w:highlight w:val="none"/>
          <w:vertAlign w:val="subscript"/>
          <w14:textFill>
            <w14:solidFill>
              <w14:schemeClr w14:val="tx1"/>
            </w14:solidFill>
          </w14:textFill>
        </w:rPr>
        <w:t>3</w:t>
      </w:r>
      <w:r>
        <w:rPr>
          <w:color w:val="000000" w:themeColor="text1"/>
          <w:szCs w:val="21"/>
          <w:highlight w:val="none"/>
          <w14:textFill>
            <w14:solidFill>
              <w14:schemeClr w14:val="tx1"/>
            </w14:solidFill>
          </w14:textFill>
        </w:rPr>
        <w:t>均满足《环境空气质量标准》</w:t>
      </w: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GB3095-2012</w:t>
      </w: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二级标准要求，按《环境影响评价技术导则大气环境》（HJ2.2-2018）区域达标判断标准，宣汉县</w:t>
      </w:r>
      <w:r>
        <w:rPr>
          <w:rFonts w:hint="eastAsia"/>
          <w:color w:val="000000" w:themeColor="text1"/>
          <w:szCs w:val="21"/>
          <w:highlight w:val="none"/>
          <w14:textFill>
            <w14:solidFill>
              <w14:schemeClr w14:val="tx1"/>
            </w14:solidFill>
          </w14:textFill>
        </w:rPr>
        <w:t>和通川区</w:t>
      </w:r>
      <w:r>
        <w:rPr>
          <w:color w:val="000000" w:themeColor="text1"/>
          <w:szCs w:val="21"/>
          <w:highlight w:val="none"/>
          <w14:textFill>
            <w14:solidFill>
              <w14:schemeClr w14:val="tx1"/>
            </w14:solidFill>
          </w14:textFill>
        </w:rPr>
        <w:t>202</w:t>
      </w:r>
      <w:r>
        <w:rPr>
          <w:rFonts w:hint="eastAsia"/>
          <w:color w:val="000000" w:themeColor="text1"/>
          <w:szCs w:val="21"/>
          <w:highlight w:val="none"/>
          <w14:textFill>
            <w14:solidFill>
              <w14:schemeClr w14:val="tx1"/>
            </w14:solidFill>
          </w14:textFill>
        </w:rPr>
        <w:t>3</w:t>
      </w:r>
      <w:r>
        <w:rPr>
          <w:color w:val="000000" w:themeColor="text1"/>
          <w:szCs w:val="21"/>
          <w:highlight w:val="none"/>
          <w14:textFill>
            <w14:solidFill>
              <w14:schemeClr w14:val="tx1"/>
            </w14:solidFill>
          </w14:textFill>
        </w:rPr>
        <w:t>年度区域环境空气质量为达标区。</w:t>
      </w:r>
    </w:p>
    <w:p>
      <w:pPr>
        <w:ind w:firstLine="482"/>
        <w:rPr>
          <w:b/>
          <w:bCs/>
          <w:color w:val="000000" w:themeColor="text1"/>
          <w:szCs w:val="24"/>
          <w:highlight w:val="none"/>
          <w14:textFill>
            <w14:solidFill>
              <w14:schemeClr w14:val="tx1"/>
            </w14:solidFill>
          </w14:textFill>
        </w:rPr>
      </w:pPr>
      <w:r>
        <w:rPr>
          <w:b/>
          <w:bCs/>
          <w:color w:val="000000" w:themeColor="text1"/>
          <w:szCs w:val="24"/>
          <w:highlight w:val="none"/>
          <w14:textFill>
            <w14:solidFill>
              <w14:schemeClr w14:val="tx1"/>
            </w14:solidFill>
          </w14:textFill>
        </w:rPr>
        <w:t>2、特征污染物</w:t>
      </w:r>
    </w:p>
    <w:p>
      <w:pPr>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（1）监测点布设</w:t>
      </w:r>
    </w:p>
    <w:p>
      <w:pPr>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根据项目工程特点的具体情况，共布设1个大气环境监测点，位于</w:t>
      </w:r>
      <w:r>
        <w:rPr>
          <w:rFonts w:hint="eastAsia"/>
          <w:color w:val="000000" w:themeColor="text1"/>
          <w:szCs w:val="24"/>
          <w:highlight w:val="none"/>
          <w14:textFill>
            <w14:solidFill>
              <w14:schemeClr w14:val="tx1"/>
            </w14:solidFill>
          </w14:textFill>
        </w:rPr>
        <w:t>雷页1井试采站工艺装置区下风向居民点处</w:t>
      </w:r>
      <w:r>
        <w:rPr>
          <w:color w:val="000000" w:themeColor="text1"/>
          <w:szCs w:val="24"/>
          <w:highlight w:val="none"/>
          <w14:textFill>
            <w14:solidFill>
              <w14:schemeClr w14:val="tx1"/>
            </w14:solidFill>
          </w14:textFill>
        </w:rPr>
        <w:t>。</w:t>
      </w:r>
    </w:p>
    <w:p>
      <w:pPr>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（2）监测项目：非甲烷总烃</w:t>
      </w:r>
      <w:r>
        <w:rPr>
          <w:rFonts w:hint="eastAsia"/>
          <w:color w:val="000000" w:themeColor="text1"/>
          <w:szCs w:val="24"/>
          <w:highlight w:val="none"/>
          <w14:textFill>
            <w14:solidFill>
              <w14:schemeClr w14:val="tx1"/>
            </w14:solidFill>
          </w14:textFill>
        </w:rPr>
        <w:t>、总悬浮颗粒物</w:t>
      </w:r>
      <w:r>
        <w:rPr>
          <w:color w:val="000000" w:themeColor="text1"/>
          <w:szCs w:val="24"/>
          <w:highlight w:val="none"/>
          <w14:textFill>
            <w14:solidFill>
              <w14:schemeClr w14:val="tx1"/>
            </w14:solidFill>
          </w14:textFill>
        </w:rPr>
        <w:t>。</w:t>
      </w:r>
    </w:p>
    <w:p>
      <w:pPr>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（3）监测频次：连续采样7天。</w:t>
      </w:r>
    </w:p>
    <w:p>
      <w:pPr>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（4）采样及分析方法</w:t>
      </w:r>
    </w:p>
    <w:p>
      <w:pPr>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采样及分析方法按国家有关规定进行。</w:t>
      </w:r>
    </w:p>
    <w:p>
      <w:pPr>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（5）评价标准</w:t>
      </w:r>
    </w:p>
    <w:p>
      <w:pPr>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本次非甲烷总烃环境质量现状评价，执行标准采用《大气污染物综合排放标准详解》</w:t>
      </w:r>
      <w:r>
        <w:rPr>
          <w:rFonts w:hint="eastAsia"/>
          <w:color w:val="000000" w:themeColor="text1"/>
          <w:szCs w:val="24"/>
          <w:highlight w:val="none"/>
          <w14:textFill>
            <w14:solidFill>
              <w14:schemeClr w14:val="tx1"/>
            </w14:solidFill>
          </w14:textFill>
        </w:rPr>
        <w:t>小时平均</w:t>
      </w:r>
      <w:r>
        <w:rPr>
          <w:color w:val="000000" w:themeColor="text1"/>
          <w:szCs w:val="24"/>
          <w:highlight w:val="none"/>
          <w14:textFill>
            <w14:solidFill>
              <w14:schemeClr w14:val="tx1"/>
            </w14:solidFill>
          </w14:textFill>
        </w:rPr>
        <w:t>浓度限值2.0mg/m</w:t>
      </w:r>
      <w:r>
        <w:rPr>
          <w:color w:val="000000" w:themeColor="text1"/>
          <w:szCs w:val="24"/>
          <w:highlight w:val="none"/>
          <w:vertAlign w:val="superscript"/>
          <w14:textFill>
            <w14:solidFill>
              <w14:schemeClr w14:val="tx1"/>
            </w14:solidFill>
          </w14:textFill>
        </w:rPr>
        <w:t>3</w:t>
      </w:r>
      <w:r>
        <w:rPr>
          <w:color w:val="000000" w:themeColor="text1"/>
          <w:szCs w:val="24"/>
          <w:highlight w:val="none"/>
          <w14:textFill>
            <w14:solidFill>
              <w14:schemeClr w14:val="tx1"/>
            </w14:solidFill>
          </w14:textFill>
        </w:rPr>
        <w:t>；</w:t>
      </w:r>
      <w:r>
        <w:rPr>
          <w:rFonts w:hint="eastAsia"/>
          <w:color w:val="000000" w:themeColor="text1"/>
          <w:szCs w:val="24"/>
          <w:highlight w:val="none"/>
          <w14:textFill>
            <w14:solidFill>
              <w14:schemeClr w14:val="tx1"/>
            </w14:solidFill>
          </w14:textFill>
        </w:rPr>
        <w:t>总悬浮颗粒物</w:t>
      </w:r>
      <w:r>
        <w:rPr>
          <w:bCs/>
          <w:color w:val="000000" w:themeColor="text1"/>
          <w:szCs w:val="24"/>
          <w:highlight w:val="none"/>
          <w14:textFill>
            <w14:solidFill>
              <w14:schemeClr w14:val="tx1"/>
            </w14:solidFill>
          </w14:textFill>
        </w:rPr>
        <w:t>执行《环境空气质量标准》（GB3095-2012）二级标准</w:t>
      </w:r>
      <w:r>
        <w:rPr>
          <w:rFonts w:hint="eastAsia"/>
          <w:bCs/>
          <w:color w:val="000000" w:themeColor="text1"/>
          <w:szCs w:val="24"/>
          <w:highlight w:val="none"/>
          <w14:textFill>
            <w14:solidFill>
              <w14:schemeClr w14:val="tx1"/>
            </w14:solidFill>
          </w14:textFill>
        </w:rPr>
        <w:t>，日平均值为</w:t>
      </w:r>
      <w:r>
        <w:rPr>
          <w:bCs/>
          <w:color w:val="000000" w:themeColor="text1"/>
          <w:szCs w:val="24"/>
          <w:highlight w:val="none"/>
          <w14:textFill>
            <w14:solidFill>
              <w14:schemeClr w14:val="tx1"/>
            </w14:solidFill>
          </w14:textFill>
        </w:rPr>
        <w:t>300μg/m</w:t>
      </w:r>
      <w:r>
        <w:rPr>
          <w:bCs/>
          <w:color w:val="000000" w:themeColor="text1"/>
          <w:szCs w:val="24"/>
          <w:highlight w:val="none"/>
          <w:vertAlign w:val="superscript"/>
          <w14:textFill>
            <w14:solidFill>
              <w14:schemeClr w14:val="tx1"/>
            </w14:solidFill>
          </w14:textFill>
        </w:rPr>
        <w:t>3</w:t>
      </w:r>
      <w:r>
        <w:rPr>
          <w:color w:val="000000" w:themeColor="text1"/>
          <w:szCs w:val="24"/>
          <w:highlight w:val="none"/>
          <w14:textFill>
            <w14:solidFill>
              <w14:schemeClr w14:val="tx1"/>
            </w14:solidFill>
          </w14:textFill>
        </w:rPr>
        <w:t>。</w:t>
      </w:r>
    </w:p>
    <w:p>
      <w:pPr>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（6）评价方法</w:t>
      </w:r>
    </w:p>
    <w:p>
      <w:pPr>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根据《环境影响评价技术导则大气环境》（HJ2.2-2018），采用最大监测浓度占标率对评价区域大气环境质量现状进行评价，评价模式如下：</w:t>
      </w:r>
    </w:p>
    <w:p>
      <w:pPr>
        <w:ind w:firstLine="480"/>
        <w:rPr>
          <w:color w:val="000000" w:themeColor="text1"/>
          <w:szCs w:val="24"/>
          <w:highlight w:val="none"/>
          <w14:textFill>
            <w14:solidFill>
              <w14:schemeClr w14:val="tx1"/>
            </w14:solidFill>
          </w14:textFill>
        </w:rPr>
      </w:pPr>
      <m:oMathPara>
        <m:oMath>
          <m:sSub>
            <m:sSubPr>
              <m:ctrlPr>
                <w:rPr>
                  <w:rFonts w:ascii="Cambria Math" w:hAnsi="Cambria Math"/>
                  <w:color w:val="000000" w:themeColor="text1"/>
                  <w:szCs w:val="24"/>
                  <w:highlight w:val="none"/>
                  <w14:textFill>
                    <w14:solidFill>
                      <w14:schemeClr w14:val="tx1"/>
                    </w14:solidFill>
                  </w14:textFill>
                </w:rPr>
              </m:ctrlPr>
            </m:sSubPr>
            <m:e>
              <m:r>
                <m:rPr>
                  <m:sty m:val="p"/>
                </m:rPr>
                <w:rPr>
                  <w:rFonts w:ascii="Cambria Math" w:hAnsi="Cambria Math"/>
                  <w:color w:val="000000" w:themeColor="text1"/>
                  <w:szCs w:val="24"/>
                  <w:highlight w:val="none"/>
                  <w14:textFill>
                    <w14:solidFill>
                      <w14:schemeClr w14:val="tx1"/>
                    </w14:solidFill>
                  </w14:textFill>
                </w:rPr>
                <m:t>P</m:t>
              </m:r>
              <m:ctrlPr>
                <w:rPr>
                  <w:rFonts w:ascii="Cambria Math" w:hAnsi="Cambria Math"/>
                  <w:color w:val="000000" w:themeColor="text1"/>
                  <w:szCs w:val="24"/>
                  <w:highlight w:val="none"/>
                  <w14:textFill>
                    <w14:solidFill>
                      <w14:schemeClr w14:val="tx1"/>
                    </w14:solidFill>
                  </w14:textFill>
                </w:rPr>
              </m:ctrlPr>
            </m:e>
            <m:sub>
              <m:r>
                <m:rPr>
                  <m:sty m:val="p"/>
                </m:rPr>
                <w:rPr>
                  <w:rFonts w:ascii="Cambria Math" w:hAnsi="Cambria Math"/>
                  <w:color w:val="000000" w:themeColor="text1"/>
                  <w:szCs w:val="24"/>
                  <w:highlight w:val="none"/>
                  <w14:textFill>
                    <w14:solidFill>
                      <w14:schemeClr w14:val="tx1"/>
                    </w14:solidFill>
                  </w14:textFill>
                </w:rPr>
                <m:t>i</m:t>
              </m:r>
              <m:ctrlPr>
                <w:rPr>
                  <w:rFonts w:ascii="Cambria Math" w:hAnsi="Cambria Math"/>
                  <w:color w:val="000000" w:themeColor="text1"/>
                  <w:szCs w:val="24"/>
                  <w:highlight w:val="none"/>
                  <w14:textFill>
                    <w14:solidFill>
                      <w14:schemeClr w14:val="tx1"/>
                    </w14:solidFill>
                  </w14:textFill>
                </w:rPr>
              </m:ctrlPr>
            </m:sub>
          </m:sSub>
          <m:r>
            <m:rPr>
              <m:sty m:val="p"/>
            </m:rPr>
            <w:rPr>
              <w:rFonts w:ascii="Cambria Math" w:hAnsi="Cambria Math"/>
              <w:color w:val="000000" w:themeColor="text1"/>
              <w:szCs w:val="24"/>
              <w:highlight w:val="none"/>
              <w14:textFill>
                <w14:solidFill>
                  <w14:schemeClr w14:val="tx1"/>
                </w14:solidFill>
              </w14:textFill>
            </w:rPr>
            <m:t>=</m:t>
          </m:r>
          <m:f>
            <m:fPr>
              <m:ctrlPr>
                <w:rPr>
                  <w:rFonts w:ascii="Cambria Math" w:hAnsi="Cambria Math"/>
                  <w:color w:val="000000" w:themeColor="text1"/>
                  <w:szCs w:val="24"/>
                  <w:highlight w:val="none"/>
                  <w14:textFill>
                    <w14:solidFill>
                      <w14:schemeClr w14:val="tx1"/>
                    </w14:solidFill>
                  </w14:textFill>
                </w:rPr>
              </m:ctrlPr>
            </m:fPr>
            <m:num>
              <m:sSub>
                <m:sSubPr>
                  <m:ctrlPr>
                    <w:rPr>
                      <w:rFonts w:ascii="Cambria Math" w:hAnsi="Cambria Math"/>
                      <w:color w:val="000000" w:themeColor="text1"/>
                      <w:szCs w:val="24"/>
                      <w:highlight w:val="none"/>
                      <w14:textFill>
                        <w14:solidFill>
                          <w14:schemeClr w14:val="tx1"/>
                        </w14:solidFill>
                      </w14:textFill>
                    </w:rPr>
                  </m:ctrlPr>
                </m:sSubPr>
                <m:e>
                  <m:r>
                    <m:rPr>
                      <m:sty m:val="p"/>
                    </m:rPr>
                    <w:rPr>
                      <w:rFonts w:ascii="Cambria Math" w:hAnsi="Cambria Math"/>
                      <w:color w:val="000000" w:themeColor="text1"/>
                      <w:szCs w:val="24"/>
                      <w:highlight w:val="none"/>
                      <w14:textFill>
                        <w14:solidFill>
                          <w14:schemeClr w14:val="tx1"/>
                        </w14:solidFill>
                      </w14:textFill>
                    </w:rPr>
                    <m:t>C</m:t>
                  </m:r>
                  <m:ctrlPr>
                    <w:rPr>
                      <w:rFonts w:ascii="Cambria Math" w:hAnsi="Cambria Math"/>
                      <w:color w:val="000000" w:themeColor="text1"/>
                      <w:szCs w:val="24"/>
                      <w:highlight w:val="none"/>
                      <w14:textFill>
                        <w14:solidFill>
                          <w14:schemeClr w14:val="tx1"/>
                        </w14:solidFill>
                      </w14:textFill>
                    </w:rPr>
                  </m:ctrlPr>
                </m:e>
                <m:sub>
                  <m:r>
                    <m:rPr>
                      <m:sty m:val="p"/>
                    </m:rPr>
                    <w:rPr>
                      <w:rFonts w:ascii="Cambria Math" w:hAnsi="Cambria Math"/>
                      <w:color w:val="000000" w:themeColor="text1"/>
                      <w:szCs w:val="24"/>
                      <w:highlight w:val="none"/>
                      <w14:textFill>
                        <w14:solidFill>
                          <w14:schemeClr w14:val="tx1"/>
                        </w14:solidFill>
                      </w14:textFill>
                    </w:rPr>
                    <m:t>i</m:t>
                  </m:r>
                  <m:ctrlPr>
                    <w:rPr>
                      <w:rFonts w:ascii="Cambria Math" w:hAnsi="Cambria Math"/>
                      <w:color w:val="000000" w:themeColor="text1"/>
                      <w:szCs w:val="24"/>
                      <w:highlight w:val="none"/>
                      <w14:textFill>
                        <w14:solidFill>
                          <w14:schemeClr w14:val="tx1"/>
                        </w14:solidFill>
                      </w14:textFill>
                    </w:rPr>
                  </m:ctrlPr>
                </m:sub>
              </m:sSub>
              <m:ctrlPr>
                <w:rPr>
                  <w:rFonts w:ascii="Cambria Math" w:hAnsi="Cambria Math"/>
                  <w:color w:val="000000" w:themeColor="text1"/>
                  <w:szCs w:val="24"/>
                  <w:highlight w:val="none"/>
                  <w14:textFill>
                    <w14:solidFill>
                      <w14:schemeClr w14:val="tx1"/>
                    </w14:solidFill>
                  </w14:textFill>
                </w:rPr>
              </m:ctrlPr>
            </m:num>
            <m:den>
              <m:sSub>
                <m:sSubPr>
                  <m:ctrlPr>
                    <w:rPr>
                      <w:rFonts w:ascii="Cambria Math" w:hAnsi="Cambria Math"/>
                      <w:color w:val="000000" w:themeColor="text1"/>
                      <w:szCs w:val="24"/>
                      <w:highlight w:val="none"/>
                      <w14:textFill>
                        <w14:solidFill>
                          <w14:schemeClr w14:val="tx1"/>
                        </w14:solidFill>
                      </w14:textFill>
                    </w:rPr>
                  </m:ctrlPr>
                </m:sSubPr>
                <m:e>
                  <m:r>
                    <m:rPr>
                      <m:sty m:val="p"/>
                    </m:rPr>
                    <w:rPr>
                      <w:rFonts w:ascii="Cambria Math" w:hAnsi="Cambria Math"/>
                      <w:color w:val="000000" w:themeColor="text1"/>
                      <w:szCs w:val="24"/>
                      <w:highlight w:val="none"/>
                      <w14:textFill>
                        <w14:solidFill>
                          <w14:schemeClr w14:val="tx1"/>
                        </w14:solidFill>
                      </w14:textFill>
                    </w:rPr>
                    <m:t>C</m:t>
                  </m:r>
                  <m:ctrlPr>
                    <w:rPr>
                      <w:rFonts w:ascii="Cambria Math" w:hAnsi="Cambria Math"/>
                      <w:color w:val="000000" w:themeColor="text1"/>
                      <w:szCs w:val="24"/>
                      <w:highlight w:val="none"/>
                      <w14:textFill>
                        <w14:solidFill>
                          <w14:schemeClr w14:val="tx1"/>
                        </w14:solidFill>
                      </w14:textFill>
                    </w:rPr>
                  </m:ctrlPr>
                </m:e>
                <m:sub>
                  <m:r>
                    <m:rPr>
                      <m:sty m:val="p"/>
                    </m:rPr>
                    <w:rPr>
                      <w:rFonts w:ascii="Cambria Math" w:hAnsi="Cambria Math"/>
                      <w:color w:val="000000" w:themeColor="text1"/>
                      <w:szCs w:val="24"/>
                      <w:highlight w:val="none"/>
                      <w14:textFill>
                        <w14:solidFill>
                          <w14:schemeClr w14:val="tx1"/>
                        </w14:solidFill>
                      </w14:textFill>
                    </w:rPr>
                    <m:t>oi</m:t>
                  </m:r>
                  <m:ctrlPr>
                    <w:rPr>
                      <w:rFonts w:ascii="Cambria Math" w:hAnsi="Cambria Math"/>
                      <w:color w:val="000000" w:themeColor="text1"/>
                      <w:szCs w:val="24"/>
                      <w:highlight w:val="none"/>
                      <w14:textFill>
                        <w14:solidFill>
                          <w14:schemeClr w14:val="tx1"/>
                        </w14:solidFill>
                      </w14:textFill>
                    </w:rPr>
                  </m:ctrlPr>
                </m:sub>
              </m:sSub>
              <m:ctrlPr>
                <w:rPr>
                  <w:rFonts w:ascii="Cambria Math" w:hAnsi="Cambria Math"/>
                  <w:i/>
                  <w:color w:val="000000" w:themeColor="text1"/>
                  <w:szCs w:val="24"/>
                  <w:highlight w:val="none"/>
                  <w14:textFill>
                    <w14:solidFill>
                      <w14:schemeClr w14:val="tx1"/>
                    </w14:solidFill>
                  </w14:textFill>
                </w:rPr>
              </m:ctrlPr>
            </m:den>
          </m:f>
          <m:r>
            <m:rPr>
              <m:sty m:val="p"/>
            </m:rPr>
            <w:rPr>
              <w:rFonts w:ascii="Cambria Math" w:hAnsi="Cambria Math"/>
              <w:color w:val="000000" w:themeColor="text1"/>
              <w:szCs w:val="24"/>
              <w:highlight w:val="none"/>
              <w14:textFill>
                <w14:solidFill>
                  <w14:schemeClr w14:val="tx1"/>
                </w14:solidFill>
              </w14:textFill>
            </w:rPr>
            <m:t>×100%</m:t>
          </m:r>
        </m:oMath>
      </m:oMathPara>
    </w:p>
    <w:p>
      <w:pPr>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Pi——为第i个污染物的最大监测浓度占标率，%；</w:t>
      </w:r>
    </w:p>
    <w:p>
      <w:pPr>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Ci——为第i个污染因子的最大实测浓度（mg/m</w:t>
      </w:r>
      <w:r>
        <w:rPr>
          <w:color w:val="000000" w:themeColor="text1"/>
          <w:szCs w:val="24"/>
          <w:highlight w:val="none"/>
          <w:vertAlign w:val="superscript"/>
          <w14:textFill>
            <w14:solidFill>
              <w14:schemeClr w14:val="tx1"/>
            </w14:solidFill>
          </w14:textFill>
        </w:rPr>
        <w:t>3</w:t>
      </w:r>
      <w:r>
        <w:rPr>
          <w:color w:val="000000" w:themeColor="text1"/>
          <w:szCs w:val="24"/>
          <w:highlight w:val="none"/>
          <w14:textFill>
            <w14:solidFill>
              <w14:schemeClr w14:val="tx1"/>
            </w14:solidFill>
          </w14:textFill>
        </w:rPr>
        <w:t>）；</w:t>
      </w:r>
    </w:p>
    <w:p>
      <w:pPr>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Coi——为第i个污染物相对应的评价标准（mg/m</w:t>
      </w:r>
      <w:r>
        <w:rPr>
          <w:color w:val="000000" w:themeColor="text1"/>
          <w:szCs w:val="24"/>
          <w:highlight w:val="none"/>
          <w:vertAlign w:val="superscript"/>
          <w14:textFill>
            <w14:solidFill>
              <w14:schemeClr w14:val="tx1"/>
            </w14:solidFill>
          </w14:textFill>
        </w:rPr>
        <w:t>3</w:t>
      </w:r>
      <w:r>
        <w:rPr>
          <w:color w:val="000000" w:themeColor="text1"/>
          <w:szCs w:val="24"/>
          <w:highlight w:val="none"/>
          <w14:textFill>
            <w14:solidFill>
              <w14:schemeClr w14:val="tx1"/>
            </w14:solidFill>
          </w14:textFill>
        </w:rPr>
        <w:t>）。</w:t>
      </w:r>
    </w:p>
    <w:p>
      <w:pPr>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根据HJ2.2-2018，现状监测结果以列表的方式给出各监测点大气污染物的不同取值时间的变化范围，并给出各取值时间最大浓度值占相应标准浓度限值的百分比和超标率，并评价达标情况。</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（7）监测结果及评价结论见</w:t>
      </w:r>
      <w:r>
        <w:rPr>
          <w:rFonts w:hint="eastAsia"/>
          <w:color w:val="000000" w:themeColor="text1"/>
          <w:highlight w:val="none"/>
          <w14:textFill>
            <w14:solidFill>
              <w14:schemeClr w14:val="tx1"/>
            </w14:solidFill>
          </w14:textFill>
        </w:rPr>
        <w:t>下表</w:t>
      </w:r>
      <w:r>
        <w:rPr>
          <w:color w:val="000000" w:themeColor="text1"/>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bookmarkStart w:id="215" w:name="_Ref142907081"/>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fldChar w:fldCharType="end"/>
      </w:r>
      <w:bookmarkEnd w:id="215"/>
      <w:r>
        <w:rPr>
          <w:rFonts w:hint="eastAsia"/>
          <w:color w:val="000000" w:themeColor="text1"/>
          <w:highlight w:val="none"/>
          <w14:textFill>
            <w14:solidFill>
              <w14:schemeClr w14:val="tx1"/>
            </w14:solidFill>
          </w14:textFill>
        </w:rPr>
        <w:t>环境空气质量现状监测结果</w:t>
      </w:r>
      <w:r>
        <w:rPr>
          <w:color w:val="000000" w:themeColor="text1"/>
          <w:highlight w:val="none"/>
          <w14:textFill>
            <w14:solidFill>
              <w14:schemeClr w14:val="tx1"/>
            </w14:solidFill>
          </w14:textFill>
        </w:rPr>
        <w:t>单位：mg/m</w:t>
      </w:r>
      <w:r>
        <w:rPr>
          <w:color w:val="000000" w:themeColor="text1"/>
          <w:highlight w:val="none"/>
          <w:vertAlign w:val="superscript"/>
          <w14:textFill>
            <w14:solidFill>
              <w14:schemeClr w14:val="tx1"/>
            </w14:solidFill>
          </w14:textFill>
        </w:rPr>
        <w:t>3</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0"/>
        <w:gridCol w:w="1912"/>
        <w:gridCol w:w="875"/>
        <w:gridCol w:w="1071"/>
        <w:gridCol w:w="1484"/>
        <w:gridCol w:w="1021"/>
        <w:gridCol w:w="10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669" w:type="pct"/>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监测点位</w:t>
            </w:r>
          </w:p>
        </w:tc>
        <w:tc>
          <w:tcPr>
            <w:tcW w:w="1121" w:type="pct"/>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监测日期</w:t>
            </w:r>
          </w:p>
        </w:tc>
        <w:tc>
          <w:tcPr>
            <w:tcW w:w="513" w:type="pct"/>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项目</w:t>
            </w:r>
          </w:p>
        </w:tc>
        <w:tc>
          <w:tcPr>
            <w:tcW w:w="628" w:type="pct"/>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第一次</w:t>
            </w:r>
          </w:p>
        </w:tc>
        <w:tc>
          <w:tcPr>
            <w:tcW w:w="870" w:type="pct"/>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第二次</w:t>
            </w:r>
          </w:p>
        </w:tc>
        <w:tc>
          <w:tcPr>
            <w:tcW w:w="599" w:type="pct"/>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第三次</w:t>
            </w:r>
          </w:p>
        </w:tc>
        <w:tc>
          <w:tcPr>
            <w:tcW w:w="600" w:type="pct"/>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第四次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669" w:type="pct"/>
            <w:vMerge w:val="restar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试采站外西侧</w:t>
            </w:r>
          </w:p>
        </w:tc>
        <w:tc>
          <w:tcPr>
            <w:tcW w:w="1121"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2024年1</w:t>
            </w:r>
            <w:r>
              <w:rPr>
                <w:color w:val="000000" w:themeColor="text1"/>
                <w:highlight w:val="none"/>
                <w14:textFill>
                  <w14:solidFill>
                    <w14:schemeClr w14:val="tx1"/>
                  </w14:solidFill>
                </w14:textFill>
              </w:rPr>
              <w:t>月</w:t>
            </w:r>
            <w:r>
              <w:rPr>
                <w:rFonts w:hint="eastAsia"/>
                <w:color w:val="000000" w:themeColor="text1"/>
                <w:highlight w:val="none"/>
                <w14:textFill>
                  <w14:solidFill>
                    <w14:schemeClr w14:val="tx1"/>
                  </w14:solidFill>
                </w14:textFill>
              </w:rPr>
              <w:t>28</w:t>
            </w:r>
            <w:r>
              <w:rPr>
                <w:color w:val="000000" w:themeColor="text1"/>
                <w:highlight w:val="none"/>
                <w14:textFill>
                  <w14:solidFill>
                    <w14:schemeClr w14:val="tx1"/>
                  </w14:solidFill>
                </w14:textFill>
              </w:rPr>
              <w:t>日</w:t>
            </w:r>
          </w:p>
        </w:tc>
        <w:tc>
          <w:tcPr>
            <w:tcW w:w="513" w:type="pct"/>
            <w:vMerge w:val="restar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非甲烷总烃</w:t>
            </w:r>
          </w:p>
        </w:tc>
        <w:tc>
          <w:tcPr>
            <w:tcW w:w="628"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0.46</w:t>
            </w:r>
          </w:p>
        </w:tc>
        <w:tc>
          <w:tcPr>
            <w:tcW w:w="870"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0.51</w:t>
            </w:r>
          </w:p>
        </w:tc>
        <w:tc>
          <w:tcPr>
            <w:tcW w:w="599"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0.49</w:t>
            </w:r>
          </w:p>
        </w:tc>
        <w:tc>
          <w:tcPr>
            <w:tcW w:w="600"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 w:hRule="atLeast"/>
          <w:jc w:val="center"/>
        </w:trPr>
        <w:tc>
          <w:tcPr>
            <w:tcW w:w="669" w:type="pct"/>
            <w:vMerge w:val="continue"/>
            <w:shd w:val="clear" w:color="auto" w:fill="auto"/>
            <w:vAlign w:val="center"/>
          </w:tcPr>
          <w:p>
            <w:pPr>
              <w:pStyle w:val="118"/>
              <w:rPr>
                <w:color w:val="000000" w:themeColor="text1"/>
                <w:highlight w:val="none"/>
                <w14:textFill>
                  <w14:solidFill>
                    <w14:schemeClr w14:val="tx1"/>
                  </w14:solidFill>
                </w14:textFill>
              </w:rPr>
            </w:pPr>
          </w:p>
        </w:tc>
        <w:tc>
          <w:tcPr>
            <w:tcW w:w="1121"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2024年1</w:t>
            </w:r>
            <w:r>
              <w:rPr>
                <w:color w:val="000000" w:themeColor="text1"/>
                <w:highlight w:val="none"/>
                <w14:textFill>
                  <w14:solidFill>
                    <w14:schemeClr w14:val="tx1"/>
                  </w14:solidFill>
                </w14:textFill>
              </w:rPr>
              <w:t>月</w:t>
            </w:r>
            <w:r>
              <w:rPr>
                <w:rFonts w:hint="eastAsia"/>
                <w:color w:val="000000" w:themeColor="text1"/>
                <w:highlight w:val="none"/>
                <w14:textFill>
                  <w14:solidFill>
                    <w14:schemeClr w14:val="tx1"/>
                  </w14:solidFill>
                </w14:textFill>
              </w:rPr>
              <w:t>29</w:t>
            </w:r>
            <w:r>
              <w:rPr>
                <w:color w:val="000000" w:themeColor="text1"/>
                <w:highlight w:val="none"/>
                <w14:textFill>
                  <w14:solidFill>
                    <w14:schemeClr w14:val="tx1"/>
                  </w14:solidFill>
                </w14:textFill>
              </w:rPr>
              <w:t>日</w:t>
            </w:r>
          </w:p>
        </w:tc>
        <w:tc>
          <w:tcPr>
            <w:tcW w:w="513" w:type="pct"/>
            <w:vMerge w:val="continue"/>
            <w:shd w:val="clear" w:color="auto" w:fill="auto"/>
            <w:vAlign w:val="center"/>
          </w:tcPr>
          <w:p>
            <w:pPr>
              <w:pStyle w:val="118"/>
              <w:rPr>
                <w:color w:val="000000" w:themeColor="text1"/>
                <w:highlight w:val="none"/>
                <w14:textFill>
                  <w14:solidFill>
                    <w14:schemeClr w14:val="tx1"/>
                  </w14:solidFill>
                </w14:textFill>
              </w:rPr>
            </w:pPr>
          </w:p>
        </w:tc>
        <w:tc>
          <w:tcPr>
            <w:tcW w:w="628"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0.50</w:t>
            </w:r>
          </w:p>
        </w:tc>
        <w:tc>
          <w:tcPr>
            <w:tcW w:w="870"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0.46</w:t>
            </w:r>
          </w:p>
        </w:tc>
        <w:tc>
          <w:tcPr>
            <w:tcW w:w="599"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0.47</w:t>
            </w:r>
          </w:p>
        </w:tc>
        <w:tc>
          <w:tcPr>
            <w:tcW w:w="600"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 w:hRule="atLeast"/>
          <w:jc w:val="center"/>
        </w:trPr>
        <w:tc>
          <w:tcPr>
            <w:tcW w:w="669" w:type="pct"/>
            <w:vMerge w:val="continue"/>
            <w:shd w:val="clear" w:color="auto" w:fill="auto"/>
            <w:vAlign w:val="center"/>
          </w:tcPr>
          <w:p>
            <w:pPr>
              <w:pStyle w:val="118"/>
              <w:rPr>
                <w:color w:val="000000" w:themeColor="text1"/>
                <w:highlight w:val="none"/>
                <w14:textFill>
                  <w14:solidFill>
                    <w14:schemeClr w14:val="tx1"/>
                  </w14:solidFill>
                </w14:textFill>
              </w:rPr>
            </w:pPr>
          </w:p>
        </w:tc>
        <w:tc>
          <w:tcPr>
            <w:tcW w:w="1121"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2024年1</w:t>
            </w:r>
            <w:r>
              <w:rPr>
                <w:color w:val="000000" w:themeColor="text1"/>
                <w:highlight w:val="none"/>
                <w14:textFill>
                  <w14:solidFill>
                    <w14:schemeClr w14:val="tx1"/>
                  </w14:solidFill>
                </w14:textFill>
              </w:rPr>
              <w:t>月</w:t>
            </w:r>
            <w:r>
              <w:rPr>
                <w:rFonts w:hint="eastAsia"/>
                <w:color w:val="000000" w:themeColor="text1"/>
                <w:highlight w:val="none"/>
                <w14:textFill>
                  <w14:solidFill>
                    <w14:schemeClr w14:val="tx1"/>
                  </w14:solidFill>
                </w14:textFill>
              </w:rPr>
              <w:t>30</w:t>
            </w:r>
            <w:r>
              <w:rPr>
                <w:color w:val="000000" w:themeColor="text1"/>
                <w:highlight w:val="none"/>
                <w14:textFill>
                  <w14:solidFill>
                    <w14:schemeClr w14:val="tx1"/>
                  </w14:solidFill>
                </w14:textFill>
              </w:rPr>
              <w:t>日</w:t>
            </w:r>
          </w:p>
        </w:tc>
        <w:tc>
          <w:tcPr>
            <w:tcW w:w="513" w:type="pct"/>
            <w:vMerge w:val="continue"/>
            <w:shd w:val="clear" w:color="auto" w:fill="auto"/>
            <w:vAlign w:val="center"/>
          </w:tcPr>
          <w:p>
            <w:pPr>
              <w:pStyle w:val="118"/>
              <w:rPr>
                <w:color w:val="000000" w:themeColor="text1"/>
                <w:highlight w:val="none"/>
                <w14:textFill>
                  <w14:solidFill>
                    <w14:schemeClr w14:val="tx1"/>
                  </w14:solidFill>
                </w14:textFill>
              </w:rPr>
            </w:pPr>
          </w:p>
        </w:tc>
        <w:tc>
          <w:tcPr>
            <w:tcW w:w="628"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0.39</w:t>
            </w:r>
          </w:p>
        </w:tc>
        <w:tc>
          <w:tcPr>
            <w:tcW w:w="870"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0.36</w:t>
            </w:r>
          </w:p>
        </w:tc>
        <w:tc>
          <w:tcPr>
            <w:tcW w:w="599"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0.38</w:t>
            </w:r>
          </w:p>
        </w:tc>
        <w:tc>
          <w:tcPr>
            <w:tcW w:w="600"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 w:hRule="atLeast"/>
          <w:jc w:val="center"/>
        </w:trPr>
        <w:tc>
          <w:tcPr>
            <w:tcW w:w="669" w:type="pct"/>
            <w:vMerge w:val="continue"/>
            <w:shd w:val="clear" w:color="auto" w:fill="auto"/>
            <w:vAlign w:val="center"/>
          </w:tcPr>
          <w:p>
            <w:pPr>
              <w:pStyle w:val="118"/>
              <w:rPr>
                <w:color w:val="000000" w:themeColor="text1"/>
                <w:highlight w:val="none"/>
                <w14:textFill>
                  <w14:solidFill>
                    <w14:schemeClr w14:val="tx1"/>
                  </w14:solidFill>
                </w14:textFill>
              </w:rPr>
            </w:pPr>
          </w:p>
        </w:tc>
        <w:tc>
          <w:tcPr>
            <w:tcW w:w="1121"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2024年1</w:t>
            </w:r>
            <w:r>
              <w:rPr>
                <w:color w:val="000000" w:themeColor="text1"/>
                <w:highlight w:val="none"/>
                <w14:textFill>
                  <w14:solidFill>
                    <w14:schemeClr w14:val="tx1"/>
                  </w14:solidFill>
                </w14:textFill>
              </w:rPr>
              <w:t>月</w:t>
            </w:r>
            <w:r>
              <w:rPr>
                <w:rFonts w:hint="eastAsia"/>
                <w:color w:val="000000" w:themeColor="text1"/>
                <w:highlight w:val="none"/>
                <w14:textFill>
                  <w14:solidFill>
                    <w14:schemeClr w14:val="tx1"/>
                  </w14:solidFill>
                </w14:textFill>
              </w:rPr>
              <w:t>31</w:t>
            </w:r>
            <w:r>
              <w:rPr>
                <w:color w:val="000000" w:themeColor="text1"/>
                <w:highlight w:val="none"/>
                <w14:textFill>
                  <w14:solidFill>
                    <w14:schemeClr w14:val="tx1"/>
                  </w14:solidFill>
                </w14:textFill>
              </w:rPr>
              <w:t>日</w:t>
            </w:r>
          </w:p>
        </w:tc>
        <w:tc>
          <w:tcPr>
            <w:tcW w:w="513" w:type="pct"/>
            <w:vMerge w:val="continue"/>
            <w:shd w:val="clear" w:color="auto" w:fill="auto"/>
            <w:vAlign w:val="center"/>
          </w:tcPr>
          <w:p>
            <w:pPr>
              <w:pStyle w:val="118"/>
              <w:rPr>
                <w:color w:val="000000" w:themeColor="text1"/>
                <w:highlight w:val="none"/>
                <w14:textFill>
                  <w14:solidFill>
                    <w14:schemeClr w14:val="tx1"/>
                  </w14:solidFill>
                </w14:textFill>
              </w:rPr>
            </w:pPr>
          </w:p>
        </w:tc>
        <w:tc>
          <w:tcPr>
            <w:tcW w:w="628"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0.38</w:t>
            </w:r>
          </w:p>
        </w:tc>
        <w:tc>
          <w:tcPr>
            <w:tcW w:w="870"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0.42</w:t>
            </w:r>
          </w:p>
        </w:tc>
        <w:tc>
          <w:tcPr>
            <w:tcW w:w="599"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0.41</w:t>
            </w:r>
          </w:p>
        </w:tc>
        <w:tc>
          <w:tcPr>
            <w:tcW w:w="600"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 w:hRule="atLeast"/>
          <w:jc w:val="center"/>
        </w:trPr>
        <w:tc>
          <w:tcPr>
            <w:tcW w:w="669" w:type="pct"/>
            <w:vMerge w:val="continue"/>
            <w:shd w:val="clear" w:color="auto" w:fill="auto"/>
            <w:vAlign w:val="center"/>
          </w:tcPr>
          <w:p>
            <w:pPr>
              <w:pStyle w:val="118"/>
              <w:rPr>
                <w:color w:val="000000" w:themeColor="text1"/>
                <w:highlight w:val="none"/>
                <w14:textFill>
                  <w14:solidFill>
                    <w14:schemeClr w14:val="tx1"/>
                  </w14:solidFill>
                </w14:textFill>
              </w:rPr>
            </w:pPr>
          </w:p>
        </w:tc>
        <w:tc>
          <w:tcPr>
            <w:tcW w:w="1121"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2024年2</w:t>
            </w:r>
            <w:r>
              <w:rPr>
                <w:color w:val="000000" w:themeColor="text1"/>
                <w:highlight w:val="none"/>
                <w14:textFill>
                  <w14:solidFill>
                    <w14:schemeClr w14:val="tx1"/>
                  </w14:solidFill>
                </w14:textFill>
              </w:rPr>
              <w:t>月</w:t>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日</w:t>
            </w:r>
          </w:p>
        </w:tc>
        <w:tc>
          <w:tcPr>
            <w:tcW w:w="513" w:type="pct"/>
            <w:vMerge w:val="continue"/>
            <w:shd w:val="clear" w:color="auto" w:fill="auto"/>
            <w:vAlign w:val="center"/>
          </w:tcPr>
          <w:p>
            <w:pPr>
              <w:pStyle w:val="118"/>
              <w:rPr>
                <w:color w:val="000000" w:themeColor="text1"/>
                <w:highlight w:val="none"/>
                <w14:textFill>
                  <w14:solidFill>
                    <w14:schemeClr w14:val="tx1"/>
                  </w14:solidFill>
                </w14:textFill>
              </w:rPr>
            </w:pPr>
          </w:p>
        </w:tc>
        <w:tc>
          <w:tcPr>
            <w:tcW w:w="628"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0.40</w:t>
            </w:r>
          </w:p>
        </w:tc>
        <w:tc>
          <w:tcPr>
            <w:tcW w:w="870"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0.37</w:t>
            </w:r>
          </w:p>
        </w:tc>
        <w:tc>
          <w:tcPr>
            <w:tcW w:w="599"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0.49</w:t>
            </w:r>
          </w:p>
        </w:tc>
        <w:tc>
          <w:tcPr>
            <w:tcW w:w="600"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 w:hRule="atLeast"/>
          <w:jc w:val="center"/>
        </w:trPr>
        <w:tc>
          <w:tcPr>
            <w:tcW w:w="669" w:type="pct"/>
            <w:vMerge w:val="continue"/>
            <w:shd w:val="clear" w:color="auto" w:fill="auto"/>
            <w:vAlign w:val="center"/>
          </w:tcPr>
          <w:p>
            <w:pPr>
              <w:pStyle w:val="118"/>
              <w:rPr>
                <w:color w:val="000000" w:themeColor="text1"/>
                <w:highlight w:val="none"/>
                <w14:textFill>
                  <w14:solidFill>
                    <w14:schemeClr w14:val="tx1"/>
                  </w14:solidFill>
                </w14:textFill>
              </w:rPr>
            </w:pPr>
          </w:p>
        </w:tc>
        <w:tc>
          <w:tcPr>
            <w:tcW w:w="1121"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2024年2</w:t>
            </w:r>
            <w:r>
              <w:rPr>
                <w:color w:val="000000" w:themeColor="text1"/>
                <w:highlight w:val="none"/>
                <w14:textFill>
                  <w14:solidFill>
                    <w14:schemeClr w14:val="tx1"/>
                  </w14:solidFill>
                </w14:textFill>
              </w:rPr>
              <w:t>月</w:t>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日</w:t>
            </w:r>
          </w:p>
        </w:tc>
        <w:tc>
          <w:tcPr>
            <w:tcW w:w="513" w:type="pct"/>
            <w:vMerge w:val="continue"/>
            <w:shd w:val="clear" w:color="auto" w:fill="auto"/>
            <w:vAlign w:val="center"/>
          </w:tcPr>
          <w:p>
            <w:pPr>
              <w:pStyle w:val="118"/>
              <w:rPr>
                <w:color w:val="000000" w:themeColor="text1"/>
                <w:highlight w:val="none"/>
                <w14:textFill>
                  <w14:solidFill>
                    <w14:schemeClr w14:val="tx1"/>
                  </w14:solidFill>
                </w14:textFill>
              </w:rPr>
            </w:pPr>
          </w:p>
        </w:tc>
        <w:tc>
          <w:tcPr>
            <w:tcW w:w="628"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0.60</w:t>
            </w:r>
          </w:p>
        </w:tc>
        <w:tc>
          <w:tcPr>
            <w:tcW w:w="870"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0.40</w:t>
            </w:r>
          </w:p>
        </w:tc>
        <w:tc>
          <w:tcPr>
            <w:tcW w:w="599"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0.33</w:t>
            </w:r>
          </w:p>
        </w:tc>
        <w:tc>
          <w:tcPr>
            <w:tcW w:w="600"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669" w:type="pct"/>
            <w:vMerge w:val="continue"/>
            <w:shd w:val="clear" w:color="auto" w:fill="auto"/>
            <w:vAlign w:val="center"/>
          </w:tcPr>
          <w:p>
            <w:pPr>
              <w:pStyle w:val="118"/>
              <w:rPr>
                <w:color w:val="000000" w:themeColor="text1"/>
                <w:highlight w:val="none"/>
                <w14:textFill>
                  <w14:solidFill>
                    <w14:schemeClr w14:val="tx1"/>
                  </w14:solidFill>
                </w14:textFill>
              </w:rPr>
            </w:pPr>
          </w:p>
        </w:tc>
        <w:tc>
          <w:tcPr>
            <w:tcW w:w="1121"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2024年2</w:t>
            </w:r>
            <w:r>
              <w:rPr>
                <w:color w:val="000000" w:themeColor="text1"/>
                <w:highlight w:val="none"/>
                <w14:textFill>
                  <w14:solidFill>
                    <w14:schemeClr w14:val="tx1"/>
                  </w14:solidFill>
                </w14:textFill>
              </w:rPr>
              <w:t>月</w:t>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日</w:t>
            </w:r>
          </w:p>
        </w:tc>
        <w:tc>
          <w:tcPr>
            <w:tcW w:w="513" w:type="pct"/>
            <w:vMerge w:val="continue"/>
            <w:shd w:val="clear" w:color="auto" w:fill="auto"/>
            <w:vAlign w:val="center"/>
          </w:tcPr>
          <w:p>
            <w:pPr>
              <w:pStyle w:val="118"/>
              <w:rPr>
                <w:color w:val="000000" w:themeColor="text1"/>
                <w:highlight w:val="none"/>
                <w14:textFill>
                  <w14:solidFill>
                    <w14:schemeClr w14:val="tx1"/>
                  </w14:solidFill>
                </w14:textFill>
              </w:rPr>
            </w:pPr>
          </w:p>
        </w:tc>
        <w:tc>
          <w:tcPr>
            <w:tcW w:w="628"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0.36</w:t>
            </w:r>
          </w:p>
        </w:tc>
        <w:tc>
          <w:tcPr>
            <w:tcW w:w="870"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0.37</w:t>
            </w:r>
          </w:p>
        </w:tc>
        <w:tc>
          <w:tcPr>
            <w:tcW w:w="599"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0.40</w:t>
            </w:r>
          </w:p>
        </w:tc>
        <w:tc>
          <w:tcPr>
            <w:tcW w:w="600"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0.37</w:t>
            </w:r>
          </w:p>
        </w:tc>
      </w:tr>
    </w:tbl>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环境空气质量现状监测结果</w:t>
      </w:r>
      <w:r>
        <w:rPr>
          <w:color w:val="000000" w:themeColor="text1"/>
          <w:highlight w:val="none"/>
          <w14:textFill>
            <w14:solidFill>
              <w14:schemeClr w14:val="tx1"/>
            </w14:solidFill>
          </w14:textFill>
        </w:rPr>
        <w:t>单位：</w:t>
      </w:r>
      <w:r>
        <w:rPr>
          <w:rFonts w:hint="eastAsia"/>
          <w:color w:val="000000" w:themeColor="text1"/>
          <w:highlight w:val="none"/>
          <w14:textFill>
            <w14:solidFill>
              <w14:schemeClr w14:val="tx1"/>
            </w14:solidFill>
          </w14:textFill>
        </w:rPr>
        <w:t>μ</w:t>
      </w:r>
      <w:r>
        <w:rPr>
          <w:color w:val="000000" w:themeColor="text1"/>
          <w:highlight w:val="none"/>
          <w14:textFill>
            <w14:solidFill>
              <w14:schemeClr w14:val="tx1"/>
            </w14:solidFill>
          </w14:textFill>
        </w:rPr>
        <w:t>g/m</w:t>
      </w:r>
      <w:r>
        <w:rPr>
          <w:color w:val="000000" w:themeColor="text1"/>
          <w:highlight w:val="none"/>
          <w:vertAlign w:val="superscript"/>
          <w14:textFill>
            <w14:solidFill>
              <w14:schemeClr w14:val="tx1"/>
            </w14:solidFill>
          </w14:textFill>
        </w:rPr>
        <w:t>3</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9"/>
        <w:gridCol w:w="5099"/>
        <w:gridCol w:w="1020"/>
        <w:gridCol w:w="12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4" w:hRule="atLeast"/>
          <w:tblHeader/>
          <w:jc w:val="center"/>
        </w:trPr>
        <w:tc>
          <w:tcPr>
            <w:tcW w:w="680" w:type="pct"/>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监测点位</w:t>
            </w:r>
          </w:p>
        </w:tc>
        <w:tc>
          <w:tcPr>
            <w:tcW w:w="2990" w:type="pct"/>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监测日期</w:t>
            </w:r>
          </w:p>
        </w:tc>
        <w:tc>
          <w:tcPr>
            <w:tcW w:w="598" w:type="pct"/>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项目</w:t>
            </w:r>
          </w:p>
        </w:tc>
        <w:tc>
          <w:tcPr>
            <w:tcW w:w="732" w:type="pct"/>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监测结果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680" w:type="pct"/>
            <w:vMerge w:val="restar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试采站外西侧</w:t>
            </w:r>
          </w:p>
        </w:tc>
        <w:tc>
          <w:tcPr>
            <w:tcW w:w="2990"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2024年1</w:t>
            </w:r>
            <w:r>
              <w:rPr>
                <w:color w:val="000000" w:themeColor="text1"/>
                <w:highlight w:val="none"/>
                <w14:textFill>
                  <w14:solidFill>
                    <w14:schemeClr w14:val="tx1"/>
                  </w14:solidFill>
                </w14:textFill>
              </w:rPr>
              <w:t>月</w:t>
            </w:r>
            <w:r>
              <w:rPr>
                <w:rFonts w:hint="eastAsia"/>
                <w:color w:val="000000" w:themeColor="text1"/>
                <w:highlight w:val="none"/>
                <w14:textFill>
                  <w14:solidFill>
                    <w14:schemeClr w14:val="tx1"/>
                  </w14:solidFill>
                </w14:textFill>
              </w:rPr>
              <w:t>28</w:t>
            </w:r>
            <w:r>
              <w:rPr>
                <w:color w:val="000000" w:themeColor="text1"/>
                <w:highlight w:val="none"/>
                <w14:textFill>
                  <w14:solidFill>
                    <w14:schemeClr w14:val="tx1"/>
                  </w14:solidFill>
                </w14:textFill>
              </w:rPr>
              <w:t>日</w:t>
            </w:r>
            <w:r>
              <w:rPr>
                <w:rFonts w:hint="eastAsia"/>
                <w:color w:val="000000" w:themeColor="text1"/>
                <w:highlight w:val="none"/>
                <w14:textFill>
                  <w14:solidFill>
                    <w14:schemeClr w14:val="tx1"/>
                  </w14:solidFill>
                </w14:textFill>
              </w:rPr>
              <w:t>12</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30～2024年1</w:t>
            </w:r>
            <w:r>
              <w:rPr>
                <w:color w:val="000000" w:themeColor="text1"/>
                <w:highlight w:val="none"/>
                <w14:textFill>
                  <w14:solidFill>
                    <w14:schemeClr w14:val="tx1"/>
                  </w14:solidFill>
                </w14:textFill>
              </w:rPr>
              <w:t>月</w:t>
            </w:r>
            <w:r>
              <w:rPr>
                <w:rFonts w:hint="eastAsia"/>
                <w:color w:val="000000" w:themeColor="text1"/>
                <w:highlight w:val="none"/>
                <w14:textFill>
                  <w14:solidFill>
                    <w14:schemeClr w14:val="tx1"/>
                  </w14:solidFill>
                </w14:textFill>
              </w:rPr>
              <w:t>29</w:t>
            </w:r>
            <w:r>
              <w:rPr>
                <w:color w:val="000000" w:themeColor="text1"/>
                <w:highlight w:val="none"/>
                <w14:textFill>
                  <w14:solidFill>
                    <w14:schemeClr w14:val="tx1"/>
                  </w14:solidFill>
                </w14:textFill>
              </w:rPr>
              <w:t>日</w:t>
            </w:r>
            <w:r>
              <w:rPr>
                <w:rFonts w:hint="eastAsia"/>
                <w:color w:val="000000" w:themeColor="text1"/>
                <w:highlight w:val="none"/>
                <w14:textFill>
                  <w14:solidFill>
                    <w14:schemeClr w14:val="tx1"/>
                  </w14:solidFill>
                </w14:textFill>
              </w:rPr>
              <w:t>12</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30</w:t>
            </w:r>
          </w:p>
        </w:tc>
        <w:tc>
          <w:tcPr>
            <w:tcW w:w="598" w:type="pct"/>
            <w:vMerge w:val="restar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总悬浮颗粒物</w:t>
            </w:r>
          </w:p>
        </w:tc>
        <w:tc>
          <w:tcPr>
            <w:tcW w:w="732"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680" w:type="pct"/>
            <w:vMerge w:val="continue"/>
            <w:shd w:val="clear" w:color="auto" w:fill="auto"/>
            <w:vAlign w:val="center"/>
          </w:tcPr>
          <w:p>
            <w:pPr>
              <w:pStyle w:val="118"/>
              <w:rPr>
                <w:color w:val="000000" w:themeColor="text1"/>
                <w:highlight w:val="none"/>
                <w14:textFill>
                  <w14:solidFill>
                    <w14:schemeClr w14:val="tx1"/>
                  </w14:solidFill>
                </w14:textFill>
              </w:rPr>
            </w:pPr>
          </w:p>
        </w:tc>
        <w:tc>
          <w:tcPr>
            <w:tcW w:w="2990"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2024年1</w:t>
            </w:r>
            <w:r>
              <w:rPr>
                <w:color w:val="000000" w:themeColor="text1"/>
                <w:highlight w:val="none"/>
                <w14:textFill>
                  <w14:solidFill>
                    <w14:schemeClr w14:val="tx1"/>
                  </w14:solidFill>
                </w14:textFill>
              </w:rPr>
              <w:t>月</w:t>
            </w:r>
            <w:r>
              <w:rPr>
                <w:rFonts w:hint="eastAsia"/>
                <w:color w:val="000000" w:themeColor="text1"/>
                <w:highlight w:val="none"/>
                <w14:textFill>
                  <w14:solidFill>
                    <w14:schemeClr w14:val="tx1"/>
                  </w14:solidFill>
                </w14:textFill>
              </w:rPr>
              <w:t>29</w:t>
            </w:r>
            <w:r>
              <w:rPr>
                <w:color w:val="000000" w:themeColor="text1"/>
                <w:highlight w:val="none"/>
                <w14:textFill>
                  <w14:solidFill>
                    <w14:schemeClr w14:val="tx1"/>
                  </w14:solidFill>
                </w14:textFill>
              </w:rPr>
              <w:t>日</w:t>
            </w:r>
            <w:r>
              <w:rPr>
                <w:rFonts w:hint="eastAsia"/>
                <w:color w:val="000000" w:themeColor="text1"/>
                <w:highlight w:val="none"/>
                <w14:textFill>
                  <w14:solidFill>
                    <w14:schemeClr w14:val="tx1"/>
                  </w14:solidFill>
                </w14:textFill>
              </w:rPr>
              <w:t>12</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31～2024年1</w:t>
            </w:r>
            <w:r>
              <w:rPr>
                <w:color w:val="000000" w:themeColor="text1"/>
                <w:highlight w:val="none"/>
                <w14:textFill>
                  <w14:solidFill>
                    <w14:schemeClr w14:val="tx1"/>
                  </w14:solidFill>
                </w14:textFill>
              </w:rPr>
              <w:t>月</w:t>
            </w:r>
            <w:r>
              <w:rPr>
                <w:rFonts w:hint="eastAsia"/>
                <w:color w:val="000000" w:themeColor="text1"/>
                <w:highlight w:val="none"/>
                <w14:textFill>
                  <w14:solidFill>
                    <w14:schemeClr w14:val="tx1"/>
                  </w14:solidFill>
                </w14:textFill>
              </w:rPr>
              <w:t>30</w:t>
            </w:r>
            <w:r>
              <w:rPr>
                <w:color w:val="000000" w:themeColor="text1"/>
                <w:highlight w:val="none"/>
                <w14:textFill>
                  <w14:solidFill>
                    <w14:schemeClr w14:val="tx1"/>
                  </w14:solidFill>
                </w14:textFill>
              </w:rPr>
              <w:t>日</w:t>
            </w:r>
            <w:r>
              <w:rPr>
                <w:rFonts w:hint="eastAsia"/>
                <w:color w:val="000000" w:themeColor="text1"/>
                <w:highlight w:val="none"/>
                <w14:textFill>
                  <w14:solidFill>
                    <w14:schemeClr w14:val="tx1"/>
                  </w14:solidFill>
                </w14:textFill>
              </w:rPr>
              <w:t>12</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31</w:t>
            </w:r>
          </w:p>
        </w:tc>
        <w:tc>
          <w:tcPr>
            <w:tcW w:w="598" w:type="pct"/>
            <w:vMerge w:val="continue"/>
            <w:shd w:val="clear" w:color="auto" w:fill="auto"/>
            <w:vAlign w:val="center"/>
          </w:tcPr>
          <w:p>
            <w:pPr>
              <w:pStyle w:val="118"/>
              <w:rPr>
                <w:color w:val="000000" w:themeColor="text1"/>
                <w:highlight w:val="none"/>
                <w14:textFill>
                  <w14:solidFill>
                    <w14:schemeClr w14:val="tx1"/>
                  </w14:solidFill>
                </w14:textFill>
              </w:rPr>
            </w:pPr>
          </w:p>
        </w:tc>
        <w:tc>
          <w:tcPr>
            <w:tcW w:w="732"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680" w:type="pct"/>
            <w:vMerge w:val="continue"/>
            <w:shd w:val="clear" w:color="auto" w:fill="auto"/>
            <w:vAlign w:val="center"/>
          </w:tcPr>
          <w:p>
            <w:pPr>
              <w:pStyle w:val="118"/>
              <w:rPr>
                <w:color w:val="000000" w:themeColor="text1"/>
                <w:highlight w:val="none"/>
                <w14:textFill>
                  <w14:solidFill>
                    <w14:schemeClr w14:val="tx1"/>
                  </w14:solidFill>
                </w14:textFill>
              </w:rPr>
            </w:pPr>
          </w:p>
        </w:tc>
        <w:tc>
          <w:tcPr>
            <w:tcW w:w="2990"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2024年1</w:t>
            </w:r>
            <w:r>
              <w:rPr>
                <w:color w:val="000000" w:themeColor="text1"/>
                <w:highlight w:val="none"/>
                <w14:textFill>
                  <w14:solidFill>
                    <w14:schemeClr w14:val="tx1"/>
                  </w14:solidFill>
                </w14:textFill>
              </w:rPr>
              <w:t>月</w:t>
            </w:r>
            <w:r>
              <w:rPr>
                <w:rFonts w:hint="eastAsia"/>
                <w:color w:val="000000" w:themeColor="text1"/>
                <w:highlight w:val="none"/>
                <w14:textFill>
                  <w14:solidFill>
                    <w14:schemeClr w14:val="tx1"/>
                  </w14:solidFill>
                </w14:textFill>
              </w:rPr>
              <w:t>30</w:t>
            </w:r>
            <w:r>
              <w:rPr>
                <w:color w:val="000000" w:themeColor="text1"/>
                <w:highlight w:val="none"/>
                <w14:textFill>
                  <w14:solidFill>
                    <w14:schemeClr w14:val="tx1"/>
                  </w14:solidFill>
                </w14:textFill>
              </w:rPr>
              <w:t>日</w:t>
            </w:r>
            <w:r>
              <w:rPr>
                <w:rFonts w:hint="eastAsia"/>
                <w:color w:val="000000" w:themeColor="text1"/>
                <w:highlight w:val="none"/>
                <w14:textFill>
                  <w14:solidFill>
                    <w14:schemeClr w14:val="tx1"/>
                  </w14:solidFill>
                </w14:textFill>
              </w:rPr>
              <w:t>12</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32～2024年1</w:t>
            </w:r>
            <w:r>
              <w:rPr>
                <w:color w:val="000000" w:themeColor="text1"/>
                <w:highlight w:val="none"/>
                <w14:textFill>
                  <w14:solidFill>
                    <w14:schemeClr w14:val="tx1"/>
                  </w14:solidFill>
                </w14:textFill>
              </w:rPr>
              <w:t>月</w:t>
            </w:r>
            <w:r>
              <w:rPr>
                <w:rFonts w:hint="eastAsia"/>
                <w:color w:val="000000" w:themeColor="text1"/>
                <w:highlight w:val="none"/>
                <w14:textFill>
                  <w14:solidFill>
                    <w14:schemeClr w14:val="tx1"/>
                  </w14:solidFill>
                </w14:textFill>
              </w:rPr>
              <w:t>31</w:t>
            </w:r>
            <w:r>
              <w:rPr>
                <w:color w:val="000000" w:themeColor="text1"/>
                <w:highlight w:val="none"/>
                <w14:textFill>
                  <w14:solidFill>
                    <w14:schemeClr w14:val="tx1"/>
                  </w14:solidFill>
                </w14:textFill>
              </w:rPr>
              <w:t>日</w:t>
            </w:r>
            <w:r>
              <w:rPr>
                <w:rFonts w:hint="eastAsia"/>
                <w:color w:val="000000" w:themeColor="text1"/>
                <w:highlight w:val="none"/>
                <w14:textFill>
                  <w14:solidFill>
                    <w14:schemeClr w14:val="tx1"/>
                  </w14:solidFill>
                </w14:textFill>
              </w:rPr>
              <w:t>12</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32</w:t>
            </w:r>
          </w:p>
        </w:tc>
        <w:tc>
          <w:tcPr>
            <w:tcW w:w="598" w:type="pct"/>
            <w:vMerge w:val="continue"/>
            <w:shd w:val="clear" w:color="auto" w:fill="auto"/>
            <w:vAlign w:val="center"/>
          </w:tcPr>
          <w:p>
            <w:pPr>
              <w:pStyle w:val="118"/>
              <w:rPr>
                <w:color w:val="000000" w:themeColor="text1"/>
                <w:highlight w:val="none"/>
                <w14:textFill>
                  <w14:solidFill>
                    <w14:schemeClr w14:val="tx1"/>
                  </w14:solidFill>
                </w14:textFill>
              </w:rPr>
            </w:pPr>
          </w:p>
        </w:tc>
        <w:tc>
          <w:tcPr>
            <w:tcW w:w="732"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680" w:type="pct"/>
            <w:vMerge w:val="continue"/>
            <w:shd w:val="clear" w:color="auto" w:fill="auto"/>
            <w:vAlign w:val="center"/>
          </w:tcPr>
          <w:p>
            <w:pPr>
              <w:pStyle w:val="118"/>
              <w:rPr>
                <w:color w:val="000000" w:themeColor="text1"/>
                <w:highlight w:val="none"/>
                <w14:textFill>
                  <w14:solidFill>
                    <w14:schemeClr w14:val="tx1"/>
                  </w14:solidFill>
                </w14:textFill>
              </w:rPr>
            </w:pPr>
          </w:p>
        </w:tc>
        <w:tc>
          <w:tcPr>
            <w:tcW w:w="2990"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2024年1</w:t>
            </w:r>
            <w:r>
              <w:rPr>
                <w:color w:val="000000" w:themeColor="text1"/>
                <w:highlight w:val="none"/>
                <w14:textFill>
                  <w14:solidFill>
                    <w14:schemeClr w14:val="tx1"/>
                  </w14:solidFill>
                </w14:textFill>
              </w:rPr>
              <w:t>月</w:t>
            </w:r>
            <w:r>
              <w:rPr>
                <w:rFonts w:hint="eastAsia"/>
                <w:color w:val="000000" w:themeColor="text1"/>
                <w:highlight w:val="none"/>
                <w14:textFill>
                  <w14:solidFill>
                    <w14:schemeClr w14:val="tx1"/>
                  </w14:solidFill>
                </w14:textFill>
              </w:rPr>
              <w:t>31</w:t>
            </w:r>
            <w:r>
              <w:rPr>
                <w:color w:val="000000" w:themeColor="text1"/>
                <w:highlight w:val="none"/>
                <w14:textFill>
                  <w14:solidFill>
                    <w14:schemeClr w14:val="tx1"/>
                  </w14:solidFill>
                </w14:textFill>
              </w:rPr>
              <w:t>日</w:t>
            </w:r>
            <w:r>
              <w:rPr>
                <w:rFonts w:hint="eastAsia"/>
                <w:color w:val="000000" w:themeColor="text1"/>
                <w:highlight w:val="none"/>
                <w14:textFill>
                  <w14:solidFill>
                    <w14:schemeClr w14:val="tx1"/>
                  </w14:solidFill>
                </w14:textFill>
              </w:rPr>
              <w:t>12</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33～2024年2</w:t>
            </w:r>
            <w:r>
              <w:rPr>
                <w:color w:val="000000" w:themeColor="text1"/>
                <w:highlight w:val="none"/>
                <w14:textFill>
                  <w14:solidFill>
                    <w14:schemeClr w14:val="tx1"/>
                  </w14:solidFill>
                </w14:textFill>
              </w:rPr>
              <w:t>月</w:t>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日</w:t>
            </w:r>
            <w:r>
              <w:rPr>
                <w:rFonts w:hint="eastAsia"/>
                <w:color w:val="000000" w:themeColor="text1"/>
                <w:highlight w:val="none"/>
                <w14:textFill>
                  <w14:solidFill>
                    <w14:schemeClr w14:val="tx1"/>
                  </w14:solidFill>
                </w14:textFill>
              </w:rPr>
              <w:t>12</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33</w:t>
            </w:r>
          </w:p>
        </w:tc>
        <w:tc>
          <w:tcPr>
            <w:tcW w:w="598" w:type="pct"/>
            <w:vMerge w:val="continue"/>
            <w:shd w:val="clear" w:color="auto" w:fill="auto"/>
            <w:vAlign w:val="center"/>
          </w:tcPr>
          <w:p>
            <w:pPr>
              <w:pStyle w:val="118"/>
              <w:rPr>
                <w:color w:val="000000" w:themeColor="text1"/>
                <w:highlight w:val="none"/>
                <w14:textFill>
                  <w14:solidFill>
                    <w14:schemeClr w14:val="tx1"/>
                  </w14:solidFill>
                </w14:textFill>
              </w:rPr>
            </w:pPr>
          </w:p>
        </w:tc>
        <w:tc>
          <w:tcPr>
            <w:tcW w:w="732"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680" w:type="pct"/>
            <w:vMerge w:val="continue"/>
            <w:shd w:val="clear" w:color="auto" w:fill="auto"/>
            <w:vAlign w:val="center"/>
          </w:tcPr>
          <w:p>
            <w:pPr>
              <w:pStyle w:val="118"/>
              <w:rPr>
                <w:color w:val="000000" w:themeColor="text1"/>
                <w:highlight w:val="none"/>
                <w14:textFill>
                  <w14:solidFill>
                    <w14:schemeClr w14:val="tx1"/>
                  </w14:solidFill>
                </w14:textFill>
              </w:rPr>
            </w:pPr>
          </w:p>
        </w:tc>
        <w:tc>
          <w:tcPr>
            <w:tcW w:w="2990"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2024年2</w:t>
            </w:r>
            <w:r>
              <w:rPr>
                <w:color w:val="000000" w:themeColor="text1"/>
                <w:highlight w:val="none"/>
                <w14:textFill>
                  <w14:solidFill>
                    <w14:schemeClr w14:val="tx1"/>
                  </w14:solidFill>
                </w14:textFill>
              </w:rPr>
              <w:t>月</w:t>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日</w:t>
            </w:r>
            <w:r>
              <w:rPr>
                <w:rFonts w:hint="eastAsia"/>
                <w:color w:val="000000" w:themeColor="text1"/>
                <w:highlight w:val="none"/>
                <w14:textFill>
                  <w14:solidFill>
                    <w14:schemeClr w14:val="tx1"/>
                  </w14:solidFill>
                </w14:textFill>
              </w:rPr>
              <w:t>12</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34～2024年2</w:t>
            </w:r>
            <w:r>
              <w:rPr>
                <w:color w:val="000000" w:themeColor="text1"/>
                <w:highlight w:val="none"/>
                <w14:textFill>
                  <w14:solidFill>
                    <w14:schemeClr w14:val="tx1"/>
                  </w14:solidFill>
                </w14:textFill>
              </w:rPr>
              <w:t>月</w:t>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日</w:t>
            </w:r>
            <w:r>
              <w:rPr>
                <w:rFonts w:hint="eastAsia"/>
                <w:color w:val="000000" w:themeColor="text1"/>
                <w:highlight w:val="none"/>
                <w14:textFill>
                  <w14:solidFill>
                    <w14:schemeClr w14:val="tx1"/>
                  </w14:solidFill>
                </w14:textFill>
              </w:rPr>
              <w:t>12</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34</w:t>
            </w:r>
          </w:p>
        </w:tc>
        <w:tc>
          <w:tcPr>
            <w:tcW w:w="598" w:type="pct"/>
            <w:vMerge w:val="continue"/>
            <w:shd w:val="clear" w:color="auto" w:fill="auto"/>
            <w:vAlign w:val="center"/>
          </w:tcPr>
          <w:p>
            <w:pPr>
              <w:pStyle w:val="118"/>
              <w:rPr>
                <w:color w:val="000000" w:themeColor="text1"/>
                <w:highlight w:val="none"/>
                <w14:textFill>
                  <w14:solidFill>
                    <w14:schemeClr w14:val="tx1"/>
                  </w14:solidFill>
                </w14:textFill>
              </w:rPr>
            </w:pPr>
          </w:p>
        </w:tc>
        <w:tc>
          <w:tcPr>
            <w:tcW w:w="732"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680" w:type="pct"/>
            <w:vMerge w:val="continue"/>
            <w:shd w:val="clear" w:color="auto" w:fill="auto"/>
            <w:vAlign w:val="center"/>
          </w:tcPr>
          <w:p>
            <w:pPr>
              <w:pStyle w:val="118"/>
              <w:rPr>
                <w:color w:val="000000" w:themeColor="text1"/>
                <w:highlight w:val="none"/>
                <w14:textFill>
                  <w14:solidFill>
                    <w14:schemeClr w14:val="tx1"/>
                  </w14:solidFill>
                </w14:textFill>
              </w:rPr>
            </w:pPr>
          </w:p>
        </w:tc>
        <w:tc>
          <w:tcPr>
            <w:tcW w:w="2990"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2024年2</w:t>
            </w:r>
            <w:r>
              <w:rPr>
                <w:color w:val="000000" w:themeColor="text1"/>
                <w:highlight w:val="none"/>
                <w14:textFill>
                  <w14:solidFill>
                    <w14:schemeClr w14:val="tx1"/>
                  </w14:solidFill>
                </w14:textFill>
              </w:rPr>
              <w:t>月</w:t>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日</w:t>
            </w:r>
            <w:r>
              <w:rPr>
                <w:rFonts w:hint="eastAsia"/>
                <w:color w:val="000000" w:themeColor="text1"/>
                <w:highlight w:val="none"/>
                <w14:textFill>
                  <w14:solidFill>
                    <w14:schemeClr w14:val="tx1"/>
                  </w14:solidFill>
                </w14:textFill>
              </w:rPr>
              <w:t>12</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35～2024年2</w:t>
            </w:r>
            <w:r>
              <w:rPr>
                <w:color w:val="000000" w:themeColor="text1"/>
                <w:highlight w:val="none"/>
                <w14:textFill>
                  <w14:solidFill>
                    <w14:schemeClr w14:val="tx1"/>
                  </w14:solidFill>
                </w14:textFill>
              </w:rPr>
              <w:t>月</w:t>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日</w:t>
            </w:r>
            <w:r>
              <w:rPr>
                <w:rFonts w:hint="eastAsia"/>
                <w:color w:val="000000" w:themeColor="text1"/>
                <w:highlight w:val="none"/>
                <w14:textFill>
                  <w14:solidFill>
                    <w14:schemeClr w14:val="tx1"/>
                  </w14:solidFill>
                </w14:textFill>
              </w:rPr>
              <w:t>12</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35</w:t>
            </w:r>
          </w:p>
        </w:tc>
        <w:tc>
          <w:tcPr>
            <w:tcW w:w="598" w:type="pct"/>
            <w:vMerge w:val="continue"/>
            <w:shd w:val="clear" w:color="auto" w:fill="auto"/>
            <w:vAlign w:val="center"/>
          </w:tcPr>
          <w:p>
            <w:pPr>
              <w:pStyle w:val="118"/>
              <w:rPr>
                <w:color w:val="000000" w:themeColor="text1"/>
                <w:highlight w:val="none"/>
                <w14:textFill>
                  <w14:solidFill>
                    <w14:schemeClr w14:val="tx1"/>
                  </w14:solidFill>
                </w14:textFill>
              </w:rPr>
            </w:pPr>
          </w:p>
        </w:tc>
        <w:tc>
          <w:tcPr>
            <w:tcW w:w="732"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680" w:type="pct"/>
            <w:vMerge w:val="continue"/>
            <w:shd w:val="clear" w:color="auto" w:fill="auto"/>
            <w:vAlign w:val="center"/>
          </w:tcPr>
          <w:p>
            <w:pPr>
              <w:pStyle w:val="118"/>
              <w:rPr>
                <w:color w:val="000000" w:themeColor="text1"/>
                <w:highlight w:val="none"/>
                <w14:textFill>
                  <w14:solidFill>
                    <w14:schemeClr w14:val="tx1"/>
                  </w14:solidFill>
                </w14:textFill>
              </w:rPr>
            </w:pPr>
          </w:p>
        </w:tc>
        <w:tc>
          <w:tcPr>
            <w:tcW w:w="2990"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2024年2</w:t>
            </w:r>
            <w:r>
              <w:rPr>
                <w:color w:val="000000" w:themeColor="text1"/>
                <w:highlight w:val="none"/>
                <w14:textFill>
                  <w14:solidFill>
                    <w14:schemeClr w14:val="tx1"/>
                  </w14:solidFill>
                </w14:textFill>
              </w:rPr>
              <w:t>月</w:t>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日</w:t>
            </w:r>
            <w:r>
              <w:rPr>
                <w:rFonts w:hint="eastAsia"/>
                <w:color w:val="000000" w:themeColor="text1"/>
                <w:highlight w:val="none"/>
                <w14:textFill>
                  <w14:solidFill>
                    <w14:schemeClr w14:val="tx1"/>
                  </w14:solidFill>
                </w14:textFill>
              </w:rPr>
              <w:t>12</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36～2024年2</w:t>
            </w:r>
            <w:r>
              <w:rPr>
                <w:color w:val="000000" w:themeColor="text1"/>
                <w:highlight w:val="none"/>
                <w14:textFill>
                  <w14:solidFill>
                    <w14:schemeClr w14:val="tx1"/>
                  </w14:solidFill>
                </w14:textFill>
              </w:rPr>
              <w:t>月</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日</w:t>
            </w:r>
            <w:r>
              <w:rPr>
                <w:rFonts w:hint="eastAsia"/>
                <w:color w:val="000000" w:themeColor="text1"/>
                <w:highlight w:val="none"/>
                <w14:textFill>
                  <w14:solidFill>
                    <w14:schemeClr w14:val="tx1"/>
                  </w14:solidFill>
                </w14:textFill>
              </w:rPr>
              <w:t>12</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36</w:t>
            </w:r>
          </w:p>
        </w:tc>
        <w:tc>
          <w:tcPr>
            <w:tcW w:w="598" w:type="pct"/>
            <w:vMerge w:val="continue"/>
            <w:shd w:val="clear" w:color="auto" w:fill="auto"/>
            <w:vAlign w:val="center"/>
          </w:tcPr>
          <w:p>
            <w:pPr>
              <w:pStyle w:val="118"/>
              <w:rPr>
                <w:color w:val="000000" w:themeColor="text1"/>
                <w:highlight w:val="none"/>
                <w14:textFill>
                  <w14:solidFill>
                    <w14:schemeClr w14:val="tx1"/>
                  </w14:solidFill>
                </w14:textFill>
              </w:rPr>
            </w:pPr>
          </w:p>
        </w:tc>
        <w:tc>
          <w:tcPr>
            <w:tcW w:w="732"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36</w:t>
            </w:r>
          </w:p>
        </w:tc>
      </w:tr>
    </w:tbl>
    <w:p>
      <w:pPr>
        <w:pStyle w:val="96"/>
        <w:spacing w:before="120"/>
        <w:rPr>
          <w:color w:val="000000" w:themeColor="text1"/>
          <w:highlight w:val="none"/>
          <w14:textFill>
            <w14:solidFill>
              <w14:schemeClr w14:val="tx1"/>
            </w14:solidFill>
          </w14:textFill>
        </w:rPr>
      </w:pPr>
      <w:bookmarkStart w:id="216" w:name="_Ref142907107"/>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fldChar w:fldCharType="end"/>
      </w:r>
      <w:bookmarkEnd w:id="216"/>
      <w:r>
        <w:rPr>
          <w:rFonts w:hint="eastAsia"/>
          <w:color w:val="000000" w:themeColor="text1"/>
          <w:highlight w:val="none"/>
          <w14:textFill>
            <w14:solidFill>
              <w14:schemeClr w14:val="tx1"/>
            </w14:solidFill>
          </w14:textFill>
        </w:rPr>
        <w:t>环境空气质量现状及评价</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6"/>
        <w:gridCol w:w="1779"/>
        <w:gridCol w:w="1559"/>
        <w:gridCol w:w="710"/>
        <w:gridCol w:w="1378"/>
        <w:gridCol w:w="994"/>
        <w:gridCol w:w="445"/>
        <w:gridCol w:w="7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549"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监测点位</w:t>
            </w:r>
          </w:p>
        </w:tc>
        <w:tc>
          <w:tcPr>
            <w:tcW w:w="1043"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采样时间</w:t>
            </w:r>
          </w:p>
        </w:tc>
        <w:tc>
          <w:tcPr>
            <w:tcW w:w="914"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监测项目</w:t>
            </w:r>
          </w:p>
        </w:tc>
        <w:tc>
          <w:tcPr>
            <w:tcW w:w="416"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采样个数</w:t>
            </w:r>
          </w:p>
        </w:tc>
        <w:tc>
          <w:tcPr>
            <w:tcW w:w="808"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浓度范围</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m</w:t>
            </w:r>
            <w:r>
              <w:rPr>
                <w:b/>
                <w:bCs/>
                <w:color w:val="000000" w:themeColor="text1"/>
                <w:highlight w:val="none"/>
                <w:lang w:val="zh-CN"/>
                <w14:textFill>
                  <w14:solidFill>
                    <w14:schemeClr w14:val="tx1"/>
                  </w14:solidFill>
                </w14:textFill>
              </w:rPr>
              <w:t>g</w:t>
            </w:r>
            <w:r>
              <w:rPr>
                <w:b/>
                <w:bCs/>
                <w:color w:val="000000" w:themeColor="text1"/>
                <w:highlight w:val="none"/>
                <w14:textFill>
                  <w14:solidFill>
                    <w14:schemeClr w14:val="tx1"/>
                  </w14:solidFill>
                </w14:textFill>
              </w:rPr>
              <w:t>/m</w:t>
            </w:r>
            <w:r>
              <w:rPr>
                <w:b/>
                <w:bCs/>
                <w:color w:val="000000" w:themeColor="text1"/>
                <w:highlight w:val="none"/>
                <w:vertAlign w:val="superscript"/>
                <w14:textFill>
                  <w14:solidFill>
                    <w14:schemeClr w14:val="tx1"/>
                  </w14:solidFill>
                </w14:textFill>
              </w:rPr>
              <w:t>3</w:t>
            </w:r>
          </w:p>
        </w:tc>
        <w:tc>
          <w:tcPr>
            <w:tcW w:w="583"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最大浓度占标率P</w:t>
            </w:r>
            <w:r>
              <w:rPr>
                <w:b/>
                <w:bCs/>
                <w:color w:val="000000" w:themeColor="text1"/>
                <w:highlight w:val="none"/>
                <w:vertAlign w:val="subscript"/>
                <w14:textFill>
                  <w14:solidFill>
                    <w14:schemeClr w14:val="tx1"/>
                  </w14:solidFill>
                </w14:textFill>
              </w:rPr>
              <w:t>i</w:t>
            </w:r>
            <w:r>
              <w:rPr>
                <w:rFonts w:hint="eastAsia"/>
                <w:b/>
                <w:bCs/>
                <w:color w:val="000000" w:themeColor="text1"/>
                <w:highlight w:val="none"/>
                <w14:textFill>
                  <w14:solidFill>
                    <w14:schemeClr w14:val="tx1"/>
                  </w14:solidFill>
                </w14:textFill>
              </w:rPr>
              <w:t>（%）</w:t>
            </w:r>
          </w:p>
        </w:tc>
        <w:tc>
          <w:tcPr>
            <w:tcW w:w="261"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超标率</w:t>
            </w:r>
          </w:p>
        </w:tc>
        <w:tc>
          <w:tcPr>
            <w:tcW w:w="425"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达标</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549" w:type="pct"/>
            <w:vMerge w:val="restar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试采站外西侧</w:t>
            </w:r>
          </w:p>
        </w:tc>
        <w:tc>
          <w:tcPr>
            <w:tcW w:w="1043" w:type="pct"/>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2024.</w:t>
            </w:r>
            <w:r>
              <w:rPr>
                <w:rFonts w:hint="eastAsia"/>
                <w:color w:val="000000" w:themeColor="text1"/>
                <w:highlight w:val="none"/>
                <w14:textFill>
                  <w14:solidFill>
                    <w14:schemeClr w14:val="tx1"/>
                  </w14:solidFill>
                </w14:textFill>
              </w:rPr>
              <w:t>1.28</w:t>
            </w:r>
            <w:r>
              <w:rPr>
                <w:color w:val="000000" w:themeColor="text1"/>
                <w:highlight w:val="none"/>
                <w14:textFill>
                  <w14:solidFill>
                    <w14:schemeClr w14:val="tx1"/>
                  </w14:solidFill>
                </w14:textFill>
              </w:rPr>
              <w:t>~2</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4</w:t>
            </w:r>
          </w:p>
        </w:tc>
        <w:tc>
          <w:tcPr>
            <w:tcW w:w="91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非甲烷总烃</w:t>
            </w:r>
          </w:p>
        </w:tc>
        <w:tc>
          <w:tcPr>
            <w:tcW w:w="41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28</w:t>
            </w:r>
          </w:p>
        </w:tc>
        <w:tc>
          <w:tcPr>
            <w:tcW w:w="808"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0.33~0.60</w:t>
            </w:r>
          </w:p>
        </w:tc>
        <w:tc>
          <w:tcPr>
            <w:tcW w:w="583"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r>
              <w:rPr>
                <w:rFonts w:hint="eastAsia"/>
                <w:color w:val="000000" w:themeColor="text1"/>
                <w:highlight w:val="none"/>
                <w14:textFill>
                  <w14:solidFill>
                    <w14:schemeClr w14:val="tx1"/>
                  </w14:solidFill>
                </w14:textFill>
              </w:rPr>
              <w:t>0%</w:t>
            </w:r>
          </w:p>
        </w:tc>
        <w:tc>
          <w:tcPr>
            <w:tcW w:w="261"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42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549" w:type="pct"/>
            <w:vMerge w:val="continue"/>
            <w:vAlign w:val="center"/>
          </w:tcPr>
          <w:p>
            <w:pPr>
              <w:pStyle w:val="118"/>
              <w:rPr>
                <w:color w:val="000000" w:themeColor="text1"/>
                <w:highlight w:val="none"/>
                <w14:textFill>
                  <w14:solidFill>
                    <w14:schemeClr w14:val="tx1"/>
                  </w14:solidFill>
                </w14:textFill>
              </w:rPr>
            </w:pPr>
          </w:p>
        </w:tc>
        <w:tc>
          <w:tcPr>
            <w:tcW w:w="1043" w:type="pct"/>
            <w:vMerge w:val="continue"/>
            <w:vAlign w:val="center"/>
          </w:tcPr>
          <w:p>
            <w:pPr>
              <w:pStyle w:val="118"/>
              <w:rPr>
                <w:color w:val="000000" w:themeColor="text1"/>
                <w:highlight w:val="none"/>
                <w14:textFill>
                  <w14:solidFill>
                    <w14:schemeClr w14:val="tx1"/>
                  </w14:solidFill>
                </w14:textFill>
              </w:rPr>
            </w:pPr>
          </w:p>
        </w:tc>
        <w:tc>
          <w:tcPr>
            <w:tcW w:w="91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总悬浮颗粒物</w:t>
            </w:r>
          </w:p>
        </w:tc>
        <w:tc>
          <w:tcPr>
            <w:tcW w:w="41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w:t>
            </w:r>
          </w:p>
        </w:tc>
        <w:tc>
          <w:tcPr>
            <w:tcW w:w="808"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r>
              <w:rPr>
                <w:rFonts w:hint="eastAsia"/>
                <w:color w:val="000000" w:themeColor="text1"/>
                <w:highlight w:val="none"/>
                <w14:textFill>
                  <w14:solidFill>
                    <w14:schemeClr w14:val="tx1"/>
                  </w14:solidFill>
                </w14:textFill>
              </w:rPr>
              <w:t>0</w:t>
            </w:r>
            <w:r>
              <w:rPr>
                <w:color w:val="000000" w:themeColor="text1"/>
                <w:highlight w:val="none"/>
                <w14:textFill>
                  <w14:solidFill>
                    <w14:schemeClr w14:val="tx1"/>
                  </w14:solidFill>
                </w14:textFill>
              </w:rPr>
              <w:t>27~0.20</w:t>
            </w:r>
            <w:r>
              <w:rPr>
                <w:rFonts w:hint="eastAsia"/>
                <w:color w:val="000000" w:themeColor="text1"/>
                <w:highlight w:val="none"/>
                <w14:textFill>
                  <w14:solidFill>
                    <w14:schemeClr w14:val="tx1"/>
                  </w14:solidFill>
                </w14:textFill>
              </w:rPr>
              <w:t>7</w:t>
            </w:r>
          </w:p>
        </w:tc>
        <w:tc>
          <w:tcPr>
            <w:tcW w:w="583"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w:t>
            </w:r>
            <w:r>
              <w:rPr>
                <w:rFonts w:hint="eastAsia"/>
                <w:color w:val="000000" w:themeColor="text1"/>
                <w:highlight w:val="none"/>
                <w14:textFill>
                  <w14:solidFill>
                    <w14:schemeClr w14:val="tx1"/>
                  </w14:solidFill>
                </w14:textFill>
              </w:rPr>
              <w:t>9%</w:t>
            </w:r>
          </w:p>
        </w:tc>
        <w:tc>
          <w:tcPr>
            <w:tcW w:w="261"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42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r>
    </w:tbl>
    <w:p>
      <w:pPr>
        <w:spacing w:before="120" w:beforeLines="5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评价结论：本项目所在地环境空气中特征污染物</w:t>
      </w:r>
      <w:bookmarkStart w:id="217" w:name="_Hlk100174264"/>
      <w:bookmarkStart w:id="218" w:name="_Hlk100174299"/>
      <w:r>
        <w:rPr>
          <w:color w:val="000000" w:themeColor="text1"/>
          <w:highlight w:val="none"/>
          <w14:textFill>
            <w14:solidFill>
              <w14:schemeClr w14:val="tx1"/>
            </w14:solidFill>
          </w14:textFill>
        </w:rPr>
        <w:t>非甲烷总烃</w:t>
      </w:r>
      <w:bookmarkEnd w:id="217"/>
      <w:r>
        <w:rPr>
          <w:color w:val="000000" w:themeColor="text1"/>
          <w:highlight w:val="none"/>
          <w14:textFill>
            <w14:solidFill>
              <w14:schemeClr w14:val="tx1"/>
            </w14:solidFill>
          </w14:textFill>
        </w:rPr>
        <w:t>现状监测值均低于《大气污染物综合排放标准详解》浓度限值；总悬浮颗粒物现状监测值均低于</w:t>
      </w:r>
      <w:bookmarkStart w:id="219" w:name="_Hlk164067294"/>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环境空气质量标准》（GB3095-2012）二级标准限值</w:t>
      </w:r>
      <w:bookmarkEnd w:id="219"/>
      <w:r>
        <w:rPr>
          <w:color w:val="000000" w:themeColor="text1"/>
          <w:highlight w:val="none"/>
          <w14:textFill>
            <w14:solidFill>
              <w14:schemeClr w14:val="tx1"/>
            </w14:solidFill>
          </w14:textFill>
        </w:rPr>
        <w:t>。</w:t>
      </w:r>
      <w:bookmarkEnd w:id="218"/>
    </w:p>
    <w:p>
      <w:pPr>
        <w:pStyle w:val="5"/>
        <w:spacing w:before="120"/>
        <w:ind w:firstLine="480"/>
        <w:rPr>
          <w:b/>
          <w:color w:val="000000" w:themeColor="text1"/>
          <w:highlight w:val="none"/>
          <w:lang w:eastAsia="zh-CN"/>
          <w14:textFill>
            <w14:solidFill>
              <w14:schemeClr w14:val="tx1"/>
            </w14:solidFill>
          </w14:textFill>
        </w:rPr>
      </w:pPr>
      <w:bookmarkStart w:id="220" w:name="_Toc120173129"/>
      <w:r>
        <w:rPr>
          <w:color w:val="000000" w:themeColor="text1"/>
          <w:highlight w:val="none"/>
          <w:lang w:eastAsia="zh-CN"/>
          <w14:textFill>
            <w14:solidFill>
              <w14:schemeClr w14:val="tx1"/>
            </w14:solidFill>
          </w14:textFill>
        </w:rPr>
        <w:t>地表水环境质量现状</w:t>
      </w:r>
      <w:bookmarkEnd w:id="220"/>
    </w:p>
    <w:p>
      <w:pPr>
        <w:pStyle w:val="6"/>
        <w:spacing w:before="120"/>
        <w:rPr>
          <w:color w:val="000000" w:themeColor="text1"/>
          <w:highlight w:val="none"/>
          <w14:textFill>
            <w14:solidFill>
              <w14:schemeClr w14:val="tx1"/>
            </w14:solidFill>
          </w14:textFill>
        </w:rPr>
      </w:pPr>
      <w:bookmarkStart w:id="221" w:name="_Toc60041151"/>
      <w:bookmarkStart w:id="222" w:name="_Toc119417311"/>
      <w:r>
        <w:rPr>
          <w:color w:val="000000" w:themeColor="text1"/>
          <w:highlight w:val="none"/>
          <w14:textFill>
            <w14:solidFill>
              <w14:schemeClr w14:val="tx1"/>
            </w14:solidFill>
          </w14:textFill>
        </w:rPr>
        <w:t>区域地表水环境现状调查</w:t>
      </w:r>
      <w:bookmarkEnd w:id="221"/>
      <w:bookmarkEnd w:id="222"/>
    </w:p>
    <w:p>
      <w:pPr>
        <w:pStyle w:val="19"/>
        <w:adjustRightInd w:val="0"/>
        <w:snapToGrid w:val="0"/>
        <w:spacing w:line="360" w:lineRule="auto"/>
        <w:ind w:firstLine="480" w:firstLineChars="20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本项目位于州河流域，州河属于渠江流域，根据《202</w:t>
      </w:r>
      <w:r>
        <w:rPr>
          <w:rFonts w:hint="eastAsia" w:ascii="Times New Roman" w:hAnsi="Times New Roman"/>
          <w:bCs/>
          <w:color w:val="000000" w:themeColor="text1"/>
          <w:kern w:val="2"/>
          <w:highlight w:val="none"/>
          <w:lang w:eastAsia="zh-CN"/>
          <w14:textFill>
            <w14:solidFill>
              <w14:schemeClr w14:val="tx1"/>
            </w14:solidFill>
          </w14:textFill>
        </w:rPr>
        <w:t>4</w:t>
      </w:r>
      <w:r>
        <w:rPr>
          <w:rFonts w:ascii="Times New Roman" w:hAnsi="Times New Roman"/>
          <w:bCs/>
          <w:color w:val="000000" w:themeColor="text1"/>
          <w:kern w:val="2"/>
          <w:highlight w:val="none"/>
          <w:lang w:eastAsia="zh-CN"/>
          <w14:textFill>
            <w14:solidFill>
              <w14:schemeClr w14:val="tx1"/>
            </w14:solidFill>
          </w14:textFill>
        </w:rPr>
        <w:t>年</w:t>
      </w:r>
      <w:r>
        <w:rPr>
          <w:rFonts w:hint="eastAsia" w:ascii="Times New Roman" w:hAnsi="Times New Roman"/>
          <w:bCs/>
          <w:color w:val="000000" w:themeColor="text1"/>
          <w:kern w:val="2"/>
          <w:highlight w:val="none"/>
          <w:lang w:eastAsia="zh-CN"/>
          <w14:textFill>
            <w14:solidFill>
              <w14:schemeClr w14:val="tx1"/>
            </w14:solidFill>
          </w14:textFill>
        </w:rPr>
        <w:t>2</w:t>
      </w:r>
      <w:r>
        <w:rPr>
          <w:rFonts w:ascii="Times New Roman" w:hAnsi="Times New Roman"/>
          <w:bCs/>
          <w:color w:val="000000" w:themeColor="text1"/>
          <w:kern w:val="2"/>
          <w:highlight w:val="none"/>
          <w:lang w:eastAsia="zh-CN"/>
          <w14:textFill>
            <w14:solidFill>
              <w14:schemeClr w14:val="tx1"/>
            </w14:solidFill>
          </w14:textFill>
        </w:rPr>
        <w:t>月达州市地表水水质月报》：202</w:t>
      </w:r>
      <w:r>
        <w:rPr>
          <w:rFonts w:hint="eastAsia" w:ascii="Times New Roman" w:hAnsi="Times New Roman"/>
          <w:bCs/>
          <w:color w:val="000000" w:themeColor="text1"/>
          <w:kern w:val="2"/>
          <w:highlight w:val="none"/>
          <w:lang w:eastAsia="zh-CN"/>
          <w14:textFill>
            <w14:solidFill>
              <w14:schemeClr w14:val="tx1"/>
            </w14:solidFill>
          </w14:textFill>
        </w:rPr>
        <w:t>4</w:t>
      </w:r>
      <w:r>
        <w:rPr>
          <w:rFonts w:ascii="Times New Roman" w:hAnsi="Times New Roman"/>
          <w:bCs/>
          <w:color w:val="000000" w:themeColor="text1"/>
          <w:kern w:val="2"/>
          <w:highlight w:val="none"/>
          <w:lang w:eastAsia="zh-CN"/>
          <w14:textFill>
            <w14:solidFill>
              <w14:schemeClr w14:val="tx1"/>
            </w14:solidFill>
          </w14:textFill>
        </w:rPr>
        <w:t>年</w:t>
      </w:r>
      <w:r>
        <w:rPr>
          <w:rFonts w:hint="eastAsia" w:ascii="Times New Roman" w:hAnsi="Times New Roman"/>
          <w:bCs/>
          <w:color w:val="000000" w:themeColor="text1"/>
          <w:kern w:val="2"/>
          <w:highlight w:val="none"/>
          <w:lang w:eastAsia="zh-CN"/>
          <w14:textFill>
            <w14:solidFill>
              <w14:schemeClr w14:val="tx1"/>
            </w14:solidFill>
          </w14:textFill>
        </w:rPr>
        <w:t>2</w:t>
      </w:r>
      <w:r>
        <w:rPr>
          <w:rFonts w:ascii="Times New Roman" w:hAnsi="Times New Roman"/>
          <w:bCs/>
          <w:color w:val="000000" w:themeColor="text1"/>
          <w:kern w:val="2"/>
          <w:highlight w:val="none"/>
          <w:lang w:eastAsia="zh-CN"/>
          <w14:textFill>
            <w14:solidFill>
              <w14:schemeClr w14:val="tx1"/>
            </w14:solidFill>
          </w14:textFill>
        </w:rPr>
        <w:t>月全市3</w:t>
      </w:r>
      <w:r>
        <w:rPr>
          <w:rFonts w:hint="eastAsia" w:ascii="Times New Roman" w:hAnsi="Times New Roman"/>
          <w:bCs/>
          <w:color w:val="000000" w:themeColor="text1"/>
          <w:kern w:val="2"/>
          <w:highlight w:val="none"/>
          <w:lang w:eastAsia="zh-CN"/>
          <w14:textFill>
            <w14:solidFill>
              <w14:schemeClr w14:val="tx1"/>
            </w14:solidFill>
          </w14:textFill>
        </w:rPr>
        <w:t>7</w:t>
      </w:r>
      <w:r>
        <w:rPr>
          <w:rFonts w:ascii="Times New Roman" w:hAnsi="Times New Roman"/>
          <w:bCs/>
          <w:color w:val="000000" w:themeColor="text1"/>
          <w:kern w:val="2"/>
          <w:highlight w:val="none"/>
          <w:lang w:eastAsia="zh-CN"/>
          <w14:textFill>
            <w14:solidFill>
              <w14:schemeClr w14:val="tx1"/>
            </w14:solidFill>
          </w14:textFill>
        </w:rPr>
        <w:t>个河流断面</w:t>
      </w:r>
      <w:r>
        <w:rPr>
          <w:rFonts w:hint="eastAsia" w:ascii="Times New Roman" w:hAnsi="Times New Roman"/>
          <w:bCs/>
          <w:color w:val="000000" w:themeColor="text1"/>
          <w:kern w:val="2"/>
          <w:highlight w:val="none"/>
          <w:lang w:eastAsia="zh-CN"/>
          <w14:textFill>
            <w14:solidFill>
              <w14:schemeClr w14:val="tx1"/>
            </w14:solidFill>
          </w14:textFill>
        </w:rPr>
        <w:t>均为</w:t>
      </w:r>
      <w:r>
        <w:rPr>
          <w:rFonts w:ascii="Times New Roman" w:hAnsi="Times New Roman"/>
          <w:bCs/>
          <w:color w:val="000000" w:themeColor="text1"/>
          <w:kern w:val="2"/>
          <w:highlight w:val="none"/>
          <w:lang w:eastAsia="zh-CN"/>
          <w14:textFill>
            <w14:solidFill>
              <w14:schemeClr w14:val="tx1"/>
            </w14:solidFill>
          </w14:textFill>
        </w:rPr>
        <w:t>优（Ⅰ~Ⅱ类）良（Ⅲ类）水质，占比</w:t>
      </w:r>
      <w:r>
        <w:rPr>
          <w:rFonts w:hint="eastAsia" w:ascii="Times New Roman" w:hAnsi="Times New Roman"/>
          <w:bCs/>
          <w:color w:val="000000" w:themeColor="text1"/>
          <w:kern w:val="2"/>
          <w:highlight w:val="none"/>
          <w:lang w:eastAsia="zh-CN"/>
          <w14:textFill>
            <w14:solidFill>
              <w14:schemeClr w14:val="tx1"/>
            </w14:solidFill>
          </w14:textFill>
        </w:rPr>
        <w:t>100</w:t>
      </w:r>
      <w:r>
        <w:rPr>
          <w:rFonts w:ascii="Times New Roman" w:hAnsi="Times New Roman"/>
          <w:bCs/>
          <w:color w:val="000000" w:themeColor="text1"/>
          <w:kern w:val="2"/>
          <w:highlight w:val="none"/>
          <w:lang w:eastAsia="zh-CN"/>
          <w14:textFill>
            <w14:solidFill>
              <w14:schemeClr w14:val="tx1"/>
            </w14:solidFill>
          </w14:textFill>
        </w:rPr>
        <w:t>%。</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达州市生态环境局于202</w:t>
      </w:r>
      <w:r>
        <w:rPr>
          <w:rFonts w:hint="eastAsia"/>
          <w:bCs/>
          <w:color w:val="000000" w:themeColor="text1"/>
          <w:highlight w:val="none"/>
          <w14:textFill>
            <w14:solidFill>
              <w14:schemeClr w14:val="tx1"/>
            </w14:solidFill>
          </w14:textFill>
        </w:rPr>
        <w:t>4</w:t>
      </w:r>
      <w:r>
        <w:rPr>
          <w:bCs/>
          <w:color w:val="000000" w:themeColor="text1"/>
          <w:highlight w:val="none"/>
          <w14:textFill>
            <w14:solidFill>
              <w14:schemeClr w14:val="tx1"/>
            </w14:solidFill>
          </w14:textFill>
        </w:rPr>
        <w:t>年</w:t>
      </w:r>
      <w:r>
        <w:rPr>
          <w:rFonts w:hint="eastAsia"/>
          <w:bCs/>
          <w:color w:val="000000" w:themeColor="text1"/>
          <w:highlight w:val="none"/>
          <w14:textFill>
            <w14:solidFill>
              <w14:schemeClr w14:val="tx1"/>
            </w14:solidFill>
          </w14:textFill>
        </w:rPr>
        <w:t>3</w:t>
      </w:r>
      <w:r>
        <w:rPr>
          <w:bCs/>
          <w:color w:val="000000" w:themeColor="text1"/>
          <w:highlight w:val="none"/>
          <w14:textFill>
            <w14:solidFill>
              <w14:schemeClr w14:val="tx1"/>
            </w14:solidFill>
          </w14:textFill>
        </w:rPr>
        <w:t>月</w:t>
      </w:r>
      <w:r>
        <w:rPr>
          <w:rFonts w:hint="eastAsia"/>
          <w:bCs/>
          <w:color w:val="000000" w:themeColor="text1"/>
          <w:highlight w:val="none"/>
          <w14:textFill>
            <w14:solidFill>
              <w14:schemeClr w14:val="tx1"/>
            </w14:solidFill>
          </w14:textFill>
        </w:rPr>
        <w:t>13</w:t>
      </w:r>
      <w:r>
        <w:rPr>
          <w:bCs/>
          <w:color w:val="000000" w:themeColor="text1"/>
          <w:highlight w:val="none"/>
          <w14:textFill>
            <w14:solidFill>
              <w14:schemeClr w14:val="tx1"/>
            </w14:solidFill>
          </w14:textFill>
        </w:rPr>
        <w:t>日公布了202</w:t>
      </w:r>
      <w:r>
        <w:rPr>
          <w:rFonts w:hint="eastAsia"/>
          <w:bCs/>
          <w:color w:val="000000" w:themeColor="text1"/>
          <w:highlight w:val="none"/>
          <w14:textFill>
            <w14:solidFill>
              <w14:schemeClr w14:val="tx1"/>
            </w14:solidFill>
          </w14:textFill>
        </w:rPr>
        <w:t>4</w:t>
      </w:r>
      <w:r>
        <w:rPr>
          <w:bCs/>
          <w:color w:val="000000" w:themeColor="text1"/>
          <w:highlight w:val="none"/>
          <w14:textFill>
            <w14:solidFill>
              <w14:schemeClr w14:val="tx1"/>
            </w14:solidFill>
          </w14:textFill>
        </w:rPr>
        <w:t>年</w:t>
      </w:r>
      <w:r>
        <w:rPr>
          <w:rFonts w:hint="eastAsia"/>
          <w:bCs/>
          <w:color w:val="000000" w:themeColor="text1"/>
          <w:highlight w:val="none"/>
          <w14:textFill>
            <w14:solidFill>
              <w14:schemeClr w14:val="tx1"/>
            </w14:solidFill>
          </w14:textFill>
        </w:rPr>
        <w:t>2</w:t>
      </w:r>
      <w:r>
        <w:rPr>
          <w:bCs/>
          <w:color w:val="000000" w:themeColor="text1"/>
          <w:highlight w:val="none"/>
          <w14:textFill>
            <w14:solidFill>
              <w14:schemeClr w14:val="tx1"/>
            </w14:solidFill>
          </w14:textFill>
        </w:rPr>
        <w:t>月达州市地表水水质月报，根据月报可知，202</w:t>
      </w:r>
      <w:r>
        <w:rPr>
          <w:rFonts w:hint="eastAsia"/>
          <w:bCs/>
          <w:color w:val="000000" w:themeColor="text1"/>
          <w:highlight w:val="none"/>
          <w14:textFill>
            <w14:solidFill>
              <w14:schemeClr w14:val="tx1"/>
            </w14:solidFill>
          </w14:textFill>
        </w:rPr>
        <w:t>4</w:t>
      </w:r>
      <w:r>
        <w:rPr>
          <w:bCs/>
          <w:color w:val="000000" w:themeColor="text1"/>
          <w:highlight w:val="none"/>
          <w14:textFill>
            <w14:solidFill>
              <w14:schemeClr w14:val="tx1"/>
            </w14:solidFill>
          </w14:textFill>
        </w:rPr>
        <w:t>年</w:t>
      </w:r>
      <w:r>
        <w:rPr>
          <w:rFonts w:hint="eastAsia"/>
          <w:bCs/>
          <w:color w:val="000000" w:themeColor="text1"/>
          <w:highlight w:val="none"/>
          <w14:textFill>
            <w14:solidFill>
              <w14:schemeClr w14:val="tx1"/>
            </w14:solidFill>
          </w14:textFill>
        </w:rPr>
        <w:t>2</w:t>
      </w:r>
      <w:r>
        <w:rPr>
          <w:bCs/>
          <w:color w:val="000000" w:themeColor="text1"/>
          <w:highlight w:val="none"/>
          <w14:textFill>
            <w14:solidFill>
              <w14:schemeClr w14:val="tx1"/>
            </w14:solidFill>
          </w14:textFill>
        </w:rPr>
        <w:t>月</w:t>
      </w:r>
      <w:r>
        <w:rPr>
          <w:rFonts w:hint="eastAsia"/>
          <w:bCs/>
          <w:color w:val="000000" w:themeColor="text1"/>
          <w:highlight w:val="none"/>
          <w14:textFill>
            <w14:solidFill>
              <w14:schemeClr w14:val="tx1"/>
            </w14:solidFill>
          </w14:textFill>
        </w:rPr>
        <w:t>州河</w:t>
      </w:r>
      <w:r>
        <w:rPr>
          <w:bCs/>
          <w:color w:val="000000" w:themeColor="text1"/>
          <w:highlight w:val="none"/>
          <w14:textFill>
            <w14:solidFill>
              <w14:schemeClr w14:val="tx1"/>
            </w14:solidFill>
          </w14:textFill>
        </w:rPr>
        <w:t>位于</w:t>
      </w:r>
      <w:r>
        <w:rPr>
          <w:rFonts w:hint="eastAsia"/>
          <w:color w:val="000000" w:themeColor="text1"/>
          <w:highlight w:val="none"/>
          <w14:textFill>
            <w14:solidFill>
              <w14:schemeClr w14:val="tx1"/>
            </w14:solidFill>
          </w14:textFill>
        </w:rPr>
        <w:t>张鼓坪</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宣汉县→通川区</w:t>
      </w:r>
      <w:r>
        <w:rPr>
          <w:color w:val="000000" w:themeColor="text1"/>
          <w:highlight w:val="none"/>
          <w14:textFill>
            <w14:solidFill>
              <w14:schemeClr w14:val="tx1"/>
            </w14:solidFill>
          </w14:textFill>
        </w:rPr>
        <w:t>）监测断面的国考断面地表水水质满足</w:t>
      </w:r>
      <w:r>
        <w:rPr>
          <w:bCs/>
          <w:color w:val="000000" w:themeColor="text1"/>
          <w:highlight w:val="none"/>
          <w14:textFill>
            <w14:solidFill>
              <w14:schemeClr w14:val="tx1"/>
            </w14:solidFill>
          </w14:textFill>
        </w:rPr>
        <w:t>《地表水环境质量标准》（GB3838-2002）中Ⅱ类水质标准限值要求</w:t>
      </w:r>
      <w:r>
        <w:rPr>
          <w:rFonts w:hint="eastAsia"/>
          <w:bCs/>
          <w:color w:val="000000" w:themeColor="text1"/>
          <w:highlight w:val="none"/>
          <w14:textFill>
            <w14:solidFill>
              <w14:schemeClr w14:val="tx1"/>
            </w14:solidFill>
          </w14:textFill>
        </w:rPr>
        <w:t>；</w:t>
      </w:r>
      <w:r>
        <w:rPr>
          <w:bCs/>
          <w:color w:val="000000" w:themeColor="text1"/>
          <w:highlight w:val="none"/>
          <w14:textFill>
            <w14:solidFill>
              <w14:schemeClr w14:val="tx1"/>
            </w14:solidFill>
          </w14:textFill>
        </w:rPr>
        <w:t>因此</w:t>
      </w:r>
      <w:r>
        <w:rPr>
          <w:rFonts w:hint="eastAsia"/>
          <w:bCs/>
          <w:color w:val="000000" w:themeColor="text1"/>
          <w:highlight w:val="none"/>
          <w14:textFill>
            <w14:solidFill>
              <w14:schemeClr w14:val="tx1"/>
            </w14:solidFill>
          </w14:textFill>
        </w:rPr>
        <w:t>区域地表水</w:t>
      </w:r>
      <w:r>
        <w:rPr>
          <w:bCs/>
          <w:color w:val="000000" w:themeColor="text1"/>
          <w:highlight w:val="none"/>
          <w14:textFill>
            <w14:solidFill>
              <w14:schemeClr w14:val="tx1"/>
            </w14:solidFill>
          </w14:textFill>
        </w:rPr>
        <w:t>满足《地表水环境质量标准》（GB3838-2002）中Ⅲ类水质标准限值要求。</w:t>
      </w:r>
    </w:p>
    <w:p>
      <w:pPr>
        <w:pStyle w:val="60"/>
        <w:keepNex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5276850" cy="3449320"/>
            <wp:effectExtent l="0" t="0" r="0" b="0"/>
            <wp:docPr id="9208884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888445" name="图片 1"/>
                    <pic:cNvPicPr>
                      <a:picLocks noChangeAspect="1"/>
                    </pic:cNvPicPr>
                  </pic:nvPicPr>
                  <pic:blipFill>
                    <a:blip r:embed="rId58"/>
                    <a:stretch>
                      <a:fillRect/>
                    </a:stretch>
                  </pic:blipFill>
                  <pic:spPr>
                    <a:xfrm>
                      <a:off x="0" y="0"/>
                      <a:ext cx="5276850" cy="3449320"/>
                    </a:xfrm>
                    <a:prstGeom prst="rect">
                      <a:avLst/>
                    </a:prstGeom>
                  </pic:spPr>
                </pic:pic>
              </a:graphicData>
            </a:graphic>
          </wp:inline>
        </w:drawing>
      </w:r>
    </w:p>
    <w:p>
      <w:pPr>
        <w:pStyle w:val="76"/>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地表水环境质量现状结果切图</w:t>
      </w:r>
    </w:p>
    <w:p>
      <w:pPr>
        <w:pStyle w:val="6"/>
        <w:spacing w:before="120"/>
        <w:rPr>
          <w:snapToGrid w:val="0"/>
          <w:color w:val="000000" w:themeColor="text1"/>
          <w:highlight w:val="none"/>
          <w14:textFill>
            <w14:solidFill>
              <w14:schemeClr w14:val="tx1"/>
            </w14:solidFill>
          </w14:textFill>
        </w:rPr>
      </w:pPr>
      <w:bookmarkStart w:id="223" w:name="_Toc119417312"/>
      <w:bookmarkStart w:id="224" w:name="_Toc60041152"/>
      <w:r>
        <w:rPr>
          <w:snapToGrid w:val="0"/>
          <w:color w:val="000000" w:themeColor="text1"/>
          <w:highlight w:val="none"/>
          <w14:textFill>
            <w14:solidFill>
              <w14:schemeClr w14:val="tx1"/>
            </w14:solidFill>
          </w14:textFill>
        </w:rPr>
        <w:t>地表水环境质量现状监测</w:t>
      </w:r>
      <w:bookmarkEnd w:id="223"/>
      <w:bookmarkEnd w:id="224"/>
    </w:p>
    <w:p>
      <w:pPr>
        <w:keepNext/>
        <w:ind w:firstLine="482"/>
        <w:jc w:val="left"/>
        <w:rPr>
          <w:rFonts w:cs="Times New Roman"/>
          <w:b/>
          <w:snapToGrid w:val="0"/>
          <w:color w:val="000000" w:themeColor="text1"/>
          <w:kern w:val="0"/>
          <w:szCs w:val="24"/>
          <w:highlight w:val="none"/>
          <w:lang w:val="zh-CN"/>
          <w14:textFill>
            <w14:solidFill>
              <w14:schemeClr w14:val="tx1"/>
            </w14:solidFill>
          </w14:textFill>
        </w:rPr>
      </w:pPr>
      <w:r>
        <w:rPr>
          <w:rFonts w:cs="Times New Roman"/>
          <w:b/>
          <w:snapToGrid w:val="0"/>
          <w:color w:val="000000" w:themeColor="text1"/>
          <w:kern w:val="0"/>
          <w:szCs w:val="24"/>
          <w:highlight w:val="none"/>
          <w:lang w:val="zh-CN"/>
          <w14:textFill>
            <w14:solidFill>
              <w14:schemeClr w14:val="tx1"/>
            </w14:solidFill>
          </w14:textFill>
        </w:rPr>
        <w:t>（1）监测断面</w:t>
      </w:r>
    </w:p>
    <w:p>
      <w:pPr>
        <w:widowControl/>
        <w:ind w:firstLine="480"/>
        <w:jc w:val="left"/>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为调查各穿越河流水质现状，本次环评共布设</w:t>
      </w:r>
      <w:r>
        <w:rPr>
          <w:rFonts w:hint="eastAsia" w:cs="Times New Roman"/>
          <w:color w:val="000000" w:themeColor="text1"/>
          <w:kern w:val="0"/>
          <w:szCs w:val="24"/>
          <w:highlight w:val="none"/>
          <w14:textFill>
            <w14:solidFill>
              <w14:schemeClr w14:val="tx1"/>
            </w14:solidFill>
          </w14:textFill>
        </w:rPr>
        <w:t>2</w:t>
      </w:r>
      <w:r>
        <w:rPr>
          <w:rFonts w:cs="Times New Roman"/>
          <w:color w:val="000000" w:themeColor="text1"/>
          <w:kern w:val="0"/>
          <w:szCs w:val="24"/>
          <w:highlight w:val="none"/>
          <w14:textFill>
            <w14:solidFill>
              <w14:schemeClr w14:val="tx1"/>
            </w14:solidFill>
          </w14:textFill>
        </w:rPr>
        <w:t>个地表水现状监测断面，断面布设情况见</w:t>
      </w:r>
      <w:r>
        <w:rPr>
          <w:rFonts w:cs="Times New Roman"/>
          <w:color w:val="000000" w:themeColor="text1"/>
          <w:kern w:val="0"/>
          <w:szCs w:val="24"/>
          <w:highlight w:val="none"/>
          <w14:textFill>
            <w14:solidFill>
              <w14:schemeClr w14:val="tx1"/>
            </w14:solidFill>
          </w14:textFill>
        </w:rPr>
        <w:fldChar w:fldCharType="begin"/>
      </w:r>
      <w:r>
        <w:rPr>
          <w:rFonts w:cs="Times New Roman"/>
          <w:color w:val="000000" w:themeColor="text1"/>
          <w:kern w:val="0"/>
          <w:szCs w:val="24"/>
          <w:highlight w:val="none"/>
          <w14:textFill>
            <w14:solidFill>
              <w14:schemeClr w14:val="tx1"/>
            </w14:solidFill>
          </w14:textFill>
        </w:rPr>
        <w:instrText xml:space="preserve"> REF _Ref140498980 \h  \* MERGEFORMAT </w:instrText>
      </w:r>
      <w:r>
        <w:rPr>
          <w:rFonts w:cs="Times New Roman"/>
          <w:color w:val="000000" w:themeColor="text1"/>
          <w:kern w:val="0"/>
          <w:szCs w:val="24"/>
          <w:highlight w:val="none"/>
          <w14:textFill>
            <w14:solidFill>
              <w14:schemeClr w14:val="tx1"/>
            </w14:solidFill>
          </w14:textFill>
        </w:rPr>
        <w:fldChar w:fldCharType="separate"/>
      </w:r>
      <w:r>
        <w:rPr>
          <w:rFonts w:hint="eastAsia" w:cs="Times New Roman"/>
          <w:color w:val="000000" w:themeColor="text1"/>
          <w:kern w:val="0"/>
          <w:szCs w:val="24"/>
          <w:highlight w:val="none"/>
          <w14:textFill>
            <w14:solidFill>
              <w14:schemeClr w14:val="tx1"/>
            </w14:solidFill>
          </w14:textFill>
        </w:rPr>
        <w:t>表</w:t>
      </w:r>
      <w:r>
        <w:rPr>
          <w:rFonts w:cs="Times New Roman"/>
          <w:color w:val="000000" w:themeColor="text1"/>
          <w:kern w:val="0"/>
          <w:szCs w:val="24"/>
          <w:highlight w:val="none"/>
          <w14:textFill>
            <w14:solidFill>
              <w14:schemeClr w14:val="tx1"/>
            </w14:solidFill>
          </w14:textFill>
        </w:rPr>
        <w:t>4.2</w:t>
      </w:r>
      <w:r>
        <w:rPr>
          <w:rFonts w:cs="Times New Roman"/>
          <w:color w:val="000000" w:themeColor="text1"/>
          <w:kern w:val="0"/>
          <w:szCs w:val="24"/>
          <w:highlight w:val="none"/>
          <w14:textFill>
            <w14:solidFill>
              <w14:schemeClr w14:val="tx1"/>
            </w14:solidFill>
          </w14:textFill>
        </w:rPr>
        <w:noBreakHyphen/>
      </w:r>
      <w:r>
        <w:rPr>
          <w:rFonts w:cs="Times New Roman"/>
          <w:color w:val="000000" w:themeColor="text1"/>
          <w:kern w:val="0"/>
          <w:szCs w:val="24"/>
          <w:highlight w:val="none"/>
          <w14:textFill>
            <w14:solidFill>
              <w14:schemeClr w14:val="tx1"/>
            </w14:solidFill>
          </w14:textFill>
        </w:rPr>
        <w:t>5</w:t>
      </w:r>
      <w:r>
        <w:rPr>
          <w:rFonts w:cs="Times New Roman"/>
          <w:color w:val="000000" w:themeColor="text1"/>
          <w:kern w:val="0"/>
          <w:szCs w:val="24"/>
          <w:highlight w:val="none"/>
          <w14:textFill>
            <w14:solidFill>
              <w14:schemeClr w14:val="tx1"/>
            </w14:solidFill>
          </w14:textFill>
        </w:rPr>
        <w:fldChar w:fldCharType="end"/>
      </w:r>
      <w:r>
        <w:rPr>
          <w:rFonts w:cs="Times New Roman"/>
          <w:color w:val="000000" w:themeColor="text1"/>
          <w:kern w:val="0"/>
          <w:szCs w:val="24"/>
          <w:highlight w:val="none"/>
          <w14:textFill>
            <w14:solidFill>
              <w14:schemeClr w14:val="tx1"/>
            </w14:solidFill>
          </w14:textFill>
        </w:rPr>
        <w:t>和附图</w:t>
      </w:r>
      <w:r>
        <w:rPr>
          <w:rFonts w:hint="eastAsia" w:cs="Times New Roman"/>
          <w:color w:val="000000" w:themeColor="text1"/>
          <w:kern w:val="0"/>
          <w:szCs w:val="24"/>
          <w:highlight w:val="none"/>
          <w14:textFill>
            <w14:solidFill>
              <w14:schemeClr w14:val="tx1"/>
            </w14:solidFill>
          </w14:textFill>
        </w:rPr>
        <w:t>4</w:t>
      </w:r>
      <w:r>
        <w:rPr>
          <w:rFonts w:cs="Times New Roman"/>
          <w:color w:val="000000" w:themeColor="text1"/>
          <w:kern w:val="0"/>
          <w:szCs w:val="24"/>
          <w:highlight w:val="none"/>
          <w14:textFill>
            <w14:solidFill>
              <w14:schemeClr w14:val="tx1"/>
            </w14:solidFill>
          </w14:textFill>
        </w:rPr>
        <w:t>。</w:t>
      </w:r>
    </w:p>
    <w:p>
      <w:pPr>
        <w:keepNext/>
        <w:widowControl/>
        <w:spacing w:before="120" w:beforeLines="50" w:line="240" w:lineRule="auto"/>
        <w:ind w:firstLine="0" w:firstLineChars="0"/>
        <w:jc w:val="center"/>
        <w:rPr>
          <w:rFonts w:eastAsia="黑体" w:cs="Times New Roman"/>
          <w:snapToGrid w:val="0"/>
          <w:color w:val="000000" w:themeColor="text1"/>
          <w:kern w:val="0"/>
          <w:sz w:val="22"/>
          <w:szCs w:val="24"/>
          <w:highlight w:val="none"/>
          <w14:textFill>
            <w14:solidFill>
              <w14:schemeClr w14:val="tx1"/>
            </w14:solidFill>
          </w14:textFill>
        </w:rPr>
      </w:pPr>
      <w:bookmarkStart w:id="225" w:name="_Ref140498980"/>
      <w:r>
        <w:rPr>
          <w:rFonts w:hint="eastAsia" w:eastAsia="黑体" w:cs="Times New Roman"/>
          <w:snapToGrid w:val="0"/>
          <w:color w:val="000000" w:themeColor="text1"/>
          <w:kern w:val="0"/>
          <w:sz w:val="22"/>
          <w:szCs w:val="24"/>
          <w:highlight w:val="none"/>
          <w14:textFill>
            <w14:solidFill>
              <w14:schemeClr w14:val="tx1"/>
            </w14:solidFill>
          </w14:textFill>
        </w:rPr>
        <w:t>表</w:t>
      </w:r>
      <w:r>
        <w:rPr>
          <w:rFonts w:eastAsia="黑体" w:cs="Times New Roman"/>
          <w:snapToGrid w:val="0"/>
          <w:color w:val="000000" w:themeColor="text1"/>
          <w:kern w:val="0"/>
          <w:sz w:val="22"/>
          <w:szCs w:val="24"/>
          <w:highlight w:val="none"/>
          <w14:textFill>
            <w14:solidFill>
              <w14:schemeClr w14:val="tx1"/>
            </w14:solidFill>
          </w14:textFill>
        </w:rPr>
        <w:fldChar w:fldCharType="begin"/>
      </w:r>
      <w:r>
        <w:rPr>
          <w:rFonts w:eastAsia="黑体" w:cs="Times New Roman"/>
          <w:snapToGrid w:val="0"/>
          <w:color w:val="000000" w:themeColor="text1"/>
          <w:kern w:val="0"/>
          <w:sz w:val="22"/>
          <w:szCs w:val="24"/>
          <w:highlight w:val="none"/>
          <w14:textFill>
            <w14:solidFill>
              <w14:schemeClr w14:val="tx1"/>
            </w14:solidFill>
          </w14:textFill>
        </w:rPr>
        <w:instrText xml:space="preserve"> </w:instrText>
      </w:r>
      <w:r>
        <w:rPr>
          <w:rFonts w:hint="eastAsia" w:eastAsia="黑体" w:cs="Times New Roman"/>
          <w:snapToGrid w:val="0"/>
          <w:color w:val="000000" w:themeColor="text1"/>
          <w:kern w:val="0"/>
          <w:sz w:val="22"/>
          <w:szCs w:val="24"/>
          <w:highlight w:val="none"/>
          <w14:textFill>
            <w14:solidFill>
              <w14:schemeClr w14:val="tx1"/>
            </w14:solidFill>
          </w14:textFill>
        </w:rPr>
        <w:instrText xml:space="preserve">STYLEREF 2 \s</w:instrText>
      </w:r>
      <w:r>
        <w:rPr>
          <w:rFonts w:eastAsia="黑体" w:cs="Times New Roman"/>
          <w:snapToGrid w:val="0"/>
          <w:color w:val="000000" w:themeColor="text1"/>
          <w:kern w:val="0"/>
          <w:sz w:val="22"/>
          <w:szCs w:val="24"/>
          <w:highlight w:val="none"/>
          <w14:textFill>
            <w14:solidFill>
              <w14:schemeClr w14:val="tx1"/>
            </w14:solidFill>
          </w14:textFill>
        </w:rPr>
        <w:instrText xml:space="preserve"> </w:instrText>
      </w:r>
      <w:r>
        <w:rPr>
          <w:rFonts w:eastAsia="黑体" w:cs="Times New Roman"/>
          <w:snapToGrid w:val="0"/>
          <w:color w:val="000000" w:themeColor="text1"/>
          <w:kern w:val="0"/>
          <w:sz w:val="22"/>
          <w:szCs w:val="24"/>
          <w:highlight w:val="none"/>
          <w14:textFill>
            <w14:solidFill>
              <w14:schemeClr w14:val="tx1"/>
            </w14:solidFill>
          </w14:textFill>
        </w:rPr>
        <w:fldChar w:fldCharType="separate"/>
      </w:r>
      <w:r>
        <w:rPr>
          <w:rFonts w:eastAsia="黑体" w:cs="Times New Roman"/>
          <w:snapToGrid w:val="0"/>
          <w:color w:val="000000" w:themeColor="text1"/>
          <w:kern w:val="0"/>
          <w:sz w:val="22"/>
          <w:szCs w:val="24"/>
          <w:highlight w:val="none"/>
          <w14:textFill>
            <w14:solidFill>
              <w14:schemeClr w14:val="tx1"/>
            </w14:solidFill>
          </w14:textFill>
        </w:rPr>
        <w:t>4.2</w:t>
      </w:r>
      <w:r>
        <w:rPr>
          <w:rFonts w:eastAsia="黑体" w:cs="Times New Roman"/>
          <w:snapToGrid w:val="0"/>
          <w:color w:val="000000" w:themeColor="text1"/>
          <w:kern w:val="0"/>
          <w:sz w:val="22"/>
          <w:szCs w:val="24"/>
          <w:highlight w:val="none"/>
          <w14:textFill>
            <w14:solidFill>
              <w14:schemeClr w14:val="tx1"/>
            </w14:solidFill>
          </w14:textFill>
        </w:rPr>
        <w:fldChar w:fldCharType="end"/>
      </w:r>
      <w:r>
        <w:rPr>
          <w:rFonts w:eastAsia="黑体" w:cs="Times New Roman"/>
          <w:snapToGrid w:val="0"/>
          <w:color w:val="000000" w:themeColor="text1"/>
          <w:kern w:val="0"/>
          <w:sz w:val="22"/>
          <w:szCs w:val="24"/>
          <w:highlight w:val="none"/>
          <w14:textFill>
            <w14:solidFill>
              <w14:schemeClr w14:val="tx1"/>
            </w14:solidFill>
          </w14:textFill>
        </w:rPr>
        <w:noBreakHyphen/>
      </w:r>
      <w:r>
        <w:rPr>
          <w:rFonts w:eastAsia="黑体" w:cs="Times New Roman"/>
          <w:snapToGrid w:val="0"/>
          <w:color w:val="000000" w:themeColor="text1"/>
          <w:kern w:val="0"/>
          <w:sz w:val="22"/>
          <w:szCs w:val="24"/>
          <w:highlight w:val="none"/>
          <w14:textFill>
            <w14:solidFill>
              <w14:schemeClr w14:val="tx1"/>
            </w14:solidFill>
          </w14:textFill>
        </w:rPr>
        <w:fldChar w:fldCharType="begin"/>
      </w:r>
      <w:r>
        <w:rPr>
          <w:rFonts w:eastAsia="黑体" w:cs="Times New Roman"/>
          <w:snapToGrid w:val="0"/>
          <w:color w:val="000000" w:themeColor="text1"/>
          <w:kern w:val="0"/>
          <w:sz w:val="22"/>
          <w:szCs w:val="24"/>
          <w:highlight w:val="none"/>
          <w14:textFill>
            <w14:solidFill>
              <w14:schemeClr w14:val="tx1"/>
            </w14:solidFill>
          </w14:textFill>
        </w:rPr>
        <w:instrText xml:space="preserve"> </w:instrText>
      </w:r>
      <w:r>
        <w:rPr>
          <w:rFonts w:hint="eastAsia" w:eastAsia="黑体" w:cs="Times New Roman"/>
          <w:snapToGrid w:val="0"/>
          <w:color w:val="000000" w:themeColor="text1"/>
          <w:kern w:val="0"/>
          <w:sz w:val="22"/>
          <w:szCs w:val="24"/>
          <w:highlight w:val="none"/>
          <w14:textFill>
            <w14:solidFill>
              <w14:schemeClr w14:val="tx1"/>
            </w14:solidFill>
          </w14:textFill>
        </w:rPr>
        <w:instrText xml:space="preserve">SEQ 表 \* ARABIC \s 2</w:instrText>
      </w:r>
      <w:r>
        <w:rPr>
          <w:rFonts w:eastAsia="黑体" w:cs="Times New Roman"/>
          <w:snapToGrid w:val="0"/>
          <w:color w:val="000000" w:themeColor="text1"/>
          <w:kern w:val="0"/>
          <w:sz w:val="22"/>
          <w:szCs w:val="24"/>
          <w:highlight w:val="none"/>
          <w14:textFill>
            <w14:solidFill>
              <w14:schemeClr w14:val="tx1"/>
            </w14:solidFill>
          </w14:textFill>
        </w:rPr>
        <w:instrText xml:space="preserve"> </w:instrText>
      </w:r>
      <w:r>
        <w:rPr>
          <w:rFonts w:eastAsia="黑体" w:cs="Times New Roman"/>
          <w:snapToGrid w:val="0"/>
          <w:color w:val="000000" w:themeColor="text1"/>
          <w:kern w:val="0"/>
          <w:sz w:val="22"/>
          <w:szCs w:val="24"/>
          <w:highlight w:val="none"/>
          <w14:textFill>
            <w14:solidFill>
              <w14:schemeClr w14:val="tx1"/>
            </w14:solidFill>
          </w14:textFill>
        </w:rPr>
        <w:fldChar w:fldCharType="separate"/>
      </w:r>
      <w:r>
        <w:rPr>
          <w:rFonts w:eastAsia="黑体" w:cs="Times New Roman"/>
          <w:snapToGrid w:val="0"/>
          <w:color w:val="000000" w:themeColor="text1"/>
          <w:kern w:val="0"/>
          <w:sz w:val="22"/>
          <w:szCs w:val="24"/>
          <w:highlight w:val="none"/>
          <w14:textFill>
            <w14:solidFill>
              <w14:schemeClr w14:val="tx1"/>
            </w14:solidFill>
          </w14:textFill>
        </w:rPr>
        <w:t>5</w:t>
      </w:r>
      <w:r>
        <w:rPr>
          <w:rFonts w:eastAsia="黑体" w:cs="Times New Roman"/>
          <w:snapToGrid w:val="0"/>
          <w:color w:val="000000" w:themeColor="text1"/>
          <w:kern w:val="0"/>
          <w:sz w:val="22"/>
          <w:szCs w:val="24"/>
          <w:highlight w:val="none"/>
          <w14:textFill>
            <w14:solidFill>
              <w14:schemeClr w14:val="tx1"/>
            </w14:solidFill>
          </w14:textFill>
        </w:rPr>
        <w:fldChar w:fldCharType="end"/>
      </w:r>
      <w:bookmarkEnd w:id="225"/>
      <w:r>
        <w:rPr>
          <w:rFonts w:eastAsia="黑体" w:cs="Times New Roman"/>
          <w:snapToGrid w:val="0"/>
          <w:color w:val="000000" w:themeColor="text1"/>
          <w:kern w:val="0"/>
          <w:sz w:val="22"/>
          <w:szCs w:val="24"/>
          <w:highlight w:val="none"/>
          <w14:textFill>
            <w14:solidFill>
              <w14:schemeClr w14:val="tx1"/>
            </w14:solidFill>
          </w14:textFill>
        </w:rPr>
        <w:t xml:space="preserve"> </w:t>
      </w:r>
      <w:r>
        <w:rPr>
          <w:rFonts w:hint="eastAsia" w:eastAsia="黑体" w:cs="Times New Roman"/>
          <w:snapToGrid w:val="0"/>
          <w:color w:val="000000" w:themeColor="text1"/>
          <w:kern w:val="0"/>
          <w:sz w:val="22"/>
          <w:szCs w:val="24"/>
          <w:highlight w:val="none"/>
          <w14:textFill>
            <w14:solidFill>
              <w14:schemeClr w14:val="tx1"/>
            </w14:solidFill>
          </w14:textFill>
        </w:rPr>
        <w:t>地表水监测断面布设一览表</w:t>
      </w:r>
    </w:p>
    <w:tbl>
      <w:tblPr>
        <w:tblStyle w:val="37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60"/>
        <w:gridCol w:w="1811"/>
        <w:gridCol w:w="49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2" w:type="pct"/>
            <w:vAlign w:val="center"/>
          </w:tcPr>
          <w:p>
            <w:pPr>
              <w:spacing w:line="240" w:lineRule="auto"/>
              <w:ind w:firstLine="0" w:firstLineChars="0"/>
              <w:jc w:val="center"/>
              <w:rPr>
                <w:rFonts w:eastAsia="Times New Roman" w:cs="Times New Roman"/>
                <w:b/>
                <w:bCs/>
                <w:snapToGrid w:val="0"/>
                <w:color w:val="000000" w:themeColor="text1"/>
                <w:kern w:val="0"/>
                <w:sz w:val="21"/>
                <w:szCs w:val="21"/>
                <w:highlight w:val="none"/>
                <w14:textFill>
                  <w14:solidFill>
                    <w14:schemeClr w14:val="tx1"/>
                  </w14:solidFill>
                </w14:textFill>
              </w:rPr>
            </w:pPr>
            <w:r>
              <w:rPr>
                <w:rFonts w:hint="eastAsia" w:ascii="宋体" w:hAnsi="宋体" w:eastAsia="Times New Roman" w:cs="宋体"/>
                <w:b/>
                <w:bCs/>
                <w:snapToGrid w:val="0"/>
                <w:color w:val="000000" w:themeColor="text1"/>
                <w:kern w:val="0"/>
                <w:sz w:val="21"/>
                <w:szCs w:val="21"/>
                <w:highlight w:val="none"/>
                <w14:textFill>
                  <w14:solidFill>
                    <w14:schemeClr w14:val="tx1"/>
                  </w14:solidFill>
                </w14:textFill>
              </w:rPr>
              <w:t>断面编号</w:t>
            </w:r>
          </w:p>
        </w:tc>
        <w:tc>
          <w:tcPr>
            <w:tcW w:w="1062" w:type="pct"/>
            <w:vAlign w:val="center"/>
          </w:tcPr>
          <w:p>
            <w:pPr>
              <w:spacing w:line="240" w:lineRule="auto"/>
              <w:ind w:firstLine="0" w:firstLineChars="0"/>
              <w:jc w:val="center"/>
              <w:rPr>
                <w:rFonts w:eastAsia="Times New Roman" w:cs="Times New Roman"/>
                <w:b/>
                <w:bCs/>
                <w:snapToGrid w:val="0"/>
                <w:color w:val="000000" w:themeColor="text1"/>
                <w:kern w:val="0"/>
                <w:sz w:val="21"/>
                <w:szCs w:val="21"/>
                <w:highlight w:val="none"/>
                <w14:textFill>
                  <w14:solidFill>
                    <w14:schemeClr w14:val="tx1"/>
                  </w14:solidFill>
                </w14:textFill>
              </w:rPr>
            </w:pPr>
            <w:r>
              <w:rPr>
                <w:rFonts w:hint="eastAsia" w:ascii="宋体" w:hAnsi="宋体" w:eastAsia="Times New Roman" w:cs="宋体"/>
                <w:b/>
                <w:bCs/>
                <w:snapToGrid w:val="0"/>
                <w:color w:val="000000" w:themeColor="text1"/>
                <w:kern w:val="0"/>
                <w:sz w:val="21"/>
                <w:szCs w:val="21"/>
                <w:highlight w:val="none"/>
                <w14:textFill>
                  <w14:solidFill>
                    <w14:schemeClr w14:val="tx1"/>
                  </w14:solidFill>
                </w14:textFill>
              </w:rPr>
              <w:t>河流名称</w:t>
            </w:r>
          </w:p>
        </w:tc>
        <w:tc>
          <w:tcPr>
            <w:tcW w:w="2906" w:type="pct"/>
            <w:vAlign w:val="center"/>
          </w:tcPr>
          <w:p>
            <w:pPr>
              <w:spacing w:line="240" w:lineRule="auto"/>
              <w:ind w:firstLine="0" w:firstLineChars="0"/>
              <w:jc w:val="center"/>
              <w:rPr>
                <w:rFonts w:eastAsia="Times New Roman" w:cs="Times New Roman"/>
                <w:b/>
                <w:bCs/>
                <w:snapToGrid w:val="0"/>
                <w:color w:val="000000" w:themeColor="text1"/>
                <w:kern w:val="0"/>
                <w:sz w:val="21"/>
                <w:szCs w:val="21"/>
                <w:highlight w:val="none"/>
                <w14:textFill>
                  <w14:solidFill>
                    <w14:schemeClr w14:val="tx1"/>
                  </w14:solidFill>
                </w14:textFill>
              </w:rPr>
            </w:pPr>
            <w:r>
              <w:rPr>
                <w:rFonts w:hint="eastAsia" w:ascii="宋体" w:hAnsi="宋体" w:eastAsia="Times New Roman" w:cs="宋体"/>
                <w:b/>
                <w:bCs/>
                <w:snapToGrid w:val="0"/>
                <w:color w:val="000000" w:themeColor="text1"/>
                <w:kern w:val="0"/>
                <w:sz w:val="21"/>
                <w:szCs w:val="21"/>
                <w:highlight w:val="none"/>
                <w14:textFill>
                  <w14:solidFill>
                    <w14:schemeClr w14:val="tx1"/>
                  </w14:solidFill>
                </w14:textFill>
              </w:rPr>
              <w:t>断面坐标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2"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cs="Times New Roman"/>
                <w:snapToGrid w:val="0"/>
                <w:color w:val="000000" w:themeColor="text1"/>
                <w:kern w:val="0"/>
                <w:sz w:val="21"/>
                <w:szCs w:val="21"/>
                <w:highlight w:val="none"/>
                <w14:textFill>
                  <w14:solidFill>
                    <w14:schemeClr w14:val="tx1"/>
                  </w14:solidFill>
                </w14:textFill>
              </w:rPr>
              <w:t>SW1</w:t>
            </w:r>
          </w:p>
        </w:tc>
        <w:tc>
          <w:tcPr>
            <w:tcW w:w="1062"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ascii="宋体" w:hAnsi="宋体" w:eastAsia="Times New Roman" w:cs="宋体"/>
                <w:snapToGrid w:val="0"/>
                <w:color w:val="000000" w:themeColor="text1"/>
                <w:kern w:val="0"/>
                <w:sz w:val="21"/>
                <w:szCs w:val="21"/>
                <w:highlight w:val="none"/>
                <w14:textFill>
                  <w14:solidFill>
                    <w14:schemeClr w14:val="tx1"/>
                  </w14:solidFill>
                </w14:textFill>
              </w:rPr>
              <w:t>州河支流三溪河</w:t>
            </w:r>
          </w:p>
        </w:tc>
        <w:tc>
          <w:tcPr>
            <w:tcW w:w="2906"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eastAsia="Times New Roman" w:cs="Times New Roman"/>
                <w:snapToGrid w:val="0"/>
                <w:color w:val="000000" w:themeColor="text1"/>
                <w:kern w:val="0"/>
                <w:sz w:val="21"/>
                <w:szCs w:val="21"/>
                <w:highlight w:val="none"/>
                <w14:textFill>
                  <w14:solidFill>
                    <w14:schemeClr w14:val="tx1"/>
                  </w14:solidFill>
                </w14:textFill>
              </w:rPr>
              <w:t>E 103°26′19″ N 30°35′30″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2"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cs="Times New Roman"/>
                <w:snapToGrid w:val="0"/>
                <w:color w:val="000000" w:themeColor="text1"/>
                <w:kern w:val="0"/>
                <w:sz w:val="21"/>
                <w:szCs w:val="21"/>
                <w:highlight w:val="none"/>
                <w14:textFill>
                  <w14:solidFill>
                    <w14:schemeClr w14:val="tx1"/>
                  </w14:solidFill>
                </w14:textFill>
              </w:rPr>
              <w:t>SW2</w:t>
            </w:r>
          </w:p>
        </w:tc>
        <w:tc>
          <w:tcPr>
            <w:tcW w:w="1062"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ascii="宋体" w:hAnsi="宋体" w:eastAsia="Times New Roman" w:cs="宋体"/>
                <w:snapToGrid w:val="0"/>
                <w:color w:val="000000" w:themeColor="text1"/>
                <w:kern w:val="0"/>
                <w:sz w:val="21"/>
                <w:szCs w:val="21"/>
                <w:highlight w:val="none"/>
                <w14:textFill>
                  <w14:solidFill>
                    <w14:schemeClr w14:val="tx1"/>
                  </w14:solidFill>
                </w14:textFill>
              </w:rPr>
              <w:t>魏家河</w:t>
            </w:r>
          </w:p>
        </w:tc>
        <w:tc>
          <w:tcPr>
            <w:tcW w:w="2906"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eastAsia="Times New Roman" w:cs="Times New Roman"/>
                <w:snapToGrid w:val="0"/>
                <w:color w:val="000000" w:themeColor="text1"/>
                <w:kern w:val="0"/>
                <w:sz w:val="21"/>
                <w:szCs w:val="21"/>
                <w:highlight w:val="none"/>
                <w14:textFill>
                  <w14:solidFill>
                    <w14:schemeClr w14:val="tx1"/>
                  </w14:solidFill>
                </w14:textFill>
              </w:rPr>
              <w:t>E 103°28′53″ N 30°37′08″</w:t>
            </w:r>
          </w:p>
        </w:tc>
      </w:tr>
    </w:tbl>
    <w:p>
      <w:pPr>
        <w:keepNext/>
        <w:spacing w:before="120" w:beforeLines="50"/>
        <w:ind w:firstLine="482"/>
        <w:jc w:val="left"/>
        <w:rPr>
          <w:rFonts w:cs="Times New Roman"/>
          <w:b/>
          <w:snapToGrid w:val="0"/>
          <w:color w:val="000000" w:themeColor="text1"/>
          <w:kern w:val="0"/>
          <w:szCs w:val="24"/>
          <w:highlight w:val="none"/>
          <w:lang w:val="zh-CN"/>
          <w14:textFill>
            <w14:solidFill>
              <w14:schemeClr w14:val="tx1"/>
            </w14:solidFill>
          </w14:textFill>
        </w:rPr>
      </w:pPr>
      <w:r>
        <w:rPr>
          <w:rFonts w:hint="eastAsia" w:cs="Times New Roman"/>
          <w:b/>
          <w:snapToGrid w:val="0"/>
          <w:color w:val="000000" w:themeColor="text1"/>
          <w:kern w:val="0"/>
          <w:szCs w:val="24"/>
          <w:highlight w:val="none"/>
          <w:lang w:val="zh-CN"/>
          <w14:textFill>
            <w14:solidFill>
              <w14:schemeClr w14:val="tx1"/>
            </w14:solidFill>
          </w14:textFill>
        </w:rPr>
        <w:t>（2）</w:t>
      </w:r>
      <w:r>
        <w:rPr>
          <w:rFonts w:cs="Times New Roman"/>
          <w:b/>
          <w:snapToGrid w:val="0"/>
          <w:color w:val="000000" w:themeColor="text1"/>
          <w:kern w:val="0"/>
          <w:szCs w:val="24"/>
          <w:highlight w:val="none"/>
          <w:lang w:val="zh-CN"/>
          <w14:textFill>
            <w14:solidFill>
              <w14:schemeClr w14:val="tx1"/>
            </w14:solidFill>
          </w14:textFill>
        </w:rPr>
        <w:t>监测项目</w:t>
      </w:r>
    </w:p>
    <w:p>
      <w:pPr>
        <w:widowControl/>
        <w:ind w:firstLine="480"/>
        <w:jc w:val="left"/>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pH、水温、悬浮物、化学需氧量（COD</w:t>
      </w:r>
      <w:r>
        <w:rPr>
          <w:rFonts w:cs="Times New Roman"/>
          <w:color w:val="000000" w:themeColor="text1"/>
          <w:kern w:val="0"/>
          <w:szCs w:val="24"/>
          <w:highlight w:val="none"/>
          <w:vertAlign w:val="subscript"/>
          <w14:textFill>
            <w14:solidFill>
              <w14:schemeClr w14:val="tx1"/>
            </w14:solidFill>
          </w14:textFill>
        </w:rPr>
        <w:t>Cr</w:t>
      </w:r>
      <w:r>
        <w:rPr>
          <w:rFonts w:cs="Times New Roman"/>
          <w:color w:val="000000" w:themeColor="text1"/>
          <w:kern w:val="0"/>
          <w:szCs w:val="24"/>
          <w:highlight w:val="none"/>
          <w14:textFill>
            <w14:solidFill>
              <w14:schemeClr w14:val="tx1"/>
            </w14:solidFill>
          </w14:textFill>
        </w:rPr>
        <w:t>）、五日生化需氧量（BOD</w:t>
      </w:r>
      <w:r>
        <w:rPr>
          <w:rFonts w:cs="Times New Roman"/>
          <w:color w:val="000000" w:themeColor="text1"/>
          <w:kern w:val="0"/>
          <w:szCs w:val="24"/>
          <w:highlight w:val="none"/>
          <w:vertAlign w:val="subscript"/>
          <w14:textFill>
            <w14:solidFill>
              <w14:schemeClr w14:val="tx1"/>
            </w14:solidFill>
          </w14:textFill>
        </w:rPr>
        <w:t>5</w:t>
      </w:r>
      <w:r>
        <w:rPr>
          <w:rFonts w:cs="Times New Roman"/>
          <w:color w:val="000000" w:themeColor="text1"/>
          <w:kern w:val="0"/>
          <w:szCs w:val="24"/>
          <w:highlight w:val="none"/>
          <w14:textFill>
            <w14:solidFill>
              <w14:schemeClr w14:val="tx1"/>
            </w14:solidFill>
          </w14:textFill>
        </w:rPr>
        <w:t>）、氨氮（NH</w:t>
      </w:r>
      <w:r>
        <w:rPr>
          <w:rFonts w:cs="Times New Roman"/>
          <w:color w:val="000000" w:themeColor="text1"/>
          <w:kern w:val="0"/>
          <w:szCs w:val="24"/>
          <w:highlight w:val="none"/>
          <w:vertAlign w:val="subscript"/>
          <w14:textFill>
            <w14:solidFill>
              <w14:schemeClr w14:val="tx1"/>
            </w14:solidFill>
          </w14:textFill>
        </w:rPr>
        <w:t>3</w:t>
      </w:r>
      <w:r>
        <w:rPr>
          <w:rFonts w:cs="Times New Roman"/>
          <w:color w:val="000000" w:themeColor="text1"/>
          <w:kern w:val="0"/>
          <w:szCs w:val="24"/>
          <w:highlight w:val="none"/>
          <w14:textFill>
            <w14:solidFill>
              <w14:schemeClr w14:val="tx1"/>
            </w14:solidFill>
          </w14:textFill>
        </w:rPr>
        <w:t>-N）、硫化物、挥发酚、石油类、氯化物、</w:t>
      </w:r>
      <w:r>
        <w:rPr>
          <w:rFonts w:hint="eastAsia" w:cs="Times New Roman"/>
          <w:color w:val="000000" w:themeColor="text1"/>
          <w:kern w:val="0"/>
          <w:szCs w:val="24"/>
          <w:highlight w:val="none"/>
          <w14:textFill>
            <w14:solidFill>
              <w14:schemeClr w14:val="tx1"/>
            </w14:solidFill>
          </w14:textFill>
        </w:rPr>
        <w:t>硫化物</w:t>
      </w:r>
      <w:r>
        <w:rPr>
          <w:rFonts w:cs="Times New Roman"/>
          <w:color w:val="000000" w:themeColor="text1"/>
          <w:kern w:val="0"/>
          <w:szCs w:val="24"/>
          <w:highlight w:val="none"/>
          <w14:textFill>
            <w14:solidFill>
              <w14:schemeClr w14:val="tx1"/>
            </w14:solidFill>
          </w14:textFill>
        </w:rPr>
        <w:t>。</w:t>
      </w:r>
    </w:p>
    <w:p>
      <w:pPr>
        <w:keepNext/>
        <w:ind w:firstLine="482"/>
        <w:jc w:val="left"/>
        <w:rPr>
          <w:rFonts w:cs="Times New Roman"/>
          <w:b/>
          <w:snapToGrid w:val="0"/>
          <w:color w:val="000000" w:themeColor="text1"/>
          <w:kern w:val="0"/>
          <w:szCs w:val="24"/>
          <w:highlight w:val="none"/>
          <w:lang w:val="zh-CN"/>
          <w14:textFill>
            <w14:solidFill>
              <w14:schemeClr w14:val="tx1"/>
            </w14:solidFill>
          </w14:textFill>
        </w:rPr>
      </w:pPr>
      <w:r>
        <w:rPr>
          <w:rFonts w:cs="Times New Roman"/>
          <w:b/>
          <w:snapToGrid w:val="0"/>
          <w:color w:val="000000" w:themeColor="text1"/>
          <w:kern w:val="0"/>
          <w:szCs w:val="24"/>
          <w:highlight w:val="none"/>
          <w:lang w:val="zh-CN"/>
          <w14:textFill>
            <w14:solidFill>
              <w14:schemeClr w14:val="tx1"/>
            </w14:solidFill>
          </w14:textFill>
        </w:rPr>
        <w:t>（3）监测时间及频率</w:t>
      </w:r>
    </w:p>
    <w:p>
      <w:pPr>
        <w:widowControl/>
        <w:ind w:firstLine="480"/>
        <w:jc w:val="left"/>
        <w:rPr>
          <w:rFonts w:cs="Times New Roman"/>
          <w:b/>
          <w:color w:val="000000" w:themeColor="text1"/>
          <w:kern w:val="0"/>
          <w:sz w:val="28"/>
          <w:szCs w:val="28"/>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现状监测时间202</w:t>
      </w:r>
      <w:r>
        <w:rPr>
          <w:rFonts w:hint="eastAsia" w:cs="Times New Roman"/>
          <w:color w:val="000000" w:themeColor="text1"/>
          <w:kern w:val="0"/>
          <w:szCs w:val="24"/>
          <w:highlight w:val="none"/>
          <w14:textFill>
            <w14:solidFill>
              <w14:schemeClr w14:val="tx1"/>
            </w14:solidFill>
          </w14:textFill>
        </w:rPr>
        <w:t>4</w:t>
      </w:r>
      <w:r>
        <w:rPr>
          <w:rFonts w:cs="Times New Roman"/>
          <w:color w:val="000000" w:themeColor="text1"/>
          <w:kern w:val="0"/>
          <w:szCs w:val="24"/>
          <w:highlight w:val="none"/>
          <w14:textFill>
            <w14:solidFill>
              <w14:schemeClr w14:val="tx1"/>
            </w14:solidFill>
          </w14:textFill>
        </w:rPr>
        <w:t>年</w:t>
      </w:r>
      <w:r>
        <w:rPr>
          <w:rFonts w:hint="eastAsia" w:cs="Times New Roman"/>
          <w:color w:val="000000" w:themeColor="text1"/>
          <w:kern w:val="0"/>
          <w:szCs w:val="24"/>
          <w:highlight w:val="none"/>
          <w14:textFill>
            <w14:solidFill>
              <w14:schemeClr w14:val="tx1"/>
            </w14:solidFill>
          </w14:textFill>
        </w:rPr>
        <w:t>3</w:t>
      </w:r>
      <w:r>
        <w:rPr>
          <w:rFonts w:cs="Times New Roman"/>
          <w:color w:val="000000" w:themeColor="text1"/>
          <w:kern w:val="0"/>
          <w:szCs w:val="24"/>
          <w:highlight w:val="none"/>
          <w14:textFill>
            <w14:solidFill>
              <w14:schemeClr w14:val="tx1"/>
            </w14:solidFill>
          </w14:textFill>
        </w:rPr>
        <w:t>月</w:t>
      </w:r>
      <w:r>
        <w:rPr>
          <w:rFonts w:hint="eastAsia" w:cs="Times New Roman"/>
          <w:color w:val="000000" w:themeColor="text1"/>
          <w:kern w:val="0"/>
          <w:szCs w:val="24"/>
          <w:highlight w:val="none"/>
          <w14:textFill>
            <w14:solidFill>
              <w14:schemeClr w14:val="tx1"/>
            </w14:solidFill>
          </w14:textFill>
        </w:rPr>
        <w:t>3</w:t>
      </w:r>
      <w:r>
        <w:rPr>
          <w:rFonts w:cs="Times New Roman"/>
          <w:color w:val="000000" w:themeColor="text1"/>
          <w:kern w:val="0"/>
          <w:szCs w:val="24"/>
          <w:highlight w:val="none"/>
          <w14:textFill>
            <w14:solidFill>
              <w14:schemeClr w14:val="tx1"/>
            </w14:solidFill>
          </w14:textFill>
        </w:rPr>
        <w:t>日</w:t>
      </w:r>
      <w:r>
        <w:rPr>
          <w:rFonts w:hint="eastAsia" w:cs="Times New Roman"/>
          <w:color w:val="000000" w:themeColor="text1"/>
          <w:kern w:val="0"/>
          <w:szCs w:val="24"/>
          <w:highlight w:val="none"/>
          <w14:textFill>
            <w14:solidFill>
              <w14:schemeClr w14:val="tx1"/>
            </w14:solidFill>
          </w14:textFill>
        </w:rPr>
        <w:t>～5</w:t>
      </w:r>
      <w:r>
        <w:rPr>
          <w:rFonts w:cs="Times New Roman"/>
          <w:color w:val="000000" w:themeColor="text1"/>
          <w:kern w:val="0"/>
          <w:szCs w:val="24"/>
          <w:highlight w:val="none"/>
          <w14:textFill>
            <w14:solidFill>
              <w14:schemeClr w14:val="tx1"/>
            </w14:solidFill>
          </w14:textFill>
        </w:rPr>
        <w:t>日，各断面连续监测3天，每天各断面采混合样1个。</w:t>
      </w:r>
    </w:p>
    <w:p>
      <w:pPr>
        <w:keepNext/>
        <w:ind w:firstLine="482"/>
        <w:jc w:val="left"/>
        <w:rPr>
          <w:rFonts w:cs="Times New Roman"/>
          <w:b/>
          <w:snapToGrid w:val="0"/>
          <w:color w:val="000000" w:themeColor="text1"/>
          <w:kern w:val="0"/>
          <w:szCs w:val="24"/>
          <w:highlight w:val="none"/>
          <w:lang w:val="zh-CN"/>
          <w14:textFill>
            <w14:solidFill>
              <w14:schemeClr w14:val="tx1"/>
            </w14:solidFill>
          </w14:textFill>
        </w:rPr>
      </w:pPr>
      <w:r>
        <w:rPr>
          <w:rFonts w:cs="Times New Roman"/>
          <w:b/>
          <w:snapToGrid w:val="0"/>
          <w:color w:val="000000" w:themeColor="text1"/>
          <w:kern w:val="0"/>
          <w:szCs w:val="24"/>
          <w:highlight w:val="none"/>
          <w:lang w:val="zh-CN"/>
          <w14:textFill>
            <w14:solidFill>
              <w14:schemeClr w14:val="tx1"/>
            </w14:solidFill>
          </w14:textFill>
        </w:rPr>
        <w:t>（4）评价标准</w:t>
      </w:r>
    </w:p>
    <w:p>
      <w:pPr>
        <w:widowControl/>
        <w:ind w:firstLine="480"/>
        <w:jc w:val="left"/>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本</w:t>
      </w:r>
      <w:r>
        <w:rPr>
          <w:rFonts w:cs="Times New Roman"/>
          <w:color w:val="000000" w:themeColor="text1"/>
          <w:kern w:val="0"/>
          <w:szCs w:val="24"/>
          <w:highlight w:val="none"/>
          <w14:textFill>
            <w14:solidFill>
              <w14:schemeClr w14:val="tx1"/>
            </w14:solidFill>
          </w14:textFill>
        </w:rPr>
        <w:t>项目氯化物</w:t>
      </w:r>
      <w:r>
        <w:rPr>
          <w:rFonts w:hint="eastAsia" w:cs="Times New Roman"/>
          <w:color w:val="000000" w:themeColor="text1"/>
          <w:kern w:val="0"/>
          <w:szCs w:val="24"/>
          <w:highlight w:val="none"/>
          <w14:textFill>
            <w14:solidFill>
              <w14:schemeClr w14:val="tx1"/>
            </w14:solidFill>
          </w14:textFill>
        </w:rPr>
        <w:t>按照</w:t>
      </w:r>
      <w:r>
        <w:rPr>
          <w:rFonts w:cs="Times New Roman"/>
          <w:color w:val="000000" w:themeColor="text1"/>
          <w:kern w:val="0"/>
          <w:szCs w:val="24"/>
          <w:highlight w:val="none"/>
          <w14:textFill>
            <w14:solidFill>
              <w14:schemeClr w14:val="tx1"/>
            </w14:solidFill>
          </w14:textFill>
        </w:rPr>
        <w:t>《地表水环境质量标准》（GB3838-2002）表2的标准限值</w:t>
      </w:r>
      <w:r>
        <w:rPr>
          <w:rFonts w:hint="eastAsia" w:cs="Times New Roman"/>
          <w:color w:val="000000" w:themeColor="text1"/>
          <w:kern w:val="0"/>
          <w:szCs w:val="24"/>
          <w:highlight w:val="none"/>
          <w14:textFill>
            <w14:solidFill>
              <w14:schemeClr w14:val="tx1"/>
            </w14:solidFill>
          </w14:textFill>
        </w:rPr>
        <w:t>进行评价，其他指标</w:t>
      </w:r>
      <w:r>
        <w:rPr>
          <w:rFonts w:cs="Times New Roman"/>
          <w:color w:val="000000" w:themeColor="text1"/>
          <w:kern w:val="0"/>
          <w:szCs w:val="24"/>
          <w:highlight w:val="none"/>
          <w14:textFill>
            <w14:solidFill>
              <w14:schemeClr w14:val="tx1"/>
            </w14:solidFill>
          </w14:textFill>
        </w:rPr>
        <w:t>按照《地表水环境质量标准》（GB3838-2002）表1中</w:t>
      </w:r>
      <w:r>
        <w:rPr>
          <w:rFonts w:cs="Times New Roman"/>
          <w:color w:val="000000" w:themeColor="text1"/>
          <w:kern w:val="0"/>
          <w:szCs w:val="24"/>
          <w:highlight w:val="none"/>
          <w14:textFill>
            <w14:solidFill>
              <w14:schemeClr w14:val="tx1"/>
            </w14:solidFill>
          </w14:textFill>
        </w:rPr>
        <w:fldChar w:fldCharType="begin"/>
      </w:r>
      <w:r>
        <w:rPr>
          <w:rFonts w:cs="Times New Roman"/>
          <w:color w:val="000000" w:themeColor="text1"/>
          <w:kern w:val="0"/>
          <w:szCs w:val="24"/>
          <w:highlight w:val="none"/>
          <w14:textFill>
            <w14:solidFill>
              <w14:schemeClr w14:val="tx1"/>
            </w14:solidFill>
          </w14:textFill>
        </w:rPr>
        <w:instrText xml:space="preserve"> </w:instrText>
      </w:r>
      <w:r>
        <w:rPr>
          <w:rFonts w:hint="eastAsia" w:cs="Times New Roman"/>
          <w:color w:val="000000" w:themeColor="text1"/>
          <w:kern w:val="0"/>
          <w:szCs w:val="24"/>
          <w:highlight w:val="none"/>
          <w14:textFill>
            <w14:solidFill>
              <w14:schemeClr w14:val="tx1"/>
            </w14:solidFill>
          </w14:textFill>
        </w:rPr>
        <w:instrText xml:space="preserve">= 3 \* ROMAN</w:instrText>
      </w:r>
      <w:r>
        <w:rPr>
          <w:rFonts w:cs="Times New Roman"/>
          <w:color w:val="000000" w:themeColor="text1"/>
          <w:kern w:val="0"/>
          <w:szCs w:val="24"/>
          <w:highlight w:val="none"/>
          <w14:textFill>
            <w14:solidFill>
              <w14:schemeClr w14:val="tx1"/>
            </w14:solidFill>
          </w14:textFill>
        </w:rPr>
        <w:instrText xml:space="preserve"> </w:instrText>
      </w:r>
      <w:r>
        <w:rPr>
          <w:rFonts w:cs="Times New Roman"/>
          <w:color w:val="000000" w:themeColor="text1"/>
          <w:kern w:val="0"/>
          <w:szCs w:val="24"/>
          <w:highlight w:val="none"/>
          <w14:textFill>
            <w14:solidFill>
              <w14:schemeClr w14:val="tx1"/>
            </w14:solidFill>
          </w14:textFill>
        </w:rPr>
        <w:fldChar w:fldCharType="separate"/>
      </w:r>
      <w:r>
        <w:rPr>
          <w:rFonts w:cs="Times New Roman"/>
          <w:color w:val="000000" w:themeColor="text1"/>
          <w:kern w:val="0"/>
          <w:szCs w:val="24"/>
          <w:highlight w:val="none"/>
          <w14:textFill>
            <w14:solidFill>
              <w14:schemeClr w14:val="tx1"/>
            </w14:solidFill>
          </w14:textFill>
        </w:rPr>
        <w:t>III</w:t>
      </w:r>
      <w:r>
        <w:rPr>
          <w:rFonts w:cs="Times New Roman"/>
          <w:color w:val="000000" w:themeColor="text1"/>
          <w:kern w:val="0"/>
          <w:szCs w:val="24"/>
          <w:highlight w:val="none"/>
          <w14:textFill>
            <w14:solidFill>
              <w14:schemeClr w14:val="tx1"/>
            </w14:solidFill>
          </w14:textFill>
        </w:rPr>
        <w:fldChar w:fldCharType="end"/>
      </w:r>
      <w:r>
        <w:rPr>
          <w:rFonts w:cs="Times New Roman"/>
          <w:color w:val="000000" w:themeColor="text1"/>
          <w:kern w:val="0"/>
          <w:szCs w:val="24"/>
          <w:highlight w:val="none"/>
          <w14:textFill>
            <w14:solidFill>
              <w14:schemeClr w14:val="tx1"/>
            </w14:solidFill>
          </w14:textFill>
        </w:rPr>
        <w:t>类标准限值进行评价。</w:t>
      </w:r>
    </w:p>
    <w:p>
      <w:pPr>
        <w:keepNext/>
        <w:ind w:firstLine="482"/>
        <w:jc w:val="left"/>
        <w:rPr>
          <w:rFonts w:cs="Times New Roman"/>
          <w:b/>
          <w:snapToGrid w:val="0"/>
          <w:color w:val="000000" w:themeColor="text1"/>
          <w:kern w:val="0"/>
          <w:szCs w:val="24"/>
          <w:highlight w:val="none"/>
          <w:lang w:val="zh-CN"/>
          <w14:textFill>
            <w14:solidFill>
              <w14:schemeClr w14:val="tx1"/>
            </w14:solidFill>
          </w14:textFill>
        </w:rPr>
      </w:pPr>
      <w:r>
        <w:rPr>
          <w:rFonts w:cs="Times New Roman"/>
          <w:b/>
          <w:snapToGrid w:val="0"/>
          <w:color w:val="000000" w:themeColor="text1"/>
          <w:kern w:val="0"/>
          <w:szCs w:val="24"/>
          <w:highlight w:val="none"/>
          <w:lang w:val="zh-CN"/>
          <w14:textFill>
            <w14:solidFill>
              <w14:schemeClr w14:val="tx1"/>
            </w14:solidFill>
          </w14:textFill>
        </w:rPr>
        <w:t>（5）监测结果</w:t>
      </w:r>
    </w:p>
    <w:p>
      <w:pPr>
        <w:widowControl/>
        <w:ind w:firstLine="480"/>
        <w:jc w:val="left"/>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本项目评价范围内地表水的现状监测结果见</w:t>
      </w:r>
      <w:r>
        <w:rPr>
          <w:rFonts w:cs="Times New Roman"/>
          <w:color w:val="000000" w:themeColor="text1"/>
          <w:kern w:val="0"/>
          <w:szCs w:val="24"/>
          <w:highlight w:val="none"/>
          <w14:textFill>
            <w14:solidFill>
              <w14:schemeClr w14:val="tx1"/>
            </w14:solidFill>
          </w14:textFill>
        </w:rPr>
        <w:fldChar w:fldCharType="begin"/>
      </w:r>
      <w:r>
        <w:rPr>
          <w:rFonts w:cs="Times New Roman"/>
          <w:color w:val="000000" w:themeColor="text1"/>
          <w:kern w:val="0"/>
          <w:szCs w:val="24"/>
          <w:highlight w:val="none"/>
          <w14:textFill>
            <w14:solidFill>
              <w14:schemeClr w14:val="tx1"/>
            </w14:solidFill>
          </w14:textFill>
        </w:rPr>
        <w:instrText xml:space="preserve"> REF _Ref140499017 \h  \* MERGEFORMAT </w:instrText>
      </w:r>
      <w:r>
        <w:rPr>
          <w:rFonts w:cs="Times New Roman"/>
          <w:color w:val="000000" w:themeColor="text1"/>
          <w:kern w:val="0"/>
          <w:szCs w:val="24"/>
          <w:highlight w:val="none"/>
          <w14:textFill>
            <w14:solidFill>
              <w14:schemeClr w14:val="tx1"/>
            </w14:solidFill>
          </w14:textFill>
        </w:rPr>
        <w:fldChar w:fldCharType="separate"/>
      </w:r>
      <w:r>
        <w:rPr>
          <w:rFonts w:hint="eastAsia" w:cs="Times New Roman"/>
          <w:color w:val="000000" w:themeColor="text1"/>
          <w:kern w:val="0"/>
          <w:szCs w:val="24"/>
          <w:highlight w:val="none"/>
          <w14:textFill>
            <w14:solidFill>
              <w14:schemeClr w14:val="tx1"/>
            </w14:solidFill>
          </w14:textFill>
        </w:rPr>
        <w:t>表</w:t>
      </w:r>
      <w:r>
        <w:rPr>
          <w:rFonts w:cs="Times New Roman"/>
          <w:color w:val="000000" w:themeColor="text1"/>
          <w:kern w:val="0"/>
          <w:szCs w:val="24"/>
          <w:highlight w:val="none"/>
          <w14:textFill>
            <w14:solidFill>
              <w14:schemeClr w14:val="tx1"/>
            </w14:solidFill>
          </w14:textFill>
        </w:rPr>
        <w:t>4.2</w:t>
      </w:r>
      <w:r>
        <w:rPr>
          <w:rFonts w:cs="Times New Roman"/>
          <w:color w:val="000000" w:themeColor="text1"/>
          <w:kern w:val="0"/>
          <w:szCs w:val="24"/>
          <w:highlight w:val="none"/>
          <w14:textFill>
            <w14:solidFill>
              <w14:schemeClr w14:val="tx1"/>
            </w14:solidFill>
          </w14:textFill>
        </w:rPr>
        <w:noBreakHyphen/>
      </w:r>
      <w:r>
        <w:rPr>
          <w:rFonts w:cs="Times New Roman"/>
          <w:color w:val="000000" w:themeColor="text1"/>
          <w:kern w:val="0"/>
          <w:szCs w:val="24"/>
          <w:highlight w:val="none"/>
          <w14:textFill>
            <w14:solidFill>
              <w14:schemeClr w14:val="tx1"/>
            </w14:solidFill>
          </w14:textFill>
        </w:rPr>
        <w:t>6</w:t>
      </w:r>
      <w:r>
        <w:rPr>
          <w:rFonts w:cs="Times New Roman"/>
          <w:color w:val="000000" w:themeColor="text1"/>
          <w:kern w:val="0"/>
          <w:szCs w:val="24"/>
          <w:highlight w:val="none"/>
          <w14:textFill>
            <w14:solidFill>
              <w14:schemeClr w14:val="tx1"/>
            </w14:solidFill>
          </w14:textFill>
        </w:rPr>
        <w:fldChar w:fldCharType="end"/>
      </w:r>
      <w:r>
        <w:rPr>
          <w:rFonts w:cs="Times New Roman"/>
          <w:color w:val="000000" w:themeColor="text1"/>
          <w:kern w:val="0"/>
          <w:szCs w:val="24"/>
          <w:highlight w:val="none"/>
          <w14:textFill>
            <w14:solidFill>
              <w14:schemeClr w14:val="tx1"/>
            </w14:solidFill>
          </w14:textFill>
        </w:rPr>
        <w:t>。</w:t>
      </w:r>
    </w:p>
    <w:p>
      <w:pPr>
        <w:keepNext/>
        <w:widowControl/>
        <w:spacing w:before="120" w:beforeLines="50" w:line="240" w:lineRule="auto"/>
        <w:ind w:firstLine="0" w:firstLineChars="0"/>
        <w:jc w:val="center"/>
        <w:rPr>
          <w:rFonts w:eastAsia="黑体" w:cs="Times New Roman"/>
          <w:snapToGrid w:val="0"/>
          <w:color w:val="000000" w:themeColor="text1"/>
          <w:kern w:val="0"/>
          <w:sz w:val="22"/>
          <w:szCs w:val="24"/>
          <w:highlight w:val="none"/>
          <w14:textFill>
            <w14:solidFill>
              <w14:schemeClr w14:val="tx1"/>
            </w14:solidFill>
          </w14:textFill>
        </w:rPr>
      </w:pPr>
      <w:bookmarkStart w:id="226" w:name="_Ref140499017"/>
      <w:r>
        <w:rPr>
          <w:rFonts w:hint="eastAsia" w:eastAsia="黑体" w:cs="Times New Roman"/>
          <w:snapToGrid w:val="0"/>
          <w:color w:val="000000" w:themeColor="text1"/>
          <w:kern w:val="0"/>
          <w:sz w:val="22"/>
          <w:szCs w:val="24"/>
          <w:highlight w:val="none"/>
          <w14:textFill>
            <w14:solidFill>
              <w14:schemeClr w14:val="tx1"/>
            </w14:solidFill>
          </w14:textFill>
        </w:rPr>
        <w:t>表</w:t>
      </w:r>
      <w:r>
        <w:rPr>
          <w:rFonts w:eastAsia="黑体" w:cs="Times New Roman"/>
          <w:snapToGrid w:val="0"/>
          <w:color w:val="000000" w:themeColor="text1"/>
          <w:kern w:val="0"/>
          <w:sz w:val="22"/>
          <w:szCs w:val="24"/>
          <w:highlight w:val="none"/>
          <w14:textFill>
            <w14:solidFill>
              <w14:schemeClr w14:val="tx1"/>
            </w14:solidFill>
          </w14:textFill>
        </w:rPr>
        <w:fldChar w:fldCharType="begin"/>
      </w:r>
      <w:r>
        <w:rPr>
          <w:rFonts w:eastAsia="黑体" w:cs="Times New Roman"/>
          <w:snapToGrid w:val="0"/>
          <w:color w:val="000000" w:themeColor="text1"/>
          <w:kern w:val="0"/>
          <w:sz w:val="22"/>
          <w:szCs w:val="24"/>
          <w:highlight w:val="none"/>
          <w14:textFill>
            <w14:solidFill>
              <w14:schemeClr w14:val="tx1"/>
            </w14:solidFill>
          </w14:textFill>
        </w:rPr>
        <w:instrText xml:space="preserve"> </w:instrText>
      </w:r>
      <w:r>
        <w:rPr>
          <w:rFonts w:hint="eastAsia" w:eastAsia="黑体" w:cs="Times New Roman"/>
          <w:snapToGrid w:val="0"/>
          <w:color w:val="000000" w:themeColor="text1"/>
          <w:kern w:val="0"/>
          <w:sz w:val="22"/>
          <w:szCs w:val="24"/>
          <w:highlight w:val="none"/>
          <w14:textFill>
            <w14:solidFill>
              <w14:schemeClr w14:val="tx1"/>
            </w14:solidFill>
          </w14:textFill>
        </w:rPr>
        <w:instrText xml:space="preserve">STYLEREF 2 \s</w:instrText>
      </w:r>
      <w:r>
        <w:rPr>
          <w:rFonts w:eastAsia="黑体" w:cs="Times New Roman"/>
          <w:snapToGrid w:val="0"/>
          <w:color w:val="000000" w:themeColor="text1"/>
          <w:kern w:val="0"/>
          <w:sz w:val="22"/>
          <w:szCs w:val="24"/>
          <w:highlight w:val="none"/>
          <w14:textFill>
            <w14:solidFill>
              <w14:schemeClr w14:val="tx1"/>
            </w14:solidFill>
          </w14:textFill>
        </w:rPr>
        <w:instrText xml:space="preserve"> </w:instrText>
      </w:r>
      <w:r>
        <w:rPr>
          <w:rFonts w:eastAsia="黑体" w:cs="Times New Roman"/>
          <w:snapToGrid w:val="0"/>
          <w:color w:val="000000" w:themeColor="text1"/>
          <w:kern w:val="0"/>
          <w:sz w:val="22"/>
          <w:szCs w:val="24"/>
          <w:highlight w:val="none"/>
          <w14:textFill>
            <w14:solidFill>
              <w14:schemeClr w14:val="tx1"/>
            </w14:solidFill>
          </w14:textFill>
        </w:rPr>
        <w:fldChar w:fldCharType="separate"/>
      </w:r>
      <w:r>
        <w:rPr>
          <w:rFonts w:eastAsia="黑体" w:cs="Times New Roman"/>
          <w:snapToGrid w:val="0"/>
          <w:color w:val="000000" w:themeColor="text1"/>
          <w:kern w:val="0"/>
          <w:sz w:val="22"/>
          <w:szCs w:val="24"/>
          <w:highlight w:val="none"/>
          <w14:textFill>
            <w14:solidFill>
              <w14:schemeClr w14:val="tx1"/>
            </w14:solidFill>
          </w14:textFill>
        </w:rPr>
        <w:t>4.2</w:t>
      </w:r>
      <w:r>
        <w:rPr>
          <w:rFonts w:eastAsia="黑体" w:cs="Times New Roman"/>
          <w:snapToGrid w:val="0"/>
          <w:color w:val="000000" w:themeColor="text1"/>
          <w:kern w:val="0"/>
          <w:sz w:val="22"/>
          <w:szCs w:val="24"/>
          <w:highlight w:val="none"/>
          <w14:textFill>
            <w14:solidFill>
              <w14:schemeClr w14:val="tx1"/>
            </w14:solidFill>
          </w14:textFill>
        </w:rPr>
        <w:fldChar w:fldCharType="end"/>
      </w:r>
      <w:r>
        <w:rPr>
          <w:rFonts w:eastAsia="黑体" w:cs="Times New Roman"/>
          <w:snapToGrid w:val="0"/>
          <w:color w:val="000000" w:themeColor="text1"/>
          <w:kern w:val="0"/>
          <w:sz w:val="22"/>
          <w:szCs w:val="24"/>
          <w:highlight w:val="none"/>
          <w14:textFill>
            <w14:solidFill>
              <w14:schemeClr w14:val="tx1"/>
            </w14:solidFill>
          </w14:textFill>
        </w:rPr>
        <w:noBreakHyphen/>
      </w:r>
      <w:r>
        <w:rPr>
          <w:rFonts w:eastAsia="黑体" w:cs="Times New Roman"/>
          <w:snapToGrid w:val="0"/>
          <w:color w:val="000000" w:themeColor="text1"/>
          <w:kern w:val="0"/>
          <w:sz w:val="22"/>
          <w:szCs w:val="24"/>
          <w:highlight w:val="none"/>
          <w14:textFill>
            <w14:solidFill>
              <w14:schemeClr w14:val="tx1"/>
            </w14:solidFill>
          </w14:textFill>
        </w:rPr>
        <w:fldChar w:fldCharType="begin"/>
      </w:r>
      <w:r>
        <w:rPr>
          <w:rFonts w:eastAsia="黑体" w:cs="Times New Roman"/>
          <w:snapToGrid w:val="0"/>
          <w:color w:val="000000" w:themeColor="text1"/>
          <w:kern w:val="0"/>
          <w:sz w:val="22"/>
          <w:szCs w:val="24"/>
          <w:highlight w:val="none"/>
          <w14:textFill>
            <w14:solidFill>
              <w14:schemeClr w14:val="tx1"/>
            </w14:solidFill>
          </w14:textFill>
        </w:rPr>
        <w:instrText xml:space="preserve"> </w:instrText>
      </w:r>
      <w:r>
        <w:rPr>
          <w:rFonts w:hint="eastAsia" w:eastAsia="黑体" w:cs="Times New Roman"/>
          <w:snapToGrid w:val="0"/>
          <w:color w:val="000000" w:themeColor="text1"/>
          <w:kern w:val="0"/>
          <w:sz w:val="22"/>
          <w:szCs w:val="24"/>
          <w:highlight w:val="none"/>
          <w14:textFill>
            <w14:solidFill>
              <w14:schemeClr w14:val="tx1"/>
            </w14:solidFill>
          </w14:textFill>
        </w:rPr>
        <w:instrText xml:space="preserve">SEQ 表 \* ARABIC \s 2</w:instrText>
      </w:r>
      <w:r>
        <w:rPr>
          <w:rFonts w:eastAsia="黑体" w:cs="Times New Roman"/>
          <w:snapToGrid w:val="0"/>
          <w:color w:val="000000" w:themeColor="text1"/>
          <w:kern w:val="0"/>
          <w:sz w:val="22"/>
          <w:szCs w:val="24"/>
          <w:highlight w:val="none"/>
          <w14:textFill>
            <w14:solidFill>
              <w14:schemeClr w14:val="tx1"/>
            </w14:solidFill>
          </w14:textFill>
        </w:rPr>
        <w:instrText xml:space="preserve"> </w:instrText>
      </w:r>
      <w:r>
        <w:rPr>
          <w:rFonts w:eastAsia="黑体" w:cs="Times New Roman"/>
          <w:snapToGrid w:val="0"/>
          <w:color w:val="000000" w:themeColor="text1"/>
          <w:kern w:val="0"/>
          <w:sz w:val="22"/>
          <w:szCs w:val="24"/>
          <w:highlight w:val="none"/>
          <w14:textFill>
            <w14:solidFill>
              <w14:schemeClr w14:val="tx1"/>
            </w14:solidFill>
          </w14:textFill>
        </w:rPr>
        <w:fldChar w:fldCharType="separate"/>
      </w:r>
      <w:r>
        <w:rPr>
          <w:rFonts w:eastAsia="黑体" w:cs="Times New Roman"/>
          <w:snapToGrid w:val="0"/>
          <w:color w:val="000000" w:themeColor="text1"/>
          <w:kern w:val="0"/>
          <w:sz w:val="22"/>
          <w:szCs w:val="24"/>
          <w:highlight w:val="none"/>
          <w14:textFill>
            <w14:solidFill>
              <w14:schemeClr w14:val="tx1"/>
            </w14:solidFill>
          </w14:textFill>
        </w:rPr>
        <w:t>6</w:t>
      </w:r>
      <w:r>
        <w:rPr>
          <w:rFonts w:eastAsia="黑体" w:cs="Times New Roman"/>
          <w:snapToGrid w:val="0"/>
          <w:color w:val="000000" w:themeColor="text1"/>
          <w:kern w:val="0"/>
          <w:sz w:val="22"/>
          <w:szCs w:val="24"/>
          <w:highlight w:val="none"/>
          <w14:textFill>
            <w14:solidFill>
              <w14:schemeClr w14:val="tx1"/>
            </w14:solidFill>
          </w14:textFill>
        </w:rPr>
        <w:fldChar w:fldCharType="end"/>
      </w:r>
      <w:bookmarkEnd w:id="226"/>
      <w:r>
        <w:rPr>
          <w:rFonts w:eastAsia="黑体" w:cs="Times New Roman"/>
          <w:snapToGrid w:val="0"/>
          <w:color w:val="000000" w:themeColor="text1"/>
          <w:kern w:val="0"/>
          <w:sz w:val="22"/>
          <w:szCs w:val="24"/>
          <w:highlight w:val="none"/>
          <w14:textFill>
            <w14:solidFill>
              <w14:schemeClr w14:val="tx1"/>
            </w14:solidFill>
          </w14:textFill>
        </w:rPr>
        <w:t xml:space="preserve"> </w:t>
      </w:r>
      <w:r>
        <w:rPr>
          <w:rFonts w:hint="eastAsia" w:eastAsia="黑体" w:cs="Times New Roman"/>
          <w:snapToGrid w:val="0"/>
          <w:color w:val="000000" w:themeColor="text1"/>
          <w:kern w:val="0"/>
          <w:sz w:val="22"/>
          <w:szCs w:val="24"/>
          <w:highlight w:val="none"/>
          <w14:textFill>
            <w14:solidFill>
              <w14:schemeClr w14:val="tx1"/>
            </w14:solidFill>
          </w14:textFill>
        </w:rPr>
        <w:t>地表水监测结果表</w:t>
      </w:r>
    </w:p>
    <w:tbl>
      <w:tblPr>
        <w:tblStyle w:val="37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1"/>
        <w:gridCol w:w="1011"/>
        <w:gridCol w:w="1013"/>
        <w:gridCol w:w="1015"/>
        <w:gridCol w:w="1015"/>
        <w:gridCol w:w="1015"/>
        <w:gridCol w:w="1015"/>
        <w:gridCol w:w="10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3" w:type="pct"/>
            <w:gridSpan w:val="2"/>
            <w:vMerge w:val="restart"/>
            <w:vAlign w:val="center"/>
          </w:tcPr>
          <w:p>
            <w:pPr>
              <w:spacing w:line="240" w:lineRule="auto"/>
              <w:ind w:firstLine="0" w:firstLineChars="0"/>
              <w:jc w:val="center"/>
              <w:rPr>
                <w:rFonts w:eastAsia="Times New Roman" w:cs="Times New Roman"/>
                <w:b/>
                <w:bCs/>
                <w:snapToGrid w:val="0"/>
                <w:color w:val="000000" w:themeColor="text1"/>
                <w:kern w:val="0"/>
                <w:sz w:val="21"/>
                <w:szCs w:val="21"/>
                <w:highlight w:val="none"/>
                <w14:textFill>
                  <w14:solidFill>
                    <w14:schemeClr w14:val="tx1"/>
                  </w14:solidFill>
                </w14:textFill>
              </w:rPr>
            </w:pPr>
            <w:r>
              <w:rPr>
                <w:rFonts w:hint="eastAsia" w:ascii="宋体" w:hAnsi="宋体" w:eastAsia="Times New Roman" w:cs="宋体"/>
                <w:b/>
                <w:bCs/>
                <w:snapToGrid w:val="0"/>
                <w:color w:val="000000" w:themeColor="text1"/>
                <w:kern w:val="0"/>
                <w:sz w:val="21"/>
                <w:szCs w:val="21"/>
                <w:highlight w:val="none"/>
                <w14:textFill>
                  <w14:solidFill>
                    <w14:schemeClr w14:val="tx1"/>
                  </w14:solidFill>
                </w14:textFill>
              </w:rPr>
              <w:t>点位编号</w:t>
            </w:r>
          </w:p>
          <w:p>
            <w:pPr>
              <w:spacing w:line="240" w:lineRule="auto"/>
              <w:ind w:firstLine="0" w:firstLineChars="0"/>
              <w:jc w:val="center"/>
              <w:rPr>
                <w:rFonts w:eastAsia="Times New Roman" w:cs="Times New Roman"/>
                <w:b/>
                <w:bCs/>
                <w:snapToGrid w:val="0"/>
                <w:color w:val="000000" w:themeColor="text1"/>
                <w:kern w:val="0"/>
                <w:sz w:val="21"/>
                <w:szCs w:val="21"/>
                <w:highlight w:val="none"/>
                <w14:textFill>
                  <w14:solidFill>
                    <w14:schemeClr w14:val="tx1"/>
                  </w14:solidFill>
                </w14:textFill>
              </w:rPr>
            </w:pPr>
            <w:r>
              <w:rPr>
                <w:rFonts w:hint="eastAsia" w:ascii="宋体" w:hAnsi="宋体" w:eastAsia="Times New Roman" w:cs="宋体"/>
                <w:b/>
                <w:bCs/>
                <w:snapToGrid w:val="0"/>
                <w:color w:val="000000" w:themeColor="text1"/>
                <w:kern w:val="0"/>
                <w:sz w:val="21"/>
                <w:szCs w:val="21"/>
                <w:highlight w:val="none"/>
                <w14:textFill>
                  <w14:solidFill>
                    <w14:schemeClr w14:val="tx1"/>
                  </w14:solidFill>
                </w14:textFill>
              </w:rPr>
              <w:t>检测项目</w:t>
            </w:r>
          </w:p>
        </w:tc>
        <w:tc>
          <w:tcPr>
            <w:tcW w:w="1784" w:type="pct"/>
            <w:gridSpan w:val="3"/>
            <w:vAlign w:val="center"/>
          </w:tcPr>
          <w:p>
            <w:pPr>
              <w:spacing w:line="240" w:lineRule="auto"/>
              <w:ind w:firstLine="0" w:firstLineChars="0"/>
              <w:jc w:val="center"/>
              <w:rPr>
                <w:rFonts w:eastAsia="Times New Roman" w:cs="Times New Roman"/>
                <w:b/>
                <w:bCs/>
                <w:snapToGrid w:val="0"/>
                <w:color w:val="000000" w:themeColor="text1"/>
                <w:kern w:val="0"/>
                <w:sz w:val="21"/>
                <w:szCs w:val="21"/>
                <w:highlight w:val="none"/>
                <w14:textFill>
                  <w14:solidFill>
                    <w14:schemeClr w14:val="tx1"/>
                  </w14:solidFill>
                </w14:textFill>
              </w:rPr>
            </w:pPr>
            <w:r>
              <w:rPr>
                <w:rFonts w:eastAsia="Times New Roman" w:cs="Times New Roman"/>
                <w:b/>
                <w:bCs/>
                <w:snapToGrid w:val="0"/>
                <w:color w:val="000000" w:themeColor="text1"/>
                <w:kern w:val="0"/>
                <w:sz w:val="21"/>
                <w:szCs w:val="21"/>
                <w:highlight w:val="none"/>
                <w14:textFill>
                  <w14:solidFill>
                    <w14:schemeClr w14:val="tx1"/>
                  </w14:solidFill>
                </w14:textFill>
              </w:rPr>
              <w:t>SW1</w:t>
            </w:r>
            <w:r>
              <w:rPr>
                <w:rFonts w:hint="eastAsia" w:ascii="宋体" w:hAnsi="宋体" w:eastAsia="Times New Roman" w:cs="宋体"/>
                <w:b/>
                <w:bCs/>
                <w:snapToGrid w:val="0"/>
                <w:color w:val="000000" w:themeColor="text1"/>
                <w:kern w:val="0"/>
                <w:sz w:val="21"/>
                <w:szCs w:val="21"/>
                <w:highlight w:val="none"/>
                <w14:textFill>
                  <w14:solidFill>
                    <w14:schemeClr w14:val="tx1"/>
                  </w14:solidFill>
                </w14:textFill>
              </w:rPr>
              <w:t>管线穿越州河支流处</w:t>
            </w:r>
          </w:p>
        </w:tc>
        <w:tc>
          <w:tcPr>
            <w:tcW w:w="1783" w:type="pct"/>
            <w:gridSpan w:val="3"/>
            <w:vAlign w:val="center"/>
          </w:tcPr>
          <w:p>
            <w:pPr>
              <w:spacing w:line="240" w:lineRule="auto"/>
              <w:ind w:firstLine="0" w:firstLineChars="0"/>
              <w:jc w:val="center"/>
              <w:rPr>
                <w:rFonts w:eastAsia="Times New Roman" w:cs="Times New Roman"/>
                <w:b/>
                <w:bCs/>
                <w:snapToGrid w:val="0"/>
                <w:color w:val="000000" w:themeColor="text1"/>
                <w:kern w:val="0"/>
                <w:sz w:val="21"/>
                <w:szCs w:val="21"/>
                <w:highlight w:val="none"/>
                <w14:textFill>
                  <w14:solidFill>
                    <w14:schemeClr w14:val="tx1"/>
                  </w14:solidFill>
                </w14:textFill>
              </w:rPr>
            </w:pPr>
            <w:r>
              <w:rPr>
                <w:rFonts w:eastAsia="Times New Roman" w:cs="Times New Roman"/>
                <w:b/>
                <w:bCs/>
                <w:snapToGrid w:val="0"/>
                <w:color w:val="000000" w:themeColor="text1"/>
                <w:kern w:val="0"/>
                <w:sz w:val="21"/>
                <w:szCs w:val="21"/>
                <w:highlight w:val="none"/>
                <w14:textFill>
                  <w14:solidFill>
                    <w14:schemeClr w14:val="tx1"/>
                  </w14:solidFill>
                </w14:textFill>
              </w:rPr>
              <w:t>SW2</w:t>
            </w:r>
            <w:r>
              <w:rPr>
                <w:rFonts w:hint="eastAsia" w:ascii="宋体" w:hAnsi="宋体" w:eastAsia="Times New Roman" w:cs="宋体"/>
                <w:b/>
                <w:bCs/>
                <w:snapToGrid w:val="0"/>
                <w:color w:val="000000" w:themeColor="text1"/>
                <w:kern w:val="0"/>
                <w:sz w:val="21"/>
                <w:szCs w:val="21"/>
                <w:highlight w:val="none"/>
                <w14:textFill>
                  <w14:solidFill>
                    <w14:schemeClr w14:val="tx1"/>
                  </w14:solidFill>
                </w14:textFill>
              </w:rPr>
              <w:t>管线穿越魏家河处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3" w:type="pct"/>
            <w:gridSpan w:val="2"/>
            <w:vMerge w:val="continue"/>
            <w:vAlign w:val="center"/>
          </w:tcPr>
          <w:p>
            <w:pPr>
              <w:spacing w:line="240" w:lineRule="auto"/>
              <w:ind w:firstLine="0" w:firstLineChars="0"/>
              <w:jc w:val="center"/>
              <w:rPr>
                <w:rFonts w:eastAsia="Times New Roman" w:cs="Times New Roman"/>
                <w:b/>
                <w:bCs/>
                <w:snapToGrid w:val="0"/>
                <w:color w:val="000000" w:themeColor="text1"/>
                <w:kern w:val="0"/>
                <w:sz w:val="21"/>
                <w:szCs w:val="21"/>
                <w:highlight w:val="none"/>
                <w14:textFill>
                  <w14:solidFill>
                    <w14:schemeClr w14:val="tx1"/>
                  </w14:solidFill>
                </w14:textFill>
              </w:rPr>
            </w:pPr>
          </w:p>
        </w:tc>
        <w:tc>
          <w:tcPr>
            <w:tcW w:w="1784" w:type="pct"/>
            <w:gridSpan w:val="3"/>
            <w:vAlign w:val="center"/>
          </w:tcPr>
          <w:p>
            <w:pPr>
              <w:spacing w:line="240" w:lineRule="auto"/>
              <w:ind w:firstLine="0" w:firstLineChars="0"/>
              <w:jc w:val="center"/>
              <w:rPr>
                <w:rFonts w:cs="Times New Roman" w:eastAsiaTheme="minorEastAsia"/>
                <w:b/>
                <w:bCs/>
                <w:snapToGrid w:val="0"/>
                <w:color w:val="000000" w:themeColor="text1"/>
                <w:kern w:val="0"/>
                <w:sz w:val="21"/>
                <w:szCs w:val="21"/>
                <w:highlight w:val="none"/>
                <w14:textFill>
                  <w14:solidFill>
                    <w14:schemeClr w14:val="tx1"/>
                  </w14:solidFill>
                </w14:textFill>
              </w:rPr>
            </w:pPr>
            <w:r>
              <w:rPr>
                <w:rFonts w:eastAsia="Times New Roman" w:cs="Times New Roman"/>
                <w:b/>
                <w:bCs/>
                <w:snapToGrid w:val="0"/>
                <w:color w:val="000000" w:themeColor="text1"/>
                <w:kern w:val="0"/>
                <w:sz w:val="21"/>
                <w:szCs w:val="21"/>
                <w:highlight w:val="none"/>
                <w14:textFill>
                  <w14:solidFill>
                    <w14:schemeClr w14:val="tx1"/>
                  </w14:solidFill>
                </w14:textFill>
              </w:rPr>
              <w:t>202</w:t>
            </w:r>
            <w:r>
              <w:rPr>
                <w:rFonts w:hint="eastAsia" w:cs="Times New Roman" w:eastAsiaTheme="minorEastAsia"/>
                <w:b/>
                <w:bCs/>
                <w:snapToGrid w:val="0"/>
                <w:color w:val="000000" w:themeColor="text1"/>
                <w:kern w:val="0"/>
                <w:sz w:val="21"/>
                <w:szCs w:val="21"/>
                <w:highlight w:val="none"/>
                <w14:textFill>
                  <w14:solidFill>
                    <w14:schemeClr w14:val="tx1"/>
                  </w14:solidFill>
                </w14:textFill>
              </w:rPr>
              <w:t>4</w:t>
            </w:r>
            <w:r>
              <w:rPr>
                <w:rFonts w:eastAsia="Times New Roman" w:cs="Times New Roman"/>
                <w:b/>
                <w:bCs/>
                <w:snapToGrid w:val="0"/>
                <w:color w:val="000000" w:themeColor="text1"/>
                <w:kern w:val="0"/>
                <w:sz w:val="21"/>
                <w:szCs w:val="21"/>
                <w:highlight w:val="none"/>
                <w14:textFill>
                  <w14:solidFill>
                    <w14:schemeClr w14:val="tx1"/>
                  </w14:solidFill>
                </w14:textFill>
              </w:rPr>
              <w:t>.</w:t>
            </w:r>
            <w:r>
              <w:rPr>
                <w:rFonts w:hint="eastAsia" w:cs="Times New Roman" w:eastAsiaTheme="minorEastAsia"/>
                <w:b/>
                <w:bCs/>
                <w:snapToGrid w:val="0"/>
                <w:color w:val="000000" w:themeColor="text1"/>
                <w:kern w:val="0"/>
                <w:sz w:val="21"/>
                <w:szCs w:val="21"/>
                <w:highlight w:val="none"/>
                <w14:textFill>
                  <w14:solidFill>
                    <w14:schemeClr w14:val="tx1"/>
                  </w14:solidFill>
                </w14:textFill>
              </w:rPr>
              <w:t>3</w:t>
            </w:r>
            <w:r>
              <w:rPr>
                <w:rFonts w:eastAsia="Times New Roman" w:cs="Times New Roman"/>
                <w:b/>
                <w:bCs/>
                <w:snapToGrid w:val="0"/>
                <w:color w:val="000000" w:themeColor="text1"/>
                <w:kern w:val="0"/>
                <w:sz w:val="21"/>
                <w:szCs w:val="21"/>
                <w:highlight w:val="none"/>
                <w14:textFill>
                  <w14:solidFill>
                    <w14:schemeClr w14:val="tx1"/>
                  </w14:solidFill>
                </w14:textFill>
              </w:rPr>
              <w:t>.</w:t>
            </w:r>
            <w:r>
              <w:rPr>
                <w:rFonts w:hint="eastAsia" w:cs="Times New Roman" w:eastAsiaTheme="minorEastAsia"/>
                <w:b/>
                <w:bCs/>
                <w:snapToGrid w:val="0"/>
                <w:color w:val="000000" w:themeColor="text1"/>
                <w:kern w:val="0"/>
                <w:sz w:val="21"/>
                <w:szCs w:val="21"/>
                <w:highlight w:val="none"/>
                <w14:textFill>
                  <w14:solidFill>
                    <w14:schemeClr w14:val="tx1"/>
                  </w14:solidFill>
                </w14:textFill>
              </w:rPr>
              <w:t>3</w:t>
            </w:r>
            <w:r>
              <w:rPr>
                <w:rFonts w:eastAsia="Times New Roman" w:cs="Times New Roman"/>
                <w:b/>
                <w:bCs/>
                <w:snapToGrid w:val="0"/>
                <w:color w:val="000000" w:themeColor="text1"/>
                <w:kern w:val="0"/>
                <w:sz w:val="21"/>
                <w:szCs w:val="21"/>
                <w:highlight w:val="none"/>
                <w14:textFill>
                  <w14:solidFill>
                    <w14:schemeClr w14:val="tx1"/>
                  </w14:solidFill>
                </w14:textFill>
              </w:rPr>
              <w:t>~202</w:t>
            </w:r>
            <w:r>
              <w:rPr>
                <w:rFonts w:hint="eastAsia" w:cs="Times New Roman" w:eastAsiaTheme="minorEastAsia"/>
                <w:b/>
                <w:bCs/>
                <w:snapToGrid w:val="0"/>
                <w:color w:val="000000" w:themeColor="text1"/>
                <w:kern w:val="0"/>
                <w:sz w:val="21"/>
                <w:szCs w:val="21"/>
                <w:highlight w:val="none"/>
                <w14:textFill>
                  <w14:solidFill>
                    <w14:schemeClr w14:val="tx1"/>
                  </w14:solidFill>
                </w14:textFill>
              </w:rPr>
              <w:t>4</w:t>
            </w:r>
            <w:r>
              <w:rPr>
                <w:rFonts w:eastAsia="Times New Roman" w:cs="Times New Roman"/>
                <w:b/>
                <w:bCs/>
                <w:snapToGrid w:val="0"/>
                <w:color w:val="000000" w:themeColor="text1"/>
                <w:kern w:val="0"/>
                <w:sz w:val="21"/>
                <w:szCs w:val="21"/>
                <w:highlight w:val="none"/>
                <w14:textFill>
                  <w14:solidFill>
                    <w14:schemeClr w14:val="tx1"/>
                  </w14:solidFill>
                </w14:textFill>
              </w:rPr>
              <w:t>.</w:t>
            </w:r>
            <w:r>
              <w:rPr>
                <w:rFonts w:hint="eastAsia" w:cs="Times New Roman" w:eastAsiaTheme="minorEastAsia"/>
                <w:b/>
                <w:bCs/>
                <w:snapToGrid w:val="0"/>
                <w:color w:val="000000" w:themeColor="text1"/>
                <w:kern w:val="0"/>
                <w:sz w:val="21"/>
                <w:szCs w:val="21"/>
                <w:highlight w:val="none"/>
                <w14:textFill>
                  <w14:solidFill>
                    <w14:schemeClr w14:val="tx1"/>
                  </w14:solidFill>
                </w14:textFill>
              </w:rPr>
              <w:t>3</w:t>
            </w:r>
            <w:r>
              <w:rPr>
                <w:rFonts w:eastAsia="Times New Roman" w:cs="Times New Roman"/>
                <w:b/>
                <w:bCs/>
                <w:snapToGrid w:val="0"/>
                <w:color w:val="000000" w:themeColor="text1"/>
                <w:kern w:val="0"/>
                <w:sz w:val="21"/>
                <w:szCs w:val="21"/>
                <w:highlight w:val="none"/>
                <w14:textFill>
                  <w14:solidFill>
                    <w14:schemeClr w14:val="tx1"/>
                  </w14:solidFill>
                </w14:textFill>
              </w:rPr>
              <w:t>.</w:t>
            </w:r>
            <w:r>
              <w:rPr>
                <w:rFonts w:hint="eastAsia" w:cs="Times New Roman" w:eastAsiaTheme="minorEastAsia"/>
                <w:b/>
                <w:bCs/>
                <w:snapToGrid w:val="0"/>
                <w:color w:val="000000" w:themeColor="text1"/>
                <w:kern w:val="0"/>
                <w:sz w:val="21"/>
                <w:szCs w:val="21"/>
                <w:highlight w:val="none"/>
                <w14:textFill>
                  <w14:solidFill>
                    <w14:schemeClr w14:val="tx1"/>
                  </w14:solidFill>
                </w14:textFill>
              </w:rPr>
              <w:t>4</w:t>
            </w:r>
          </w:p>
        </w:tc>
        <w:tc>
          <w:tcPr>
            <w:tcW w:w="1783" w:type="pct"/>
            <w:gridSpan w:val="3"/>
            <w:vAlign w:val="center"/>
          </w:tcPr>
          <w:p>
            <w:pPr>
              <w:spacing w:line="240" w:lineRule="auto"/>
              <w:ind w:firstLine="0" w:firstLineChars="0"/>
              <w:jc w:val="center"/>
              <w:rPr>
                <w:rFonts w:eastAsia="Times New Roman" w:cs="Times New Roman"/>
                <w:b/>
                <w:bCs/>
                <w:snapToGrid w:val="0"/>
                <w:color w:val="000000" w:themeColor="text1"/>
                <w:kern w:val="0"/>
                <w:sz w:val="21"/>
                <w:szCs w:val="21"/>
                <w:highlight w:val="none"/>
                <w14:textFill>
                  <w14:solidFill>
                    <w14:schemeClr w14:val="tx1"/>
                  </w14:solidFill>
                </w14:textFill>
              </w:rPr>
            </w:pPr>
            <w:r>
              <w:rPr>
                <w:rFonts w:eastAsia="Times New Roman" w:cs="Times New Roman"/>
                <w:b/>
                <w:bCs/>
                <w:snapToGrid w:val="0"/>
                <w:color w:val="000000" w:themeColor="text1"/>
                <w:kern w:val="0"/>
                <w:sz w:val="21"/>
                <w:szCs w:val="21"/>
                <w:highlight w:val="none"/>
                <w14:textFill>
                  <w14:solidFill>
                    <w14:schemeClr w14:val="tx1"/>
                  </w14:solidFill>
                </w14:textFill>
              </w:rPr>
              <w:t>202</w:t>
            </w:r>
            <w:r>
              <w:rPr>
                <w:rFonts w:hint="eastAsia" w:cs="Times New Roman" w:eastAsiaTheme="minorEastAsia"/>
                <w:b/>
                <w:bCs/>
                <w:snapToGrid w:val="0"/>
                <w:color w:val="000000" w:themeColor="text1"/>
                <w:kern w:val="0"/>
                <w:sz w:val="21"/>
                <w:szCs w:val="21"/>
                <w:highlight w:val="none"/>
                <w14:textFill>
                  <w14:solidFill>
                    <w14:schemeClr w14:val="tx1"/>
                  </w14:solidFill>
                </w14:textFill>
              </w:rPr>
              <w:t>4</w:t>
            </w:r>
            <w:r>
              <w:rPr>
                <w:rFonts w:eastAsia="Times New Roman" w:cs="Times New Roman"/>
                <w:b/>
                <w:bCs/>
                <w:snapToGrid w:val="0"/>
                <w:color w:val="000000" w:themeColor="text1"/>
                <w:kern w:val="0"/>
                <w:sz w:val="21"/>
                <w:szCs w:val="21"/>
                <w:highlight w:val="none"/>
                <w14:textFill>
                  <w14:solidFill>
                    <w14:schemeClr w14:val="tx1"/>
                  </w14:solidFill>
                </w14:textFill>
              </w:rPr>
              <w:t>.</w:t>
            </w:r>
            <w:r>
              <w:rPr>
                <w:rFonts w:hint="eastAsia" w:cs="Times New Roman" w:eastAsiaTheme="minorEastAsia"/>
                <w:b/>
                <w:bCs/>
                <w:snapToGrid w:val="0"/>
                <w:color w:val="000000" w:themeColor="text1"/>
                <w:kern w:val="0"/>
                <w:sz w:val="21"/>
                <w:szCs w:val="21"/>
                <w:highlight w:val="none"/>
                <w14:textFill>
                  <w14:solidFill>
                    <w14:schemeClr w14:val="tx1"/>
                  </w14:solidFill>
                </w14:textFill>
              </w:rPr>
              <w:t>3</w:t>
            </w:r>
            <w:r>
              <w:rPr>
                <w:rFonts w:eastAsia="Times New Roman" w:cs="Times New Roman"/>
                <w:b/>
                <w:bCs/>
                <w:snapToGrid w:val="0"/>
                <w:color w:val="000000" w:themeColor="text1"/>
                <w:kern w:val="0"/>
                <w:sz w:val="21"/>
                <w:szCs w:val="21"/>
                <w:highlight w:val="none"/>
                <w14:textFill>
                  <w14:solidFill>
                    <w14:schemeClr w14:val="tx1"/>
                  </w14:solidFill>
                </w14:textFill>
              </w:rPr>
              <w:t>.</w:t>
            </w:r>
            <w:r>
              <w:rPr>
                <w:rFonts w:hint="eastAsia" w:cs="Times New Roman" w:eastAsiaTheme="minorEastAsia"/>
                <w:b/>
                <w:bCs/>
                <w:snapToGrid w:val="0"/>
                <w:color w:val="000000" w:themeColor="text1"/>
                <w:kern w:val="0"/>
                <w:sz w:val="21"/>
                <w:szCs w:val="21"/>
                <w:highlight w:val="none"/>
                <w14:textFill>
                  <w14:solidFill>
                    <w14:schemeClr w14:val="tx1"/>
                  </w14:solidFill>
                </w14:textFill>
              </w:rPr>
              <w:t>3</w:t>
            </w:r>
            <w:r>
              <w:rPr>
                <w:rFonts w:eastAsia="Times New Roman" w:cs="Times New Roman"/>
                <w:b/>
                <w:bCs/>
                <w:snapToGrid w:val="0"/>
                <w:color w:val="000000" w:themeColor="text1"/>
                <w:kern w:val="0"/>
                <w:sz w:val="21"/>
                <w:szCs w:val="21"/>
                <w:highlight w:val="none"/>
                <w14:textFill>
                  <w14:solidFill>
                    <w14:schemeClr w14:val="tx1"/>
                  </w14:solidFill>
                </w14:textFill>
              </w:rPr>
              <w:t>~202</w:t>
            </w:r>
            <w:r>
              <w:rPr>
                <w:rFonts w:hint="eastAsia" w:cs="Times New Roman" w:eastAsiaTheme="minorEastAsia"/>
                <w:b/>
                <w:bCs/>
                <w:snapToGrid w:val="0"/>
                <w:color w:val="000000" w:themeColor="text1"/>
                <w:kern w:val="0"/>
                <w:sz w:val="21"/>
                <w:szCs w:val="21"/>
                <w:highlight w:val="none"/>
                <w14:textFill>
                  <w14:solidFill>
                    <w14:schemeClr w14:val="tx1"/>
                  </w14:solidFill>
                </w14:textFill>
              </w:rPr>
              <w:t>4</w:t>
            </w:r>
            <w:r>
              <w:rPr>
                <w:rFonts w:eastAsia="Times New Roman" w:cs="Times New Roman"/>
                <w:b/>
                <w:bCs/>
                <w:snapToGrid w:val="0"/>
                <w:color w:val="000000" w:themeColor="text1"/>
                <w:kern w:val="0"/>
                <w:sz w:val="21"/>
                <w:szCs w:val="21"/>
                <w:highlight w:val="none"/>
                <w14:textFill>
                  <w14:solidFill>
                    <w14:schemeClr w14:val="tx1"/>
                  </w14:solidFill>
                </w14:textFill>
              </w:rPr>
              <w:t>.</w:t>
            </w:r>
            <w:r>
              <w:rPr>
                <w:rFonts w:hint="eastAsia" w:cs="Times New Roman" w:eastAsiaTheme="minorEastAsia"/>
                <w:b/>
                <w:bCs/>
                <w:snapToGrid w:val="0"/>
                <w:color w:val="000000" w:themeColor="text1"/>
                <w:kern w:val="0"/>
                <w:sz w:val="21"/>
                <w:szCs w:val="21"/>
                <w:highlight w:val="none"/>
                <w14:textFill>
                  <w14:solidFill>
                    <w14:schemeClr w14:val="tx1"/>
                  </w14:solidFill>
                </w14:textFill>
              </w:rPr>
              <w:t>3</w:t>
            </w:r>
            <w:r>
              <w:rPr>
                <w:rFonts w:eastAsia="Times New Roman" w:cs="Times New Roman"/>
                <w:b/>
                <w:bCs/>
                <w:snapToGrid w:val="0"/>
                <w:color w:val="000000" w:themeColor="text1"/>
                <w:kern w:val="0"/>
                <w:sz w:val="21"/>
                <w:szCs w:val="21"/>
                <w:highlight w:val="none"/>
                <w14:textFill>
                  <w14:solidFill>
                    <w14:schemeClr w14:val="tx1"/>
                  </w14:solidFill>
                </w14:textFill>
              </w:rPr>
              <w:t>.</w:t>
            </w:r>
            <w:r>
              <w:rPr>
                <w:rFonts w:hint="eastAsia" w:cs="Times New Roman" w:eastAsiaTheme="minorEastAsia"/>
                <w:b/>
                <w:bCs/>
                <w:snapToGrid w:val="0"/>
                <w:color w:val="000000" w:themeColor="text1"/>
                <w:kern w:val="0"/>
                <w:sz w:val="21"/>
                <w:szCs w:val="21"/>
                <w:highlight w:val="none"/>
                <w14:textFill>
                  <w14:solidFill>
                    <w14:schemeClr w14:val="tx1"/>
                  </w14:solidFill>
                </w14:textFill>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vAlign w:val="top"/>
          </w:tcPr>
          <w:p>
            <w:pPr>
              <w:spacing w:line="240" w:lineRule="auto"/>
              <w:ind w:firstLine="0" w:firstLineChars="0"/>
              <w:jc w:val="center"/>
              <w:rPr>
                <w:rFonts w:eastAsia="Times New Roman" w:cs="Times New Roman"/>
                <w:snapToGrid w:val="0"/>
                <w:color w:val="000000" w:themeColor="text1"/>
                <w:kern w:val="0"/>
                <w:sz w:val="21"/>
                <w:szCs w:val="20"/>
                <w:highlight w:val="none"/>
                <w14:textFill>
                  <w14:solidFill>
                    <w14:schemeClr w14:val="tx1"/>
                  </w14:solidFill>
                </w14:textFill>
              </w:rPr>
            </w:pPr>
            <w:r>
              <w:rPr>
                <w:rFonts w:eastAsia="Times New Roman"/>
                <w:snapToGrid w:val="0"/>
                <w:color w:val="000000" w:themeColor="text1"/>
                <w:sz w:val="21"/>
                <w:szCs w:val="20"/>
                <w:highlight w:val="none"/>
                <w14:textFill>
                  <w14:solidFill>
                    <w14:schemeClr w14:val="tx1"/>
                  </w14:solidFill>
                </w14:textFill>
              </w:rPr>
              <w:t>pH</w:t>
            </w:r>
          </w:p>
        </w:tc>
        <w:tc>
          <w:tcPr>
            <w:tcW w:w="593"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ascii="宋体" w:hAnsi="宋体" w:eastAsia="Times New Roman" w:cs="宋体"/>
                <w:snapToGrid w:val="0"/>
                <w:color w:val="000000" w:themeColor="text1"/>
                <w:kern w:val="0"/>
                <w:sz w:val="21"/>
                <w:szCs w:val="21"/>
                <w:highlight w:val="none"/>
                <w14:textFill>
                  <w14:solidFill>
                    <w14:schemeClr w14:val="tx1"/>
                  </w14:solidFill>
                </w14:textFill>
              </w:rPr>
              <w:t>无量纲</w:t>
            </w:r>
          </w:p>
        </w:tc>
        <w:tc>
          <w:tcPr>
            <w:tcW w:w="594"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snapToGrid w:val="0"/>
                <w:color w:val="000000" w:themeColor="text1"/>
                <w:sz w:val="22"/>
                <w:highlight w:val="none"/>
                <w14:textFill>
                  <w14:solidFill>
                    <w14:schemeClr w14:val="tx1"/>
                  </w14:solidFill>
                </w14:textFill>
              </w:rPr>
              <w:t>7.8</w:t>
            </w:r>
          </w:p>
        </w:tc>
        <w:tc>
          <w:tcPr>
            <w:tcW w:w="595"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snapToGrid w:val="0"/>
                <w:color w:val="000000" w:themeColor="text1"/>
                <w:sz w:val="22"/>
                <w:highlight w:val="none"/>
                <w14:textFill>
                  <w14:solidFill>
                    <w14:schemeClr w14:val="tx1"/>
                  </w14:solidFill>
                </w14:textFill>
              </w:rPr>
              <w:t>7.6</w:t>
            </w:r>
          </w:p>
        </w:tc>
        <w:tc>
          <w:tcPr>
            <w:tcW w:w="595"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snapToGrid w:val="0"/>
                <w:color w:val="000000" w:themeColor="text1"/>
                <w:sz w:val="22"/>
                <w:highlight w:val="none"/>
                <w14:textFill>
                  <w14:solidFill>
                    <w14:schemeClr w14:val="tx1"/>
                  </w14:solidFill>
                </w14:textFill>
              </w:rPr>
              <w:t>7.4</w:t>
            </w:r>
          </w:p>
        </w:tc>
        <w:tc>
          <w:tcPr>
            <w:tcW w:w="595"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snapToGrid w:val="0"/>
                <w:color w:val="000000" w:themeColor="text1"/>
                <w:sz w:val="22"/>
                <w:highlight w:val="none"/>
                <w14:textFill>
                  <w14:solidFill>
                    <w14:schemeClr w14:val="tx1"/>
                  </w14:solidFill>
                </w14:textFill>
              </w:rPr>
              <w:t>7.6</w:t>
            </w:r>
          </w:p>
        </w:tc>
        <w:tc>
          <w:tcPr>
            <w:tcW w:w="595"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snapToGrid w:val="0"/>
                <w:color w:val="000000" w:themeColor="text1"/>
                <w:sz w:val="22"/>
                <w:highlight w:val="none"/>
                <w14:textFill>
                  <w14:solidFill>
                    <w14:schemeClr w14:val="tx1"/>
                  </w14:solidFill>
                </w14:textFill>
              </w:rPr>
              <w:t>8.0</w:t>
            </w:r>
          </w:p>
        </w:tc>
        <w:tc>
          <w:tcPr>
            <w:tcW w:w="593"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snapToGrid w:val="0"/>
                <w:color w:val="000000" w:themeColor="text1"/>
                <w:sz w:val="22"/>
                <w:highlight w:val="none"/>
                <w14:textFill>
                  <w14:solidFill>
                    <w14:schemeClr w14:val="tx1"/>
                  </w14:solidFill>
                </w14:textFill>
              </w:rPr>
              <w:t>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vAlign w:val="top"/>
          </w:tcPr>
          <w:p>
            <w:pPr>
              <w:spacing w:line="240" w:lineRule="auto"/>
              <w:ind w:firstLine="0" w:firstLineChars="0"/>
              <w:jc w:val="center"/>
              <w:rPr>
                <w:rFonts w:eastAsia="Times New Roman" w:cs="Times New Roman"/>
                <w:snapToGrid w:val="0"/>
                <w:color w:val="000000" w:themeColor="text1"/>
                <w:kern w:val="0"/>
                <w:sz w:val="21"/>
                <w:szCs w:val="20"/>
                <w:highlight w:val="none"/>
                <w14:textFill>
                  <w14:solidFill>
                    <w14:schemeClr w14:val="tx1"/>
                  </w14:solidFill>
                </w14:textFill>
              </w:rPr>
            </w:pPr>
            <w:r>
              <w:rPr>
                <w:rFonts w:hint="eastAsia" w:ascii="宋体" w:hAnsi="宋体" w:eastAsia="Times New Roman" w:cs="宋体"/>
                <w:snapToGrid w:val="0"/>
                <w:color w:val="000000" w:themeColor="text1"/>
                <w:sz w:val="21"/>
                <w:szCs w:val="20"/>
                <w:highlight w:val="none"/>
                <w14:textFill>
                  <w14:solidFill>
                    <w14:schemeClr w14:val="tx1"/>
                  </w14:solidFill>
                </w14:textFill>
              </w:rPr>
              <w:t>化学需氧量</w:t>
            </w:r>
          </w:p>
        </w:tc>
        <w:tc>
          <w:tcPr>
            <w:tcW w:w="593"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eastAsia="Times New Roman" w:cs="Times New Roman"/>
                <w:snapToGrid w:val="0"/>
                <w:color w:val="000000" w:themeColor="text1"/>
                <w:kern w:val="0"/>
                <w:sz w:val="21"/>
                <w:szCs w:val="21"/>
                <w:highlight w:val="none"/>
                <w14:textFill>
                  <w14:solidFill>
                    <w14:schemeClr w14:val="tx1"/>
                  </w14:solidFill>
                </w14:textFill>
              </w:rPr>
              <w:t>mg/L</w:t>
            </w:r>
          </w:p>
        </w:tc>
        <w:tc>
          <w:tcPr>
            <w:tcW w:w="594"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snapToGrid w:val="0"/>
                <w:color w:val="000000" w:themeColor="text1"/>
                <w:sz w:val="22"/>
                <w:highlight w:val="none"/>
                <w14:textFill>
                  <w14:solidFill>
                    <w14:schemeClr w14:val="tx1"/>
                  </w14:solidFill>
                </w14:textFill>
              </w:rPr>
              <w:t>14</w:t>
            </w:r>
          </w:p>
        </w:tc>
        <w:tc>
          <w:tcPr>
            <w:tcW w:w="595"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snapToGrid w:val="0"/>
                <w:color w:val="000000" w:themeColor="text1"/>
                <w:sz w:val="22"/>
                <w:highlight w:val="none"/>
                <w14:textFill>
                  <w14:solidFill>
                    <w14:schemeClr w14:val="tx1"/>
                  </w14:solidFill>
                </w14:textFill>
              </w:rPr>
              <w:t>14</w:t>
            </w:r>
          </w:p>
        </w:tc>
        <w:tc>
          <w:tcPr>
            <w:tcW w:w="595"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snapToGrid w:val="0"/>
                <w:color w:val="000000" w:themeColor="text1"/>
                <w:sz w:val="22"/>
                <w:highlight w:val="none"/>
                <w14:textFill>
                  <w14:solidFill>
                    <w14:schemeClr w14:val="tx1"/>
                  </w14:solidFill>
                </w14:textFill>
              </w:rPr>
              <w:t>13</w:t>
            </w:r>
          </w:p>
        </w:tc>
        <w:tc>
          <w:tcPr>
            <w:tcW w:w="595"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snapToGrid w:val="0"/>
                <w:color w:val="000000" w:themeColor="text1"/>
                <w:sz w:val="22"/>
                <w:highlight w:val="none"/>
                <w14:textFill>
                  <w14:solidFill>
                    <w14:schemeClr w14:val="tx1"/>
                  </w14:solidFill>
                </w14:textFill>
              </w:rPr>
              <w:t>13</w:t>
            </w:r>
          </w:p>
        </w:tc>
        <w:tc>
          <w:tcPr>
            <w:tcW w:w="595"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snapToGrid w:val="0"/>
                <w:color w:val="000000" w:themeColor="text1"/>
                <w:sz w:val="22"/>
                <w:highlight w:val="none"/>
                <w14:textFill>
                  <w14:solidFill>
                    <w14:schemeClr w14:val="tx1"/>
                  </w14:solidFill>
                </w14:textFill>
              </w:rPr>
              <w:t>12</w:t>
            </w:r>
          </w:p>
        </w:tc>
        <w:tc>
          <w:tcPr>
            <w:tcW w:w="593"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snapToGrid w:val="0"/>
                <w:color w:val="000000" w:themeColor="text1"/>
                <w:sz w:val="22"/>
                <w:highlight w:val="none"/>
                <w14:textFill>
                  <w14:solidFill>
                    <w14:schemeClr w14:val="tx1"/>
                  </w14:solidFill>
                </w14:textFill>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vAlign w:val="top"/>
          </w:tcPr>
          <w:p>
            <w:pPr>
              <w:spacing w:line="240" w:lineRule="auto"/>
              <w:ind w:firstLine="0" w:firstLineChars="0"/>
              <w:jc w:val="center"/>
              <w:rPr>
                <w:rFonts w:eastAsia="Times New Roman" w:cs="Times New Roman"/>
                <w:snapToGrid w:val="0"/>
                <w:color w:val="000000" w:themeColor="text1"/>
                <w:kern w:val="0"/>
                <w:sz w:val="21"/>
                <w:szCs w:val="20"/>
                <w:highlight w:val="none"/>
                <w14:textFill>
                  <w14:solidFill>
                    <w14:schemeClr w14:val="tx1"/>
                  </w14:solidFill>
                </w14:textFill>
              </w:rPr>
            </w:pPr>
            <w:r>
              <w:rPr>
                <w:rFonts w:hint="eastAsia" w:ascii="宋体" w:hAnsi="宋体" w:eastAsia="Times New Roman" w:cs="宋体"/>
                <w:snapToGrid w:val="0"/>
                <w:color w:val="000000" w:themeColor="text1"/>
                <w:sz w:val="21"/>
                <w:szCs w:val="20"/>
                <w:highlight w:val="none"/>
                <w14:textFill>
                  <w14:solidFill>
                    <w14:schemeClr w14:val="tx1"/>
                  </w14:solidFill>
                </w14:textFill>
              </w:rPr>
              <w:t>五日生化需氧量</w:t>
            </w:r>
          </w:p>
        </w:tc>
        <w:tc>
          <w:tcPr>
            <w:tcW w:w="593"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eastAsia="Times New Roman" w:cs="Times New Roman"/>
                <w:snapToGrid w:val="0"/>
                <w:color w:val="000000" w:themeColor="text1"/>
                <w:kern w:val="0"/>
                <w:sz w:val="21"/>
                <w:szCs w:val="21"/>
                <w:highlight w:val="none"/>
                <w14:textFill>
                  <w14:solidFill>
                    <w14:schemeClr w14:val="tx1"/>
                  </w14:solidFill>
                </w14:textFill>
              </w:rPr>
              <w:t>mg/L</w:t>
            </w:r>
          </w:p>
        </w:tc>
        <w:tc>
          <w:tcPr>
            <w:tcW w:w="594"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snapToGrid w:val="0"/>
                <w:color w:val="000000" w:themeColor="text1"/>
                <w:sz w:val="22"/>
                <w:highlight w:val="none"/>
                <w14:textFill>
                  <w14:solidFill>
                    <w14:schemeClr w14:val="tx1"/>
                  </w14:solidFill>
                </w14:textFill>
              </w:rPr>
              <w:t>2.7</w:t>
            </w:r>
          </w:p>
        </w:tc>
        <w:tc>
          <w:tcPr>
            <w:tcW w:w="595"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snapToGrid w:val="0"/>
                <w:color w:val="000000" w:themeColor="text1"/>
                <w:sz w:val="22"/>
                <w:highlight w:val="none"/>
                <w14:textFill>
                  <w14:solidFill>
                    <w14:schemeClr w14:val="tx1"/>
                  </w14:solidFill>
                </w14:textFill>
              </w:rPr>
              <w:t>2.9</w:t>
            </w:r>
          </w:p>
        </w:tc>
        <w:tc>
          <w:tcPr>
            <w:tcW w:w="595"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snapToGrid w:val="0"/>
                <w:color w:val="000000" w:themeColor="text1"/>
                <w:sz w:val="22"/>
                <w:highlight w:val="none"/>
                <w14:textFill>
                  <w14:solidFill>
                    <w14:schemeClr w14:val="tx1"/>
                  </w14:solidFill>
                </w14:textFill>
              </w:rPr>
              <w:t>2.8</w:t>
            </w:r>
          </w:p>
        </w:tc>
        <w:tc>
          <w:tcPr>
            <w:tcW w:w="595"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snapToGrid w:val="0"/>
                <w:color w:val="000000" w:themeColor="text1"/>
                <w:sz w:val="22"/>
                <w:highlight w:val="none"/>
                <w14:textFill>
                  <w14:solidFill>
                    <w14:schemeClr w14:val="tx1"/>
                  </w14:solidFill>
                </w14:textFill>
              </w:rPr>
              <w:t>2.8</w:t>
            </w:r>
          </w:p>
        </w:tc>
        <w:tc>
          <w:tcPr>
            <w:tcW w:w="595"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snapToGrid w:val="0"/>
                <w:color w:val="000000" w:themeColor="text1"/>
                <w:sz w:val="22"/>
                <w:highlight w:val="none"/>
                <w14:textFill>
                  <w14:solidFill>
                    <w14:schemeClr w14:val="tx1"/>
                  </w14:solidFill>
                </w14:textFill>
              </w:rPr>
              <w:t>2.7</w:t>
            </w:r>
          </w:p>
        </w:tc>
        <w:tc>
          <w:tcPr>
            <w:tcW w:w="593"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snapToGrid w:val="0"/>
                <w:color w:val="000000" w:themeColor="text1"/>
                <w:sz w:val="22"/>
                <w:highlight w:val="none"/>
                <w14:textFill>
                  <w14:solidFill>
                    <w14:schemeClr w14:val="tx1"/>
                  </w14:solidFill>
                </w14:textFill>
              </w:rPr>
              <w:t>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vAlign w:val="top"/>
          </w:tcPr>
          <w:p>
            <w:pPr>
              <w:spacing w:line="240" w:lineRule="auto"/>
              <w:ind w:firstLine="0" w:firstLineChars="0"/>
              <w:jc w:val="center"/>
              <w:rPr>
                <w:rFonts w:eastAsia="Times New Roman" w:cs="Times New Roman"/>
                <w:snapToGrid w:val="0"/>
                <w:color w:val="000000" w:themeColor="text1"/>
                <w:kern w:val="0"/>
                <w:sz w:val="21"/>
                <w:szCs w:val="20"/>
                <w:highlight w:val="none"/>
                <w14:textFill>
                  <w14:solidFill>
                    <w14:schemeClr w14:val="tx1"/>
                  </w14:solidFill>
                </w14:textFill>
              </w:rPr>
            </w:pPr>
            <w:r>
              <w:rPr>
                <w:rFonts w:hint="eastAsia" w:ascii="宋体" w:hAnsi="宋体" w:eastAsia="Times New Roman" w:cs="宋体"/>
                <w:snapToGrid w:val="0"/>
                <w:color w:val="000000" w:themeColor="text1"/>
                <w:sz w:val="21"/>
                <w:szCs w:val="20"/>
                <w:highlight w:val="none"/>
                <w14:textFill>
                  <w14:solidFill>
                    <w14:schemeClr w14:val="tx1"/>
                  </w14:solidFill>
                </w14:textFill>
              </w:rPr>
              <w:t>氨氮</w:t>
            </w:r>
          </w:p>
        </w:tc>
        <w:tc>
          <w:tcPr>
            <w:tcW w:w="593"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eastAsia="Times New Roman" w:cs="Times New Roman"/>
                <w:snapToGrid w:val="0"/>
                <w:color w:val="000000" w:themeColor="text1"/>
                <w:kern w:val="0"/>
                <w:sz w:val="21"/>
                <w:szCs w:val="21"/>
                <w:highlight w:val="none"/>
                <w14:textFill>
                  <w14:solidFill>
                    <w14:schemeClr w14:val="tx1"/>
                  </w14:solidFill>
                </w14:textFill>
              </w:rPr>
              <w:t>mg/L</w:t>
            </w:r>
          </w:p>
        </w:tc>
        <w:tc>
          <w:tcPr>
            <w:tcW w:w="594"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snapToGrid w:val="0"/>
                <w:color w:val="000000" w:themeColor="text1"/>
                <w:sz w:val="22"/>
                <w:highlight w:val="none"/>
                <w14:textFill>
                  <w14:solidFill>
                    <w14:schemeClr w14:val="tx1"/>
                  </w14:solidFill>
                </w14:textFill>
              </w:rPr>
              <w:t>0.626</w:t>
            </w:r>
          </w:p>
        </w:tc>
        <w:tc>
          <w:tcPr>
            <w:tcW w:w="595"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snapToGrid w:val="0"/>
                <w:color w:val="000000" w:themeColor="text1"/>
                <w:sz w:val="22"/>
                <w:highlight w:val="none"/>
                <w14:textFill>
                  <w14:solidFill>
                    <w14:schemeClr w14:val="tx1"/>
                  </w14:solidFill>
                </w14:textFill>
              </w:rPr>
              <w:t>0.112</w:t>
            </w:r>
          </w:p>
        </w:tc>
        <w:tc>
          <w:tcPr>
            <w:tcW w:w="595"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snapToGrid w:val="0"/>
                <w:color w:val="000000" w:themeColor="text1"/>
                <w:sz w:val="22"/>
                <w:highlight w:val="none"/>
                <w14:textFill>
                  <w14:solidFill>
                    <w14:schemeClr w14:val="tx1"/>
                  </w14:solidFill>
                </w14:textFill>
              </w:rPr>
              <w:t>0.572</w:t>
            </w:r>
          </w:p>
        </w:tc>
        <w:tc>
          <w:tcPr>
            <w:tcW w:w="595"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snapToGrid w:val="0"/>
                <w:color w:val="000000" w:themeColor="text1"/>
                <w:sz w:val="22"/>
                <w:highlight w:val="none"/>
                <w14:textFill>
                  <w14:solidFill>
                    <w14:schemeClr w14:val="tx1"/>
                  </w14:solidFill>
                </w14:textFill>
              </w:rPr>
              <w:t>0.834</w:t>
            </w:r>
          </w:p>
        </w:tc>
        <w:tc>
          <w:tcPr>
            <w:tcW w:w="595"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snapToGrid w:val="0"/>
                <w:color w:val="000000" w:themeColor="text1"/>
                <w:sz w:val="22"/>
                <w:highlight w:val="none"/>
                <w14:textFill>
                  <w14:solidFill>
                    <w14:schemeClr w14:val="tx1"/>
                  </w14:solidFill>
                </w14:textFill>
              </w:rPr>
              <w:t>0.295</w:t>
            </w:r>
          </w:p>
        </w:tc>
        <w:tc>
          <w:tcPr>
            <w:tcW w:w="593"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snapToGrid w:val="0"/>
                <w:color w:val="000000" w:themeColor="text1"/>
                <w:sz w:val="22"/>
                <w:highlight w:val="none"/>
                <w14:textFill>
                  <w14:solidFill>
                    <w14:schemeClr w14:val="tx1"/>
                  </w14:solidFill>
                </w14:textFill>
              </w:rPr>
              <w:t>0.200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vAlign w:val="top"/>
          </w:tcPr>
          <w:p>
            <w:pPr>
              <w:spacing w:line="240" w:lineRule="auto"/>
              <w:ind w:firstLine="0" w:firstLineChars="0"/>
              <w:jc w:val="center"/>
              <w:rPr>
                <w:rFonts w:eastAsia="Times New Roman" w:cs="Times New Roman"/>
                <w:snapToGrid w:val="0"/>
                <w:color w:val="000000" w:themeColor="text1"/>
                <w:kern w:val="0"/>
                <w:sz w:val="21"/>
                <w:szCs w:val="20"/>
                <w:highlight w:val="none"/>
                <w14:textFill>
                  <w14:solidFill>
                    <w14:schemeClr w14:val="tx1"/>
                  </w14:solidFill>
                </w14:textFill>
              </w:rPr>
            </w:pPr>
            <w:r>
              <w:rPr>
                <w:rFonts w:hint="eastAsia" w:ascii="宋体" w:hAnsi="宋体" w:eastAsia="Times New Roman" w:cs="宋体"/>
                <w:snapToGrid w:val="0"/>
                <w:color w:val="000000" w:themeColor="text1"/>
                <w:sz w:val="21"/>
                <w:szCs w:val="20"/>
                <w:highlight w:val="none"/>
                <w14:textFill>
                  <w14:solidFill>
                    <w14:schemeClr w14:val="tx1"/>
                  </w14:solidFill>
                </w14:textFill>
              </w:rPr>
              <w:t>石油类</w:t>
            </w:r>
          </w:p>
        </w:tc>
        <w:tc>
          <w:tcPr>
            <w:tcW w:w="593"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eastAsia="Times New Roman" w:cs="Times New Roman"/>
                <w:snapToGrid w:val="0"/>
                <w:color w:val="000000" w:themeColor="text1"/>
                <w:kern w:val="0"/>
                <w:sz w:val="21"/>
                <w:szCs w:val="21"/>
                <w:highlight w:val="none"/>
                <w14:textFill>
                  <w14:solidFill>
                    <w14:schemeClr w14:val="tx1"/>
                  </w14:solidFill>
                </w14:textFill>
              </w:rPr>
              <w:t>mg/L</w:t>
            </w:r>
          </w:p>
        </w:tc>
        <w:tc>
          <w:tcPr>
            <w:tcW w:w="594"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ascii="宋体" w:hAnsi="宋体" w:eastAsia="Times New Roman" w:cs="宋体"/>
                <w:snapToGrid w:val="0"/>
                <w:color w:val="000000" w:themeColor="text1"/>
                <w:sz w:val="22"/>
                <w:highlight w:val="none"/>
                <w14:textFill>
                  <w14:solidFill>
                    <w14:schemeClr w14:val="tx1"/>
                  </w14:solidFill>
                </w14:textFill>
              </w:rPr>
              <w:t>未检出</w:t>
            </w:r>
          </w:p>
        </w:tc>
        <w:tc>
          <w:tcPr>
            <w:tcW w:w="595"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ascii="宋体" w:hAnsi="宋体" w:eastAsia="Times New Roman" w:cs="宋体"/>
                <w:snapToGrid w:val="0"/>
                <w:color w:val="000000" w:themeColor="text1"/>
                <w:sz w:val="22"/>
                <w:highlight w:val="none"/>
                <w14:textFill>
                  <w14:solidFill>
                    <w14:schemeClr w14:val="tx1"/>
                  </w14:solidFill>
                </w14:textFill>
              </w:rPr>
              <w:t>未检出</w:t>
            </w:r>
          </w:p>
        </w:tc>
        <w:tc>
          <w:tcPr>
            <w:tcW w:w="595"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ascii="宋体" w:hAnsi="宋体" w:eastAsia="Times New Roman" w:cs="宋体"/>
                <w:snapToGrid w:val="0"/>
                <w:color w:val="000000" w:themeColor="text1"/>
                <w:sz w:val="22"/>
                <w:highlight w:val="none"/>
                <w14:textFill>
                  <w14:solidFill>
                    <w14:schemeClr w14:val="tx1"/>
                  </w14:solidFill>
                </w14:textFill>
              </w:rPr>
              <w:t>未检出</w:t>
            </w:r>
          </w:p>
        </w:tc>
        <w:tc>
          <w:tcPr>
            <w:tcW w:w="595"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ascii="宋体" w:hAnsi="宋体" w:eastAsia="Times New Roman" w:cs="宋体"/>
                <w:snapToGrid w:val="0"/>
                <w:color w:val="000000" w:themeColor="text1"/>
                <w:sz w:val="22"/>
                <w:highlight w:val="none"/>
                <w14:textFill>
                  <w14:solidFill>
                    <w14:schemeClr w14:val="tx1"/>
                  </w14:solidFill>
                </w14:textFill>
              </w:rPr>
              <w:t>未检出</w:t>
            </w:r>
          </w:p>
        </w:tc>
        <w:tc>
          <w:tcPr>
            <w:tcW w:w="595"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ascii="宋体" w:hAnsi="宋体" w:eastAsia="Times New Roman" w:cs="宋体"/>
                <w:snapToGrid w:val="0"/>
                <w:color w:val="000000" w:themeColor="text1"/>
                <w:sz w:val="22"/>
                <w:highlight w:val="none"/>
                <w14:textFill>
                  <w14:solidFill>
                    <w14:schemeClr w14:val="tx1"/>
                  </w14:solidFill>
                </w14:textFill>
              </w:rPr>
              <w:t>未检出</w:t>
            </w:r>
          </w:p>
        </w:tc>
        <w:tc>
          <w:tcPr>
            <w:tcW w:w="593"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ascii="宋体" w:hAnsi="宋体" w:eastAsia="Times New Roman" w:cs="宋体"/>
                <w:snapToGrid w:val="0"/>
                <w:color w:val="000000" w:themeColor="text1"/>
                <w:sz w:val="22"/>
                <w:highlight w:val="none"/>
                <w14:textFill>
                  <w14:solidFill>
                    <w14:schemeClr w14:val="tx1"/>
                  </w14:solidFill>
                </w14:textFill>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vAlign w:val="top"/>
          </w:tcPr>
          <w:p>
            <w:pPr>
              <w:spacing w:line="240" w:lineRule="auto"/>
              <w:ind w:firstLine="0" w:firstLineChars="0"/>
              <w:jc w:val="center"/>
              <w:rPr>
                <w:rFonts w:eastAsia="Times New Roman" w:cs="Times New Roman"/>
                <w:snapToGrid w:val="0"/>
                <w:color w:val="000000" w:themeColor="text1"/>
                <w:kern w:val="0"/>
                <w:sz w:val="21"/>
                <w:szCs w:val="20"/>
                <w:highlight w:val="none"/>
                <w14:textFill>
                  <w14:solidFill>
                    <w14:schemeClr w14:val="tx1"/>
                  </w14:solidFill>
                </w14:textFill>
              </w:rPr>
            </w:pPr>
            <w:r>
              <w:rPr>
                <w:rFonts w:hint="eastAsia" w:ascii="宋体" w:hAnsi="宋体" w:eastAsia="Times New Roman" w:cs="宋体"/>
                <w:snapToGrid w:val="0"/>
                <w:color w:val="000000" w:themeColor="text1"/>
                <w:sz w:val="21"/>
                <w:szCs w:val="20"/>
                <w:highlight w:val="none"/>
                <w14:textFill>
                  <w14:solidFill>
                    <w14:schemeClr w14:val="tx1"/>
                  </w14:solidFill>
                </w14:textFill>
              </w:rPr>
              <w:t>挥发酚</w:t>
            </w:r>
          </w:p>
        </w:tc>
        <w:tc>
          <w:tcPr>
            <w:tcW w:w="593"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eastAsia="Times New Roman" w:cs="Times New Roman"/>
                <w:snapToGrid w:val="0"/>
                <w:color w:val="000000" w:themeColor="text1"/>
                <w:kern w:val="0"/>
                <w:sz w:val="21"/>
                <w:szCs w:val="21"/>
                <w:highlight w:val="none"/>
                <w14:textFill>
                  <w14:solidFill>
                    <w14:schemeClr w14:val="tx1"/>
                  </w14:solidFill>
                </w14:textFill>
              </w:rPr>
              <w:t>mg/L</w:t>
            </w:r>
          </w:p>
        </w:tc>
        <w:tc>
          <w:tcPr>
            <w:tcW w:w="594"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ascii="宋体" w:hAnsi="宋体" w:eastAsia="Times New Roman" w:cs="宋体"/>
                <w:snapToGrid w:val="0"/>
                <w:color w:val="000000" w:themeColor="text1"/>
                <w:sz w:val="22"/>
                <w:highlight w:val="none"/>
                <w14:textFill>
                  <w14:solidFill>
                    <w14:schemeClr w14:val="tx1"/>
                  </w14:solidFill>
                </w14:textFill>
              </w:rPr>
              <w:t>未检出</w:t>
            </w:r>
          </w:p>
        </w:tc>
        <w:tc>
          <w:tcPr>
            <w:tcW w:w="595"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ascii="宋体" w:hAnsi="宋体" w:eastAsia="Times New Roman" w:cs="宋体"/>
                <w:snapToGrid w:val="0"/>
                <w:color w:val="000000" w:themeColor="text1"/>
                <w:sz w:val="22"/>
                <w:highlight w:val="none"/>
                <w14:textFill>
                  <w14:solidFill>
                    <w14:schemeClr w14:val="tx1"/>
                  </w14:solidFill>
                </w14:textFill>
              </w:rPr>
              <w:t>未检出</w:t>
            </w:r>
          </w:p>
        </w:tc>
        <w:tc>
          <w:tcPr>
            <w:tcW w:w="595"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ascii="宋体" w:hAnsi="宋体" w:eastAsia="Times New Roman" w:cs="宋体"/>
                <w:snapToGrid w:val="0"/>
                <w:color w:val="000000" w:themeColor="text1"/>
                <w:sz w:val="22"/>
                <w:highlight w:val="none"/>
                <w14:textFill>
                  <w14:solidFill>
                    <w14:schemeClr w14:val="tx1"/>
                  </w14:solidFill>
                </w14:textFill>
              </w:rPr>
              <w:t>未检出</w:t>
            </w:r>
          </w:p>
        </w:tc>
        <w:tc>
          <w:tcPr>
            <w:tcW w:w="595"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ascii="宋体" w:hAnsi="宋体" w:eastAsia="Times New Roman" w:cs="宋体"/>
                <w:snapToGrid w:val="0"/>
                <w:color w:val="000000" w:themeColor="text1"/>
                <w:sz w:val="22"/>
                <w:highlight w:val="none"/>
                <w14:textFill>
                  <w14:solidFill>
                    <w14:schemeClr w14:val="tx1"/>
                  </w14:solidFill>
                </w14:textFill>
              </w:rPr>
              <w:t>未检出</w:t>
            </w:r>
          </w:p>
        </w:tc>
        <w:tc>
          <w:tcPr>
            <w:tcW w:w="595"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ascii="宋体" w:hAnsi="宋体" w:eastAsia="Times New Roman" w:cs="宋体"/>
                <w:snapToGrid w:val="0"/>
                <w:color w:val="000000" w:themeColor="text1"/>
                <w:sz w:val="22"/>
                <w:highlight w:val="none"/>
                <w14:textFill>
                  <w14:solidFill>
                    <w14:schemeClr w14:val="tx1"/>
                  </w14:solidFill>
                </w14:textFill>
              </w:rPr>
              <w:t>未检出</w:t>
            </w:r>
          </w:p>
        </w:tc>
        <w:tc>
          <w:tcPr>
            <w:tcW w:w="593"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ascii="宋体" w:hAnsi="宋体" w:eastAsia="Times New Roman" w:cs="宋体"/>
                <w:snapToGrid w:val="0"/>
                <w:color w:val="000000" w:themeColor="text1"/>
                <w:sz w:val="22"/>
                <w:highlight w:val="none"/>
                <w14:textFill>
                  <w14:solidFill>
                    <w14:schemeClr w14:val="tx1"/>
                  </w14:solidFill>
                </w14:textFill>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vAlign w:val="top"/>
          </w:tcPr>
          <w:p>
            <w:pPr>
              <w:spacing w:line="240" w:lineRule="auto"/>
              <w:ind w:firstLine="0" w:firstLineChars="0"/>
              <w:jc w:val="center"/>
              <w:rPr>
                <w:rFonts w:eastAsia="Times New Roman" w:cs="Times New Roman"/>
                <w:snapToGrid w:val="0"/>
                <w:color w:val="000000" w:themeColor="text1"/>
                <w:kern w:val="0"/>
                <w:sz w:val="21"/>
                <w:szCs w:val="20"/>
                <w:highlight w:val="none"/>
                <w14:textFill>
                  <w14:solidFill>
                    <w14:schemeClr w14:val="tx1"/>
                  </w14:solidFill>
                </w14:textFill>
              </w:rPr>
            </w:pPr>
            <w:r>
              <w:rPr>
                <w:rFonts w:hint="eastAsia" w:ascii="宋体" w:hAnsi="宋体" w:eastAsia="Times New Roman" w:cs="宋体"/>
                <w:snapToGrid w:val="0"/>
                <w:color w:val="000000" w:themeColor="text1"/>
                <w:sz w:val="21"/>
                <w:szCs w:val="20"/>
                <w:highlight w:val="none"/>
                <w14:textFill>
                  <w14:solidFill>
                    <w14:schemeClr w14:val="tx1"/>
                  </w14:solidFill>
                </w14:textFill>
              </w:rPr>
              <w:t>六价铬</w:t>
            </w:r>
          </w:p>
        </w:tc>
        <w:tc>
          <w:tcPr>
            <w:tcW w:w="593"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eastAsia="Times New Roman" w:cs="Times New Roman"/>
                <w:snapToGrid w:val="0"/>
                <w:color w:val="000000" w:themeColor="text1"/>
                <w:kern w:val="0"/>
                <w:sz w:val="21"/>
                <w:szCs w:val="21"/>
                <w:highlight w:val="none"/>
                <w14:textFill>
                  <w14:solidFill>
                    <w14:schemeClr w14:val="tx1"/>
                  </w14:solidFill>
                </w14:textFill>
              </w:rPr>
              <w:t>mg/L</w:t>
            </w:r>
          </w:p>
        </w:tc>
        <w:tc>
          <w:tcPr>
            <w:tcW w:w="594"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snapToGrid w:val="0"/>
                <w:color w:val="000000" w:themeColor="text1"/>
                <w:sz w:val="22"/>
                <w:highlight w:val="none"/>
                <w14:textFill>
                  <w14:solidFill>
                    <w14:schemeClr w14:val="tx1"/>
                  </w14:solidFill>
                </w14:textFill>
              </w:rPr>
              <w:t>&lt;0.004</w:t>
            </w:r>
          </w:p>
        </w:tc>
        <w:tc>
          <w:tcPr>
            <w:tcW w:w="595"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snapToGrid w:val="0"/>
                <w:color w:val="000000" w:themeColor="text1"/>
                <w:sz w:val="22"/>
                <w:highlight w:val="none"/>
                <w14:textFill>
                  <w14:solidFill>
                    <w14:schemeClr w14:val="tx1"/>
                  </w14:solidFill>
                </w14:textFill>
              </w:rPr>
              <w:t>&lt;0.004</w:t>
            </w:r>
          </w:p>
        </w:tc>
        <w:tc>
          <w:tcPr>
            <w:tcW w:w="595"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snapToGrid w:val="0"/>
                <w:color w:val="000000" w:themeColor="text1"/>
                <w:sz w:val="22"/>
                <w:highlight w:val="none"/>
                <w14:textFill>
                  <w14:solidFill>
                    <w14:schemeClr w14:val="tx1"/>
                  </w14:solidFill>
                </w14:textFill>
              </w:rPr>
              <w:t>&lt;0.004</w:t>
            </w:r>
          </w:p>
        </w:tc>
        <w:tc>
          <w:tcPr>
            <w:tcW w:w="595"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snapToGrid w:val="0"/>
                <w:color w:val="000000" w:themeColor="text1"/>
                <w:sz w:val="22"/>
                <w:highlight w:val="none"/>
                <w14:textFill>
                  <w14:solidFill>
                    <w14:schemeClr w14:val="tx1"/>
                  </w14:solidFill>
                </w14:textFill>
              </w:rPr>
              <w:t>&lt;0.004</w:t>
            </w:r>
          </w:p>
        </w:tc>
        <w:tc>
          <w:tcPr>
            <w:tcW w:w="595"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snapToGrid w:val="0"/>
                <w:color w:val="000000" w:themeColor="text1"/>
                <w:sz w:val="22"/>
                <w:highlight w:val="none"/>
                <w14:textFill>
                  <w14:solidFill>
                    <w14:schemeClr w14:val="tx1"/>
                  </w14:solidFill>
                </w14:textFill>
              </w:rPr>
              <w:t>&lt;0.004</w:t>
            </w:r>
          </w:p>
        </w:tc>
        <w:tc>
          <w:tcPr>
            <w:tcW w:w="593"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snapToGrid w:val="0"/>
                <w:color w:val="000000" w:themeColor="text1"/>
                <w:sz w:val="22"/>
                <w:highlight w:val="none"/>
                <w14:textFill>
                  <w14:solidFill>
                    <w14:schemeClr w14:val="tx1"/>
                  </w14:solidFill>
                </w14:textFill>
              </w:rPr>
              <w:t>&lt;0.004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vAlign w:val="top"/>
          </w:tcPr>
          <w:p>
            <w:pPr>
              <w:spacing w:line="240" w:lineRule="auto"/>
              <w:ind w:firstLine="0" w:firstLineChars="0"/>
              <w:jc w:val="center"/>
              <w:rPr>
                <w:rFonts w:eastAsia="Times New Roman" w:cs="Times New Roman"/>
                <w:snapToGrid w:val="0"/>
                <w:color w:val="000000" w:themeColor="text1"/>
                <w:kern w:val="0"/>
                <w:sz w:val="21"/>
                <w:szCs w:val="20"/>
                <w:highlight w:val="none"/>
                <w14:textFill>
                  <w14:solidFill>
                    <w14:schemeClr w14:val="tx1"/>
                  </w14:solidFill>
                </w14:textFill>
              </w:rPr>
            </w:pPr>
            <w:r>
              <w:rPr>
                <w:rFonts w:hint="eastAsia" w:ascii="宋体" w:hAnsi="宋体" w:eastAsia="Times New Roman" w:cs="宋体"/>
                <w:snapToGrid w:val="0"/>
                <w:color w:val="000000" w:themeColor="text1"/>
                <w:sz w:val="21"/>
                <w:szCs w:val="20"/>
                <w:highlight w:val="none"/>
                <w14:textFill>
                  <w14:solidFill>
                    <w14:schemeClr w14:val="tx1"/>
                  </w14:solidFill>
                </w14:textFill>
              </w:rPr>
              <w:t>氯化物</w:t>
            </w:r>
          </w:p>
        </w:tc>
        <w:tc>
          <w:tcPr>
            <w:tcW w:w="593"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eastAsia="Times New Roman" w:cs="Times New Roman"/>
                <w:snapToGrid w:val="0"/>
                <w:color w:val="000000" w:themeColor="text1"/>
                <w:kern w:val="0"/>
                <w:sz w:val="21"/>
                <w:szCs w:val="21"/>
                <w:highlight w:val="none"/>
                <w14:textFill>
                  <w14:solidFill>
                    <w14:schemeClr w14:val="tx1"/>
                  </w14:solidFill>
                </w14:textFill>
              </w:rPr>
              <w:t>mg/L</w:t>
            </w:r>
          </w:p>
        </w:tc>
        <w:tc>
          <w:tcPr>
            <w:tcW w:w="594"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snapToGrid w:val="0"/>
                <w:color w:val="000000" w:themeColor="text1"/>
                <w:sz w:val="22"/>
                <w:highlight w:val="none"/>
                <w14:textFill>
                  <w14:solidFill>
                    <w14:schemeClr w14:val="tx1"/>
                  </w14:solidFill>
                </w14:textFill>
              </w:rPr>
              <w:t>31.1</w:t>
            </w:r>
          </w:p>
        </w:tc>
        <w:tc>
          <w:tcPr>
            <w:tcW w:w="595"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snapToGrid w:val="0"/>
                <w:color w:val="000000" w:themeColor="text1"/>
                <w:sz w:val="22"/>
                <w:highlight w:val="none"/>
                <w14:textFill>
                  <w14:solidFill>
                    <w14:schemeClr w14:val="tx1"/>
                  </w14:solidFill>
                </w14:textFill>
              </w:rPr>
              <w:t>31.1</w:t>
            </w:r>
          </w:p>
        </w:tc>
        <w:tc>
          <w:tcPr>
            <w:tcW w:w="595"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snapToGrid w:val="0"/>
                <w:color w:val="000000" w:themeColor="text1"/>
                <w:sz w:val="22"/>
                <w:highlight w:val="none"/>
                <w14:textFill>
                  <w14:solidFill>
                    <w14:schemeClr w14:val="tx1"/>
                  </w14:solidFill>
                </w14:textFill>
              </w:rPr>
              <w:t>30.7</w:t>
            </w:r>
          </w:p>
        </w:tc>
        <w:tc>
          <w:tcPr>
            <w:tcW w:w="595"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snapToGrid w:val="0"/>
                <w:color w:val="000000" w:themeColor="text1"/>
                <w:sz w:val="22"/>
                <w:highlight w:val="none"/>
                <w14:textFill>
                  <w14:solidFill>
                    <w14:schemeClr w14:val="tx1"/>
                  </w14:solidFill>
                </w14:textFill>
              </w:rPr>
              <w:t>27.0</w:t>
            </w:r>
          </w:p>
        </w:tc>
        <w:tc>
          <w:tcPr>
            <w:tcW w:w="595"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snapToGrid w:val="0"/>
                <w:color w:val="000000" w:themeColor="text1"/>
                <w:sz w:val="22"/>
                <w:highlight w:val="none"/>
                <w14:textFill>
                  <w14:solidFill>
                    <w14:schemeClr w14:val="tx1"/>
                  </w14:solidFill>
                </w14:textFill>
              </w:rPr>
              <w:t>26.9</w:t>
            </w:r>
          </w:p>
        </w:tc>
        <w:tc>
          <w:tcPr>
            <w:tcW w:w="593"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snapToGrid w:val="0"/>
                <w:color w:val="000000" w:themeColor="text1"/>
                <w:sz w:val="22"/>
                <w:highlight w:val="none"/>
                <w14:textFill>
                  <w14:solidFill>
                    <w14:schemeClr w14:val="tx1"/>
                  </w14:solidFill>
                </w14:textFill>
              </w:rPr>
              <w:t>26.9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vAlign w:val="top"/>
          </w:tcPr>
          <w:p>
            <w:pPr>
              <w:spacing w:line="240" w:lineRule="auto"/>
              <w:ind w:firstLine="0" w:firstLineChars="0"/>
              <w:jc w:val="center"/>
              <w:rPr>
                <w:rFonts w:eastAsia="Times New Roman" w:cs="Times New Roman"/>
                <w:snapToGrid w:val="0"/>
                <w:color w:val="000000" w:themeColor="text1"/>
                <w:kern w:val="0"/>
                <w:sz w:val="21"/>
                <w:szCs w:val="20"/>
                <w:highlight w:val="none"/>
                <w14:textFill>
                  <w14:solidFill>
                    <w14:schemeClr w14:val="tx1"/>
                  </w14:solidFill>
                </w14:textFill>
              </w:rPr>
            </w:pPr>
            <w:r>
              <w:rPr>
                <w:rFonts w:hint="eastAsia" w:ascii="宋体" w:hAnsi="宋体" w:eastAsia="Times New Roman" w:cs="宋体"/>
                <w:snapToGrid w:val="0"/>
                <w:color w:val="000000" w:themeColor="text1"/>
                <w:sz w:val="21"/>
                <w:szCs w:val="20"/>
                <w:highlight w:val="none"/>
                <w14:textFill>
                  <w14:solidFill>
                    <w14:schemeClr w14:val="tx1"/>
                  </w14:solidFill>
                </w14:textFill>
              </w:rPr>
              <w:t>硫化物</w:t>
            </w:r>
          </w:p>
        </w:tc>
        <w:tc>
          <w:tcPr>
            <w:tcW w:w="593"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eastAsia="Times New Roman" w:cs="Times New Roman"/>
                <w:snapToGrid w:val="0"/>
                <w:color w:val="000000" w:themeColor="text1"/>
                <w:kern w:val="0"/>
                <w:sz w:val="21"/>
                <w:szCs w:val="21"/>
                <w:highlight w:val="none"/>
                <w14:textFill>
                  <w14:solidFill>
                    <w14:schemeClr w14:val="tx1"/>
                  </w14:solidFill>
                </w14:textFill>
              </w:rPr>
              <w:t>mg/L</w:t>
            </w:r>
          </w:p>
        </w:tc>
        <w:tc>
          <w:tcPr>
            <w:tcW w:w="594"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ascii="宋体" w:hAnsi="宋体" w:eastAsia="Times New Roman" w:cs="宋体"/>
                <w:snapToGrid w:val="0"/>
                <w:color w:val="000000" w:themeColor="text1"/>
                <w:sz w:val="22"/>
                <w:highlight w:val="none"/>
                <w14:textFill>
                  <w14:solidFill>
                    <w14:schemeClr w14:val="tx1"/>
                  </w14:solidFill>
                </w14:textFill>
              </w:rPr>
              <w:t>未检出</w:t>
            </w:r>
          </w:p>
        </w:tc>
        <w:tc>
          <w:tcPr>
            <w:tcW w:w="595"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ascii="宋体" w:hAnsi="宋体" w:eastAsia="Times New Roman" w:cs="宋体"/>
                <w:snapToGrid w:val="0"/>
                <w:color w:val="000000" w:themeColor="text1"/>
                <w:sz w:val="22"/>
                <w:highlight w:val="none"/>
                <w14:textFill>
                  <w14:solidFill>
                    <w14:schemeClr w14:val="tx1"/>
                  </w14:solidFill>
                </w14:textFill>
              </w:rPr>
              <w:t>未检出</w:t>
            </w:r>
          </w:p>
        </w:tc>
        <w:tc>
          <w:tcPr>
            <w:tcW w:w="595"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ascii="宋体" w:hAnsi="宋体" w:eastAsia="Times New Roman" w:cs="宋体"/>
                <w:snapToGrid w:val="0"/>
                <w:color w:val="000000" w:themeColor="text1"/>
                <w:sz w:val="22"/>
                <w:highlight w:val="none"/>
                <w14:textFill>
                  <w14:solidFill>
                    <w14:schemeClr w14:val="tx1"/>
                  </w14:solidFill>
                </w14:textFill>
              </w:rPr>
              <w:t>未检出</w:t>
            </w:r>
          </w:p>
        </w:tc>
        <w:tc>
          <w:tcPr>
            <w:tcW w:w="595"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ascii="宋体" w:hAnsi="宋体" w:eastAsia="Times New Roman" w:cs="宋体"/>
                <w:snapToGrid w:val="0"/>
                <w:color w:val="000000" w:themeColor="text1"/>
                <w:sz w:val="22"/>
                <w:highlight w:val="none"/>
                <w14:textFill>
                  <w14:solidFill>
                    <w14:schemeClr w14:val="tx1"/>
                  </w14:solidFill>
                </w14:textFill>
              </w:rPr>
              <w:t>未检出</w:t>
            </w:r>
          </w:p>
        </w:tc>
        <w:tc>
          <w:tcPr>
            <w:tcW w:w="595"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ascii="宋体" w:hAnsi="宋体" w:eastAsia="Times New Roman" w:cs="宋体"/>
                <w:snapToGrid w:val="0"/>
                <w:color w:val="000000" w:themeColor="text1"/>
                <w:sz w:val="22"/>
                <w:highlight w:val="none"/>
                <w14:textFill>
                  <w14:solidFill>
                    <w14:schemeClr w14:val="tx1"/>
                  </w14:solidFill>
                </w14:textFill>
              </w:rPr>
              <w:t>未检出</w:t>
            </w:r>
          </w:p>
        </w:tc>
        <w:tc>
          <w:tcPr>
            <w:tcW w:w="593"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ascii="宋体" w:hAnsi="宋体" w:eastAsia="Times New Roman" w:cs="宋体"/>
                <w:snapToGrid w:val="0"/>
                <w:color w:val="000000" w:themeColor="text1"/>
                <w:sz w:val="22"/>
                <w:highlight w:val="none"/>
                <w14:textFill>
                  <w14:solidFill>
                    <w14:schemeClr w14:val="tx1"/>
                  </w14:solidFill>
                </w14:textFill>
              </w:rPr>
              <w:t>未检出</w:t>
            </w:r>
          </w:p>
        </w:tc>
      </w:tr>
    </w:tbl>
    <w:p>
      <w:pPr>
        <w:keepNext/>
        <w:spacing w:before="120" w:beforeLines="50"/>
        <w:ind w:firstLine="482"/>
        <w:jc w:val="left"/>
        <w:rPr>
          <w:rFonts w:cs="Times New Roman"/>
          <w:b/>
          <w:snapToGrid w:val="0"/>
          <w:color w:val="000000" w:themeColor="text1"/>
          <w:kern w:val="0"/>
          <w:szCs w:val="24"/>
          <w:highlight w:val="none"/>
          <w:lang w:val="zh-CN"/>
          <w14:textFill>
            <w14:solidFill>
              <w14:schemeClr w14:val="tx1"/>
            </w14:solidFill>
          </w14:textFill>
        </w:rPr>
      </w:pPr>
      <w:r>
        <w:rPr>
          <w:rFonts w:cs="Times New Roman"/>
          <w:b/>
          <w:snapToGrid w:val="0"/>
          <w:color w:val="000000" w:themeColor="text1"/>
          <w:kern w:val="0"/>
          <w:szCs w:val="24"/>
          <w:highlight w:val="none"/>
          <w:lang w:val="zh-CN"/>
          <w14:textFill>
            <w14:solidFill>
              <w14:schemeClr w14:val="tx1"/>
            </w14:solidFill>
          </w14:textFill>
        </w:rPr>
        <w:t>（6）评价方法</w:t>
      </w:r>
      <w:r>
        <w:rPr>
          <w:rFonts w:hint="eastAsia" w:cs="Times New Roman"/>
          <w:b/>
          <w:snapToGrid w:val="0"/>
          <w:color w:val="000000" w:themeColor="text1"/>
          <w:kern w:val="0"/>
          <w:szCs w:val="24"/>
          <w:highlight w:val="none"/>
          <w:lang w:val="zh-CN"/>
          <w14:textFill>
            <w14:solidFill>
              <w14:schemeClr w14:val="tx1"/>
            </w14:solidFill>
          </w14:textFill>
        </w:rPr>
        <w:t xml:space="preserve"> </w:t>
      </w:r>
    </w:p>
    <w:p>
      <w:pPr>
        <w:widowControl/>
        <w:ind w:firstLine="480"/>
        <w:jc w:val="left"/>
        <w:rPr>
          <w:rFonts w:cs="Times New Roman"/>
          <w:color w:val="000000" w:themeColor="text1"/>
          <w:kern w:val="0"/>
          <w:szCs w:val="24"/>
          <w:highlight w:val="none"/>
          <w:lang w:val="it-IT"/>
          <w14:textFill>
            <w14:solidFill>
              <w14:schemeClr w14:val="tx1"/>
            </w14:solidFill>
          </w14:textFill>
        </w:rPr>
      </w:pPr>
      <w:r>
        <w:rPr>
          <w:rFonts w:cs="Times New Roman"/>
          <w:color w:val="000000" w:themeColor="text1"/>
          <w:kern w:val="0"/>
          <w:szCs w:val="24"/>
          <w:highlight w:val="none"/>
          <w14:textFill>
            <w14:solidFill>
              <w14:schemeClr w14:val="tx1"/>
            </w14:solidFill>
          </w14:textFill>
        </w:rPr>
        <w:t>采用标准指数法。模式如下</w:t>
      </w:r>
      <w:r>
        <w:rPr>
          <w:rFonts w:cs="Times New Roman"/>
          <w:color w:val="000000" w:themeColor="text1"/>
          <w:kern w:val="0"/>
          <w:szCs w:val="24"/>
          <w:highlight w:val="none"/>
          <w:lang w:val="it-IT"/>
          <w14:textFill>
            <w14:solidFill>
              <w14:schemeClr w14:val="tx1"/>
            </w14:solidFill>
          </w14:textFill>
        </w:rPr>
        <w:t>：</w:t>
      </w:r>
    </w:p>
    <w:p>
      <w:pPr>
        <w:widowControl/>
        <w:ind w:firstLine="480"/>
        <w:jc w:val="center"/>
        <w:rPr>
          <w:rFonts w:cs="Times New Roman"/>
          <w:color w:val="000000" w:themeColor="text1"/>
          <w:kern w:val="0"/>
          <w:szCs w:val="24"/>
          <w:highlight w:val="none"/>
          <w:lang w:val="it-IT"/>
          <w14:textFill>
            <w14:solidFill>
              <w14:schemeClr w14:val="tx1"/>
            </w14:solidFill>
          </w14:textFill>
        </w:rPr>
      </w:pPr>
      <w:r>
        <w:rPr>
          <w:rFonts w:cs="Times New Roman"/>
          <w:color w:val="000000" w:themeColor="text1"/>
          <w:kern w:val="0"/>
          <w:szCs w:val="24"/>
          <w:highlight w:val="none"/>
          <w:lang w:val="it-IT"/>
          <w14:textFill>
            <w14:solidFill>
              <w14:schemeClr w14:val="tx1"/>
            </w14:solidFill>
          </w14:textFill>
        </w:rPr>
        <w:t>S</w:t>
      </w:r>
      <w:r>
        <w:rPr>
          <w:rFonts w:cs="Times New Roman"/>
          <w:color w:val="000000" w:themeColor="text1"/>
          <w:kern w:val="0"/>
          <w:szCs w:val="24"/>
          <w:highlight w:val="none"/>
          <w:vertAlign w:val="subscript"/>
          <w:lang w:val="it-IT"/>
          <w14:textFill>
            <w14:solidFill>
              <w14:schemeClr w14:val="tx1"/>
            </w14:solidFill>
          </w14:textFill>
        </w:rPr>
        <w:t>i，j</w:t>
      </w:r>
      <w:r>
        <w:rPr>
          <w:rFonts w:cs="Times New Roman"/>
          <w:color w:val="000000" w:themeColor="text1"/>
          <w:kern w:val="0"/>
          <w:szCs w:val="24"/>
          <w:highlight w:val="none"/>
          <w:lang w:val="it-IT"/>
          <w14:textFill>
            <w14:solidFill>
              <w14:schemeClr w14:val="tx1"/>
            </w14:solidFill>
          </w14:textFill>
        </w:rPr>
        <w:t>=c</w:t>
      </w:r>
      <w:r>
        <w:rPr>
          <w:rFonts w:cs="Times New Roman"/>
          <w:color w:val="000000" w:themeColor="text1"/>
          <w:kern w:val="0"/>
          <w:szCs w:val="24"/>
          <w:highlight w:val="none"/>
          <w:vertAlign w:val="subscript"/>
          <w:lang w:val="it-IT"/>
          <w14:textFill>
            <w14:solidFill>
              <w14:schemeClr w14:val="tx1"/>
            </w14:solidFill>
          </w14:textFill>
        </w:rPr>
        <w:t>i，j</w:t>
      </w:r>
      <w:r>
        <w:rPr>
          <w:rFonts w:cs="Times New Roman"/>
          <w:color w:val="000000" w:themeColor="text1"/>
          <w:kern w:val="0"/>
          <w:szCs w:val="24"/>
          <w:highlight w:val="none"/>
          <w:lang w:val="it-IT"/>
          <w14:textFill>
            <w14:solidFill>
              <w14:schemeClr w14:val="tx1"/>
            </w14:solidFill>
          </w14:textFill>
        </w:rPr>
        <w:t>/c</w:t>
      </w:r>
      <w:r>
        <w:rPr>
          <w:rFonts w:cs="Times New Roman"/>
          <w:color w:val="000000" w:themeColor="text1"/>
          <w:kern w:val="0"/>
          <w:szCs w:val="24"/>
          <w:highlight w:val="none"/>
          <w:vertAlign w:val="subscript"/>
          <w:lang w:val="it-IT"/>
          <w14:textFill>
            <w14:solidFill>
              <w14:schemeClr w14:val="tx1"/>
            </w14:solidFill>
          </w14:textFill>
        </w:rPr>
        <w:t>si</w:t>
      </w:r>
    </w:p>
    <w:p>
      <w:pPr>
        <w:widowControl/>
        <w:ind w:firstLine="480"/>
        <w:jc w:val="left"/>
        <w:rPr>
          <w:rFonts w:cs="Times New Roman"/>
          <w:color w:val="000000" w:themeColor="text1"/>
          <w:kern w:val="0"/>
          <w:szCs w:val="24"/>
          <w:highlight w:val="none"/>
          <w:lang w:val="it-IT"/>
          <w14:textFill>
            <w14:solidFill>
              <w14:schemeClr w14:val="tx1"/>
            </w14:solidFill>
          </w14:textFill>
        </w:rPr>
      </w:pPr>
      <w:r>
        <w:rPr>
          <w:rFonts w:cs="Times New Roman"/>
          <w:color w:val="000000" w:themeColor="text1"/>
          <w:kern w:val="0"/>
          <w:szCs w:val="24"/>
          <w:highlight w:val="none"/>
          <w14:textFill>
            <w14:solidFill>
              <w14:schemeClr w14:val="tx1"/>
            </w14:solidFill>
          </w14:textFill>
        </w:rPr>
        <w:t>式中</w:t>
      </w:r>
      <w:r>
        <w:rPr>
          <w:rFonts w:cs="Times New Roman"/>
          <w:color w:val="000000" w:themeColor="text1"/>
          <w:kern w:val="0"/>
          <w:szCs w:val="24"/>
          <w:highlight w:val="none"/>
          <w:lang w:val="it-IT"/>
          <w14:textFill>
            <w14:solidFill>
              <w14:schemeClr w14:val="tx1"/>
            </w14:solidFill>
          </w14:textFill>
        </w:rPr>
        <w:t>：S</w:t>
      </w:r>
      <w:r>
        <w:rPr>
          <w:rFonts w:cs="Times New Roman"/>
          <w:color w:val="000000" w:themeColor="text1"/>
          <w:kern w:val="0"/>
          <w:szCs w:val="24"/>
          <w:highlight w:val="none"/>
          <w:vertAlign w:val="subscript"/>
          <w:lang w:val="it-IT"/>
          <w14:textFill>
            <w14:solidFill>
              <w14:schemeClr w14:val="tx1"/>
            </w14:solidFill>
          </w14:textFill>
        </w:rPr>
        <w:t>i，j</w:t>
      </w:r>
      <w:r>
        <w:rPr>
          <w:rFonts w:cs="Times New Roman"/>
          <w:color w:val="000000" w:themeColor="text1"/>
          <w:kern w:val="0"/>
          <w:szCs w:val="24"/>
          <w:highlight w:val="none"/>
          <w:lang w:val="it-IT"/>
          <w14:textFill>
            <w14:solidFill>
              <w14:schemeClr w14:val="tx1"/>
            </w14:solidFill>
          </w14:textFill>
        </w:rPr>
        <w:t>——i</w:t>
      </w:r>
      <w:r>
        <w:rPr>
          <w:rFonts w:cs="Times New Roman"/>
          <w:color w:val="000000" w:themeColor="text1"/>
          <w:kern w:val="0"/>
          <w:szCs w:val="24"/>
          <w:highlight w:val="none"/>
          <w14:textFill>
            <w14:solidFill>
              <w14:schemeClr w14:val="tx1"/>
            </w14:solidFill>
          </w14:textFill>
        </w:rPr>
        <w:t>种污染物的单项指数</w:t>
      </w:r>
      <w:r>
        <w:rPr>
          <w:rFonts w:cs="Times New Roman"/>
          <w:color w:val="000000" w:themeColor="text1"/>
          <w:kern w:val="0"/>
          <w:szCs w:val="24"/>
          <w:highlight w:val="none"/>
          <w:lang w:val="it-IT"/>
          <w14:textFill>
            <w14:solidFill>
              <w14:schemeClr w14:val="tx1"/>
            </w14:solidFill>
          </w14:textFill>
        </w:rPr>
        <w:t>；</w:t>
      </w:r>
    </w:p>
    <w:p>
      <w:pPr>
        <w:widowControl/>
        <w:ind w:firstLine="1200" w:firstLineChars="500"/>
        <w:jc w:val="left"/>
        <w:rPr>
          <w:rFonts w:cs="Times New Roman"/>
          <w:color w:val="000000" w:themeColor="text1"/>
          <w:kern w:val="0"/>
          <w:szCs w:val="24"/>
          <w:highlight w:val="none"/>
          <w:lang w:val="it-IT"/>
          <w14:textFill>
            <w14:solidFill>
              <w14:schemeClr w14:val="tx1"/>
            </w14:solidFill>
          </w14:textFill>
        </w:rPr>
      </w:pPr>
      <w:r>
        <w:rPr>
          <w:rFonts w:cs="Times New Roman"/>
          <w:color w:val="000000" w:themeColor="text1"/>
          <w:kern w:val="0"/>
          <w:szCs w:val="24"/>
          <w:highlight w:val="none"/>
          <w:lang w:val="it-IT"/>
          <w14:textFill>
            <w14:solidFill>
              <w14:schemeClr w14:val="tx1"/>
            </w14:solidFill>
          </w14:textFill>
        </w:rPr>
        <w:t>C</w:t>
      </w:r>
      <w:r>
        <w:rPr>
          <w:rFonts w:cs="Times New Roman"/>
          <w:color w:val="000000" w:themeColor="text1"/>
          <w:kern w:val="0"/>
          <w:szCs w:val="24"/>
          <w:highlight w:val="none"/>
          <w:vertAlign w:val="subscript"/>
          <w:lang w:val="it-IT"/>
          <w14:textFill>
            <w14:solidFill>
              <w14:schemeClr w14:val="tx1"/>
            </w14:solidFill>
          </w14:textFill>
        </w:rPr>
        <w:t>i，j</w:t>
      </w:r>
      <w:r>
        <w:rPr>
          <w:rFonts w:cs="Times New Roman"/>
          <w:color w:val="000000" w:themeColor="text1"/>
          <w:kern w:val="0"/>
          <w:szCs w:val="24"/>
          <w:highlight w:val="none"/>
          <w:lang w:val="it-IT"/>
          <w14:textFill>
            <w14:solidFill>
              <w14:schemeClr w14:val="tx1"/>
            </w14:solidFill>
          </w14:textFill>
        </w:rPr>
        <w:t>——i</w:t>
      </w:r>
      <w:r>
        <w:rPr>
          <w:rFonts w:cs="Times New Roman"/>
          <w:color w:val="000000" w:themeColor="text1"/>
          <w:kern w:val="0"/>
          <w:szCs w:val="24"/>
          <w:highlight w:val="none"/>
          <w14:textFill>
            <w14:solidFill>
              <w14:schemeClr w14:val="tx1"/>
            </w14:solidFill>
          </w14:textFill>
        </w:rPr>
        <w:t>种污染物实测浓度</w:t>
      </w:r>
      <w:r>
        <w:rPr>
          <w:rFonts w:cs="Times New Roman"/>
          <w:color w:val="000000" w:themeColor="text1"/>
          <w:kern w:val="0"/>
          <w:szCs w:val="24"/>
          <w:highlight w:val="none"/>
          <w:lang w:val="it-IT"/>
          <w14:textFill>
            <w14:solidFill>
              <w14:schemeClr w14:val="tx1"/>
            </w14:solidFill>
          </w14:textFill>
        </w:rPr>
        <w:t>（mg/l）；</w:t>
      </w:r>
    </w:p>
    <w:p>
      <w:pPr>
        <w:widowControl/>
        <w:ind w:firstLine="1200" w:firstLineChars="500"/>
        <w:jc w:val="left"/>
        <w:rPr>
          <w:rFonts w:cs="Times New Roman"/>
          <w:color w:val="000000" w:themeColor="text1"/>
          <w:kern w:val="0"/>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C</w:t>
      </w:r>
      <w:r>
        <w:rPr>
          <w:rFonts w:cs="Times New Roman"/>
          <w:color w:val="000000" w:themeColor="text1"/>
          <w:kern w:val="0"/>
          <w:sz w:val="21"/>
          <w:szCs w:val="24"/>
          <w:highlight w:val="none"/>
          <w:vertAlign w:val="subscript"/>
          <w14:textFill>
            <w14:solidFill>
              <w14:schemeClr w14:val="tx1"/>
            </w14:solidFill>
          </w14:textFill>
        </w:rPr>
        <w:t>Si</w:t>
      </w:r>
      <w:r>
        <w:rPr>
          <w:rFonts w:cs="Times New Roman"/>
          <w:color w:val="000000" w:themeColor="text1"/>
          <w:kern w:val="0"/>
          <w:szCs w:val="24"/>
          <w:highlight w:val="none"/>
          <w14:textFill>
            <w14:solidFill>
              <w14:schemeClr w14:val="tx1"/>
            </w14:solidFill>
          </w14:textFill>
        </w:rPr>
        <w:t>——</w:t>
      </w:r>
      <w:r>
        <w:rPr>
          <w:rFonts w:cs="Times New Roman"/>
          <w:color w:val="000000" w:themeColor="text1"/>
          <w:kern w:val="0"/>
          <w:sz w:val="21"/>
          <w:szCs w:val="24"/>
          <w:highlight w:val="none"/>
          <w14:textFill>
            <w14:solidFill>
              <w14:schemeClr w14:val="tx1"/>
            </w14:solidFill>
          </w14:textFill>
        </w:rPr>
        <w:t>i</w:t>
      </w:r>
      <w:r>
        <w:rPr>
          <w:rFonts w:cs="Times New Roman"/>
          <w:color w:val="000000" w:themeColor="text1"/>
          <w:kern w:val="0"/>
          <w:highlight w:val="none"/>
          <w14:textFill>
            <w14:solidFill>
              <w14:schemeClr w14:val="tx1"/>
            </w14:solidFill>
          </w14:textFill>
        </w:rPr>
        <w:t>种污染物评价标准（mg/l）。</w:t>
      </w:r>
    </w:p>
    <w:p>
      <w:pPr>
        <w:widowControl/>
        <w:ind w:firstLine="480"/>
        <w:jc w:val="left"/>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drawing>
          <wp:anchor distT="0" distB="0" distL="114300" distR="114300" simplePos="0" relativeHeight="251694080" behindDoc="0" locked="0" layoutInCell="1" allowOverlap="1">
            <wp:simplePos x="0" y="0"/>
            <wp:positionH relativeFrom="column">
              <wp:posOffset>1753235</wp:posOffset>
            </wp:positionH>
            <wp:positionV relativeFrom="paragraph">
              <wp:posOffset>239395</wp:posOffset>
            </wp:positionV>
            <wp:extent cx="1933575" cy="457200"/>
            <wp:effectExtent l="0" t="0" r="0" b="0"/>
            <wp:wrapNone/>
            <wp:docPr id="92611755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117551" name="图片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1933575" cy="457200"/>
                    </a:xfrm>
                    <a:prstGeom prst="rect">
                      <a:avLst/>
                    </a:prstGeom>
                    <a:noFill/>
                  </pic:spPr>
                </pic:pic>
              </a:graphicData>
            </a:graphic>
          </wp:anchor>
        </w:drawing>
      </w:r>
      <w:r>
        <w:rPr>
          <w:rFonts w:cs="Times New Roman"/>
          <w:color w:val="000000" w:themeColor="text1"/>
          <w:kern w:val="0"/>
          <w:szCs w:val="24"/>
          <w:highlight w:val="none"/>
          <w14:textFill>
            <w14:solidFill>
              <w14:schemeClr w14:val="tx1"/>
            </w14:solidFill>
          </w14:textFill>
        </w:rPr>
        <w:t>pH的标准指数为：</w:t>
      </w:r>
    </w:p>
    <w:p>
      <w:pPr>
        <w:widowControl/>
        <w:ind w:firstLine="480"/>
        <w:jc w:val="center"/>
        <w:textAlignment w:val="center"/>
        <w:rPr>
          <w:rFonts w:cs="Times New Roman"/>
          <w:color w:val="000000" w:themeColor="text1"/>
          <w:kern w:val="0"/>
          <w:szCs w:val="24"/>
          <w:highlight w:val="none"/>
          <w14:textFill>
            <w14:solidFill>
              <w14:schemeClr w14:val="tx1"/>
            </w14:solidFill>
          </w14:textFill>
        </w:rPr>
      </w:pPr>
    </w:p>
    <w:p>
      <w:pPr>
        <w:widowControl/>
        <w:ind w:firstLine="480"/>
        <w:jc w:val="left"/>
        <w:rPr>
          <w:rFonts w:cs="Times New Roman"/>
          <w:color w:val="000000" w:themeColor="text1"/>
          <w:kern w:val="0"/>
          <w:szCs w:val="24"/>
          <w:highlight w:val="none"/>
          <w14:textFill>
            <w14:solidFill>
              <w14:schemeClr w14:val="tx1"/>
            </w14:solidFill>
          </w14:textFill>
        </w:rPr>
      </w:pPr>
    </w:p>
    <w:p>
      <w:pPr>
        <w:widowControl/>
        <w:ind w:firstLine="480"/>
        <w:jc w:val="left"/>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drawing>
          <wp:anchor distT="0" distB="0" distL="114300" distR="114300" simplePos="0" relativeHeight="251695104" behindDoc="0" locked="0" layoutInCell="1" allowOverlap="1">
            <wp:simplePos x="0" y="0"/>
            <wp:positionH relativeFrom="column">
              <wp:posOffset>1753235</wp:posOffset>
            </wp:positionH>
            <wp:positionV relativeFrom="paragraph">
              <wp:posOffset>-21590</wp:posOffset>
            </wp:positionV>
            <wp:extent cx="1933575" cy="457200"/>
            <wp:effectExtent l="0" t="0" r="9525" b="0"/>
            <wp:wrapNone/>
            <wp:docPr id="9290858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08580" name="图片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1933575" cy="457200"/>
                    </a:xfrm>
                    <a:prstGeom prst="rect">
                      <a:avLst/>
                    </a:prstGeom>
                    <a:noFill/>
                  </pic:spPr>
                </pic:pic>
              </a:graphicData>
            </a:graphic>
          </wp:anchor>
        </w:drawing>
      </w:r>
    </w:p>
    <w:p>
      <w:pPr>
        <w:widowControl/>
        <w:ind w:firstLine="480"/>
        <w:jc w:val="left"/>
        <w:rPr>
          <w:rFonts w:cs="Times New Roman"/>
          <w:color w:val="000000" w:themeColor="text1"/>
          <w:kern w:val="0"/>
          <w:szCs w:val="24"/>
          <w:highlight w:val="none"/>
          <w14:textFill>
            <w14:solidFill>
              <w14:schemeClr w14:val="tx1"/>
            </w14:solidFill>
          </w14:textFill>
        </w:rPr>
      </w:pPr>
    </w:p>
    <w:p>
      <w:pPr>
        <w:widowControl/>
        <w:ind w:firstLine="480"/>
        <w:jc w:val="left"/>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式中：</w:t>
      </w:r>
      <w:r>
        <w:rPr>
          <w:rFonts w:cs="Times New Roman"/>
          <w:i/>
          <w:iCs/>
          <w:color w:val="000000" w:themeColor="text1"/>
          <w:kern w:val="0"/>
          <w:szCs w:val="24"/>
          <w:highlight w:val="none"/>
          <w14:textFill>
            <w14:solidFill>
              <w14:schemeClr w14:val="tx1"/>
            </w14:solidFill>
          </w14:textFill>
        </w:rPr>
        <w:t>pH</w:t>
      </w:r>
      <w:r>
        <w:rPr>
          <w:rFonts w:cs="Times New Roman"/>
          <w:i/>
          <w:iCs/>
          <w:color w:val="000000" w:themeColor="text1"/>
          <w:kern w:val="0"/>
          <w:szCs w:val="24"/>
          <w:highlight w:val="none"/>
          <w:vertAlign w:val="subscript"/>
          <w14:textFill>
            <w14:solidFill>
              <w14:schemeClr w14:val="tx1"/>
            </w14:solidFill>
          </w14:textFill>
        </w:rPr>
        <w:t>j</w:t>
      </w:r>
      <w:r>
        <w:rPr>
          <w:rFonts w:cs="Times New Roman"/>
          <w:color w:val="000000" w:themeColor="text1"/>
          <w:kern w:val="0"/>
          <w:szCs w:val="24"/>
          <w:highlight w:val="none"/>
          <w14:textFill>
            <w14:solidFill>
              <w14:schemeClr w14:val="tx1"/>
            </w14:solidFill>
          </w14:textFill>
        </w:rPr>
        <w:t>－pH实测值；</w:t>
      </w:r>
    </w:p>
    <w:p>
      <w:pPr>
        <w:widowControl/>
        <w:ind w:firstLine="1200" w:firstLineChars="500"/>
        <w:jc w:val="left"/>
        <w:rPr>
          <w:rFonts w:cs="Times New Roman"/>
          <w:color w:val="000000" w:themeColor="text1"/>
          <w:kern w:val="0"/>
          <w:szCs w:val="24"/>
          <w:highlight w:val="none"/>
          <w14:textFill>
            <w14:solidFill>
              <w14:schemeClr w14:val="tx1"/>
            </w14:solidFill>
          </w14:textFill>
        </w:rPr>
      </w:pPr>
      <w:r>
        <w:rPr>
          <w:rFonts w:cs="Times New Roman"/>
          <w:i/>
          <w:iCs/>
          <w:color w:val="000000" w:themeColor="text1"/>
          <w:kern w:val="0"/>
          <w:szCs w:val="24"/>
          <w:highlight w:val="none"/>
          <w14:textFill>
            <w14:solidFill>
              <w14:schemeClr w14:val="tx1"/>
            </w14:solidFill>
          </w14:textFill>
        </w:rPr>
        <w:t>pH</w:t>
      </w:r>
      <w:r>
        <w:rPr>
          <w:rFonts w:cs="Times New Roman"/>
          <w:i/>
          <w:iCs/>
          <w:color w:val="000000" w:themeColor="text1"/>
          <w:kern w:val="0"/>
          <w:szCs w:val="24"/>
          <w:highlight w:val="none"/>
          <w:vertAlign w:val="subscript"/>
          <w14:textFill>
            <w14:solidFill>
              <w14:schemeClr w14:val="tx1"/>
            </w14:solidFill>
          </w14:textFill>
        </w:rPr>
        <w:t>sd</w:t>
      </w:r>
      <w:r>
        <w:rPr>
          <w:rFonts w:cs="Times New Roman"/>
          <w:color w:val="000000" w:themeColor="text1"/>
          <w:kern w:val="0"/>
          <w:szCs w:val="24"/>
          <w:highlight w:val="none"/>
          <w14:textFill>
            <w14:solidFill>
              <w14:schemeClr w14:val="tx1"/>
            </w14:solidFill>
          </w14:textFill>
        </w:rPr>
        <w:t>－pH评价标准的下限值；</w:t>
      </w:r>
    </w:p>
    <w:p>
      <w:pPr>
        <w:widowControl/>
        <w:ind w:firstLine="1200" w:firstLineChars="500"/>
        <w:jc w:val="left"/>
        <w:rPr>
          <w:rFonts w:cs="Times New Roman"/>
          <w:color w:val="000000" w:themeColor="text1"/>
          <w:kern w:val="0"/>
          <w:szCs w:val="24"/>
          <w:highlight w:val="none"/>
          <w14:textFill>
            <w14:solidFill>
              <w14:schemeClr w14:val="tx1"/>
            </w14:solidFill>
          </w14:textFill>
        </w:rPr>
      </w:pPr>
      <w:r>
        <w:rPr>
          <w:rFonts w:cs="Times New Roman"/>
          <w:i/>
          <w:iCs/>
          <w:color w:val="000000" w:themeColor="text1"/>
          <w:kern w:val="0"/>
          <w:szCs w:val="24"/>
          <w:highlight w:val="none"/>
          <w14:textFill>
            <w14:solidFill>
              <w14:schemeClr w14:val="tx1"/>
            </w14:solidFill>
          </w14:textFill>
        </w:rPr>
        <w:t>pH</w:t>
      </w:r>
      <w:r>
        <w:rPr>
          <w:rFonts w:cs="Times New Roman"/>
          <w:i/>
          <w:iCs/>
          <w:color w:val="000000" w:themeColor="text1"/>
          <w:kern w:val="0"/>
          <w:szCs w:val="24"/>
          <w:highlight w:val="none"/>
          <w:vertAlign w:val="subscript"/>
          <w14:textFill>
            <w14:solidFill>
              <w14:schemeClr w14:val="tx1"/>
            </w14:solidFill>
          </w14:textFill>
        </w:rPr>
        <w:t>su</w:t>
      </w:r>
      <w:r>
        <w:rPr>
          <w:rFonts w:cs="Times New Roman"/>
          <w:color w:val="000000" w:themeColor="text1"/>
          <w:kern w:val="0"/>
          <w:szCs w:val="24"/>
          <w:highlight w:val="none"/>
          <w14:textFill>
            <w14:solidFill>
              <w14:schemeClr w14:val="tx1"/>
            </w14:solidFill>
          </w14:textFill>
        </w:rPr>
        <w:t>－pH评价标准的上限值。</w:t>
      </w:r>
    </w:p>
    <w:p>
      <w:pPr>
        <w:widowControl/>
        <w:ind w:firstLine="480"/>
        <w:jc w:val="left"/>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水质参数的标准指数&gt;1，表明该水质参数超过了规定的水质标准，已经不能满足使用要求；水质参数的标准指数≤1，表明该项水质参数到达或优于规定的水质，完全符合国家标准，可以满足使用要求。</w:t>
      </w:r>
    </w:p>
    <w:p>
      <w:pPr>
        <w:keepNext/>
        <w:ind w:firstLine="482"/>
        <w:jc w:val="left"/>
        <w:rPr>
          <w:rFonts w:cs="Times New Roman"/>
          <w:b/>
          <w:snapToGrid w:val="0"/>
          <w:color w:val="000000" w:themeColor="text1"/>
          <w:kern w:val="0"/>
          <w:szCs w:val="24"/>
          <w:highlight w:val="none"/>
          <w:lang w:val="zh-CN"/>
          <w14:textFill>
            <w14:solidFill>
              <w14:schemeClr w14:val="tx1"/>
            </w14:solidFill>
          </w14:textFill>
        </w:rPr>
      </w:pPr>
      <w:r>
        <w:rPr>
          <w:rFonts w:cs="Times New Roman"/>
          <w:b/>
          <w:snapToGrid w:val="0"/>
          <w:color w:val="000000" w:themeColor="text1"/>
          <w:kern w:val="0"/>
          <w:szCs w:val="24"/>
          <w:highlight w:val="none"/>
          <w:lang w:val="zh-CN"/>
          <w14:textFill>
            <w14:solidFill>
              <w14:schemeClr w14:val="tx1"/>
            </w14:solidFill>
          </w14:textFill>
        </w:rPr>
        <w:t>（7）评价结果</w:t>
      </w:r>
    </w:p>
    <w:p>
      <w:pPr>
        <w:widowControl/>
        <w:ind w:firstLine="480"/>
        <w:jc w:val="left"/>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地表水环境质量评价结果见下表。</w:t>
      </w:r>
    </w:p>
    <w:p>
      <w:pPr>
        <w:keepNext/>
        <w:widowControl/>
        <w:spacing w:before="120" w:beforeLines="50" w:line="240" w:lineRule="auto"/>
        <w:ind w:firstLine="0" w:firstLineChars="0"/>
        <w:jc w:val="center"/>
        <w:rPr>
          <w:rFonts w:eastAsia="黑体" w:cs="Times New Roman"/>
          <w:snapToGrid w:val="0"/>
          <w:color w:val="000000" w:themeColor="text1"/>
          <w:kern w:val="0"/>
          <w:sz w:val="22"/>
          <w:szCs w:val="24"/>
          <w:highlight w:val="none"/>
          <w14:textFill>
            <w14:solidFill>
              <w14:schemeClr w14:val="tx1"/>
            </w14:solidFill>
          </w14:textFill>
        </w:rPr>
      </w:pPr>
      <w:r>
        <w:rPr>
          <w:rFonts w:hint="eastAsia" w:eastAsia="黑体" w:cs="Times New Roman"/>
          <w:snapToGrid w:val="0"/>
          <w:color w:val="000000" w:themeColor="text1"/>
          <w:kern w:val="0"/>
          <w:sz w:val="22"/>
          <w:szCs w:val="24"/>
          <w:highlight w:val="none"/>
          <w14:textFill>
            <w14:solidFill>
              <w14:schemeClr w14:val="tx1"/>
            </w14:solidFill>
          </w14:textFill>
        </w:rPr>
        <w:t>表</w:t>
      </w:r>
      <w:r>
        <w:rPr>
          <w:rFonts w:eastAsia="黑体" w:cs="Times New Roman"/>
          <w:snapToGrid w:val="0"/>
          <w:color w:val="000000" w:themeColor="text1"/>
          <w:kern w:val="0"/>
          <w:sz w:val="22"/>
          <w:szCs w:val="24"/>
          <w:highlight w:val="none"/>
          <w14:textFill>
            <w14:solidFill>
              <w14:schemeClr w14:val="tx1"/>
            </w14:solidFill>
          </w14:textFill>
        </w:rPr>
        <w:fldChar w:fldCharType="begin"/>
      </w:r>
      <w:r>
        <w:rPr>
          <w:rFonts w:eastAsia="黑体" w:cs="Times New Roman"/>
          <w:snapToGrid w:val="0"/>
          <w:color w:val="000000" w:themeColor="text1"/>
          <w:kern w:val="0"/>
          <w:sz w:val="22"/>
          <w:szCs w:val="24"/>
          <w:highlight w:val="none"/>
          <w14:textFill>
            <w14:solidFill>
              <w14:schemeClr w14:val="tx1"/>
            </w14:solidFill>
          </w14:textFill>
        </w:rPr>
        <w:instrText xml:space="preserve"> </w:instrText>
      </w:r>
      <w:r>
        <w:rPr>
          <w:rFonts w:hint="eastAsia" w:eastAsia="黑体" w:cs="Times New Roman"/>
          <w:snapToGrid w:val="0"/>
          <w:color w:val="000000" w:themeColor="text1"/>
          <w:kern w:val="0"/>
          <w:sz w:val="22"/>
          <w:szCs w:val="24"/>
          <w:highlight w:val="none"/>
          <w14:textFill>
            <w14:solidFill>
              <w14:schemeClr w14:val="tx1"/>
            </w14:solidFill>
          </w14:textFill>
        </w:rPr>
        <w:instrText xml:space="preserve">STYLEREF 2 \s</w:instrText>
      </w:r>
      <w:r>
        <w:rPr>
          <w:rFonts w:eastAsia="黑体" w:cs="Times New Roman"/>
          <w:snapToGrid w:val="0"/>
          <w:color w:val="000000" w:themeColor="text1"/>
          <w:kern w:val="0"/>
          <w:sz w:val="22"/>
          <w:szCs w:val="24"/>
          <w:highlight w:val="none"/>
          <w14:textFill>
            <w14:solidFill>
              <w14:schemeClr w14:val="tx1"/>
            </w14:solidFill>
          </w14:textFill>
        </w:rPr>
        <w:instrText xml:space="preserve"> </w:instrText>
      </w:r>
      <w:r>
        <w:rPr>
          <w:rFonts w:eastAsia="黑体" w:cs="Times New Roman"/>
          <w:snapToGrid w:val="0"/>
          <w:color w:val="000000" w:themeColor="text1"/>
          <w:kern w:val="0"/>
          <w:sz w:val="22"/>
          <w:szCs w:val="24"/>
          <w:highlight w:val="none"/>
          <w14:textFill>
            <w14:solidFill>
              <w14:schemeClr w14:val="tx1"/>
            </w14:solidFill>
          </w14:textFill>
        </w:rPr>
        <w:fldChar w:fldCharType="separate"/>
      </w:r>
      <w:r>
        <w:rPr>
          <w:rFonts w:eastAsia="黑体" w:cs="Times New Roman"/>
          <w:snapToGrid w:val="0"/>
          <w:color w:val="000000" w:themeColor="text1"/>
          <w:kern w:val="0"/>
          <w:sz w:val="22"/>
          <w:szCs w:val="24"/>
          <w:highlight w:val="none"/>
          <w14:textFill>
            <w14:solidFill>
              <w14:schemeClr w14:val="tx1"/>
            </w14:solidFill>
          </w14:textFill>
        </w:rPr>
        <w:t>4.2</w:t>
      </w:r>
      <w:r>
        <w:rPr>
          <w:rFonts w:eastAsia="黑体" w:cs="Times New Roman"/>
          <w:snapToGrid w:val="0"/>
          <w:color w:val="000000" w:themeColor="text1"/>
          <w:kern w:val="0"/>
          <w:sz w:val="22"/>
          <w:szCs w:val="24"/>
          <w:highlight w:val="none"/>
          <w14:textFill>
            <w14:solidFill>
              <w14:schemeClr w14:val="tx1"/>
            </w14:solidFill>
          </w14:textFill>
        </w:rPr>
        <w:fldChar w:fldCharType="end"/>
      </w:r>
      <w:r>
        <w:rPr>
          <w:rFonts w:eastAsia="黑体" w:cs="Times New Roman"/>
          <w:snapToGrid w:val="0"/>
          <w:color w:val="000000" w:themeColor="text1"/>
          <w:kern w:val="0"/>
          <w:sz w:val="22"/>
          <w:szCs w:val="24"/>
          <w:highlight w:val="none"/>
          <w14:textFill>
            <w14:solidFill>
              <w14:schemeClr w14:val="tx1"/>
            </w14:solidFill>
          </w14:textFill>
        </w:rPr>
        <w:noBreakHyphen/>
      </w:r>
      <w:r>
        <w:rPr>
          <w:rFonts w:eastAsia="黑体" w:cs="Times New Roman"/>
          <w:snapToGrid w:val="0"/>
          <w:color w:val="000000" w:themeColor="text1"/>
          <w:kern w:val="0"/>
          <w:sz w:val="22"/>
          <w:szCs w:val="24"/>
          <w:highlight w:val="none"/>
          <w14:textFill>
            <w14:solidFill>
              <w14:schemeClr w14:val="tx1"/>
            </w14:solidFill>
          </w14:textFill>
        </w:rPr>
        <w:fldChar w:fldCharType="begin"/>
      </w:r>
      <w:r>
        <w:rPr>
          <w:rFonts w:eastAsia="黑体" w:cs="Times New Roman"/>
          <w:snapToGrid w:val="0"/>
          <w:color w:val="000000" w:themeColor="text1"/>
          <w:kern w:val="0"/>
          <w:sz w:val="22"/>
          <w:szCs w:val="24"/>
          <w:highlight w:val="none"/>
          <w14:textFill>
            <w14:solidFill>
              <w14:schemeClr w14:val="tx1"/>
            </w14:solidFill>
          </w14:textFill>
        </w:rPr>
        <w:instrText xml:space="preserve"> </w:instrText>
      </w:r>
      <w:r>
        <w:rPr>
          <w:rFonts w:hint="eastAsia" w:eastAsia="黑体" w:cs="Times New Roman"/>
          <w:snapToGrid w:val="0"/>
          <w:color w:val="000000" w:themeColor="text1"/>
          <w:kern w:val="0"/>
          <w:sz w:val="22"/>
          <w:szCs w:val="24"/>
          <w:highlight w:val="none"/>
          <w14:textFill>
            <w14:solidFill>
              <w14:schemeClr w14:val="tx1"/>
            </w14:solidFill>
          </w14:textFill>
        </w:rPr>
        <w:instrText xml:space="preserve">SEQ 表 \* ARABIC \s 2</w:instrText>
      </w:r>
      <w:r>
        <w:rPr>
          <w:rFonts w:eastAsia="黑体" w:cs="Times New Roman"/>
          <w:snapToGrid w:val="0"/>
          <w:color w:val="000000" w:themeColor="text1"/>
          <w:kern w:val="0"/>
          <w:sz w:val="22"/>
          <w:szCs w:val="24"/>
          <w:highlight w:val="none"/>
          <w14:textFill>
            <w14:solidFill>
              <w14:schemeClr w14:val="tx1"/>
            </w14:solidFill>
          </w14:textFill>
        </w:rPr>
        <w:instrText xml:space="preserve"> </w:instrText>
      </w:r>
      <w:r>
        <w:rPr>
          <w:rFonts w:eastAsia="黑体" w:cs="Times New Roman"/>
          <w:snapToGrid w:val="0"/>
          <w:color w:val="000000" w:themeColor="text1"/>
          <w:kern w:val="0"/>
          <w:sz w:val="22"/>
          <w:szCs w:val="24"/>
          <w:highlight w:val="none"/>
          <w14:textFill>
            <w14:solidFill>
              <w14:schemeClr w14:val="tx1"/>
            </w14:solidFill>
          </w14:textFill>
        </w:rPr>
        <w:fldChar w:fldCharType="separate"/>
      </w:r>
      <w:r>
        <w:rPr>
          <w:rFonts w:eastAsia="黑体" w:cs="Times New Roman"/>
          <w:snapToGrid w:val="0"/>
          <w:color w:val="000000" w:themeColor="text1"/>
          <w:kern w:val="0"/>
          <w:sz w:val="22"/>
          <w:szCs w:val="24"/>
          <w:highlight w:val="none"/>
          <w14:textFill>
            <w14:solidFill>
              <w14:schemeClr w14:val="tx1"/>
            </w14:solidFill>
          </w14:textFill>
        </w:rPr>
        <w:t>7</w:t>
      </w:r>
      <w:r>
        <w:rPr>
          <w:rFonts w:eastAsia="黑体" w:cs="Times New Roman"/>
          <w:snapToGrid w:val="0"/>
          <w:color w:val="000000" w:themeColor="text1"/>
          <w:kern w:val="0"/>
          <w:sz w:val="22"/>
          <w:szCs w:val="24"/>
          <w:highlight w:val="none"/>
          <w14:textFill>
            <w14:solidFill>
              <w14:schemeClr w14:val="tx1"/>
            </w14:solidFill>
          </w14:textFill>
        </w:rPr>
        <w:fldChar w:fldCharType="end"/>
      </w:r>
      <w:r>
        <w:rPr>
          <w:rFonts w:eastAsia="黑体" w:cs="Times New Roman"/>
          <w:snapToGrid w:val="0"/>
          <w:color w:val="000000" w:themeColor="text1"/>
          <w:kern w:val="0"/>
          <w:sz w:val="22"/>
          <w:szCs w:val="24"/>
          <w:highlight w:val="none"/>
          <w14:textFill>
            <w14:solidFill>
              <w14:schemeClr w14:val="tx1"/>
            </w14:solidFill>
          </w14:textFill>
        </w:rPr>
        <w:t xml:space="preserve"> </w:t>
      </w:r>
      <w:r>
        <w:rPr>
          <w:rFonts w:hint="eastAsia" w:eastAsia="黑体" w:cs="Times New Roman"/>
          <w:snapToGrid w:val="0"/>
          <w:color w:val="000000" w:themeColor="text1"/>
          <w:kern w:val="0"/>
          <w:sz w:val="22"/>
          <w:szCs w:val="24"/>
          <w:highlight w:val="none"/>
          <w14:textFill>
            <w14:solidFill>
              <w14:schemeClr w14:val="tx1"/>
            </w14:solidFill>
          </w14:textFill>
        </w:rPr>
        <w:t>地表水环境质量评价结果</w:t>
      </w:r>
    </w:p>
    <w:tbl>
      <w:tblPr>
        <w:tblStyle w:val="37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53"/>
        <w:gridCol w:w="1693"/>
        <w:gridCol w:w="1894"/>
        <w:gridCol w:w="1678"/>
        <w:gridCol w:w="18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pct"/>
            <w:vMerge w:val="restart"/>
            <w:vAlign w:val="center"/>
          </w:tcPr>
          <w:p>
            <w:pPr>
              <w:spacing w:line="240" w:lineRule="auto"/>
              <w:ind w:firstLine="0" w:firstLineChars="0"/>
              <w:jc w:val="center"/>
              <w:rPr>
                <w:rFonts w:eastAsia="Times New Roman" w:cs="Times New Roman"/>
                <w:b/>
                <w:bCs/>
                <w:snapToGrid w:val="0"/>
                <w:color w:val="000000" w:themeColor="text1"/>
                <w:kern w:val="0"/>
                <w:sz w:val="21"/>
                <w:szCs w:val="21"/>
                <w:highlight w:val="none"/>
                <w14:textFill>
                  <w14:solidFill>
                    <w14:schemeClr w14:val="tx1"/>
                  </w14:solidFill>
                </w14:textFill>
              </w:rPr>
            </w:pPr>
            <w:r>
              <w:rPr>
                <w:rFonts w:hint="eastAsia" w:ascii="宋体" w:hAnsi="宋体" w:eastAsia="Times New Roman" w:cs="宋体"/>
                <w:b/>
                <w:bCs/>
                <w:snapToGrid w:val="0"/>
                <w:color w:val="000000" w:themeColor="text1"/>
                <w:kern w:val="0"/>
                <w:sz w:val="21"/>
                <w:szCs w:val="21"/>
                <w:highlight w:val="none"/>
                <w14:textFill>
                  <w14:solidFill>
                    <w14:schemeClr w14:val="tx1"/>
                  </w14:solidFill>
                </w14:textFill>
              </w:rPr>
              <w:t>检测项目</w:t>
            </w:r>
            <w:r>
              <w:rPr>
                <w:rFonts w:hint="eastAsia" w:eastAsia="Times New Roman" w:cs="Times New Roman"/>
                <w:b/>
                <w:bCs/>
                <w:snapToGrid w:val="0"/>
                <w:color w:val="000000" w:themeColor="text1"/>
                <w:kern w:val="0"/>
                <w:sz w:val="21"/>
                <w:szCs w:val="21"/>
                <w:highlight w:val="none"/>
                <w14:textFill>
                  <w14:solidFill>
                    <w14:schemeClr w14:val="tx1"/>
                  </w14:solidFill>
                </w14:textFill>
              </w:rPr>
              <w:t>/</w:t>
            </w:r>
            <w:r>
              <w:rPr>
                <w:rFonts w:hint="eastAsia" w:ascii="宋体" w:hAnsi="宋体" w:eastAsia="Times New Roman" w:cs="宋体"/>
                <w:b/>
                <w:bCs/>
                <w:snapToGrid w:val="0"/>
                <w:color w:val="000000" w:themeColor="text1"/>
                <w:kern w:val="0"/>
                <w:sz w:val="21"/>
                <w:szCs w:val="21"/>
                <w:highlight w:val="none"/>
                <w14:textFill>
                  <w14:solidFill>
                    <w14:schemeClr w14:val="tx1"/>
                  </w14:solidFill>
                </w14:textFill>
              </w:rPr>
              <w:t>（</w:t>
            </w:r>
            <w:r>
              <w:rPr>
                <w:rFonts w:eastAsia="Times New Roman" w:cs="Times New Roman"/>
                <w:b/>
                <w:bCs/>
                <w:snapToGrid w:val="0"/>
                <w:color w:val="000000" w:themeColor="text1"/>
                <w:kern w:val="0"/>
                <w:sz w:val="21"/>
                <w:szCs w:val="21"/>
                <w:highlight w:val="none"/>
                <w14:textFill>
                  <w14:solidFill>
                    <w14:schemeClr w14:val="tx1"/>
                  </w14:solidFill>
                </w14:textFill>
              </w:rPr>
              <w:t>mg/L</w:t>
            </w:r>
            <w:r>
              <w:rPr>
                <w:rFonts w:hint="eastAsia" w:ascii="宋体" w:hAnsi="宋体" w:eastAsia="Times New Roman" w:cs="宋体"/>
                <w:b/>
                <w:bCs/>
                <w:snapToGrid w:val="0"/>
                <w:color w:val="000000" w:themeColor="text1"/>
                <w:kern w:val="0"/>
                <w:sz w:val="21"/>
                <w:szCs w:val="21"/>
                <w:highlight w:val="none"/>
                <w14:textFill>
                  <w14:solidFill>
                    <w14:schemeClr w14:val="tx1"/>
                  </w14:solidFill>
                </w14:textFill>
              </w:rPr>
              <w:t>）</w:t>
            </w:r>
          </w:p>
        </w:tc>
        <w:tc>
          <w:tcPr>
            <w:tcW w:w="2104" w:type="pct"/>
            <w:gridSpan w:val="2"/>
            <w:vAlign w:val="center"/>
          </w:tcPr>
          <w:p>
            <w:pPr>
              <w:spacing w:line="240" w:lineRule="auto"/>
              <w:ind w:firstLine="0" w:firstLineChars="0"/>
              <w:jc w:val="center"/>
              <w:rPr>
                <w:rFonts w:eastAsia="Times New Roman" w:cs="Times New Roman"/>
                <w:b/>
                <w:bCs/>
                <w:snapToGrid w:val="0"/>
                <w:color w:val="000000" w:themeColor="text1"/>
                <w:kern w:val="0"/>
                <w:sz w:val="21"/>
                <w:szCs w:val="21"/>
                <w:highlight w:val="none"/>
                <w14:textFill>
                  <w14:solidFill>
                    <w14:schemeClr w14:val="tx1"/>
                  </w14:solidFill>
                </w14:textFill>
              </w:rPr>
            </w:pPr>
            <w:r>
              <w:rPr>
                <w:rFonts w:eastAsia="Times New Roman" w:cs="Times New Roman"/>
                <w:b/>
                <w:bCs/>
                <w:snapToGrid w:val="0"/>
                <w:color w:val="000000" w:themeColor="text1"/>
                <w:kern w:val="0"/>
                <w:sz w:val="21"/>
                <w:szCs w:val="21"/>
                <w:highlight w:val="none"/>
                <w14:textFill>
                  <w14:solidFill>
                    <w14:schemeClr w14:val="tx1"/>
                  </w14:solidFill>
                </w14:textFill>
              </w:rPr>
              <w:t>SW1</w:t>
            </w:r>
            <w:r>
              <w:rPr>
                <w:rFonts w:hint="eastAsia" w:ascii="宋体" w:hAnsi="宋体" w:eastAsia="Times New Roman" w:cs="宋体"/>
                <w:b/>
                <w:bCs/>
                <w:snapToGrid w:val="0"/>
                <w:color w:val="000000" w:themeColor="text1"/>
                <w:kern w:val="0"/>
                <w:sz w:val="21"/>
                <w:szCs w:val="21"/>
                <w:highlight w:val="none"/>
                <w14:textFill>
                  <w14:solidFill>
                    <w14:schemeClr w14:val="tx1"/>
                  </w14:solidFill>
                </w14:textFill>
              </w:rPr>
              <w:t>管线穿越州河支流处</w:t>
            </w:r>
          </w:p>
        </w:tc>
        <w:tc>
          <w:tcPr>
            <w:tcW w:w="2044" w:type="pct"/>
            <w:gridSpan w:val="2"/>
            <w:vAlign w:val="center"/>
          </w:tcPr>
          <w:p>
            <w:pPr>
              <w:spacing w:line="240" w:lineRule="auto"/>
              <w:ind w:firstLine="0" w:firstLineChars="0"/>
              <w:jc w:val="center"/>
              <w:rPr>
                <w:rFonts w:eastAsia="Times New Roman" w:cs="Times New Roman"/>
                <w:b/>
                <w:bCs/>
                <w:snapToGrid w:val="0"/>
                <w:color w:val="000000" w:themeColor="text1"/>
                <w:kern w:val="0"/>
                <w:sz w:val="21"/>
                <w:szCs w:val="21"/>
                <w:highlight w:val="none"/>
                <w14:textFill>
                  <w14:solidFill>
                    <w14:schemeClr w14:val="tx1"/>
                  </w14:solidFill>
                </w14:textFill>
              </w:rPr>
            </w:pPr>
            <w:r>
              <w:rPr>
                <w:rFonts w:eastAsia="Times New Roman" w:cs="Times New Roman"/>
                <w:b/>
                <w:bCs/>
                <w:snapToGrid w:val="0"/>
                <w:color w:val="000000" w:themeColor="text1"/>
                <w:kern w:val="0"/>
                <w:sz w:val="21"/>
                <w:szCs w:val="21"/>
                <w:highlight w:val="none"/>
                <w14:textFill>
                  <w14:solidFill>
                    <w14:schemeClr w14:val="tx1"/>
                  </w14:solidFill>
                </w14:textFill>
              </w:rPr>
              <w:t>SW2</w:t>
            </w:r>
            <w:r>
              <w:rPr>
                <w:rFonts w:hint="eastAsia" w:ascii="宋体" w:hAnsi="宋体" w:eastAsia="Times New Roman" w:cs="宋体"/>
                <w:b/>
                <w:bCs/>
                <w:snapToGrid w:val="0"/>
                <w:color w:val="000000" w:themeColor="text1"/>
                <w:kern w:val="0"/>
                <w:sz w:val="21"/>
                <w:szCs w:val="21"/>
                <w:highlight w:val="none"/>
                <w14:textFill>
                  <w14:solidFill>
                    <w14:schemeClr w14:val="tx1"/>
                  </w14:solidFill>
                </w14:textFill>
              </w:rPr>
              <w:t>管线魏家河处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pct"/>
            <w:vMerge w:val="continue"/>
            <w:vAlign w:val="center"/>
          </w:tcPr>
          <w:p>
            <w:pPr>
              <w:spacing w:line="240" w:lineRule="auto"/>
              <w:ind w:firstLine="0" w:firstLineChars="0"/>
              <w:jc w:val="center"/>
              <w:rPr>
                <w:rFonts w:eastAsia="Times New Roman" w:cs="Times New Roman"/>
                <w:b/>
                <w:bCs/>
                <w:snapToGrid w:val="0"/>
                <w:color w:val="000000" w:themeColor="text1"/>
                <w:kern w:val="0"/>
                <w:sz w:val="21"/>
                <w:szCs w:val="21"/>
                <w:highlight w:val="none"/>
                <w14:textFill>
                  <w14:solidFill>
                    <w14:schemeClr w14:val="tx1"/>
                  </w14:solidFill>
                </w14:textFill>
              </w:rPr>
            </w:pPr>
          </w:p>
        </w:tc>
        <w:tc>
          <w:tcPr>
            <w:tcW w:w="993" w:type="pct"/>
            <w:vAlign w:val="center"/>
          </w:tcPr>
          <w:p>
            <w:pPr>
              <w:spacing w:line="240" w:lineRule="auto"/>
              <w:ind w:firstLine="0" w:firstLineChars="0"/>
              <w:jc w:val="center"/>
              <w:rPr>
                <w:rFonts w:eastAsia="Times New Roman" w:cs="Times New Roman"/>
                <w:b/>
                <w:bCs/>
                <w:snapToGrid w:val="0"/>
                <w:color w:val="000000" w:themeColor="text1"/>
                <w:kern w:val="0"/>
                <w:sz w:val="21"/>
                <w:szCs w:val="21"/>
                <w:highlight w:val="none"/>
                <w14:textFill>
                  <w14:solidFill>
                    <w14:schemeClr w14:val="tx1"/>
                  </w14:solidFill>
                </w14:textFill>
              </w:rPr>
            </w:pPr>
            <w:r>
              <w:rPr>
                <w:rFonts w:hint="eastAsia" w:ascii="宋体" w:hAnsi="宋体" w:eastAsia="Times New Roman" w:cs="宋体"/>
                <w:b/>
                <w:bCs/>
                <w:snapToGrid w:val="0"/>
                <w:color w:val="000000" w:themeColor="text1"/>
                <w:kern w:val="0"/>
                <w:sz w:val="21"/>
                <w:szCs w:val="21"/>
                <w:highlight w:val="none"/>
                <w14:textFill>
                  <w14:solidFill>
                    <w14:schemeClr w14:val="tx1"/>
                  </w14:solidFill>
                </w14:textFill>
              </w:rPr>
              <w:t>监测浓度范围</w:t>
            </w:r>
          </w:p>
        </w:tc>
        <w:tc>
          <w:tcPr>
            <w:tcW w:w="1111" w:type="pct"/>
            <w:vAlign w:val="center"/>
          </w:tcPr>
          <w:p>
            <w:pPr>
              <w:spacing w:line="240" w:lineRule="auto"/>
              <w:ind w:firstLine="0" w:firstLineChars="0"/>
              <w:jc w:val="center"/>
              <w:rPr>
                <w:rFonts w:eastAsia="Times New Roman" w:cs="Times New Roman"/>
                <w:b/>
                <w:bCs/>
                <w:snapToGrid w:val="0"/>
                <w:color w:val="000000" w:themeColor="text1"/>
                <w:kern w:val="0"/>
                <w:sz w:val="21"/>
                <w:szCs w:val="21"/>
                <w:highlight w:val="none"/>
                <w14:textFill>
                  <w14:solidFill>
                    <w14:schemeClr w14:val="tx1"/>
                  </w14:solidFill>
                </w14:textFill>
              </w:rPr>
            </w:pPr>
            <w:r>
              <w:rPr>
                <w:rFonts w:hint="eastAsia" w:ascii="宋体" w:hAnsi="宋体" w:eastAsia="Times New Roman" w:cs="宋体"/>
                <w:b/>
                <w:bCs/>
                <w:snapToGrid w:val="0"/>
                <w:color w:val="000000" w:themeColor="text1"/>
                <w:kern w:val="0"/>
                <w:sz w:val="21"/>
                <w:szCs w:val="21"/>
                <w:highlight w:val="none"/>
                <w14:textFill>
                  <w14:solidFill>
                    <w14:schemeClr w14:val="tx1"/>
                  </w14:solidFill>
                </w14:textFill>
              </w:rPr>
              <w:t>最大标准指数</w:t>
            </w:r>
          </w:p>
        </w:tc>
        <w:tc>
          <w:tcPr>
            <w:tcW w:w="984" w:type="pct"/>
            <w:vAlign w:val="center"/>
          </w:tcPr>
          <w:p>
            <w:pPr>
              <w:spacing w:line="240" w:lineRule="auto"/>
              <w:ind w:firstLine="0" w:firstLineChars="0"/>
              <w:jc w:val="center"/>
              <w:rPr>
                <w:rFonts w:eastAsia="Times New Roman" w:cs="Times New Roman"/>
                <w:b/>
                <w:bCs/>
                <w:snapToGrid w:val="0"/>
                <w:color w:val="000000" w:themeColor="text1"/>
                <w:kern w:val="0"/>
                <w:sz w:val="21"/>
                <w:szCs w:val="21"/>
                <w:highlight w:val="none"/>
                <w14:textFill>
                  <w14:solidFill>
                    <w14:schemeClr w14:val="tx1"/>
                  </w14:solidFill>
                </w14:textFill>
              </w:rPr>
            </w:pPr>
            <w:r>
              <w:rPr>
                <w:rFonts w:hint="eastAsia" w:ascii="宋体" w:hAnsi="宋体" w:eastAsia="Times New Roman" w:cs="宋体"/>
                <w:b/>
                <w:bCs/>
                <w:snapToGrid w:val="0"/>
                <w:color w:val="000000" w:themeColor="text1"/>
                <w:kern w:val="0"/>
                <w:sz w:val="21"/>
                <w:szCs w:val="21"/>
                <w:highlight w:val="none"/>
                <w14:textFill>
                  <w14:solidFill>
                    <w14:schemeClr w14:val="tx1"/>
                  </w14:solidFill>
                </w14:textFill>
              </w:rPr>
              <w:t>监测浓度范围</w:t>
            </w:r>
          </w:p>
        </w:tc>
        <w:tc>
          <w:tcPr>
            <w:tcW w:w="1060" w:type="pct"/>
            <w:vAlign w:val="center"/>
          </w:tcPr>
          <w:p>
            <w:pPr>
              <w:spacing w:line="240" w:lineRule="auto"/>
              <w:ind w:firstLine="0" w:firstLineChars="0"/>
              <w:jc w:val="center"/>
              <w:rPr>
                <w:rFonts w:eastAsia="Times New Roman" w:cs="Times New Roman"/>
                <w:b/>
                <w:bCs/>
                <w:snapToGrid w:val="0"/>
                <w:color w:val="000000" w:themeColor="text1"/>
                <w:kern w:val="0"/>
                <w:sz w:val="21"/>
                <w:szCs w:val="21"/>
                <w:highlight w:val="none"/>
                <w14:textFill>
                  <w14:solidFill>
                    <w14:schemeClr w14:val="tx1"/>
                  </w14:solidFill>
                </w14:textFill>
              </w:rPr>
            </w:pPr>
            <w:r>
              <w:rPr>
                <w:rFonts w:hint="eastAsia" w:ascii="宋体" w:hAnsi="宋体" w:eastAsia="Times New Roman" w:cs="宋体"/>
                <w:b/>
                <w:bCs/>
                <w:snapToGrid w:val="0"/>
                <w:color w:val="000000" w:themeColor="text1"/>
                <w:kern w:val="0"/>
                <w:sz w:val="21"/>
                <w:szCs w:val="21"/>
                <w:highlight w:val="none"/>
                <w14:textFill>
                  <w14:solidFill>
                    <w14:schemeClr w14:val="tx1"/>
                  </w14:solidFill>
                </w14:textFill>
              </w:rPr>
              <w:t>最大标准指数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pct"/>
            <w:vAlign w:val="center"/>
          </w:tcPr>
          <w:p>
            <w:pPr>
              <w:spacing w:line="240" w:lineRule="auto"/>
              <w:ind w:firstLine="0" w:firstLineChars="0"/>
              <w:jc w:val="center"/>
              <w:rPr>
                <w:rFonts w:eastAsia="Times New Roman" w:cs="Times New Roman"/>
                <w:iCs/>
                <w:snapToGrid w:val="0"/>
                <w:color w:val="000000" w:themeColor="text1"/>
                <w:kern w:val="0"/>
                <w:sz w:val="21"/>
                <w:szCs w:val="18"/>
                <w:highlight w:val="none"/>
                <w14:textFill>
                  <w14:solidFill>
                    <w14:schemeClr w14:val="tx1"/>
                  </w14:solidFill>
                </w14:textFill>
              </w:rPr>
            </w:pPr>
            <w:r>
              <w:rPr>
                <w:rFonts w:eastAsia="Times New Roman"/>
                <w:bCs/>
                <w:snapToGrid w:val="0"/>
                <w:color w:val="000000" w:themeColor="text1"/>
                <w:sz w:val="21"/>
                <w:szCs w:val="18"/>
                <w:highlight w:val="none"/>
                <w14:textFill>
                  <w14:solidFill>
                    <w14:schemeClr w14:val="tx1"/>
                  </w14:solidFill>
                </w14:textFill>
              </w:rPr>
              <w:t>pH</w:t>
            </w:r>
          </w:p>
        </w:tc>
        <w:tc>
          <w:tcPr>
            <w:tcW w:w="993" w:type="pct"/>
            <w:vAlign w:val="center"/>
          </w:tcPr>
          <w:p>
            <w:pPr>
              <w:spacing w:line="240" w:lineRule="auto"/>
              <w:ind w:firstLine="0" w:firstLineChars="0"/>
              <w:jc w:val="center"/>
              <w:rPr>
                <w:rFonts w:cs="Times New Roman" w:eastAsiaTheme="minorEastAsia"/>
                <w:snapToGrid w:val="0"/>
                <w:color w:val="000000" w:themeColor="text1"/>
                <w:kern w:val="0"/>
                <w:sz w:val="21"/>
                <w:szCs w:val="21"/>
                <w:highlight w:val="none"/>
                <w14:textFill>
                  <w14:solidFill>
                    <w14:schemeClr w14:val="tx1"/>
                  </w14:solidFill>
                </w14:textFill>
              </w:rPr>
            </w:pPr>
            <w:r>
              <w:rPr>
                <w:rFonts w:eastAsia="Times New Roman" w:cs="Times New Roman"/>
                <w:snapToGrid w:val="0"/>
                <w:color w:val="000000" w:themeColor="text1"/>
                <w:kern w:val="0"/>
                <w:sz w:val="21"/>
                <w:szCs w:val="21"/>
                <w:highlight w:val="none"/>
                <w14:textFill>
                  <w14:solidFill>
                    <w14:schemeClr w14:val="tx1"/>
                  </w14:solidFill>
                </w14:textFill>
              </w:rPr>
              <w:t>7.4~</w:t>
            </w:r>
            <w:r>
              <w:rPr>
                <w:rFonts w:hint="eastAsia" w:eastAsia="Times New Roman" w:cs="Times New Roman"/>
                <w:snapToGrid w:val="0"/>
                <w:color w:val="000000" w:themeColor="text1"/>
                <w:kern w:val="0"/>
                <w:sz w:val="21"/>
                <w:szCs w:val="21"/>
                <w:highlight w:val="none"/>
                <w14:textFill>
                  <w14:solidFill>
                    <w14:schemeClr w14:val="tx1"/>
                  </w14:solidFill>
                </w14:textFill>
              </w:rPr>
              <w:t>7.</w:t>
            </w:r>
            <w:r>
              <w:rPr>
                <w:rFonts w:hint="eastAsia" w:cs="Times New Roman" w:eastAsiaTheme="minorEastAsia"/>
                <w:snapToGrid w:val="0"/>
                <w:color w:val="000000" w:themeColor="text1"/>
                <w:kern w:val="0"/>
                <w:sz w:val="21"/>
                <w:szCs w:val="21"/>
                <w:highlight w:val="none"/>
                <w14:textFill>
                  <w14:solidFill>
                    <w14:schemeClr w14:val="tx1"/>
                  </w14:solidFill>
                </w14:textFill>
              </w:rPr>
              <w:t>8</w:t>
            </w:r>
          </w:p>
        </w:tc>
        <w:tc>
          <w:tcPr>
            <w:tcW w:w="1111" w:type="pct"/>
            <w:vAlign w:val="center"/>
          </w:tcPr>
          <w:p>
            <w:pPr>
              <w:spacing w:line="240" w:lineRule="auto"/>
              <w:ind w:firstLine="0" w:firstLineChars="0"/>
              <w:jc w:val="center"/>
              <w:rPr>
                <w:rFonts w:cs="Times New Roman" w:eastAsiaTheme="minorEastAsia"/>
                <w:snapToGrid w:val="0"/>
                <w:color w:val="000000" w:themeColor="text1"/>
                <w:kern w:val="0"/>
                <w:sz w:val="21"/>
                <w:szCs w:val="21"/>
                <w:highlight w:val="none"/>
                <w14:textFill>
                  <w14:solidFill>
                    <w14:schemeClr w14:val="tx1"/>
                  </w14:solidFill>
                </w14:textFill>
              </w:rPr>
            </w:pPr>
            <w:r>
              <w:rPr>
                <w:rFonts w:hint="eastAsia" w:eastAsia="Times New Roman" w:cs="Times New Roman"/>
                <w:snapToGrid w:val="0"/>
                <w:color w:val="000000" w:themeColor="text1"/>
                <w:kern w:val="0"/>
                <w:sz w:val="21"/>
                <w:szCs w:val="21"/>
                <w:highlight w:val="none"/>
                <w14:textFill>
                  <w14:solidFill>
                    <w14:schemeClr w14:val="tx1"/>
                  </w14:solidFill>
                </w14:textFill>
              </w:rPr>
              <w:t>0.4</w:t>
            </w:r>
          </w:p>
        </w:tc>
        <w:tc>
          <w:tcPr>
            <w:tcW w:w="984" w:type="pct"/>
            <w:vAlign w:val="center"/>
          </w:tcPr>
          <w:p>
            <w:pPr>
              <w:spacing w:line="240" w:lineRule="auto"/>
              <w:ind w:firstLine="0" w:firstLineChars="0"/>
              <w:jc w:val="center"/>
              <w:rPr>
                <w:rFonts w:cs="Times New Roman" w:eastAsiaTheme="minorEastAsia"/>
                <w:snapToGrid w:val="0"/>
                <w:color w:val="000000" w:themeColor="text1"/>
                <w:kern w:val="0"/>
                <w:sz w:val="21"/>
                <w:szCs w:val="21"/>
                <w:highlight w:val="none"/>
                <w14:textFill>
                  <w14:solidFill>
                    <w14:schemeClr w14:val="tx1"/>
                  </w14:solidFill>
                </w14:textFill>
              </w:rPr>
            </w:pPr>
            <w:r>
              <w:rPr>
                <w:rFonts w:hint="eastAsia" w:eastAsia="Times New Roman" w:cs="Times New Roman"/>
                <w:snapToGrid w:val="0"/>
                <w:color w:val="000000" w:themeColor="text1"/>
                <w:kern w:val="0"/>
                <w:sz w:val="21"/>
                <w:szCs w:val="21"/>
                <w:highlight w:val="none"/>
                <w14:textFill>
                  <w14:solidFill>
                    <w14:schemeClr w14:val="tx1"/>
                  </w14:solidFill>
                </w14:textFill>
              </w:rPr>
              <w:t>7.</w:t>
            </w:r>
            <w:r>
              <w:rPr>
                <w:rFonts w:hint="eastAsia" w:cs="Times New Roman" w:eastAsiaTheme="minorEastAsia"/>
                <w:snapToGrid w:val="0"/>
                <w:color w:val="000000" w:themeColor="text1"/>
                <w:kern w:val="0"/>
                <w:sz w:val="21"/>
                <w:szCs w:val="21"/>
                <w:highlight w:val="none"/>
                <w14:textFill>
                  <w14:solidFill>
                    <w14:schemeClr w14:val="tx1"/>
                  </w14:solidFill>
                </w14:textFill>
              </w:rPr>
              <w:t>6</w:t>
            </w:r>
            <w:r>
              <w:rPr>
                <w:rFonts w:eastAsia="Times New Roman" w:cs="Times New Roman"/>
                <w:snapToGrid w:val="0"/>
                <w:color w:val="000000" w:themeColor="text1"/>
                <w:kern w:val="0"/>
                <w:sz w:val="21"/>
                <w:szCs w:val="21"/>
                <w:highlight w:val="none"/>
                <w14:textFill>
                  <w14:solidFill>
                    <w14:schemeClr w14:val="tx1"/>
                  </w14:solidFill>
                </w14:textFill>
              </w:rPr>
              <w:t>~</w:t>
            </w:r>
            <w:r>
              <w:rPr>
                <w:rFonts w:hint="eastAsia" w:cs="Times New Roman" w:eastAsiaTheme="minorEastAsia"/>
                <w:snapToGrid w:val="0"/>
                <w:color w:val="000000" w:themeColor="text1"/>
                <w:kern w:val="0"/>
                <w:sz w:val="21"/>
                <w:szCs w:val="21"/>
                <w:highlight w:val="none"/>
                <w14:textFill>
                  <w14:solidFill>
                    <w14:schemeClr w14:val="tx1"/>
                  </w14:solidFill>
                </w14:textFill>
              </w:rPr>
              <w:t>8.0</w:t>
            </w:r>
          </w:p>
        </w:tc>
        <w:tc>
          <w:tcPr>
            <w:tcW w:w="1060" w:type="pct"/>
            <w:vAlign w:val="center"/>
          </w:tcPr>
          <w:p>
            <w:pPr>
              <w:spacing w:line="240" w:lineRule="auto"/>
              <w:ind w:firstLine="0" w:firstLineChars="0"/>
              <w:jc w:val="center"/>
              <w:rPr>
                <w:rFonts w:cs="Times New Roman" w:eastAsiaTheme="minorEastAsia"/>
                <w:snapToGrid w:val="0"/>
                <w:color w:val="000000" w:themeColor="text1"/>
                <w:kern w:val="0"/>
                <w:sz w:val="21"/>
                <w:szCs w:val="21"/>
                <w:highlight w:val="none"/>
                <w14:textFill>
                  <w14:solidFill>
                    <w14:schemeClr w14:val="tx1"/>
                  </w14:solidFill>
                </w14:textFill>
              </w:rPr>
            </w:pPr>
            <w:r>
              <w:rPr>
                <w:rFonts w:hint="eastAsia" w:eastAsia="Times New Roman" w:cs="Times New Roman"/>
                <w:snapToGrid w:val="0"/>
                <w:color w:val="000000" w:themeColor="text1"/>
                <w:kern w:val="0"/>
                <w:sz w:val="21"/>
                <w:szCs w:val="21"/>
                <w:highlight w:val="none"/>
                <w14:textFill>
                  <w14:solidFill>
                    <w14:schemeClr w14:val="tx1"/>
                  </w14:solidFill>
                </w14:textFill>
              </w:rPr>
              <w:t>0.</w:t>
            </w:r>
            <w:r>
              <w:rPr>
                <w:rFonts w:hint="eastAsia" w:cs="Times New Roman" w:eastAsiaTheme="minorEastAsia"/>
                <w:snapToGrid w:val="0"/>
                <w:color w:val="000000" w:themeColor="text1"/>
                <w:kern w:val="0"/>
                <w:sz w:val="21"/>
                <w:szCs w:val="21"/>
                <w:highlight w:val="none"/>
                <w14:textFill>
                  <w14:solidFill>
                    <w14:schemeClr w14:val="tx1"/>
                  </w14:solidFill>
                </w14:textFill>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pct"/>
            <w:vAlign w:val="center"/>
          </w:tcPr>
          <w:p>
            <w:pPr>
              <w:spacing w:line="240" w:lineRule="auto"/>
              <w:ind w:firstLine="0" w:firstLineChars="0"/>
              <w:jc w:val="center"/>
              <w:rPr>
                <w:rFonts w:eastAsia="Times New Roman" w:cs="Times New Roman"/>
                <w:snapToGrid w:val="0"/>
                <w:color w:val="000000" w:themeColor="text1"/>
                <w:kern w:val="0"/>
                <w:sz w:val="21"/>
                <w:szCs w:val="18"/>
                <w:highlight w:val="none"/>
                <w14:textFill>
                  <w14:solidFill>
                    <w14:schemeClr w14:val="tx1"/>
                  </w14:solidFill>
                </w14:textFill>
              </w:rPr>
            </w:pPr>
            <w:r>
              <w:rPr>
                <w:rFonts w:hint="eastAsia" w:ascii="宋体" w:hAnsi="宋体" w:eastAsia="Times New Roman" w:cs="宋体"/>
                <w:bCs/>
                <w:snapToGrid w:val="0"/>
                <w:color w:val="000000" w:themeColor="text1"/>
                <w:sz w:val="21"/>
                <w:szCs w:val="18"/>
                <w:highlight w:val="none"/>
                <w14:textFill>
                  <w14:solidFill>
                    <w14:schemeClr w14:val="tx1"/>
                  </w14:solidFill>
                </w14:textFill>
              </w:rPr>
              <w:t>化学需氧量</w:t>
            </w:r>
          </w:p>
        </w:tc>
        <w:tc>
          <w:tcPr>
            <w:tcW w:w="993" w:type="pct"/>
            <w:vAlign w:val="center"/>
          </w:tcPr>
          <w:p>
            <w:pPr>
              <w:spacing w:line="240" w:lineRule="auto"/>
              <w:ind w:firstLine="0" w:firstLineChars="0"/>
              <w:jc w:val="center"/>
              <w:rPr>
                <w:rFonts w:cs="Times New Roman" w:eastAsiaTheme="minorEastAsia"/>
                <w:snapToGrid w:val="0"/>
                <w:color w:val="000000" w:themeColor="text1"/>
                <w:kern w:val="0"/>
                <w:sz w:val="21"/>
                <w:szCs w:val="21"/>
                <w:highlight w:val="none"/>
                <w14:textFill>
                  <w14:solidFill>
                    <w14:schemeClr w14:val="tx1"/>
                  </w14:solidFill>
                </w14:textFill>
              </w:rPr>
            </w:pPr>
            <w:r>
              <w:rPr>
                <w:rFonts w:hint="eastAsia" w:cs="Times New Roman" w:eastAsiaTheme="minorEastAsia"/>
                <w:snapToGrid w:val="0"/>
                <w:color w:val="000000" w:themeColor="text1"/>
                <w:kern w:val="0"/>
                <w:sz w:val="21"/>
                <w:szCs w:val="21"/>
                <w:highlight w:val="none"/>
                <w14:textFill>
                  <w14:solidFill>
                    <w14:schemeClr w14:val="tx1"/>
                  </w14:solidFill>
                </w14:textFill>
              </w:rPr>
              <w:t>13</w:t>
            </w:r>
            <w:r>
              <w:rPr>
                <w:rFonts w:hint="eastAsia" w:eastAsia="Times New Roman" w:cs="Times New Roman"/>
                <w:snapToGrid w:val="0"/>
                <w:color w:val="000000" w:themeColor="text1"/>
                <w:kern w:val="0"/>
                <w:sz w:val="21"/>
                <w:szCs w:val="21"/>
                <w:highlight w:val="none"/>
                <w14:textFill>
                  <w14:solidFill>
                    <w14:schemeClr w14:val="tx1"/>
                  </w14:solidFill>
                </w14:textFill>
              </w:rPr>
              <w:t>~</w:t>
            </w:r>
            <w:r>
              <w:rPr>
                <w:rFonts w:eastAsia="Times New Roman" w:cs="Times New Roman"/>
                <w:snapToGrid w:val="0"/>
                <w:color w:val="000000" w:themeColor="text1"/>
                <w:kern w:val="0"/>
                <w:sz w:val="21"/>
                <w:szCs w:val="21"/>
                <w:highlight w:val="none"/>
                <w14:textFill>
                  <w14:solidFill>
                    <w14:schemeClr w14:val="tx1"/>
                  </w14:solidFill>
                </w14:textFill>
              </w:rPr>
              <w:t>1</w:t>
            </w:r>
            <w:r>
              <w:rPr>
                <w:rFonts w:hint="eastAsia" w:cs="Times New Roman" w:eastAsiaTheme="minorEastAsia"/>
                <w:snapToGrid w:val="0"/>
                <w:color w:val="000000" w:themeColor="text1"/>
                <w:kern w:val="0"/>
                <w:sz w:val="21"/>
                <w:szCs w:val="21"/>
                <w:highlight w:val="none"/>
                <w14:textFill>
                  <w14:solidFill>
                    <w14:schemeClr w14:val="tx1"/>
                  </w14:solidFill>
                </w14:textFill>
              </w:rPr>
              <w:t>4</w:t>
            </w:r>
          </w:p>
        </w:tc>
        <w:tc>
          <w:tcPr>
            <w:tcW w:w="1111" w:type="pct"/>
            <w:vAlign w:val="center"/>
          </w:tcPr>
          <w:p>
            <w:pPr>
              <w:spacing w:line="240" w:lineRule="auto"/>
              <w:ind w:firstLine="0" w:firstLineChars="0"/>
              <w:jc w:val="center"/>
              <w:rPr>
                <w:rFonts w:cs="Times New Roman" w:eastAsiaTheme="minorEastAsia"/>
                <w:snapToGrid w:val="0"/>
                <w:color w:val="000000" w:themeColor="text1"/>
                <w:kern w:val="0"/>
                <w:sz w:val="21"/>
                <w:szCs w:val="21"/>
                <w:highlight w:val="none"/>
                <w14:textFill>
                  <w14:solidFill>
                    <w14:schemeClr w14:val="tx1"/>
                  </w14:solidFill>
                </w14:textFill>
              </w:rPr>
            </w:pPr>
            <w:r>
              <w:rPr>
                <w:rFonts w:hint="eastAsia" w:eastAsia="Times New Roman" w:cs="Times New Roman"/>
                <w:snapToGrid w:val="0"/>
                <w:color w:val="000000" w:themeColor="text1"/>
                <w:kern w:val="0"/>
                <w:sz w:val="21"/>
                <w:szCs w:val="21"/>
                <w:highlight w:val="none"/>
                <w14:textFill>
                  <w14:solidFill>
                    <w14:schemeClr w14:val="tx1"/>
                  </w14:solidFill>
                </w14:textFill>
              </w:rPr>
              <w:t>0.</w:t>
            </w:r>
            <w:r>
              <w:rPr>
                <w:rFonts w:hint="eastAsia" w:cs="Times New Roman" w:eastAsiaTheme="minorEastAsia"/>
                <w:snapToGrid w:val="0"/>
                <w:color w:val="000000" w:themeColor="text1"/>
                <w:kern w:val="0"/>
                <w:sz w:val="21"/>
                <w:szCs w:val="21"/>
                <w:highlight w:val="none"/>
                <w14:textFill>
                  <w14:solidFill>
                    <w14:schemeClr w14:val="tx1"/>
                  </w14:solidFill>
                </w14:textFill>
              </w:rPr>
              <w:t>7</w:t>
            </w:r>
          </w:p>
        </w:tc>
        <w:tc>
          <w:tcPr>
            <w:tcW w:w="984" w:type="pct"/>
            <w:vAlign w:val="center"/>
          </w:tcPr>
          <w:p>
            <w:pPr>
              <w:spacing w:line="240" w:lineRule="auto"/>
              <w:ind w:firstLine="0" w:firstLineChars="0"/>
              <w:jc w:val="center"/>
              <w:rPr>
                <w:rFonts w:cs="Times New Roman" w:eastAsiaTheme="minorEastAsia"/>
                <w:snapToGrid w:val="0"/>
                <w:color w:val="000000" w:themeColor="text1"/>
                <w:kern w:val="0"/>
                <w:sz w:val="21"/>
                <w:szCs w:val="21"/>
                <w:highlight w:val="none"/>
                <w14:textFill>
                  <w14:solidFill>
                    <w14:schemeClr w14:val="tx1"/>
                  </w14:solidFill>
                </w14:textFill>
              </w:rPr>
            </w:pPr>
            <w:r>
              <w:rPr>
                <w:rFonts w:eastAsia="Times New Roman" w:cs="Times New Roman"/>
                <w:snapToGrid w:val="0"/>
                <w:color w:val="000000" w:themeColor="text1"/>
                <w:kern w:val="0"/>
                <w:sz w:val="21"/>
                <w:szCs w:val="21"/>
                <w:highlight w:val="none"/>
                <w14:textFill>
                  <w14:solidFill>
                    <w14:schemeClr w14:val="tx1"/>
                  </w14:solidFill>
                </w14:textFill>
              </w:rPr>
              <w:t>12~1</w:t>
            </w:r>
            <w:r>
              <w:rPr>
                <w:rFonts w:hint="eastAsia" w:cs="Times New Roman" w:eastAsiaTheme="minorEastAsia"/>
                <w:snapToGrid w:val="0"/>
                <w:color w:val="000000" w:themeColor="text1"/>
                <w:kern w:val="0"/>
                <w:sz w:val="21"/>
                <w:szCs w:val="21"/>
                <w:highlight w:val="none"/>
                <w14:textFill>
                  <w14:solidFill>
                    <w14:schemeClr w14:val="tx1"/>
                  </w14:solidFill>
                </w14:textFill>
              </w:rPr>
              <w:t>3</w:t>
            </w:r>
          </w:p>
        </w:tc>
        <w:tc>
          <w:tcPr>
            <w:tcW w:w="1060"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cs="Times New Roman"/>
                <w:snapToGrid w:val="0"/>
                <w:color w:val="000000" w:themeColor="text1"/>
                <w:kern w:val="0"/>
                <w:sz w:val="21"/>
                <w:szCs w:val="21"/>
                <w:highlight w:val="none"/>
                <w14:textFill>
                  <w14:solidFill>
                    <w14:schemeClr w14:val="tx1"/>
                  </w14:solidFill>
                </w14:textFill>
              </w:rPr>
              <w:t>0.</w:t>
            </w:r>
            <w:r>
              <w:rPr>
                <w:rFonts w:hint="eastAsia" w:cs="Times New Roman" w:eastAsiaTheme="minorEastAsia"/>
                <w:snapToGrid w:val="0"/>
                <w:color w:val="000000" w:themeColor="text1"/>
                <w:kern w:val="0"/>
                <w:sz w:val="21"/>
                <w:szCs w:val="21"/>
                <w:highlight w:val="none"/>
                <w14:textFill>
                  <w14:solidFill>
                    <w14:schemeClr w14:val="tx1"/>
                  </w14:solidFill>
                </w14:textFill>
              </w:rPr>
              <w:t>6</w:t>
            </w:r>
            <w:r>
              <w:rPr>
                <w:rFonts w:eastAsia="Times New Roman" w:cs="Times New Roman"/>
                <w:snapToGrid w:val="0"/>
                <w:color w:val="000000" w:themeColor="text1"/>
                <w:kern w:val="0"/>
                <w:sz w:val="21"/>
                <w:szCs w:val="21"/>
                <w:highlight w:val="none"/>
                <w14:textFill>
                  <w14:solidFill>
                    <w14:schemeClr w14:val="tx1"/>
                  </w14:solidFill>
                </w14:textFill>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pct"/>
            <w:vAlign w:val="center"/>
          </w:tcPr>
          <w:p>
            <w:pPr>
              <w:spacing w:line="240" w:lineRule="auto"/>
              <w:ind w:firstLine="0" w:firstLineChars="0"/>
              <w:jc w:val="center"/>
              <w:rPr>
                <w:rFonts w:eastAsia="Times New Roman" w:cs="Times New Roman"/>
                <w:snapToGrid w:val="0"/>
                <w:color w:val="000000" w:themeColor="text1"/>
                <w:kern w:val="0"/>
                <w:sz w:val="21"/>
                <w:szCs w:val="18"/>
                <w:highlight w:val="none"/>
                <w14:textFill>
                  <w14:solidFill>
                    <w14:schemeClr w14:val="tx1"/>
                  </w14:solidFill>
                </w14:textFill>
              </w:rPr>
            </w:pPr>
            <w:r>
              <w:rPr>
                <w:rFonts w:hint="eastAsia" w:ascii="宋体" w:hAnsi="宋体" w:eastAsia="Times New Roman" w:cs="宋体"/>
                <w:snapToGrid w:val="0"/>
                <w:color w:val="000000" w:themeColor="text1"/>
                <w:sz w:val="21"/>
                <w:szCs w:val="18"/>
                <w:highlight w:val="none"/>
                <w14:textFill>
                  <w14:solidFill>
                    <w14:schemeClr w14:val="tx1"/>
                  </w14:solidFill>
                </w14:textFill>
              </w:rPr>
              <w:t>五日生化需氧量</w:t>
            </w:r>
          </w:p>
        </w:tc>
        <w:tc>
          <w:tcPr>
            <w:tcW w:w="993" w:type="pct"/>
            <w:vAlign w:val="center"/>
          </w:tcPr>
          <w:p>
            <w:pPr>
              <w:spacing w:line="240" w:lineRule="auto"/>
              <w:ind w:firstLine="0" w:firstLineChars="0"/>
              <w:jc w:val="center"/>
              <w:rPr>
                <w:rFonts w:cs="Times New Roman" w:eastAsiaTheme="minorEastAsia"/>
                <w:snapToGrid w:val="0"/>
                <w:color w:val="000000" w:themeColor="text1"/>
                <w:kern w:val="0"/>
                <w:sz w:val="21"/>
                <w:szCs w:val="21"/>
                <w:highlight w:val="none"/>
                <w14:textFill>
                  <w14:solidFill>
                    <w14:schemeClr w14:val="tx1"/>
                  </w14:solidFill>
                </w14:textFill>
              </w:rPr>
            </w:pPr>
            <w:r>
              <w:rPr>
                <w:rFonts w:hint="eastAsia" w:cs="Times New Roman" w:eastAsiaTheme="minorEastAsia"/>
                <w:snapToGrid w:val="0"/>
                <w:color w:val="000000" w:themeColor="text1"/>
                <w:kern w:val="0"/>
                <w:sz w:val="21"/>
                <w:szCs w:val="21"/>
                <w:highlight w:val="none"/>
                <w14:textFill>
                  <w14:solidFill>
                    <w14:schemeClr w14:val="tx1"/>
                  </w14:solidFill>
                </w14:textFill>
              </w:rPr>
              <w:t>2.7</w:t>
            </w:r>
            <w:r>
              <w:rPr>
                <w:rFonts w:hint="eastAsia" w:eastAsia="Times New Roman" w:cs="Times New Roman"/>
                <w:snapToGrid w:val="0"/>
                <w:color w:val="000000" w:themeColor="text1"/>
                <w:kern w:val="0"/>
                <w:sz w:val="21"/>
                <w:szCs w:val="21"/>
                <w:highlight w:val="none"/>
                <w14:textFill>
                  <w14:solidFill>
                    <w14:schemeClr w14:val="tx1"/>
                  </w14:solidFill>
                </w14:textFill>
              </w:rPr>
              <w:t>~</w:t>
            </w:r>
            <w:r>
              <w:rPr>
                <w:rFonts w:hint="eastAsia" w:cs="Times New Roman" w:eastAsiaTheme="minorEastAsia"/>
                <w:snapToGrid w:val="0"/>
                <w:color w:val="000000" w:themeColor="text1"/>
                <w:kern w:val="0"/>
                <w:sz w:val="21"/>
                <w:szCs w:val="21"/>
                <w:highlight w:val="none"/>
                <w14:textFill>
                  <w14:solidFill>
                    <w14:schemeClr w14:val="tx1"/>
                  </w14:solidFill>
                </w14:textFill>
              </w:rPr>
              <w:t>2.9</w:t>
            </w:r>
          </w:p>
        </w:tc>
        <w:tc>
          <w:tcPr>
            <w:tcW w:w="1111"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cs="Times New Roman"/>
                <w:snapToGrid w:val="0"/>
                <w:color w:val="000000" w:themeColor="text1"/>
                <w:kern w:val="0"/>
                <w:sz w:val="21"/>
                <w:szCs w:val="21"/>
                <w:highlight w:val="none"/>
                <w14:textFill>
                  <w14:solidFill>
                    <w14:schemeClr w14:val="tx1"/>
                  </w14:solidFill>
                </w14:textFill>
              </w:rPr>
              <w:t>0.</w:t>
            </w:r>
            <w:r>
              <w:rPr>
                <w:rFonts w:hint="eastAsia" w:cs="Times New Roman" w:eastAsiaTheme="minorEastAsia"/>
                <w:snapToGrid w:val="0"/>
                <w:color w:val="000000" w:themeColor="text1"/>
                <w:kern w:val="0"/>
                <w:sz w:val="21"/>
                <w:szCs w:val="21"/>
                <w:highlight w:val="none"/>
                <w14:textFill>
                  <w14:solidFill>
                    <w14:schemeClr w14:val="tx1"/>
                  </w14:solidFill>
                </w14:textFill>
              </w:rPr>
              <w:t>7</w:t>
            </w:r>
            <w:r>
              <w:rPr>
                <w:rFonts w:eastAsia="Times New Roman" w:cs="Times New Roman"/>
                <w:snapToGrid w:val="0"/>
                <w:color w:val="000000" w:themeColor="text1"/>
                <w:kern w:val="0"/>
                <w:sz w:val="21"/>
                <w:szCs w:val="21"/>
                <w:highlight w:val="none"/>
                <w14:textFill>
                  <w14:solidFill>
                    <w14:schemeClr w14:val="tx1"/>
                  </w14:solidFill>
                </w14:textFill>
              </w:rPr>
              <w:t>3</w:t>
            </w:r>
          </w:p>
        </w:tc>
        <w:tc>
          <w:tcPr>
            <w:tcW w:w="984" w:type="pct"/>
            <w:vAlign w:val="center"/>
          </w:tcPr>
          <w:p>
            <w:pPr>
              <w:spacing w:line="240" w:lineRule="auto"/>
              <w:ind w:firstLine="0" w:firstLineChars="0"/>
              <w:jc w:val="center"/>
              <w:rPr>
                <w:rFonts w:cs="Times New Roman" w:eastAsiaTheme="minorEastAsia"/>
                <w:snapToGrid w:val="0"/>
                <w:color w:val="000000" w:themeColor="text1"/>
                <w:kern w:val="0"/>
                <w:sz w:val="21"/>
                <w:szCs w:val="21"/>
                <w:highlight w:val="none"/>
                <w14:textFill>
                  <w14:solidFill>
                    <w14:schemeClr w14:val="tx1"/>
                  </w14:solidFill>
                </w14:textFill>
              </w:rPr>
            </w:pPr>
            <w:r>
              <w:rPr>
                <w:rFonts w:hint="eastAsia" w:cs="Times New Roman" w:eastAsiaTheme="minorEastAsia"/>
                <w:snapToGrid w:val="0"/>
                <w:color w:val="000000" w:themeColor="text1"/>
                <w:kern w:val="0"/>
                <w:sz w:val="21"/>
                <w:szCs w:val="21"/>
                <w:highlight w:val="none"/>
                <w14:textFill>
                  <w14:solidFill>
                    <w14:schemeClr w14:val="tx1"/>
                  </w14:solidFill>
                </w14:textFill>
              </w:rPr>
              <w:t>2.7</w:t>
            </w:r>
            <w:r>
              <w:rPr>
                <w:rFonts w:eastAsia="Times New Roman" w:cs="Times New Roman"/>
                <w:snapToGrid w:val="0"/>
                <w:color w:val="000000" w:themeColor="text1"/>
                <w:kern w:val="0"/>
                <w:sz w:val="21"/>
                <w:szCs w:val="21"/>
                <w:highlight w:val="none"/>
                <w14:textFill>
                  <w14:solidFill>
                    <w14:schemeClr w14:val="tx1"/>
                  </w14:solidFill>
                </w14:textFill>
              </w:rPr>
              <w:t>~</w:t>
            </w:r>
            <w:r>
              <w:rPr>
                <w:rFonts w:hint="eastAsia" w:cs="Times New Roman" w:eastAsiaTheme="minorEastAsia"/>
                <w:snapToGrid w:val="0"/>
                <w:color w:val="000000" w:themeColor="text1"/>
                <w:kern w:val="0"/>
                <w:sz w:val="21"/>
                <w:szCs w:val="21"/>
                <w:highlight w:val="none"/>
                <w14:textFill>
                  <w14:solidFill>
                    <w14:schemeClr w14:val="tx1"/>
                  </w14:solidFill>
                </w14:textFill>
              </w:rPr>
              <w:t>2.9</w:t>
            </w:r>
          </w:p>
        </w:tc>
        <w:tc>
          <w:tcPr>
            <w:tcW w:w="1060" w:type="pct"/>
            <w:vAlign w:val="center"/>
          </w:tcPr>
          <w:p>
            <w:pPr>
              <w:spacing w:line="240" w:lineRule="auto"/>
              <w:ind w:firstLine="0" w:firstLineChars="0"/>
              <w:jc w:val="center"/>
              <w:rPr>
                <w:rFonts w:cs="Times New Roman" w:eastAsiaTheme="minorEastAsia"/>
                <w:snapToGrid w:val="0"/>
                <w:color w:val="000000" w:themeColor="text1"/>
                <w:kern w:val="0"/>
                <w:sz w:val="21"/>
                <w:szCs w:val="21"/>
                <w:highlight w:val="none"/>
                <w14:textFill>
                  <w14:solidFill>
                    <w14:schemeClr w14:val="tx1"/>
                  </w14:solidFill>
                </w14:textFill>
              </w:rPr>
            </w:pPr>
            <w:r>
              <w:rPr>
                <w:rFonts w:hint="eastAsia" w:eastAsia="Times New Roman" w:cs="Times New Roman"/>
                <w:snapToGrid w:val="0"/>
                <w:color w:val="000000" w:themeColor="text1"/>
                <w:kern w:val="0"/>
                <w:sz w:val="21"/>
                <w:szCs w:val="21"/>
                <w:highlight w:val="none"/>
                <w14:textFill>
                  <w14:solidFill>
                    <w14:schemeClr w14:val="tx1"/>
                  </w14:solidFill>
                </w14:textFill>
              </w:rPr>
              <w:t>0.</w:t>
            </w:r>
            <w:r>
              <w:rPr>
                <w:rFonts w:hint="eastAsia" w:cs="Times New Roman" w:eastAsiaTheme="minorEastAsia"/>
                <w:snapToGrid w:val="0"/>
                <w:color w:val="000000" w:themeColor="text1"/>
                <w:kern w:val="0"/>
                <w:sz w:val="21"/>
                <w:szCs w:val="21"/>
                <w:highlight w:val="none"/>
                <w14:textFill>
                  <w14:solidFill>
                    <w14:schemeClr w14:val="tx1"/>
                  </w14:solidFill>
                </w14:textFill>
              </w:rPr>
              <w:t>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pct"/>
            <w:vAlign w:val="center"/>
          </w:tcPr>
          <w:p>
            <w:pPr>
              <w:spacing w:line="240" w:lineRule="auto"/>
              <w:ind w:firstLine="0" w:firstLineChars="0"/>
              <w:jc w:val="center"/>
              <w:rPr>
                <w:rFonts w:eastAsia="Times New Roman" w:cs="Times New Roman"/>
                <w:iCs/>
                <w:snapToGrid w:val="0"/>
                <w:color w:val="000000" w:themeColor="text1"/>
                <w:kern w:val="0"/>
                <w:sz w:val="21"/>
                <w:szCs w:val="18"/>
                <w:highlight w:val="none"/>
                <w14:textFill>
                  <w14:solidFill>
                    <w14:schemeClr w14:val="tx1"/>
                  </w14:solidFill>
                </w14:textFill>
              </w:rPr>
            </w:pPr>
            <w:r>
              <w:rPr>
                <w:rFonts w:hint="eastAsia" w:ascii="宋体" w:hAnsi="宋体" w:eastAsia="Times New Roman" w:cs="宋体"/>
                <w:snapToGrid w:val="0"/>
                <w:color w:val="000000" w:themeColor="text1"/>
                <w:sz w:val="21"/>
                <w:szCs w:val="18"/>
                <w:highlight w:val="none"/>
                <w14:textFill>
                  <w14:solidFill>
                    <w14:schemeClr w14:val="tx1"/>
                  </w14:solidFill>
                </w14:textFill>
              </w:rPr>
              <w:t>氨氮</w:t>
            </w:r>
          </w:p>
        </w:tc>
        <w:tc>
          <w:tcPr>
            <w:tcW w:w="993" w:type="pct"/>
            <w:vAlign w:val="center"/>
          </w:tcPr>
          <w:p>
            <w:pPr>
              <w:spacing w:line="240" w:lineRule="auto"/>
              <w:ind w:firstLine="0" w:firstLineChars="0"/>
              <w:jc w:val="center"/>
              <w:rPr>
                <w:rFonts w:cs="Times New Roman" w:eastAsiaTheme="minorEastAsia"/>
                <w:snapToGrid w:val="0"/>
                <w:color w:val="000000" w:themeColor="text1"/>
                <w:kern w:val="0"/>
                <w:sz w:val="21"/>
                <w:szCs w:val="21"/>
                <w:highlight w:val="none"/>
                <w14:textFill>
                  <w14:solidFill>
                    <w14:schemeClr w14:val="tx1"/>
                  </w14:solidFill>
                </w14:textFill>
              </w:rPr>
            </w:pPr>
            <w:r>
              <w:rPr>
                <w:rFonts w:hint="eastAsia" w:eastAsia="Times New Roman" w:cs="Times New Roman"/>
                <w:snapToGrid w:val="0"/>
                <w:color w:val="000000" w:themeColor="text1"/>
                <w:kern w:val="0"/>
                <w:sz w:val="21"/>
                <w:szCs w:val="21"/>
                <w:highlight w:val="none"/>
                <w14:textFill>
                  <w14:solidFill>
                    <w14:schemeClr w14:val="tx1"/>
                  </w14:solidFill>
                </w14:textFill>
              </w:rPr>
              <w:t>0.</w:t>
            </w:r>
            <w:r>
              <w:rPr>
                <w:rFonts w:hint="eastAsia" w:cs="Times New Roman" w:eastAsiaTheme="minorEastAsia"/>
                <w:snapToGrid w:val="0"/>
                <w:color w:val="000000" w:themeColor="text1"/>
                <w:kern w:val="0"/>
                <w:sz w:val="21"/>
                <w:szCs w:val="21"/>
                <w:highlight w:val="none"/>
                <w14:textFill>
                  <w14:solidFill>
                    <w14:schemeClr w14:val="tx1"/>
                  </w14:solidFill>
                </w14:textFill>
              </w:rPr>
              <w:t>112</w:t>
            </w:r>
            <w:r>
              <w:rPr>
                <w:rFonts w:hint="eastAsia" w:eastAsia="Times New Roman" w:cs="Times New Roman"/>
                <w:snapToGrid w:val="0"/>
                <w:color w:val="000000" w:themeColor="text1"/>
                <w:kern w:val="0"/>
                <w:sz w:val="21"/>
                <w:szCs w:val="21"/>
                <w:highlight w:val="none"/>
                <w14:textFill>
                  <w14:solidFill>
                    <w14:schemeClr w14:val="tx1"/>
                  </w14:solidFill>
                </w14:textFill>
              </w:rPr>
              <w:t>~0.</w:t>
            </w:r>
            <w:r>
              <w:rPr>
                <w:rFonts w:hint="eastAsia" w:cs="Times New Roman" w:eastAsiaTheme="minorEastAsia"/>
                <w:snapToGrid w:val="0"/>
                <w:color w:val="000000" w:themeColor="text1"/>
                <w:kern w:val="0"/>
                <w:sz w:val="21"/>
                <w:szCs w:val="21"/>
                <w:highlight w:val="none"/>
                <w14:textFill>
                  <w14:solidFill>
                    <w14:schemeClr w14:val="tx1"/>
                  </w14:solidFill>
                </w14:textFill>
              </w:rPr>
              <w:t>626</w:t>
            </w:r>
          </w:p>
        </w:tc>
        <w:tc>
          <w:tcPr>
            <w:tcW w:w="1111" w:type="pct"/>
            <w:vAlign w:val="center"/>
          </w:tcPr>
          <w:p>
            <w:pPr>
              <w:spacing w:line="240" w:lineRule="auto"/>
              <w:ind w:firstLine="0" w:firstLineChars="0"/>
              <w:jc w:val="center"/>
              <w:rPr>
                <w:rFonts w:cs="Times New Roman" w:eastAsiaTheme="minorEastAsia"/>
                <w:snapToGrid w:val="0"/>
                <w:color w:val="000000" w:themeColor="text1"/>
                <w:kern w:val="0"/>
                <w:sz w:val="21"/>
                <w:szCs w:val="21"/>
                <w:highlight w:val="none"/>
                <w14:textFill>
                  <w14:solidFill>
                    <w14:schemeClr w14:val="tx1"/>
                  </w14:solidFill>
                </w14:textFill>
              </w:rPr>
            </w:pPr>
            <w:r>
              <w:rPr>
                <w:rFonts w:hint="eastAsia" w:eastAsia="Times New Roman" w:cs="Times New Roman"/>
                <w:snapToGrid w:val="0"/>
                <w:color w:val="000000" w:themeColor="text1"/>
                <w:kern w:val="0"/>
                <w:sz w:val="21"/>
                <w:szCs w:val="21"/>
                <w:highlight w:val="none"/>
                <w14:textFill>
                  <w14:solidFill>
                    <w14:schemeClr w14:val="tx1"/>
                  </w14:solidFill>
                </w14:textFill>
              </w:rPr>
              <w:t>0.</w:t>
            </w:r>
            <w:r>
              <w:rPr>
                <w:rFonts w:hint="eastAsia" w:cs="Times New Roman" w:eastAsiaTheme="minorEastAsia"/>
                <w:snapToGrid w:val="0"/>
                <w:color w:val="000000" w:themeColor="text1"/>
                <w:kern w:val="0"/>
                <w:sz w:val="21"/>
                <w:szCs w:val="21"/>
                <w:highlight w:val="none"/>
                <w14:textFill>
                  <w14:solidFill>
                    <w14:schemeClr w14:val="tx1"/>
                  </w14:solidFill>
                </w14:textFill>
              </w:rPr>
              <w:t>626</w:t>
            </w:r>
          </w:p>
        </w:tc>
        <w:tc>
          <w:tcPr>
            <w:tcW w:w="984" w:type="pct"/>
            <w:vAlign w:val="center"/>
          </w:tcPr>
          <w:p>
            <w:pPr>
              <w:spacing w:line="240" w:lineRule="auto"/>
              <w:ind w:firstLine="0" w:firstLineChars="0"/>
              <w:jc w:val="center"/>
              <w:rPr>
                <w:rFonts w:cs="Times New Roman" w:eastAsiaTheme="minorEastAsia"/>
                <w:snapToGrid w:val="0"/>
                <w:color w:val="000000" w:themeColor="text1"/>
                <w:kern w:val="0"/>
                <w:sz w:val="21"/>
                <w:szCs w:val="21"/>
                <w:highlight w:val="none"/>
                <w14:textFill>
                  <w14:solidFill>
                    <w14:schemeClr w14:val="tx1"/>
                  </w14:solidFill>
                </w14:textFill>
              </w:rPr>
            </w:pPr>
            <w:r>
              <w:rPr>
                <w:rFonts w:hint="eastAsia" w:eastAsia="Times New Roman" w:cs="Times New Roman"/>
                <w:snapToGrid w:val="0"/>
                <w:color w:val="000000" w:themeColor="text1"/>
                <w:kern w:val="0"/>
                <w:sz w:val="21"/>
                <w:szCs w:val="21"/>
                <w:highlight w:val="none"/>
                <w14:textFill>
                  <w14:solidFill>
                    <w14:schemeClr w14:val="tx1"/>
                  </w14:solidFill>
                </w14:textFill>
              </w:rPr>
              <w:t>0.</w:t>
            </w:r>
            <w:r>
              <w:rPr>
                <w:rFonts w:hint="eastAsia" w:cs="Times New Roman" w:eastAsiaTheme="minorEastAsia"/>
                <w:snapToGrid w:val="0"/>
                <w:color w:val="000000" w:themeColor="text1"/>
                <w:kern w:val="0"/>
                <w:sz w:val="21"/>
                <w:szCs w:val="21"/>
                <w:highlight w:val="none"/>
                <w14:textFill>
                  <w14:solidFill>
                    <w14:schemeClr w14:val="tx1"/>
                  </w14:solidFill>
                </w14:textFill>
              </w:rPr>
              <w:t>200</w:t>
            </w:r>
            <w:r>
              <w:rPr>
                <w:rFonts w:eastAsia="Times New Roman" w:cs="Times New Roman"/>
                <w:snapToGrid w:val="0"/>
                <w:color w:val="000000" w:themeColor="text1"/>
                <w:kern w:val="0"/>
                <w:sz w:val="21"/>
                <w:szCs w:val="21"/>
                <w:highlight w:val="none"/>
                <w14:textFill>
                  <w14:solidFill>
                    <w14:schemeClr w14:val="tx1"/>
                  </w14:solidFill>
                </w14:textFill>
              </w:rPr>
              <w:t>~0.</w:t>
            </w:r>
            <w:r>
              <w:rPr>
                <w:rFonts w:hint="eastAsia" w:cs="Times New Roman" w:eastAsiaTheme="minorEastAsia"/>
                <w:snapToGrid w:val="0"/>
                <w:color w:val="000000" w:themeColor="text1"/>
                <w:kern w:val="0"/>
                <w:sz w:val="21"/>
                <w:szCs w:val="21"/>
                <w:highlight w:val="none"/>
                <w14:textFill>
                  <w14:solidFill>
                    <w14:schemeClr w14:val="tx1"/>
                  </w14:solidFill>
                </w14:textFill>
              </w:rPr>
              <w:t>834</w:t>
            </w:r>
          </w:p>
        </w:tc>
        <w:tc>
          <w:tcPr>
            <w:tcW w:w="1060" w:type="pct"/>
            <w:vAlign w:val="center"/>
          </w:tcPr>
          <w:p>
            <w:pPr>
              <w:spacing w:line="240" w:lineRule="auto"/>
              <w:ind w:firstLine="0" w:firstLineChars="0"/>
              <w:jc w:val="center"/>
              <w:rPr>
                <w:rFonts w:cs="Times New Roman" w:eastAsiaTheme="minorEastAsia"/>
                <w:snapToGrid w:val="0"/>
                <w:color w:val="000000" w:themeColor="text1"/>
                <w:kern w:val="0"/>
                <w:sz w:val="21"/>
                <w:szCs w:val="21"/>
                <w:highlight w:val="none"/>
                <w14:textFill>
                  <w14:solidFill>
                    <w14:schemeClr w14:val="tx1"/>
                  </w14:solidFill>
                </w14:textFill>
              </w:rPr>
            </w:pPr>
            <w:r>
              <w:rPr>
                <w:rFonts w:hint="eastAsia" w:eastAsia="Times New Roman" w:cs="Times New Roman"/>
                <w:snapToGrid w:val="0"/>
                <w:color w:val="000000" w:themeColor="text1"/>
                <w:kern w:val="0"/>
                <w:sz w:val="21"/>
                <w:szCs w:val="21"/>
                <w:highlight w:val="none"/>
                <w14:textFill>
                  <w14:solidFill>
                    <w14:schemeClr w14:val="tx1"/>
                  </w14:solidFill>
                </w14:textFill>
              </w:rPr>
              <w:t>0.</w:t>
            </w:r>
            <w:r>
              <w:rPr>
                <w:rFonts w:hint="eastAsia" w:cs="Times New Roman" w:eastAsiaTheme="minorEastAsia"/>
                <w:snapToGrid w:val="0"/>
                <w:color w:val="000000" w:themeColor="text1"/>
                <w:kern w:val="0"/>
                <w:sz w:val="21"/>
                <w:szCs w:val="21"/>
                <w:highlight w:val="none"/>
                <w14:textFill>
                  <w14:solidFill>
                    <w14:schemeClr w14:val="tx1"/>
                  </w14:solidFill>
                </w14:textFill>
              </w:rPr>
              <w:t>834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pct"/>
            <w:vAlign w:val="center"/>
          </w:tcPr>
          <w:p>
            <w:pPr>
              <w:spacing w:line="240" w:lineRule="auto"/>
              <w:ind w:firstLine="0" w:firstLineChars="0"/>
              <w:jc w:val="center"/>
              <w:rPr>
                <w:rFonts w:eastAsia="Times New Roman" w:cs="Times New Roman"/>
                <w:iCs/>
                <w:snapToGrid w:val="0"/>
                <w:color w:val="000000" w:themeColor="text1"/>
                <w:kern w:val="0"/>
                <w:sz w:val="21"/>
                <w:szCs w:val="18"/>
                <w:highlight w:val="none"/>
                <w14:textFill>
                  <w14:solidFill>
                    <w14:schemeClr w14:val="tx1"/>
                  </w14:solidFill>
                </w14:textFill>
              </w:rPr>
            </w:pPr>
            <w:r>
              <w:rPr>
                <w:rFonts w:hint="eastAsia" w:ascii="宋体" w:hAnsi="宋体" w:eastAsia="Times New Roman" w:cs="宋体"/>
                <w:snapToGrid w:val="0"/>
                <w:color w:val="000000" w:themeColor="text1"/>
                <w:sz w:val="21"/>
                <w:szCs w:val="18"/>
                <w:highlight w:val="none"/>
                <w14:textFill>
                  <w14:solidFill>
                    <w14:schemeClr w14:val="tx1"/>
                  </w14:solidFill>
                </w14:textFill>
              </w:rPr>
              <w:t>石油类</w:t>
            </w:r>
          </w:p>
        </w:tc>
        <w:tc>
          <w:tcPr>
            <w:tcW w:w="993"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ascii="宋体" w:hAnsi="宋体" w:eastAsia="Times New Roman" w:cs="宋体"/>
                <w:snapToGrid w:val="0"/>
                <w:color w:val="000000" w:themeColor="text1"/>
                <w:kern w:val="0"/>
                <w:sz w:val="21"/>
                <w:szCs w:val="21"/>
                <w:highlight w:val="none"/>
                <w14:textFill>
                  <w14:solidFill>
                    <w14:schemeClr w14:val="tx1"/>
                  </w14:solidFill>
                </w14:textFill>
              </w:rPr>
              <w:t>未检出</w:t>
            </w:r>
          </w:p>
        </w:tc>
        <w:tc>
          <w:tcPr>
            <w:tcW w:w="1111"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cs="Times New Roman"/>
                <w:snapToGrid w:val="0"/>
                <w:color w:val="000000" w:themeColor="text1"/>
                <w:kern w:val="0"/>
                <w:sz w:val="21"/>
                <w:szCs w:val="21"/>
                <w:highlight w:val="none"/>
                <w14:textFill>
                  <w14:solidFill>
                    <w14:schemeClr w14:val="tx1"/>
                  </w14:solidFill>
                </w14:textFill>
              </w:rPr>
              <w:t>0</w:t>
            </w:r>
          </w:p>
        </w:tc>
        <w:tc>
          <w:tcPr>
            <w:tcW w:w="984"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ascii="宋体" w:hAnsi="宋体" w:eastAsia="Times New Roman" w:cs="宋体"/>
                <w:snapToGrid w:val="0"/>
                <w:color w:val="000000" w:themeColor="text1"/>
                <w:kern w:val="0"/>
                <w:sz w:val="21"/>
                <w:szCs w:val="21"/>
                <w:highlight w:val="none"/>
                <w14:textFill>
                  <w14:solidFill>
                    <w14:schemeClr w14:val="tx1"/>
                  </w14:solidFill>
                </w14:textFill>
              </w:rPr>
              <w:t>未检出</w:t>
            </w:r>
          </w:p>
        </w:tc>
        <w:tc>
          <w:tcPr>
            <w:tcW w:w="1060"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cs="Times New Roman"/>
                <w:snapToGrid w:val="0"/>
                <w:color w:val="000000" w:themeColor="text1"/>
                <w:kern w:val="0"/>
                <w:sz w:val="21"/>
                <w:szCs w:val="21"/>
                <w:highlight w:val="non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pct"/>
            <w:vAlign w:val="center"/>
          </w:tcPr>
          <w:p>
            <w:pPr>
              <w:spacing w:line="240" w:lineRule="auto"/>
              <w:ind w:firstLine="0" w:firstLineChars="0"/>
              <w:jc w:val="center"/>
              <w:rPr>
                <w:rFonts w:eastAsia="Times New Roman" w:cs="Times New Roman"/>
                <w:iCs/>
                <w:snapToGrid w:val="0"/>
                <w:color w:val="000000" w:themeColor="text1"/>
                <w:kern w:val="0"/>
                <w:sz w:val="21"/>
                <w:szCs w:val="18"/>
                <w:highlight w:val="none"/>
                <w14:textFill>
                  <w14:solidFill>
                    <w14:schemeClr w14:val="tx1"/>
                  </w14:solidFill>
                </w14:textFill>
              </w:rPr>
            </w:pPr>
            <w:r>
              <w:rPr>
                <w:rFonts w:hint="eastAsia" w:ascii="宋体" w:hAnsi="宋体" w:eastAsia="Times New Roman" w:cs="宋体"/>
                <w:snapToGrid w:val="0"/>
                <w:color w:val="000000" w:themeColor="text1"/>
                <w:sz w:val="21"/>
                <w:szCs w:val="18"/>
                <w:highlight w:val="none"/>
                <w14:textFill>
                  <w14:solidFill>
                    <w14:schemeClr w14:val="tx1"/>
                  </w14:solidFill>
                </w14:textFill>
              </w:rPr>
              <w:t>挥发酚</w:t>
            </w:r>
          </w:p>
        </w:tc>
        <w:tc>
          <w:tcPr>
            <w:tcW w:w="993"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ascii="宋体" w:hAnsi="宋体" w:eastAsia="Times New Roman" w:cs="宋体"/>
                <w:snapToGrid w:val="0"/>
                <w:color w:val="000000" w:themeColor="text1"/>
                <w:kern w:val="0"/>
                <w:sz w:val="21"/>
                <w:szCs w:val="21"/>
                <w:highlight w:val="none"/>
                <w14:textFill>
                  <w14:solidFill>
                    <w14:schemeClr w14:val="tx1"/>
                  </w14:solidFill>
                </w14:textFill>
              </w:rPr>
              <w:t>未检出</w:t>
            </w:r>
          </w:p>
        </w:tc>
        <w:tc>
          <w:tcPr>
            <w:tcW w:w="1111"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cs="Times New Roman"/>
                <w:snapToGrid w:val="0"/>
                <w:color w:val="000000" w:themeColor="text1"/>
                <w:kern w:val="0"/>
                <w:sz w:val="21"/>
                <w:szCs w:val="21"/>
                <w:highlight w:val="none"/>
                <w14:textFill>
                  <w14:solidFill>
                    <w14:schemeClr w14:val="tx1"/>
                  </w14:solidFill>
                </w14:textFill>
              </w:rPr>
              <w:t>0</w:t>
            </w:r>
          </w:p>
        </w:tc>
        <w:tc>
          <w:tcPr>
            <w:tcW w:w="984"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ascii="宋体" w:hAnsi="宋体" w:eastAsia="Times New Roman" w:cs="宋体"/>
                <w:snapToGrid w:val="0"/>
                <w:color w:val="000000" w:themeColor="text1"/>
                <w:kern w:val="0"/>
                <w:sz w:val="21"/>
                <w:szCs w:val="21"/>
                <w:highlight w:val="none"/>
                <w14:textFill>
                  <w14:solidFill>
                    <w14:schemeClr w14:val="tx1"/>
                  </w14:solidFill>
                </w14:textFill>
              </w:rPr>
              <w:t>未检出</w:t>
            </w:r>
          </w:p>
        </w:tc>
        <w:tc>
          <w:tcPr>
            <w:tcW w:w="1060"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cs="Times New Roman"/>
                <w:snapToGrid w:val="0"/>
                <w:color w:val="000000" w:themeColor="text1"/>
                <w:kern w:val="0"/>
                <w:sz w:val="21"/>
                <w:szCs w:val="21"/>
                <w:highlight w:val="non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pct"/>
            <w:vAlign w:val="center"/>
          </w:tcPr>
          <w:p>
            <w:pPr>
              <w:spacing w:line="240" w:lineRule="auto"/>
              <w:ind w:firstLine="0" w:firstLineChars="0"/>
              <w:jc w:val="center"/>
              <w:rPr>
                <w:rFonts w:eastAsia="Times New Roman" w:cs="Times New Roman"/>
                <w:iCs/>
                <w:snapToGrid w:val="0"/>
                <w:color w:val="000000" w:themeColor="text1"/>
                <w:kern w:val="0"/>
                <w:sz w:val="21"/>
                <w:szCs w:val="18"/>
                <w:highlight w:val="none"/>
                <w14:textFill>
                  <w14:solidFill>
                    <w14:schemeClr w14:val="tx1"/>
                  </w14:solidFill>
                </w14:textFill>
              </w:rPr>
            </w:pPr>
            <w:r>
              <w:rPr>
                <w:rFonts w:hint="eastAsia" w:ascii="宋体" w:hAnsi="宋体" w:eastAsia="Times New Roman" w:cs="宋体"/>
                <w:snapToGrid w:val="0"/>
                <w:color w:val="000000" w:themeColor="text1"/>
                <w:sz w:val="21"/>
                <w:szCs w:val="18"/>
                <w:highlight w:val="none"/>
                <w14:textFill>
                  <w14:solidFill>
                    <w14:schemeClr w14:val="tx1"/>
                  </w14:solidFill>
                </w14:textFill>
              </w:rPr>
              <w:t>六价铬</w:t>
            </w:r>
          </w:p>
        </w:tc>
        <w:tc>
          <w:tcPr>
            <w:tcW w:w="993"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snapToGrid w:val="0"/>
                <w:color w:val="000000" w:themeColor="text1"/>
                <w:sz w:val="22"/>
                <w:highlight w:val="none"/>
                <w14:textFill>
                  <w14:solidFill>
                    <w14:schemeClr w14:val="tx1"/>
                  </w14:solidFill>
                </w14:textFill>
              </w:rPr>
              <w:t>&lt;0.004</w:t>
            </w:r>
          </w:p>
        </w:tc>
        <w:tc>
          <w:tcPr>
            <w:tcW w:w="1111" w:type="pct"/>
            <w:vAlign w:val="center"/>
          </w:tcPr>
          <w:p>
            <w:pPr>
              <w:spacing w:line="240" w:lineRule="auto"/>
              <w:ind w:firstLine="0" w:firstLineChars="0"/>
              <w:jc w:val="center"/>
              <w:rPr>
                <w:rFonts w:cs="Times New Roman" w:eastAsiaTheme="minorEastAsia"/>
                <w:snapToGrid w:val="0"/>
                <w:color w:val="000000" w:themeColor="text1"/>
                <w:kern w:val="0"/>
                <w:sz w:val="21"/>
                <w:szCs w:val="21"/>
                <w:highlight w:val="none"/>
                <w14:textFill>
                  <w14:solidFill>
                    <w14:schemeClr w14:val="tx1"/>
                  </w14:solidFill>
                </w14:textFill>
              </w:rPr>
            </w:pPr>
            <w:r>
              <w:rPr>
                <w:rFonts w:hint="eastAsia" w:cs="Times New Roman" w:eastAsiaTheme="minorEastAsia"/>
                <w:snapToGrid w:val="0"/>
                <w:color w:val="000000" w:themeColor="text1"/>
                <w:kern w:val="0"/>
                <w:sz w:val="21"/>
                <w:szCs w:val="21"/>
                <w:highlight w:val="none"/>
                <w14:textFill>
                  <w14:solidFill>
                    <w14:schemeClr w14:val="tx1"/>
                  </w14:solidFill>
                </w14:textFill>
              </w:rPr>
              <w:t>0</w:t>
            </w:r>
          </w:p>
        </w:tc>
        <w:tc>
          <w:tcPr>
            <w:tcW w:w="984"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snapToGrid w:val="0"/>
                <w:color w:val="000000" w:themeColor="text1"/>
                <w:sz w:val="22"/>
                <w:highlight w:val="none"/>
                <w14:textFill>
                  <w14:solidFill>
                    <w14:schemeClr w14:val="tx1"/>
                  </w14:solidFill>
                </w14:textFill>
              </w:rPr>
              <w:t>&lt;0.004</w:t>
            </w:r>
          </w:p>
        </w:tc>
        <w:tc>
          <w:tcPr>
            <w:tcW w:w="1060"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eastAsia="Times New Roman" w:cs="Times New Roman"/>
                <w:snapToGrid w:val="0"/>
                <w:color w:val="000000" w:themeColor="text1"/>
                <w:kern w:val="0"/>
                <w:sz w:val="21"/>
                <w:szCs w:val="21"/>
                <w:highlight w:val="non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pct"/>
            <w:vAlign w:val="center"/>
          </w:tcPr>
          <w:p>
            <w:pPr>
              <w:spacing w:line="240" w:lineRule="auto"/>
              <w:ind w:firstLine="0" w:firstLineChars="0"/>
              <w:jc w:val="center"/>
              <w:rPr>
                <w:rFonts w:eastAsia="Times New Roman" w:cs="Times New Roman"/>
                <w:iCs/>
                <w:snapToGrid w:val="0"/>
                <w:color w:val="000000" w:themeColor="text1"/>
                <w:kern w:val="0"/>
                <w:sz w:val="21"/>
                <w:szCs w:val="18"/>
                <w:highlight w:val="none"/>
                <w14:textFill>
                  <w14:solidFill>
                    <w14:schemeClr w14:val="tx1"/>
                  </w14:solidFill>
                </w14:textFill>
              </w:rPr>
            </w:pPr>
            <w:r>
              <w:rPr>
                <w:rFonts w:hint="eastAsia" w:ascii="宋体" w:hAnsi="宋体" w:eastAsia="Times New Roman" w:cs="宋体"/>
                <w:snapToGrid w:val="0"/>
                <w:color w:val="000000" w:themeColor="text1"/>
                <w:sz w:val="21"/>
                <w:szCs w:val="18"/>
                <w:highlight w:val="none"/>
                <w14:textFill>
                  <w14:solidFill>
                    <w14:schemeClr w14:val="tx1"/>
                  </w14:solidFill>
                </w14:textFill>
              </w:rPr>
              <w:t>氯化物</w:t>
            </w:r>
          </w:p>
        </w:tc>
        <w:tc>
          <w:tcPr>
            <w:tcW w:w="993" w:type="pct"/>
            <w:vAlign w:val="center"/>
          </w:tcPr>
          <w:p>
            <w:pPr>
              <w:spacing w:line="240" w:lineRule="auto"/>
              <w:ind w:firstLine="0" w:firstLineChars="0"/>
              <w:jc w:val="center"/>
              <w:rPr>
                <w:rFonts w:cs="Times New Roman" w:eastAsiaTheme="minorEastAsia"/>
                <w:snapToGrid w:val="0"/>
                <w:color w:val="000000" w:themeColor="text1"/>
                <w:kern w:val="0"/>
                <w:sz w:val="21"/>
                <w:szCs w:val="21"/>
                <w:highlight w:val="none"/>
                <w14:textFill>
                  <w14:solidFill>
                    <w14:schemeClr w14:val="tx1"/>
                  </w14:solidFill>
                </w14:textFill>
              </w:rPr>
            </w:pPr>
            <w:r>
              <w:rPr>
                <w:rFonts w:hint="eastAsia" w:cs="Times New Roman" w:eastAsiaTheme="minorEastAsia"/>
                <w:snapToGrid w:val="0"/>
                <w:color w:val="000000" w:themeColor="text1"/>
                <w:kern w:val="0"/>
                <w:sz w:val="21"/>
                <w:szCs w:val="21"/>
                <w:highlight w:val="none"/>
                <w14:textFill>
                  <w14:solidFill>
                    <w14:schemeClr w14:val="tx1"/>
                  </w14:solidFill>
                </w14:textFill>
              </w:rPr>
              <w:t>30.7~31.3</w:t>
            </w:r>
          </w:p>
        </w:tc>
        <w:tc>
          <w:tcPr>
            <w:tcW w:w="1111" w:type="pct"/>
            <w:vAlign w:val="center"/>
          </w:tcPr>
          <w:p>
            <w:pPr>
              <w:spacing w:line="240" w:lineRule="auto"/>
              <w:ind w:firstLine="0" w:firstLineChars="0"/>
              <w:jc w:val="center"/>
              <w:rPr>
                <w:rFonts w:cs="Times New Roman" w:eastAsiaTheme="minorEastAsia"/>
                <w:snapToGrid w:val="0"/>
                <w:color w:val="000000" w:themeColor="text1"/>
                <w:kern w:val="0"/>
                <w:sz w:val="21"/>
                <w:szCs w:val="21"/>
                <w:highlight w:val="none"/>
                <w14:textFill>
                  <w14:solidFill>
                    <w14:schemeClr w14:val="tx1"/>
                  </w14:solidFill>
                </w14:textFill>
              </w:rPr>
            </w:pPr>
            <w:r>
              <w:rPr>
                <w:rFonts w:hint="eastAsia" w:cs="Times New Roman" w:eastAsiaTheme="minorEastAsia"/>
                <w:snapToGrid w:val="0"/>
                <w:color w:val="000000" w:themeColor="text1"/>
                <w:kern w:val="0"/>
                <w:sz w:val="21"/>
                <w:szCs w:val="21"/>
                <w:highlight w:val="none"/>
                <w14:textFill>
                  <w14:solidFill>
                    <w14:schemeClr w14:val="tx1"/>
                  </w14:solidFill>
                </w14:textFill>
              </w:rPr>
              <w:t>0.13</w:t>
            </w:r>
          </w:p>
        </w:tc>
        <w:tc>
          <w:tcPr>
            <w:tcW w:w="984"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cs="Times New Roman" w:eastAsiaTheme="minorEastAsia"/>
                <w:snapToGrid w:val="0"/>
                <w:color w:val="000000" w:themeColor="text1"/>
                <w:kern w:val="0"/>
                <w:sz w:val="21"/>
                <w:szCs w:val="21"/>
                <w:highlight w:val="none"/>
                <w14:textFill>
                  <w14:solidFill>
                    <w14:schemeClr w14:val="tx1"/>
                  </w14:solidFill>
                </w14:textFill>
              </w:rPr>
              <w:t>26.9~27.0</w:t>
            </w:r>
          </w:p>
        </w:tc>
        <w:tc>
          <w:tcPr>
            <w:tcW w:w="1060" w:type="pct"/>
            <w:vAlign w:val="center"/>
          </w:tcPr>
          <w:p>
            <w:pPr>
              <w:spacing w:line="240" w:lineRule="auto"/>
              <w:ind w:firstLine="0" w:firstLineChars="0"/>
              <w:jc w:val="center"/>
              <w:rPr>
                <w:rFonts w:cs="Times New Roman" w:eastAsiaTheme="minorEastAsia"/>
                <w:snapToGrid w:val="0"/>
                <w:color w:val="000000" w:themeColor="text1"/>
                <w:kern w:val="0"/>
                <w:sz w:val="21"/>
                <w:szCs w:val="21"/>
                <w:highlight w:val="none"/>
                <w14:textFill>
                  <w14:solidFill>
                    <w14:schemeClr w14:val="tx1"/>
                  </w14:solidFill>
                </w14:textFill>
              </w:rPr>
            </w:pPr>
            <w:r>
              <w:rPr>
                <w:rFonts w:hint="eastAsia" w:eastAsia="Times New Roman" w:cs="Times New Roman"/>
                <w:snapToGrid w:val="0"/>
                <w:color w:val="000000" w:themeColor="text1"/>
                <w:kern w:val="0"/>
                <w:sz w:val="21"/>
                <w:szCs w:val="21"/>
                <w:highlight w:val="none"/>
                <w14:textFill>
                  <w14:solidFill>
                    <w14:schemeClr w14:val="tx1"/>
                  </w14:solidFill>
                </w14:textFill>
              </w:rPr>
              <w:t>0</w:t>
            </w:r>
            <w:r>
              <w:rPr>
                <w:rFonts w:hint="eastAsia" w:cs="Times New Roman" w:eastAsiaTheme="minorEastAsia"/>
                <w:snapToGrid w:val="0"/>
                <w:color w:val="000000" w:themeColor="text1"/>
                <w:kern w:val="0"/>
                <w:sz w:val="21"/>
                <w:szCs w:val="21"/>
                <w:highlight w:val="none"/>
                <w14:textFill>
                  <w14:solidFill>
                    <w14:schemeClr w14:val="tx1"/>
                  </w14:solidFill>
                </w14:textFill>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pct"/>
            <w:vAlign w:val="center"/>
          </w:tcPr>
          <w:p>
            <w:pPr>
              <w:spacing w:line="240" w:lineRule="auto"/>
              <w:ind w:firstLine="0" w:firstLineChars="0"/>
              <w:jc w:val="center"/>
              <w:rPr>
                <w:rFonts w:eastAsia="Times New Roman" w:cs="Times New Roman"/>
                <w:iCs/>
                <w:snapToGrid w:val="0"/>
                <w:color w:val="000000" w:themeColor="text1"/>
                <w:kern w:val="0"/>
                <w:sz w:val="21"/>
                <w:szCs w:val="18"/>
                <w:highlight w:val="none"/>
                <w14:textFill>
                  <w14:solidFill>
                    <w14:schemeClr w14:val="tx1"/>
                  </w14:solidFill>
                </w14:textFill>
              </w:rPr>
            </w:pPr>
            <w:r>
              <w:rPr>
                <w:rFonts w:hint="eastAsia" w:ascii="宋体" w:hAnsi="宋体" w:eastAsia="Times New Roman" w:cs="宋体"/>
                <w:snapToGrid w:val="0"/>
                <w:color w:val="000000" w:themeColor="text1"/>
                <w:sz w:val="21"/>
                <w:szCs w:val="18"/>
                <w:highlight w:val="none"/>
                <w14:textFill>
                  <w14:solidFill>
                    <w14:schemeClr w14:val="tx1"/>
                  </w14:solidFill>
                </w14:textFill>
              </w:rPr>
              <w:t>硫化物</w:t>
            </w:r>
          </w:p>
        </w:tc>
        <w:tc>
          <w:tcPr>
            <w:tcW w:w="993"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ascii="宋体" w:hAnsi="宋体" w:eastAsia="Times New Roman" w:cs="宋体"/>
                <w:snapToGrid w:val="0"/>
                <w:color w:val="000000" w:themeColor="text1"/>
                <w:kern w:val="0"/>
                <w:sz w:val="21"/>
                <w:szCs w:val="21"/>
                <w:highlight w:val="none"/>
                <w14:textFill>
                  <w14:solidFill>
                    <w14:schemeClr w14:val="tx1"/>
                  </w14:solidFill>
                </w14:textFill>
              </w:rPr>
              <w:t>未检出</w:t>
            </w:r>
          </w:p>
        </w:tc>
        <w:tc>
          <w:tcPr>
            <w:tcW w:w="1111" w:type="pct"/>
            <w:vAlign w:val="center"/>
          </w:tcPr>
          <w:p>
            <w:pPr>
              <w:spacing w:line="240" w:lineRule="auto"/>
              <w:ind w:firstLine="0" w:firstLineChars="0"/>
              <w:jc w:val="center"/>
              <w:rPr>
                <w:rFonts w:cs="Times New Roman" w:eastAsiaTheme="minorEastAsia"/>
                <w:snapToGrid w:val="0"/>
                <w:color w:val="000000" w:themeColor="text1"/>
                <w:kern w:val="0"/>
                <w:sz w:val="21"/>
                <w:szCs w:val="21"/>
                <w:highlight w:val="none"/>
                <w14:textFill>
                  <w14:solidFill>
                    <w14:schemeClr w14:val="tx1"/>
                  </w14:solidFill>
                </w14:textFill>
              </w:rPr>
            </w:pPr>
            <w:r>
              <w:rPr>
                <w:rFonts w:hint="eastAsia" w:cs="Times New Roman" w:eastAsiaTheme="minorEastAsia"/>
                <w:snapToGrid w:val="0"/>
                <w:color w:val="000000" w:themeColor="text1"/>
                <w:kern w:val="0"/>
                <w:sz w:val="21"/>
                <w:szCs w:val="21"/>
                <w:highlight w:val="none"/>
                <w14:textFill>
                  <w14:solidFill>
                    <w14:schemeClr w14:val="tx1"/>
                  </w14:solidFill>
                </w14:textFill>
              </w:rPr>
              <w:t>0</w:t>
            </w:r>
          </w:p>
        </w:tc>
        <w:tc>
          <w:tcPr>
            <w:tcW w:w="984" w:type="pct"/>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r>
              <w:rPr>
                <w:rFonts w:hint="eastAsia" w:ascii="宋体" w:hAnsi="宋体" w:eastAsia="Times New Roman" w:cs="宋体"/>
                <w:snapToGrid w:val="0"/>
                <w:color w:val="000000" w:themeColor="text1"/>
                <w:kern w:val="0"/>
                <w:sz w:val="21"/>
                <w:szCs w:val="21"/>
                <w:highlight w:val="none"/>
                <w14:textFill>
                  <w14:solidFill>
                    <w14:schemeClr w14:val="tx1"/>
                  </w14:solidFill>
                </w14:textFill>
              </w:rPr>
              <w:t>未检出</w:t>
            </w:r>
          </w:p>
        </w:tc>
        <w:tc>
          <w:tcPr>
            <w:tcW w:w="1060" w:type="pct"/>
            <w:vAlign w:val="center"/>
          </w:tcPr>
          <w:p>
            <w:pPr>
              <w:spacing w:line="240" w:lineRule="auto"/>
              <w:ind w:firstLine="0" w:firstLineChars="0"/>
              <w:jc w:val="center"/>
              <w:rPr>
                <w:rFonts w:cs="Times New Roman" w:eastAsiaTheme="minorEastAsia"/>
                <w:snapToGrid w:val="0"/>
                <w:color w:val="000000" w:themeColor="text1"/>
                <w:kern w:val="0"/>
                <w:sz w:val="21"/>
                <w:szCs w:val="21"/>
                <w:highlight w:val="none"/>
                <w14:textFill>
                  <w14:solidFill>
                    <w14:schemeClr w14:val="tx1"/>
                  </w14:solidFill>
                </w14:textFill>
              </w:rPr>
            </w:pPr>
            <w:r>
              <w:rPr>
                <w:rFonts w:hint="eastAsia" w:cs="Times New Roman" w:eastAsiaTheme="minorEastAsia"/>
                <w:snapToGrid w:val="0"/>
                <w:color w:val="000000" w:themeColor="text1"/>
                <w:kern w:val="0"/>
                <w:sz w:val="21"/>
                <w:szCs w:val="21"/>
                <w:highlight w:val="none"/>
                <w14:textFill>
                  <w14:solidFill>
                    <w14:schemeClr w14:val="tx1"/>
                  </w14:solidFill>
                </w14:textFill>
              </w:rPr>
              <w:t>0</w:t>
            </w:r>
          </w:p>
        </w:tc>
      </w:tr>
    </w:tbl>
    <w:p>
      <w:pPr>
        <w:spacing w:before="120" w:beforeLines="50"/>
        <w:ind w:firstLine="480"/>
        <w:rPr>
          <w:color w:val="000000" w:themeColor="text1"/>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根据以上评价结果，区域地表水取样断面监测因子中，氯化物满足《地表水环境质量标准》（GB3838-2002）表2的标准限值，其余项目均满足《地表水环境质量标准》（GB3838-2002）中</w:t>
      </w:r>
      <w:r>
        <w:rPr>
          <w:rFonts w:cs="Times New Roman"/>
          <w:color w:val="000000" w:themeColor="text1"/>
          <w:kern w:val="0"/>
          <w:szCs w:val="24"/>
          <w:highlight w:val="none"/>
          <w14:textFill>
            <w14:solidFill>
              <w14:schemeClr w14:val="tx1"/>
            </w14:solidFill>
          </w14:textFill>
        </w:rPr>
        <w:fldChar w:fldCharType="begin"/>
      </w:r>
      <w:r>
        <w:rPr>
          <w:rFonts w:cs="Times New Roman"/>
          <w:color w:val="000000" w:themeColor="text1"/>
          <w:kern w:val="0"/>
          <w:szCs w:val="24"/>
          <w:highlight w:val="none"/>
          <w14:textFill>
            <w14:solidFill>
              <w14:schemeClr w14:val="tx1"/>
            </w14:solidFill>
          </w14:textFill>
        </w:rPr>
        <w:instrText xml:space="preserve"> </w:instrText>
      </w:r>
      <w:r>
        <w:rPr>
          <w:rFonts w:hint="eastAsia" w:cs="Times New Roman"/>
          <w:color w:val="000000" w:themeColor="text1"/>
          <w:kern w:val="0"/>
          <w:szCs w:val="24"/>
          <w:highlight w:val="none"/>
          <w14:textFill>
            <w14:solidFill>
              <w14:schemeClr w14:val="tx1"/>
            </w14:solidFill>
          </w14:textFill>
        </w:rPr>
        <w:instrText xml:space="preserve">= 3 \* ROMAN</w:instrText>
      </w:r>
      <w:r>
        <w:rPr>
          <w:rFonts w:cs="Times New Roman"/>
          <w:color w:val="000000" w:themeColor="text1"/>
          <w:kern w:val="0"/>
          <w:szCs w:val="24"/>
          <w:highlight w:val="none"/>
          <w14:textFill>
            <w14:solidFill>
              <w14:schemeClr w14:val="tx1"/>
            </w14:solidFill>
          </w14:textFill>
        </w:rPr>
        <w:instrText xml:space="preserve"> </w:instrText>
      </w:r>
      <w:r>
        <w:rPr>
          <w:rFonts w:cs="Times New Roman"/>
          <w:color w:val="000000" w:themeColor="text1"/>
          <w:kern w:val="0"/>
          <w:szCs w:val="24"/>
          <w:highlight w:val="none"/>
          <w14:textFill>
            <w14:solidFill>
              <w14:schemeClr w14:val="tx1"/>
            </w14:solidFill>
          </w14:textFill>
        </w:rPr>
        <w:fldChar w:fldCharType="separate"/>
      </w:r>
      <w:r>
        <w:rPr>
          <w:rFonts w:cs="Times New Roman"/>
          <w:color w:val="000000" w:themeColor="text1"/>
          <w:kern w:val="0"/>
          <w:szCs w:val="24"/>
          <w:highlight w:val="none"/>
          <w14:textFill>
            <w14:solidFill>
              <w14:schemeClr w14:val="tx1"/>
            </w14:solidFill>
          </w14:textFill>
        </w:rPr>
        <w:t>III</w:t>
      </w:r>
      <w:r>
        <w:rPr>
          <w:rFonts w:cs="Times New Roman"/>
          <w:color w:val="000000" w:themeColor="text1"/>
          <w:kern w:val="0"/>
          <w:szCs w:val="24"/>
          <w:highlight w:val="none"/>
          <w14:textFill>
            <w14:solidFill>
              <w14:schemeClr w14:val="tx1"/>
            </w14:solidFill>
          </w14:textFill>
        </w:rPr>
        <w:fldChar w:fldCharType="end"/>
      </w:r>
      <w:r>
        <w:rPr>
          <w:rFonts w:cs="Times New Roman"/>
          <w:color w:val="000000" w:themeColor="text1"/>
          <w:kern w:val="0"/>
          <w:szCs w:val="24"/>
          <w:highlight w:val="none"/>
          <w14:textFill>
            <w14:solidFill>
              <w14:schemeClr w14:val="tx1"/>
            </w14:solidFill>
          </w14:textFill>
        </w:rPr>
        <w:t>类标准，区域地表水环境现状良好。</w:t>
      </w:r>
    </w:p>
    <w:p>
      <w:pPr>
        <w:pStyle w:val="5"/>
        <w:spacing w:before="120"/>
        <w:ind w:firstLine="480"/>
        <w:rPr>
          <w:b/>
          <w:color w:val="000000" w:themeColor="text1"/>
          <w:highlight w:val="none"/>
          <w:lang w:eastAsia="zh-CN"/>
          <w14:textFill>
            <w14:solidFill>
              <w14:schemeClr w14:val="tx1"/>
            </w14:solidFill>
          </w14:textFill>
        </w:rPr>
      </w:pPr>
      <w:bookmarkStart w:id="227" w:name="_Toc120173130"/>
      <w:r>
        <w:rPr>
          <w:color w:val="000000" w:themeColor="text1"/>
          <w:highlight w:val="none"/>
          <w:lang w:eastAsia="zh-CN"/>
          <w14:textFill>
            <w14:solidFill>
              <w14:schemeClr w14:val="tx1"/>
            </w14:solidFill>
          </w14:textFill>
        </w:rPr>
        <w:t>声环境质量现状监测与评价</w:t>
      </w:r>
      <w:bookmarkEnd w:id="227"/>
    </w:p>
    <w:p>
      <w:pPr>
        <w:ind w:firstLine="480"/>
        <w:rPr>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为了了解项目建设对声环境的影响，本次评价对区域声环境质量进行了现状监测。</w:t>
      </w:r>
    </w:p>
    <w:p>
      <w:pPr>
        <w:ind w:firstLine="482"/>
        <w:rPr>
          <w:b/>
          <w:color w:val="000000" w:themeColor="text1"/>
          <w:highlight w:val="none"/>
          <w14:textFill>
            <w14:solidFill>
              <w14:schemeClr w14:val="tx1"/>
            </w14:solidFill>
          </w14:textFill>
        </w:rPr>
      </w:pPr>
      <w:r>
        <w:rPr>
          <w:b/>
          <w:color w:val="000000" w:themeColor="text1"/>
          <w:highlight w:val="none"/>
          <w14:textFill>
            <w14:solidFill>
              <w14:schemeClr w14:val="tx1"/>
            </w14:solidFill>
          </w14:textFill>
        </w:rPr>
        <w:t>（1）监测方案</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监测布点：根据外环境关系根据项目情况及环境特征，本次环评布设噪声监测点</w:t>
      </w:r>
      <w:r>
        <w:rPr>
          <w:rFonts w:hint="eastAsia"/>
          <w:bCs/>
          <w:color w:val="000000" w:themeColor="text1"/>
          <w:highlight w:val="none"/>
          <w14:textFill>
            <w14:solidFill>
              <w14:schemeClr w14:val="tx1"/>
            </w14:solidFill>
          </w14:textFill>
        </w:rPr>
        <w:t>8</w:t>
      </w:r>
      <w:r>
        <w:rPr>
          <w:bCs/>
          <w:color w:val="000000" w:themeColor="text1"/>
          <w:highlight w:val="none"/>
          <w14:textFill>
            <w14:solidFill>
              <w14:schemeClr w14:val="tx1"/>
            </w14:solidFill>
          </w14:textFill>
        </w:rPr>
        <w:t>个。监测点布置具体见附图4，噪声监测布点统计见</w:t>
      </w:r>
      <w:r>
        <w:rPr>
          <w:bCs/>
          <w:color w:val="000000" w:themeColor="text1"/>
          <w:highlight w:val="none"/>
          <w14:textFill>
            <w14:solidFill>
              <w14:schemeClr w14:val="tx1"/>
            </w14:solidFill>
          </w14:textFill>
        </w:rPr>
        <w:fldChar w:fldCharType="begin"/>
      </w:r>
      <w:r>
        <w:rPr>
          <w:bCs/>
          <w:color w:val="000000" w:themeColor="text1"/>
          <w:highlight w:val="none"/>
          <w14:textFill>
            <w14:solidFill>
              <w14:schemeClr w14:val="tx1"/>
            </w14:solidFill>
          </w14:textFill>
        </w:rPr>
        <w:instrText xml:space="preserve"> REF _Ref142599910 \h  \* MERGEFORMAT </w:instrText>
      </w:r>
      <w:r>
        <w:rPr>
          <w:bCs/>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8</w:t>
      </w:r>
      <w:r>
        <w:rPr>
          <w:bCs/>
          <w:color w:val="000000" w:themeColor="text1"/>
          <w:highlight w:val="none"/>
          <w14:textFill>
            <w14:solidFill>
              <w14:schemeClr w14:val="tx1"/>
            </w14:solidFill>
          </w14:textFill>
        </w:rPr>
        <w:fldChar w:fldCharType="end"/>
      </w:r>
      <w:r>
        <w:rPr>
          <w:bCs/>
          <w:color w:val="000000" w:themeColor="text1"/>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bookmarkStart w:id="228" w:name="_Ref142599910"/>
      <w:bookmarkStart w:id="229" w:name="_Ref142599905"/>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fldChar w:fldCharType="end"/>
      </w:r>
      <w:bookmarkEnd w:id="228"/>
      <w:r>
        <w:rPr>
          <w:rFonts w:hint="eastAsia"/>
          <w:color w:val="000000" w:themeColor="text1"/>
          <w:highlight w:val="none"/>
          <w14:textFill>
            <w14:solidFill>
              <w14:schemeClr w14:val="tx1"/>
            </w14:solidFill>
          </w14:textFill>
        </w:rPr>
        <w:t>项目噪声监测点位一览表</w:t>
      </w:r>
      <w:bookmarkEnd w:id="229"/>
    </w:p>
    <w:tbl>
      <w:tblPr>
        <w:tblStyle w:val="41"/>
        <w:tblpPr w:leftFromText="180" w:rightFromText="180" w:vertAnchor="text" w:tblpXSpec="center" w:tblpY="1"/>
        <w:tblOverlap w:val="never"/>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0"/>
        <w:gridCol w:w="4807"/>
        <w:gridCol w:w="1166"/>
        <w:gridCol w:w="18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422"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编号</w:t>
            </w:r>
          </w:p>
        </w:tc>
        <w:tc>
          <w:tcPr>
            <w:tcW w:w="2819"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方位</w:t>
            </w:r>
          </w:p>
        </w:tc>
        <w:tc>
          <w:tcPr>
            <w:tcW w:w="684" w:type="pct"/>
            <w:tcBorders>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距离</w:t>
            </w:r>
          </w:p>
        </w:tc>
        <w:tc>
          <w:tcPr>
            <w:tcW w:w="1075" w:type="pct"/>
            <w:tcBorders>
              <w:top w:val="single" w:color="auto" w:sz="4" w:space="0"/>
              <w:left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N</w:t>
            </w:r>
            <w:r>
              <w:rPr>
                <w:color w:val="000000" w:themeColor="text1"/>
                <w:highlight w:val="none"/>
                <w14:textFill>
                  <w14:solidFill>
                    <w14:schemeClr w14:val="tx1"/>
                  </w14:solidFill>
                </w14:textFill>
              </w:rPr>
              <w:t>1</w:t>
            </w:r>
          </w:p>
        </w:tc>
        <w:tc>
          <w:tcPr>
            <w:tcW w:w="2819"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雷页1试采地面工程拟建地</w:t>
            </w:r>
          </w:p>
        </w:tc>
        <w:tc>
          <w:tcPr>
            <w:tcW w:w="684" w:type="pct"/>
            <w:tcBorders>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1075" w:type="pct"/>
            <w:tcBorders>
              <w:left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拟建项目背景值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N</w:t>
            </w:r>
            <w:r>
              <w:rPr>
                <w:color w:val="000000" w:themeColor="text1"/>
                <w:highlight w:val="none"/>
                <w14:textFill>
                  <w14:solidFill>
                    <w14:schemeClr w14:val="tx1"/>
                  </w14:solidFill>
                </w14:textFill>
              </w:rPr>
              <w:t>2</w:t>
            </w:r>
          </w:p>
        </w:tc>
        <w:tc>
          <w:tcPr>
            <w:tcW w:w="2819"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雷页1试采地面工程拟建地东北侧216m处居民</w:t>
            </w:r>
          </w:p>
        </w:tc>
        <w:tc>
          <w:tcPr>
            <w:tcW w:w="684" w:type="pct"/>
            <w:tcBorders>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216m</w:t>
            </w:r>
          </w:p>
        </w:tc>
        <w:tc>
          <w:tcPr>
            <w:tcW w:w="1075" w:type="pct"/>
            <w:vMerge w:val="restart"/>
            <w:tcBorders>
              <w:left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居民点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N</w:t>
            </w:r>
            <w:r>
              <w:rPr>
                <w:color w:val="000000" w:themeColor="text1"/>
                <w:highlight w:val="none"/>
                <w14:textFill>
                  <w14:solidFill>
                    <w14:schemeClr w14:val="tx1"/>
                  </w14:solidFill>
                </w14:textFill>
              </w:rPr>
              <w:t>3</w:t>
            </w:r>
          </w:p>
        </w:tc>
        <w:tc>
          <w:tcPr>
            <w:tcW w:w="2819"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雷页1试采地面工程拟建地东侧320m处居民</w:t>
            </w:r>
          </w:p>
        </w:tc>
        <w:tc>
          <w:tcPr>
            <w:tcW w:w="684" w:type="pct"/>
            <w:tcBorders>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320m</w:t>
            </w:r>
          </w:p>
        </w:tc>
        <w:tc>
          <w:tcPr>
            <w:tcW w:w="1075" w:type="pct"/>
            <w:vMerge w:val="continue"/>
            <w:tcBorders>
              <w:left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N</w:t>
            </w:r>
            <w:r>
              <w:rPr>
                <w:color w:val="000000" w:themeColor="text1"/>
                <w:highlight w:val="none"/>
                <w14:textFill>
                  <w14:solidFill>
                    <w14:schemeClr w14:val="tx1"/>
                  </w14:solidFill>
                </w14:textFill>
              </w:rPr>
              <w:t>4</w:t>
            </w:r>
          </w:p>
        </w:tc>
        <w:tc>
          <w:tcPr>
            <w:tcW w:w="2819"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雷页1试采地面工程拟建地东北侧368m处居民</w:t>
            </w:r>
          </w:p>
        </w:tc>
        <w:tc>
          <w:tcPr>
            <w:tcW w:w="684" w:type="pct"/>
            <w:tcBorders>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368m</w:t>
            </w:r>
          </w:p>
        </w:tc>
        <w:tc>
          <w:tcPr>
            <w:tcW w:w="1075" w:type="pct"/>
            <w:vMerge w:val="continue"/>
            <w:tcBorders>
              <w:left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N</w:t>
            </w:r>
            <w:r>
              <w:rPr>
                <w:color w:val="000000" w:themeColor="text1"/>
                <w:highlight w:val="none"/>
                <w14:textFill>
                  <w14:solidFill>
                    <w14:schemeClr w14:val="tx1"/>
                  </w14:solidFill>
                </w14:textFill>
              </w:rPr>
              <w:t>5</w:t>
            </w:r>
          </w:p>
        </w:tc>
        <w:tc>
          <w:tcPr>
            <w:tcW w:w="2819"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雷页1试采地面工程拟建地西北侧33m处居民</w:t>
            </w:r>
          </w:p>
        </w:tc>
        <w:tc>
          <w:tcPr>
            <w:tcW w:w="684" w:type="pct"/>
            <w:tcBorders>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33m</w:t>
            </w:r>
          </w:p>
        </w:tc>
        <w:tc>
          <w:tcPr>
            <w:tcW w:w="1075" w:type="pct"/>
            <w:vMerge w:val="continue"/>
            <w:tcBorders>
              <w:left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N</w:t>
            </w:r>
            <w:r>
              <w:rPr>
                <w:color w:val="000000" w:themeColor="text1"/>
                <w:highlight w:val="none"/>
                <w14:textFill>
                  <w14:solidFill>
                    <w14:schemeClr w14:val="tx1"/>
                  </w14:solidFill>
                </w14:textFill>
              </w:rPr>
              <w:t>6</w:t>
            </w:r>
          </w:p>
        </w:tc>
        <w:tc>
          <w:tcPr>
            <w:tcW w:w="2819" w:type="pct"/>
            <w:vAlign w:val="center"/>
          </w:tcPr>
          <w:p>
            <w:pPr>
              <w:adjustRightInd/>
              <w:snapToGrid/>
              <w:spacing w:line="240" w:lineRule="auto"/>
              <w:ind w:firstLine="0" w:firstLineChars="0"/>
              <w:jc w:val="center"/>
              <w:rPr>
                <w:color w:val="000000" w:themeColor="text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雷页1试采地面工程拟建地</w:t>
            </w:r>
            <w:r>
              <w:rPr>
                <w:rFonts w:hint="eastAsia"/>
                <w:color w:val="000000" w:themeColor="text1"/>
                <w:sz w:val="21"/>
                <w:szCs w:val="21"/>
                <w:highlight w:val="none"/>
                <w14:textFill>
                  <w14:solidFill>
                    <w14:schemeClr w14:val="tx1"/>
                  </w14:solidFill>
                </w14:textFill>
              </w:rPr>
              <w:t>西南侧13m处居民</w:t>
            </w:r>
          </w:p>
        </w:tc>
        <w:tc>
          <w:tcPr>
            <w:tcW w:w="684" w:type="pct"/>
            <w:tcBorders>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3</w:t>
            </w:r>
            <w:r>
              <w:rPr>
                <w:rFonts w:hint="eastAsia"/>
                <w:color w:val="000000" w:themeColor="text1"/>
                <w:highlight w:val="none"/>
                <w14:textFill>
                  <w14:solidFill>
                    <w14:schemeClr w14:val="tx1"/>
                  </w14:solidFill>
                </w14:textFill>
              </w:rPr>
              <w:t>m</w:t>
            </w:r>
          </w:p>
        </w:tc>
        <w:tc>
          <w:tcPr>
            <w:tcW w:w="1075" w:type="pct"/>
            <w:vMerge w:val="continue"/>
            <w:tcBorders>
              <w:left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N</w:t>
            </w:r>
            <w:r>
              <w:rPr>
                <w:color w:val="000000" w:themeColor="text1"/>
                <w:highlight w:val="none"/>
                <w14:textFill>
                  <w14:solidFill>
                    <w14:schemeClr w14:val="tx1"/>
                  </w14:solidFill>
                </w14:textFill>
              </w:rPr>
              <w:t>7</w:t>
            </w:r>
          </w:p>
        </w:tc>
        <w:tc>
          <w:tcPr>
            <w:tcW w:w="2819"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雷页1井外输管线南侧3</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m处居民</w:t>
            </w:r>
          </w:p>
        </w:tc>
        <w:tc>
          <w:tcPr>
            <w:tcW w:w="684" w:type="pct"/>
            <w:tcBorders>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m</w:t>
            </w:r>
          </w:p>
        </w:tc>
        <w:tc>
          <w:tcPr>
            <w:tcW w:w="1075" w:type="pct"/>
            <w:vMerge w:val="continue"/>
            <w:tcBorders>
              <w:left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N8</w:t>
            </w:r>
          </w:p>
        </w:tc>
        <w:tc>
          <w:tcPr>
            <w:tcW w:w="2819" w:type="pct"/>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雷页1井外输管线北侧1</w:t>
            </w:r>
            <w:r>
              <w:rPr>
                <w:color w:val="000000" w:themeColor="text1"/>
                <w:highlight w:val="none"/>
                <w14:textFill>
                  <w14:solidFill>
                    <w14:schemeClr w14:val="tx1"/>
                  </w14:solidFill>
                </w14:textFill>
              </w:rPr>
              <w:t>5</w:t>
            </w:r>
            <w:r>
              <w:rPr>
                <w:rFonts w:hint="eastAsia"/>
                <w:color w:val="000000" w:themeColor="text1"/>
                <w:highlight w:val="none"/>
                <w14:textFill>
                  <w14:solidFill>
                    <w14:schemeClr w14:val="tx1"/>
                  </w14:solidFill>
                </w14:textFill>
              </w:rPr>
              <w:t>m处居民</w:t>
            </w:r>
          </w:p>
        </w:tc>
        <w:tc>
          <w:tcPr>
            <w:tcW w:w="684" w:type="pct"/>
            <w:tcBorders>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5</w:t>
            </w:r>
            <w:r>
              <w:rPr>
                <w:rFonts w:hint="eastAsia"/>
                <w:color w:val="000000" w:themeColor="text1"/>
                <w:highlight w:val="none"/>
                <w14:textFill>
                  <w14:solidFill>
                    <w14:schemeClr w14:val="tx1"/>
                  </w14:solidFill>
                </w14:textFill>
              </w:rPr>
              <w:t>m</w:t>
            </w:r>
          </w:p>
        </w:tc>
        <w:tc>
          <w:tcPr>
            <w:tcW w:w="1075" w:type="pct"/>
            <w:vMerge w:val="continue"/>
            <w:tcBorders>
              <w:left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p>
        </w:tc>
      </w:tr>
    </w:tbl>
    <w:p>
      <w:pPr>
        <w:spacing w:before="120" w:beforeLines="50"/>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监测因子：连续A声级。</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监测频率及时间：连续2天（2024年1月28~1月29日）</w:t>
      </w:r>
      <w:r>
        <w:rPr>
          <w:rFonts w:hint="eastAsia"/>
          <w:color w:val="000000" w:themeColor="text1"/>
          <w:highlight w:val="none"/>
          <w14:textFill>
            <w14:solidFill>
              <w14:schemeClr w14:val="tx1"/>
            </w14:solidFill>
          </w14:textFill>
        </w:rPr>
        <w:t>及（2024年3月3~3月4日）</w:t>
      </w:r>
      <w:r>
        <w:rPr>
          <w:color w:val="000000" w:themeColor="text1"/>
          <w:highlight w:val="none"/>
          <w14:textFill>
            <w14:solidFill>
              <w14:schemeClr w14:val="tx1"/>
            </w14:solidFill>
          </w14:textFill>
        </w:rPr>
        <w:t>，每天昼、夜间各一次，监测时集气站正常运行，监测方法按《声环境质量标准》（GB3096-2008）中规定测量方法进行。</w:t>
      </w:r>
    </w:p>
    <w:p>
      <w:pPr>
        <w:ind w:firstLine="482"/>
        <w:rPr>
          <w:b/>
          <w:color w:val="000000" w:themeColor="text1"/>
          <w:highlight w:val="none"/>
          <w14:textFill>
            <w14:solidFill>
              <w14:schemeClr w14:val="tx1"/>
            </w14:solidFill>
          </w14:textFill>
        </w:rPr>
      </w:pPr>
      <w:r>
        <w:rPr>
          <w:b/>
          <w:color w:val="000000" w:themeColor="text1"/>
          <w:highlight w:val="none"/>
          <w14:textFill>
            <w14:solidFill>
              <w14:schemeClr w14:val="tx1"/>
            </w14:solidFill>
          </w14:textFill>
        </w:rPr>
        <w:t>（2）监测及评价结果</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监测及评价结果见</w:t>
      </w:r>
      <w:r>
        <w:rPr>
          <w:bCs/>
          <w:color w:val="000000" w:themeColor="text1"/>
          <w:highlight w:val="none"/>
          <w14:textFill>
            <w14:solidFill>
              <w14:schemeClr w14:val="tx1"/>
            </w14:solidFill>
          </w14:textFill>
        </w:rPr>
        <w:fldChar w:fldCharType="begin"/>
      </w:r>
      <w:r>
        <w:rPr>
          <w:bCs/>
          <w:color w:val="000000" w:themeColor="text1"/>
          <w:highlight w:val="none"/>
          <w14:textFill>
            <w14:solidFill>
              <w14:schemeClr w14:val="tx1"/>
            </w14:solidFill>
          </w14:textFill>
        </w:rPr>
        <w:instrText xml:space="preserve"> REF _Ref142599929 \h  \* MERGEFORMAT </w:instrText>
      </w:r>
      <w:r>
        <w:rPr>
          <w:bCs/>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9</w:t>
      </w:r>
      <w:r>
        <w:rPr>
          <w:bCs/>
          <w:color w:val="000000" w:themeColor="text1"/>
          <w:highlight w:val="none"/>
          <w14:textFill>
            <w14:solidFill>
              <w14:schemeClr w14:val="tx1"/>
            </w14:solidFill>
          </w14:textFill>
        </w:rPr>
        <w:fldChar w:fldCharType="end"/>
      </w:r>
      <w:r>
        <w:rPr>
          <w:bCs/>
          <w:color w:val="000000" w:themeColor="text1"/>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bookmarkStart w:id="230" w:name="_Ref142599929"/>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fldChar w:fldCharType="end"/>
      </w:r>
      <w:bookmarkEnd w:id="230"/>
      <w:r>
        <w:rPr>
          <w:rFonts w:hint="eastAsia"/>
          <w:color w:val="000000" w:themeColor="text1"/>
          <w:highlight w:val="none"/>
          <w14:textFill>
            <w14:solidFill>
              <w14:schemeClr w14:val="tx1"/>
            </w14:solidFill>
          </w14:textFill>
        </w:rPr>
        <w:t>环境噪声监测结果（单位：</w:t>
      </w:r>
      <w:r>
        <w:rPr>
          <w:color w:val="000000" w:themeColor="text1"/>
          <w:highlight w:val="none"/>
          <w14:textFill>
            <w14:solidFill>
              <w14:schemeClr w14:val="tx1"/>
            </w14:solidFill>
          </w14:textFill>
        </w:rPr>
        <w:t>dB（A））</w:t>
      </w:r>
    </w:p>
    <w:tbl>
      <w:tblPr>
        <w:tblStyle w:val="41"/>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562"/>
        <w:gridCol w:w="2694"/>
        <w:gridCol w:w="956"/>
        <w:gridCol w:w="957"/>
        <w:gridCol w:w="957"/>
        <w:gridCol w:w="957"/>
        <w:gridCol w:w="11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62"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编号</w:t>
            </w:r>
          </w:p>
        </w:tc>
        <w:tc>
          <w:tcPr>
            <w:tcW w:w="2694"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监测</w:t>
            </w:r>
            <w:r>
              <w:rPr>
                <w:rFonts w:hint="eastAsia"/>
                <w:b/>
                <w:bCs/>
                <w:color w:val="000000" w:themeColor="text1"/>
                <w:highlight w:val="none"/>
                <w14:textFill>
                  <w14:solidFill>
                    <w14:schemeClr w14:val="tx1"/>
                  </w14:solidFill>
                </w14:textFill>
              </w:rPr>
              <w:t>点位</w:t>
            </w:r>
          </w:p>
        </w:tc>
        <w:tc>
          <w:tcPr>
            <w:tcW w:w="956" w:type="dxa"/>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1</w:t>
            </w:r>
            <w:r>
              <w:rPr>
                <w:b/>
                <w:bCs/>
                <w:color w:val="000000" w:themeColor="text1"/>
                <w:highlight w:val="none"/>
                <w14:textFill>
                  <w14:solidFill>
                    <w14:schemeClr w14:val="tx1"/>
                  </w14:solidFill>
                </w14:textFill>
              </w:rPr>
              <w:t>月</w:t>
            </w:r>
            <w:r>
              <w:rPr>
                <w:rFonts w:hint="eastAsia"/>
                <w:b/>
                <w:bCs/>
                <w:color w:val="000000" w:themeColor="text1"/>
                <w:highlight w:val="none"/>
                <w14:textFill>
                  <w14:solidFill>
                    <w14:schemeClr w14:val="tx1"/>
                  </w14:solidFill>
                </w14:textFill>
              </w:rPr>
              <w:t>2</w:t>
            </w:r>
            <w:r>
              <w:rPr>
                <w:b/>
                <w:bCs/>
                <w:color w:val="000000" w:themeColor="text1"/>
                <w:highlight w:val="none"/>
                <w14:textFill>
                  <w14:solidFill>
                    <w14:schemeClr w14:val="tx1"/>
                  </w14:solidFill>
                </w14:textFill>
              </w:rPr>
              <w:t>8日昼间</w:t>
            </w:r>
          </w:p>
        </w:tc>
        <w:tc>
          <w:tcPr>
            <w:tcW w:w="957" w:type="dxa"/>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1</w:t>
            </w:r>
            <w:r>
              <w:rPr>
                <w:b/>
                <w:bCs/>
                <w:color w:val="000000" w:themeColor="text1"/>
                <w:highlight w:val="none"/>
                <w14:textFill>
                  <w14:solidFill>
                    <w14:schemeClr w14:val="tx1"/>
                  </w14:solidFill>
                </w14:textFill>
              </w:rPr>
              <w:t>月</w:t>
            </w:r>
            <w:r>
              <w:rPr>
                <w:rFonts w:hint="eastAsia"/>
                <w:b/>
                <w:bCs/>
                <w:color w:val="000000" w:themeColor="text1"/>
                <w:highlight w:val="none"/>
                <w14:textFill>
                  <w14:solidFill>
                    <w14:schemeClr w14:val="tx1"/>
                  </w14:solidFill>
                </w14:textFill>
              </w:rPr>
              <w:t>2</w:t>
            </w:r>
            <w:r>
              <w:rPr>
                <w:b/>
                <w:bCs/>
                <w:color w:val="000000" w:themeColor="text1"/>
                <w:highlight w:val="none"/>
                <w14:textFill>
                  <w14:solidFill>
                    <w14:schemeClr w14:val="tx1"/>
                  </w14:solidFill>
                </w14:textFill>
              </w:rPr>
              <w:t>8日夜间</w:t>
            </w:r>
          </w:p>
        </w:tc>
        <w:tc>
          <w:tcPr>
            <w:tcW w:w="957" w:type="dxa"/>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1</w:t>
            </w:r>
            <w:r>
              <w:rPr>
                <w:b/>
                <w:bCs/>
                <w:color w:val="000000" w:themeColor="text1"/>
                <w:highlight w:val="none"/>
                <w14:textFill>
                  <w14:solidFill>
                    <w14:schemeClr w14:val="tx1"/>
                  </w14:solidFill>
                </w14:textFill>
              </w:rPr>
              <w:t>月</w:t>
            </w:r>
            <w:r>
              <w:rPr>
                <w:rFonts w:hint="eastAsia"/>
                <w:b/>
                <w:bCs/>
                <w:color w:val="000000" w:themeColor="text1"/>
                <w:highlight w:val="none"/>
                <w14:textFill>
                  <w14:solidFill>
                    <w14:schemeClr w14:val="tx1"/>
                  </w14:solidFill>
                </w14:textFill>
              </w:rPr>
              <w:t>2</w:t>
            </w:r>
            <w:r>
              <w:rPr>
                <w:b/>
                <w:bCs/>
                <w:color w:val="000000" w:themeColor="text1"/>
                <w:highlight w:val="none"/>
                <w14:textFill>
                  <w14:solidFill>
                    <w14:schemeClr w14:val="tx1"/>
                  </w14:solidFill>
                </w14:textFill>
              </w:rPr>
              <w:t>9日昼间</w:t>
            </w:r>
          </w:p>
        </w:tc>
        <w:tc>
          <w:tcPr>
            <w:tcW w:w="957" w:type="dxa"/>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1</w:t>
            </w:r>
            <w:r>
              <w:rPr>
                <w:b/>
                <w:bCs/>
                <w:color w:val="000000" w:themeColor="text1"/>
                <w:highlight w:val="none"/>
                <w14:textFill>
                  <w14:solidFill>
                    <w14:schemeClr w14:val="tx1"/>
                  </w14:solidFill>
                </w14:textFill>
              </w:rPr>
              <w:t>月</w:t>
            </w:r>
            <w:r>
              <w:rPr>
                <w:rFonts w:hint="eastAsia"/>
                <w:b/>
                <w:bCs/>
                <w:color w:val="000000" w:themeColor="text1"/>
                <w:highlight w:val="none"/>
                <w14:textFill>
                  <w14:solidFill>
                    <w14:schemeClr w14:val="tx1"/>
                  </w14:solidFill>
                </w14:textFill>
              </w:rPr>
              <w:t>2</w:t>
            </w:r>
            <w:r>
              <w:rPr>
                <w:b/>
                <w:bCs/>
                <w:color w:val="000000" w:themeColor="text1"/>
                <w:highlight w:val="none"/>
                <w14:textFill>
                  <w14:solidFill>
                    <w14:schemeClr w14:val="tx1"/>
                  </w14:solidFill>
                </w14:textFill>
              </w:rPr>
              <w:t>9日夜间</w:t>
            </w:r>
          </w:p>
        </w:tc>
        <w:tc>
          <w:tcPr>
            <w:tcW w:w="113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62"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N</w:t>
            </w:r>
            <w:r>
              <w:rPr>
                <w:color w:val="000000" w:themeColor="text1"/>
                <w:highlight w:val="none"/>
                <w14:textFill>
                  <w14:solidFill>
                    <w14:schemeClr w14:val="tx1"/>
                  </w14:solidFill>
                </w14:textFill>
              </w:rPr>
              <w:t>1</w:t>
            </w:r>
          </w:p>
        </w:tc>
        <w:tc>
          <w:tcPr>
            <w:tcW w:w="2694"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雷页1试采地面工程拟建地</w:t>
            </w:r>
          </w:p>
        </w:tc>
        <w:tc>
          <w:tcPr>
            <w:tcW w:w="956" w:type="dxa"/>
            <w:vAlign w:val="center"/>
          </w:tcPr>
          <w:p>
            <w:pPr>
              <w:pStyle w:val="118"/>
              <w:rPr>
                <w:bCs/>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53</w:t>
            </w:r>
          </w:p>
        </w:tc>
        <w:tc>
          <w:tcPr>
            <w:tcW w:w="957" w:type="dxa"/>
            <w:vAlign w:val="center"/>
          </w:tcPr>
          <w:p>
            <w:pPr>
              <w:pStyle w:val="118"/>
              <w:rPr>
                <w:bCs/>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46</w:t>
            </w:r>
          </w:p>
        </w:tc>
        <w:tc>
          <w:tcPr>
            <w:tcW w:w="957" w:type="dxa"/>
            <w:vAlign w:val="center"/>
          </w:tcPr>
          <w:p>
            <w:pPr>
              <w:pStyle w:val="118"/>
              <w:rPr>
                <w:bCs/>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53</w:t>
            </w:r>
          </w:p>
        </w:tc>
        <w:tc>
          <w:tcPr>
            <w:tcW w:w="957"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45</w:t>
            </w:r>
          </w:p>
        </w:tc>
        <w:tc>
          <w:tcPr>
            <w:tcW w:w="1139"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《声环境质量标准》（GB3096-2008）2类昼间60；夜间50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62"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N</w:t>
            </w:r>
            <w:r>
              <w:rPr>
                <w:color w:val="000000" w:themeColor="text1"/>
                <w:highlight w:val="none"/>
                <w14:textFill>
                  <w14:solidFill>
                    <w14:schemeClr w14:val="tx1"/>
                  </w14:solidFill>
                </w14:textFill>
              </w:rPr>
              <w:t>2</w:t>
            </w:r>
          </w:p>
        </w:tc>
        <w:tc>
          <w:tcPr>
            <w:tcW w:w="2694"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雷页1试采地面工程拟建地</w:t>
            </w:r>
          </w:p>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东北侧216m处居民</w:t>
            </w:r>
          </w:p>
        </w:tc>
        <w:tc>
          <w:tcPr>
            <w:tcW w:w="95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52</w:t>
            </w:r>
          </w:p>
        </w:tc>
        <w:tc>
          <w:tcPr>
            <w:tcW w:w="957"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45</w:t>
            </w:r>
          </w:p>
        </w:tc>
        <w:tc>
          <w:tcPr>
            <w:tcW w:w="957"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51</w:t>
            </w:r>
          </w:p>
        </w:tc>
        <w:tc>
          <w:tcPr>
            <w:tcW w:w="957"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45</w:t>
            </w:r>
          </w:p>
        </w:tc>
        <w:tc>
          <w:tcPr>
            <w:tcW w:w="1139" w:type="dxa"/>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62"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N</w:t>
            </w:r>
            <w:r>
              <w:rPr>
                <w:color w:val="000000" w:themeColor="text1"/>
                <w:highlight w:val="none"/>
                <w14:textFill>
                  <w14:solidFill>
                    <w14:schemeClr w14:val="tx1"/>
                  </w14:solidFill>
                </w14:textFill>
              </w:rPr>
              <w:t>3</w:t>
            </w:r>
          </w:p>
        </w:tc>
        <w:tc>
          <w:tcPr>
            <w:tcW w:w="2694"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雷页1试采地面工程拟建地</w:t>
            </w:r>
          </w:p>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东侧320m处居民</w:t>
            </w:r>
          </w:p>
        </w:tc>
        <w:tc>
          <w:tcPr>
            <w:tcW w:w="95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50</w:t>
            </w:r>
          </w:p>
        </w:tc>
        <w:tc>
          <w:tcPr>
            <w:tcW w:w="957"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42</w:t>
            </w:r>
          </w:p>
        </w:tc>
        <w:tc>
          <w:tcPr>
            <w:tcW w:w="957"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49</w:t>
            </w:r>
          </w:p>
        </w:tc>
        <w:tc>
          <w:tcPr>
            <w:tcW w:w="957"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44</w:t>
            </w:r>
          </w:p>
        </w:tc>
        <w:tc>
          <w:tcPr>
            <w:tcW w:w="1139" w:type="dxa"/>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62"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N</w:t>
            </w:r>
            <w:r>
              <w:rPr>
                <w:color w:val="000000" w:themeColor="text1"/>
                <w:highlight w:val="none"/>
                <w14:textFill>
                  <w14:solidFill>
                    <w14:schemeClr w14:val="tx1"/>
                  </w14:solidFill>
                </w14:textFill>
              </w:rPr>
              <w:t>4</w:t>
            </w:r>
          </w:p>
        </w:tc>
        <w:tc>
          <w:tcPr>
            <w:tcW w:w="2694"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雷页1试采地面工程拟建地</w:t>
            </w:r>
          </w:p>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东北侧368m处居民</w:t>
            </w:r>
          </w:p>
        </w:tc>
        <w:tc>
          <w:tcPr>
            <w:tcW w:w="95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51</w:t>
            </w:r>
          </w:p>
        </w:tc>
        <w:tc>
          <w:tcPr>
            <w:tcW w:w="957"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44</w:t>
            </w:r>
          </w:p>
        </w:tc>
        <w:tc>
          <w:tcPr>
            <w:tcW w:w="957"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50</w:t>
            </w:r>
          </w:p>
        </w:tc>
        <w:tc>
          <w:tcPr>
            <w:tcW w:w="957"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45</w:t>
            </w:r>
          </w:p>
        </w:tc>
        <w:tc>
          <w:tcPr>
            <w:tcW w:w="1139" w:type="dxa"/>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62"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N</w:t>
            </w:r>
            <w:r>
              <w:rPr>
                <w:color w:val="000000" w:themeColor="text1"/>
                <w:highlight w:val="none"/>
                <w14:textFill>
                  <w14:solidFill>
                    <w14:schemeClr w14:val="tx1"/>
                  </w14:solidFill>
                </w14:textFill>
              </w:rPr>
              <w:t>5</w:t>
            </w:r>
          </w:p>
        </w:tc>
        <w:tc>
          <w:tcPr>
            <w:tcW w:w="2694"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雷页1试采地面工程拟建地</w:t>
            </w:r>
          </w:p>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西北侧33m处居民</w:t>
            </w:r>
          </w:p>
        </w:tc>
        <w:tc>
          <w:tcPr>
            <w:tcW w:w="95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57</w:t>
            </w:r>
          </w:p>
        </w:tc>
        <w:tc>
          <w:tcPr>
            <w:tcW w:w="957"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48</w:t>
            </w:r>
          </w:p>
        </w:tc>
        <w:tc>
          <w:tcPr>
            <w:tcW w:w="957"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56</w:t>
            </w:r>
          </w:p>
        </w:tc>
        <w:tc>
          <w:tcPr>
            <w:tcW w:w="957"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48</w:t>
            </w:r>
          </w:p>
        </w:tc>
        <w:tc>
          <w:tcPr>
            <w:tcW w:w="1139" w:type="dxa"/>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62"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N</w:t>
            </w:r>
            <w:r>
              <w:rPr>
                <w:color w:val="000000" w:themeColor="text1"/>
                <w:highlight w:val="none"/>
                <w14:textFill>
                  <w14:solidFill>
                    <w14:schemeClr w14:val="tx1"/>
                  </w14:solidFill>
                </w14:textFill>
              </w:rPr>
              <w:t>6</w:t>
            </w:r>
          </w:p>
        </w:tc>
        <w:tc>
          <w:tcPr>
            <w:tcW w:w="2694" w:type="dxa"/>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雷页1试采地面工程拟建地</w:t>
            </w:r>
          </w:p>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西南侧13m处居民</w:t>
            </w:r>
          </w:p>
        </w:tc>
        <w:tc>
          <w:tcPr>
            <w:tcW w:w="95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55</w:t>
            </w:r>
          </w:p>
        </w:tc>
        <w:tc>
          <w:tcPr>
            <w:tcW w:w="957"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48</w:t>
            </w:r>
          </w:p>
        </w:tc>
        <w:tc>
          <w:tcPr>
            <w:tcW w:w="957"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55</w:t>
            </w:r>
          </w:p>
        </w:tc>
        <w:tc>
          <w:tcPr>
            <w:tcW w:w="957"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47</w:t>
            </w:r>
          </w:p>
        </w:tc>
        <w:tc>
          <w:tcPr>
            <w:tcW w:w="1139" w:type="dxa"/>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62"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编号</w:t>
            </w:r>
          </w:p>
        </w:tc>
        <w:tc>
          <w:tcPr>
            <w:tcW w:w="2694"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监测</w:t>
            </w:r>
            <w:r>
              <w:rPr>
                <w:rFonts w:hint="eastAsia"/>
                <w:b/>
                <w:bCs/>
                <w:color w:val="000000" w:themeColor="text1"/>
                <w:highlight w:val="none"/>
                <w14:textFill>
                  <w14:solidFill>
                    <w14:schemeClr w14:val="tx1"/>
                  </w14:solidFill>
                </w14:textFill>
              </w:rPr>
              <w:t>点位</w:t>
            </w:r>
          </w:p>
        </w:tc>
        <w:tc>
          <w:tcPr>
            <w:tcW w:w="956" w:type="dxa"/>
            <w:vAlign w:val="center"/>
          </w:tcPr>
          <w:p>
            <w:pPr>
              <w:pStyle w:val="118"/>
              <w:rPr>
                <w:b/>
                <w:bCs/>
                <w:color w:val="000000" w:themeColor="text1"/>
                <w:kern w:val="21"/>
                <w:highlight w:val="none"/>
                <w14:textFill>
                  <w14:solidFill>
                    <w14:schemeClr w14:val="tx1"/>
                  </w14:solidFill>
                </w14:textFill>
              </w:rPr>
            </w:pPr>
            <w:r>
              <w:rPr>
                <w:rFonts w:hint="eastAsia"/>
                <w:b/>
                <w:bCs/>
                <w:color w:val="000000" w:themeColor="text1"/>
                <w:highlight w:val="none"/>
                <w14:textFill>
                  <w14:solidFill>
                    <w14:schemeClr w14:val="tx1"/>
                  </w14:solidFill>
                </w14:textFill>
              </w:rPr>
              <w:t>3</w:t>
            </w:r>
            <w:r>
              <w:rPr>
                <w:b/>
                <w:bCs/>
                <w:color w:val="000000" w:themeColor="text1"/>
                <w:highlight w:val="none"/>
                <w14:textFill>
                  <w14:solidFill>
                    <w14:schemeClr w14:val="tx1"/>
                  </w14:solidFill>
                </w14:textFill>
              </w:rPr>
              <w:t>月</w:t>
            </w:r>
            <w:r>
              <w:rPr>
                <w:rFonts w:hint="eastAsia"/>
                <w:b/>
                <w:bCs/>
                <w:color w:val="000000" w:themeColor="text1"/>
                <w:highlight w:val="none"/>
                <w14:textFill>
                  <w14:solidFill>
                    <w14:schemeClr w14:val="tx1"/>
                  </w14:solidFill>
                </w14:textFill>
              </w:rPr>
              <w:t>3</w:t>
            </w:r>
            <w:r>
              <w:rPr>
                <w:b/>
                <w:bCs/>
                <w:color w:val="000000" w:themeColor="text1"/>
                <w:highlight w:val="none"/>
                <w14:textFill>
                  <w14:solidFill>
                    <w14:schemeClr w14:val="tx1"/>
                  </w14:solidFill>
                </w14:textFill>
              </w:rPr>
              <w:t>日昼间</w:t>
            </w:r>
          </w:p>
        </w:tc>
        <w:tc>
          <w:tcPr>
            <w:tcW w:w="957" w:type="dxa"/>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3</w:t>
            </w:r>
            <w:r>
              <w:rPr>
                <w:b/>
                <w:bCs/>
                <w:color w:val="000000" w:themeColor="text1"/>
                <w:highlight w:val="none"/>
                <w14:textFill>
                  <w14:solidFill>
                    <w14:schemeClr w14:val="tx1"/>
                  </w14:solidFill>
                </w14:textFill>
              </w:rPr>
              <w:t>月</w:t>
            </w:r>
            <w:r>
              <w:rPr>
                <w:rFonts w:hint="eastAsia"/>
                <w:b/>
                <w:bCs/>
                <w:color w:val="000000" w:themeColor="text1"/>
                <w:highlight w:val="none"/>
                <w14:textFill>
                  <w14:solidFill>
                    <w14:schemeClr w14:val="tx1"/>
                  </w14:solidFill>
                </w14:textFill>
              </w:rPr>
              <w:t>3</w:t>
            </w:r>
            <w:r>
              <w:rPr>
                <w:b/>
                <w:bCs/>
                <w:color w:val="000000" w:themeColor="text1"/>
                <w:highlight w:val="none"/>
                <w14:textFill>
                  <w14:solidFill>
                    <w14:schemeClr w14:val="tx1"/>
                  </w14:solidFill>
                </w14:textFill>
              </w:rPr>
              <w:t>日夜间</w:t>
            </w:r>
          </w:p>
        </w:tc>
        <w:tc>
          <w:tcPr>
            <w:tcW w:w="957" w:type="dxa"/>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3</w:t>
            </w:r>
            <w:r>
              <w:rPr>
                <w:b/>
                <w:bCs/>
                <w:color w:val="000000" w:themeColor="text1"/>
                <w:highlight w:val="none"/>
                <w14:textFill>
                  <w14:solidFill>
                    <w14:schemeClr w14:val="tx1"/>
                  </w14:solidFill>
                </w14:textFill>
              </w:rPr>
              <w:t>月</w:t>
            </w:r>
            <w:r>
              <w:rPr>
                <w:rFonts w:hint="eastAsia"/>
                <w:b/>
                <w:bCs/>
                <w:color w:val="000000" w:themeColor="text1"/>
                <w:highlight w:val="none"/>
                <w14:textFill>
                  <w14:solidFill>
                    <w14:schemeClr w14:val="tx1"/>
                  </w14:solidFill>
                </w14:textFill>
              </w:rPr>
              <w:t>4</w:t>
            </w:r>
            <w:r>
              <w:rPr>
                <w:b/>
                <w:bCs/>
                <w:color w:val="000000" w:themeColor="text1"/>
                <w:highlight w:val="none"/>
                <w14:textFill>
                  <w14:solidFill>
                    <w14:schemeClr w14:val="tx1"/>
                  </w14:solidFill>
                </w14:textFill>
              </w:rPr>
              <w:t>日昼间</w:t>
            </w:r>
          </w:p>
        </w:tc>
        <w:tc>
          <w:tcPr>
            <w:tcW w:w="957" w:type="dxa"/>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3</w:t>
            </w:r>
            <w:r>
              <w:rPr>
                <w:b/>
                <w:bCs/>
                <w:color w:val="000000" w:themeColor="text1"/>
                <w:highlight w:val="none"/>
                <w14:textFill>
                  <w14:solidFill>
                    <w14:schemeClr w14:val="tx1"/>
                  </w14:solidFill>
                </w14:textFill>
              </w:rPr>
              <w:t>月</w:t>
            </w:r>
            <w:r>
              <w:rPr>
                <w:rFonts w:hint="eastAsia"/>
                <w:b/>
                <w:bCs/>
                <w:color w:val="000000" w:themeColor="text1"/>
                <w:highlight w:val="none"/>
                <w14:textFill>
                  <w14:solidFill>
                    <w14:schemeClr w14:val="tx1"/>
                  </w14:solidFill>
                </w14:textFill>
              </w:rPr>
              <w:t>4</w:t>
            </w:r>
            <w:r>
              <w:rPr>
                <w:b/>
                <w:bCs/>
                <w:color w:val="000000" w:themeColor="text1"/>
                <w:highlight w:val="none"/>
                <w14:textFill>
                  <w14:solidFill>
                    <w14:schemeClr w14:val="tx1"/>
                  </w14:solidFill>
                </w14:textFill>
              </w:rPr>
              <w:t>日夜间</w:t>
            </w:r>
          </w:p>
        </w:tc>
        <w:tc>
          <w:tcPr>
            <w:tcW w:w="1139" w:type="dxa"/>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62"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N</w:t>
            </w:r>
            <w:r>
              <w:rPr>
                <w:color w:val="000000" w:themeColor="text1"/>
                <w:highlight w:val="none"/>
                <w14:textFill>
                  <w14:solidFill>
                    <w14:schemeClr w14:val="tx1"/>
                  </w14:solidFill>
                </w14:textFill>
              </w:rPr>
              <w:t>7</w:t>
            </w:r>
          </w:p>
        </w:tc>
        <w:tc>
          <w:tcPr>
            <w:tcW w:w="2694"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雷页1井外输管线南侧3</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m处居民</w:t>
            </w:r>
          </w:p>
        </w:tc>
        <w:tc>
          <w:tcPr>
            <w:tcW w:w="95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53</w:t>
            </w:r>
          </w:p>
        </w:tc>
        <w:tc>
          <w:tcPr>
            <w:tcW w:w="957"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47</w:t>
            </w:r>
          </w:p>
        </w:tc>
        <w:tc>
          <w:tcPr>
            <w:tcW w:w="957"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55</w:t>
            </w:r>
          </w:p>
        </w:tc>
        <w:tc>
          <w:tcPr>
            <w:tcW w:w="957"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45</w:t>
            </w:r>
          </w:p>
        </w:tc>
        <w:tc>
          <w:tcPr>
            <w:tcW w:w="1139" w:type="dxa"/>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62"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N8</w:t>
            </w:r>
          </w:p>
        </w:tc>
        <w:tc>
          <w:tcPr>
            <w:tcW w:w="2694" w:type="dxa"/>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雷页1井外输管线北侧1</w:t>
            </w:r>
            <w:r>
              <w:rPr>
                <w:color w:val="000000" w:themeColor="text1"/>
                <w:highlight w:val="none"/>
                <w14:textFill>
                  <w14:solidFill>
                    <w14:schemeClr w14:val="tx1"/>
                  </w14:solidFill>
                </w14:textFill>
              </w:rPr>
              <w:t>5</w:t>
            </w:r>
            <w:r>
              <w:rPr>
                <w:rFonts w:hint="eastAsia"/>
                <w:color w:val="000000" w:themeColor="text1"/>
                <w:highlight w:val="none"/>
                <w14:textFill>
                  <w14:solidFill>
                    <w14:schemeClr w14:val="tx1"/>
                  </w14:solidFill>
                </w14:textFill>
              </w:rPr>
              <w:t>m处居民</w:t>
            </w:r>
          </w:p>
        </w:tc>
        <w:tc>
          <w:tcPr>
            <w:tcW w:w="95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53</w:t>
            </w:r>
          </w:p>
        </w:tc>
        <w:tc>
          <w:tcPr>
            <w:tcW w:w="957"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46</w:t>
            </w:r>
          </w:p>
        </w:tc>
        <w:tc>
          <w:tcPr>
            <w:tcW w:w="957"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56</w:t>
            </w:r>
          </w:p>
        </w:tc>
        <w:tc>
          <w:tcPr>
            <w:tcW w:w="957"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45</w:t>
            </w:r>
          </w:p>
        </w:tc>
        <w:tc>
          <w:tcPr>
            <w:tcW w:w="1139" w:type="dxa"/>
            <w:vMerge w:val="continue"/>
            <w:vAlign w:val="center"/>
          </w:tcPr>
          <w:p>
            <w:pPr>
              <w:pStyle w:val="118"/>
              <w:rPr>
                <w:color w:val="000000" w:themeColor="text1"/>
                <w:highlight w:val="none"/>
                <w14:textFill>
                  <w14:solidFill>
                    <w14:schemeClr w14:val="tx1"/>
                  </w14:solidFill>
                </w14:textFill>
              </w:rPr>
            </w:pPr>
          </w:p>
        </w:tc>
      </w:tr>
    </w:tbl>
    <w:p>
      <w:pPr>
        <w:spacing w:before="120" w:beforeLines="5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由表4.2-6可知，</w:t>
      </w:r>
      <w:r>
        <w:rPr>
          <w:rFonts w:hint="eastAsia"/>
          <w:bCs/>
          <w:color w:val="000000" w:themeColor="text1"/>
          <w:highlight w:val="none"/>
          <w14:textFill>
            <w14:solidFill>
              <w14:schemeClr w14:val="tx1"/>
            </w14:solidFill>
          </w14:textFill>
        </w:rPr>
        <w:t>雷页1井试采站拟建地、拟建外输管线及周边居民</w:t>
      </w:r>
      <w:r>
        <w:rPr>
          <w:bCs/>
          <w:color w:val="000000" w:themeColor="text1"/>
          <w:highlight w:val="none"/>
          <w14:textFill>
            <w14:solidFill>
              <w14:schemeClr w14:val="tx1"/>
            </w14:solidFill>
          </w14:textFill>
        </w:rPr>
        <w:t>噪声监测点昼间夜间噪声监测值满足《声环境质量标准》（GB3096-2008）2类功能区标准，项目拟建地声环境质量良好</w:t>
      </w:r>
      <w:r>
        <w:rPr>
          <w:color w:val="000000" w:themeColor="text1"/>
          <w:highlight w:val="none"/>
          <w14:textFill>
            <w14:solidFill>
              <w14:schemeClr w14:val="tx1"/>
            </w14:solidFill>
          </w14:textFill>
        </w:rPr>
        <w:t>。</w:t>
      </w:r>
    </w:p>
    <w:p>
      <w:pPr>
        <w:pStyle w:val="5"/>
        <w:spacing w:before="120"/>
        <w:ind w:firstLine="480"/>
        <w:rPr>
          <w:b/>
          <w:color w:val="000000" w:themeColor="text1"/>
          <w:highlight w:val="none"/>
          <w:lang w:eastAsia="zh-CN"/>
          <w14:textFill>
            <w14:solidFill>
              <w14:schemeClr w14:val="tx1"/>
            </w14:solidFill>
          </w14:textFill>
        </w:rPr>
      </w:pPr>
      <w:bookmarkStart w:id="231" w:name="_Toc120173131"/>
      <w:r>
        <w:rPr>
          <w:color w:val="000000" w:themeColor="text1"/>
          <w:highlight w:val="none"/>
          <w:lang w:eastAsia="zh-CN"/>
          <w14:textFill>
            <w14:solidFill>
              <w14:schemeClr w14:val="tx1"/>
            </w14:solidFill>
          </w14:textFill>
        </w:rPr>
        <w:t>地下水质量现状</w:t>
      </w:r>
      <w:bookmarkEnd w:id="231"/>
    </w:p>
    <w:p>
      <w:pPr>
        <w:ind w:firstLine="480"/>
        <w:rPr>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为了了解项目建设对地下水环境的影响，本次评价对区域地下水质量进行了监测。</w:t>
      </w:r>
    </w:p>
    <w:p>
      <w:pPr>
        <w:ind w:firstLine="482"/>
        <w:rPr>
          <w:rFonts w:cs="Times New Roman"/>
          <w:b/>
          <w:color w:val="000000" w:themeColor="text1"/>
          <w:szCs w:val="24"/>
          <w:highlight w:val="none"/>
          <w14:textFill>
            <w14:solidFill>
              <w14:schemeClr w14:val="tx1"/>
            </w14:solidFill>
          </w14:textFill>
        </w:rPr>
      </w:pPr>
      <w:r>
        <w:rPr>
          <w:rFonts w:cs="Times New Roman"/>
          <w:b/>
          <w:color w:val="000000" w:themeColor="text1"/>
          <w:szCs w:val="24"/>
          <w:highlight w:val="none"/>
          <w14:textFill>
            <w14:solidFill>
              <w14:schemeClr w14:val="tx1"/>
            </w14:solidFill>
          </w14:textFill>
        </w:rPr>
        <w:t>（1）监测布点</w:t>
      </w:r>
    </w:p>
    <w:p>
      <w:pPr>
        <w:ind w:firstLine="480"/>
        <w:rPr>
          <w:rFonts w:cs="Times New Roman"/>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本项目为《环境影响评价技术导则地下水环境》（HJ610-2016）中</w:t>
      </w:r>
      <w:r>
        <w:rPr>
          <w:bCs/>
          <w:color w:val="000000" w:themeColor="text1"/>
          <w:szCs w:val="24"/>
          <w:highlight w:val="none"/>
          <w14:textFill>
            <w14:solidFill>
              <w14:schemeClr w14:val="tx1"/>
            </w14:solidFill>
          </w14:textFill>
        </w:rPr>
        <w:fldChar w:fldCharType="begin"/>
      </w:r>
      <w:r>
        <w:rPr>
          <w:bCs/>
          <w:color w:val="000000" w:themeColor="text1"/>
          <w:szCs w:val="24"/>
          <w:highlight w:val="none"/>
          <w14:textFill>
            <w14:solidFill>
              <w14:schemeClr w14:val="tx1"/>
            </w14:solidFill>
          </w14:textFill>
        </w:rPr>
        <w:instrText xml:space="preserve"> = 2 \* ROMAN </w:instrText>
      </w:r>
      <w:r>
        <w:rPr>
          <w:bCs/>
          <w:color w:val="000000" w:themeColor="text1"/>
          <w:szCs w:val="24"/>
          <w:highlight w:val="none"/>
          <w14:textFill>
            <w14:solidFill>
              <w14:schemeClr w14:val="tx1"/>
            </w14:solidFill>
          </w14:textFill>
        </w:rPr>
        <w:fldChar w:fldCharType="separate"/>
      </w:r>
      <w:r>
        <w:rPr>
          <w:bCs/>
          <w:color w:val="000000" w:themeColor="text1"/>
          <w:szCs w:val="24"/>
          <w:highlight w:val="none"/>
          <w14:textFill>
            <w14:solidFill>
              <w14:schemeClr w14:val="tx1"/>
            </w14:solidFill>
          </w14:textFill>
        </w:rPr>
        <w:t>II</w:t>
      </w:r>
      <w:r>
        <w:rPr>
          <w:bCs/>
          <w:color w:val="000000" w:themeColor="text1"/>
          <w:szCs w:val="24"/>
          <w:highlight w:val="none"/>
          <w14:textFill>
            <w14:solidFill>
              <w14:schemeClr w14:val="tx1"/>
            </w14:solidFill>
          </w14:textFill>
        </w:rPr>
        <w:fldChar w:fldCharType="end"/>
      </w:r>
      <w:r>
        <w:rPr>
          <w:bCs/>
          <w:color w:val="000000" w:themeColor="text1"/>
          <w:szCs w:val="24"/>
          <w:highlight w:val="none"/>
          <w14:textFill>
            <w14:solidFill>
              <w14:schemeClr w14:val="tx1"/>
            </w14:solidFill>
          </w14:textFill>
        </w:rPr>
        <w:t>类建设项目，根据外环境调查，周边居民主要采用井水或山泉水为饮用水源。根据本项目的所在位置的特点、地下水环评导则要求以及地下水污染扩散特点等</w:t>
      </w:r>
      <w:r>
        <w:rPr>
          <w:rFonts w:cs="Times New Roman"/>
          <w:bCs/>
          <w:color w:val="000000" w:themeColor="text1"/>
          <w:szCs w:val="24"/>
          <w:highlight w:val="none"/>
          <w14:textFill>
            <w14:solidFill>
              <w14:schemeClr w14:val="tx1"/>
            </w14:solidFill>
          </w14:textFill>
        </w:rPr>
        <w:t>，共布设</w:t>
      </w:r>
      <w:r>
        <w:rPr>
          <w:rFonts w:hint="eastAsia" w:cs="Times New Roman"/>
          <w:bCs/>
          <w:color w:val="000000" w:themeColor="text1"/>
          <w:szCs w:val="24"/>
          <w:highlight w:val="none"/>
          <w14:textFill>
            <w14:solidFill>
              <w14:schemeClr w14:val="tx1"/>
            </w14:solidFill>
          </w14:textFill>
        </w:rPr>
        <w:t>6</w:t>
      </w:r>
      <w:r>
        <w:rPr>
          <w:rFonts w:cs="Times New Roman"/>
          <w:bCs/>
          <w:color w:val="000000" w:themeColor="text1"/>
          <w:szCs w:val="24"/>
          <w:highlight w:val="none"/>
          <w14:textFill>
            <w14:solidFill>
              <w14:schemeClr w14:val="tx1"/>
            </w14:solidFill>
          </w14:textFill>
        </w:rPr>
        <w:t>个地下水水质现状监测点</w:t>
      </w:r>
      <w:r>
        <w:rPr>
          <w:rFonts w:hint="eastAsia" w:cs="Times New Roman"/>
          <w:bCs/>
          <w:color w:val="000000" w:themeColor="text1"/>
          <w:szCs w:val="24"/>
          <w:highlight w:val="none"/>
          <w14:textFill>
            <w14:solidFill>
              <w14:schemeClr w14:val="tx1"/>
            </w14:solidFill>
          </w14:textFill>
        </w:rPr>
        <w:t>（其中5个点位位于雷页1井试采站四周，均引用雷页1井天然气回收工程地下水监测数据（YNX202308168检01号），地下水监测时期为2023年</w:t>
      </w:r>
      <w:r>
        <w:rPr>
          <w:rFonts w:cs="Times New Roman"/>
          <w:bCs/>
          <w:color w:val="000000" w:themeColor="text1"/>
          <w:szCs w:val="24"/>
          <w:highlight w:val="none"/>
          <w14:textFill>
            <w14:solidFill>
              <w14:schemeClr w14:val="tx1"/>
            </w14:solidFill>
          </w14:textFill>
        </w:rPr>
        <w:t>8</w:t>
      </w:r>
      <w:r>
        <w:rPr>
          <w:rFonts w:hint="eastAsia" w:cs="Times New Roman"/>
          <w:bCs/>
          <w:color w:val="000000" w:themeColor="text1"/>
          <w:szCs w:val="24"/>
          <w:highlight w:val="none"/>
          <w14:textFill>
            <w14:solidFill>
              <w14:schemeClr w14:val="tx1"/>
            </w14:solidFill>
          </w14:textFill>
        </w:rPr>
        <w:t>月，引用可行）、</w:t>
      </w:r>
      <w:r>
        <w:rPr>
          <w:rFonts w:cs="Times New Roman"/>
          <w:bCs/>
          <w:color w:val="000000" w:themeColor="text1"/>
          <w:szCs w:val="24"/>
          <w:highlight w:val="none"/>
          <w14:textFill>
            <w14:solidFill>
              <w14:schemeClr w14:val="tx1"/>
            </w14:solidFill>
          </w14:textFill>
        </w:rPr>
        <w:t>1</w:t>
      </w:r>
      <w:r>
        <w:rPr>
          <w:rFonts w:hint="eastAsia" w:cs="Times New Roman"/>
          <w:bCs/>
          <w:color w:val="000000" w:themeColor="text1"/>
          <w:szCs w:val="24"/>
          <w:highlight w:val="none"/>
          <w14:textFill>
            <w14:solidFill>
              <w14:schemeClr w14:val="tx1"/>
            </w14:solidFill>
          </w14:textFill>
        </w:rPr>
        <w:t>个点位位于外输管线附近</w:t>
      </w:r>
      <w:r>
        <w:rPr>
          <w:rFonts w:cs="Times New Roman"/>
          <w:bCs/>
          <w:color w:val="000000" w:themeColor="text1"/>
          <w:szCs w:val="24"/>
          <w:highlight w:val="none"/>
          <w14:textFill>
            <w14:solidFill>
              <w14:schemeClr w14:val="tx1"/>
            </w14:solidFill>
          </w14:textFill>
        </w:rPr>
        <w:t>，具体监测点位分布见附图</w:t>
      </w:r>
      <w:r>
        <w:rPr>
          <w:rFonts w:hint="eastAsia" w:cs="Times New Roman"/>
          <w:bCs/>
          <w:color w:val="000000" w:themeColor="text1"/>
          <w:szCs w:val="24"/>
          <w:highlight w:val="none"/>
          <w14:textFill>
            <w14:solidFill>
              <w14:schemeClr w14:val="tx1"/>
            </w14:solidFill>
          </w14:textFill>
        </w:rPr>
        <w:t>4</w:t>
      </w:r>
      <w:r>
        <w:rPr>
          <w:rFonts w:cs="Times New Roman"/>
          <w:bCs/>
          <w:color w:val="000000" w:themeColor="text1"/>
          <w:szCs w:val="24"/>
          <w:highlight w:val="none"/>
          <w14:textFill>
            <w14:solidFill>
              <w14:schemeClr w14:val="tx1"/>
            </w14:solidFill>
          </w14:textFill>
        </w:rPr>
        <w:t>和</w:t>
      </w:r>
      <w:r>
        <w:rPr>
          <w:rFonts w:cs="Times New Roman"/>
          <w:bCs/>
          <w:color w:val="000000" w:themeColor="text1"/>
          <w:szCs w:val="24"/>
          <w:highlight w:val="none"/>
          <w14:textFill>
            <w14:solidFill>
              <w14:schemeClr w14:val="tx1"/>
            </w14:solidFill>
          </w14:textFill>
        </w:rPr>
        <w:fldChar w:fldCharType="begin"/>
      </w:r>
      <w:r>
        <w:rPr>
          <w:rFonts w:cs="Times New Roman"/>
          <w:bCs/>
          <w:color w:val="000000" w:themeColor="text1"/>
          <w:szCs w:val="24"/>
          <w:highlight w:val="none"/>
          <w14:textFill>
            <w14:solidFill>
              <w14:schemeClr w14:val="tx1"/>
            </w14:solidFill>
          </w14:textFill>
        </w:rPr>
        <w:instrText xml:space="preserve"> REF _Ref142599951 \h  \* MERGEFORMAT </w:instrText>
      </w:r>
      <w:r>
        <w:rPr>
          <w:rFonts w:cs="Times New Roman"/>
          <w:bCs/>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10</w:t>
      </w:r>
      <w:r>
        <w:rPr>
          <w:rFonts w:cs="Times New Roman"/>
          <w:bCs/>
          <w:color w:val="000000" w:themeColor="text1"/>
          <w:szCs w:val="24"/>
          <w:highlight w:val="none"/>
          <w14:textFill>
            <w14:solidFill>
              <w14:schemeClr w14:val="tx1"/>
            </w14:solidFill>
          </w14:textFill>
        </w:rPr>
        <w:fldChar w:fldCharType="end"/>
      </w:r>
      <w:r>
        <w:rPr>
          <w:rFonts w:cs="Times New Roman"/>
          <w:bCs/>
          <w:color w:val="000000" w:themeColor="text1"/>
          <w:szCs w:val="24"/>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bookmarkStart w:id="232" w:name="_Ref142599951"/>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10</w:t>
      </w:r>
      <w:r>
        <w:rPr>
          <w:color w:val="000000" w:themeColor="text1"/>
          <w:highlight w:val="none"/>
          <w14:textFill>
            <w14:solidFill>
              <w14:schemeClr w14:val="tx1"/>
            </w14:solidFill>
          </w14:textFill>
        </w:rPr>
        <w:fldChar w:fldCharType="end"/>
      </w:r>
      <w:bookmarkEnd w:id="232"/>
      <w:r>
        <w:rPr>
          <w:rFonts w:hint="eastAsia"/>
          <w:color w:val="000000" w:themeColor="text1"/>
          <w:highlight w:val="none"/>
          <w14:textFill>
            <w14:solidFill>
              <w14:schemeClr w14:val="tx1"/>
            </w14:solidFill>
          </w14:textFill>
        </w:rPr>
        <w:t>项目井场地下水监测点位统计表</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1"/>
        <w:gridCol w:w="2895"/>
        <w:gridCol w:w="2640"/>
        <w:gridCol w:w="16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10" w:type="pct"/>
            <w:vAlign w:val="center"/>
          </w:tcPr>
          <w:p>
            <w:pPr>
              <w:widowControl/>
              <w:spacing w:line="240" w:lineRule="auto"/>
              <w:ind w:firstLine="0" w:firstLineChars="0"/>
              <w:jc w:val="center"/>
              <w:rPr>
                <w:rFonts w:cs="Times New Roman"/>
                <w:b/>
                <w:bCs/>
                <w:color w:val="000000" w:themeColor="text1"/>
                <w:kern w:val="0"/>
                <w:sz w:val="21"/>
                <w:szCs w:val="21"/>
                <w:highlight w:val="none"/>
                <w14:textFill>
                  <w14:solidFill>
                    <w14:schemeClr w14:val="tx1"/>
                  </w14:solidFill>
                </w14:textFill>
              </w:rPr>
            </w:pPr>
            <w:r>
              <w:rPr>
                <w:rFonts w:cs="Times New Roman"/>
                <w:b/>
                <w:bCs/>
                <w:color w:val="000000" w:themeColor="text1"/>
                <w:kern w:val="0"/>
                <w:sz w:val="21"/>
                <w:szCs w:val="21"/>
                <w:highlight w:val="none"/>
                <w14:textFill>
                  <w14:solidFill>
                    <w14:schemeClr w14:val="tx1"/>
                  </w14:solidFill>
                </w14:textFill>
              </w:rPr>
              <w:t>采样日期</w:t>
            </w:r>
          </w:p>
        </w:tc>
        <w:tc>
          <w:tcPr>
            <w:tcW w:w="1698" w:type="pct"/>
            <w:vAlign w:val="center"/>
          </w:tcPr>
          <w:p>
            <w:pPr>
              <w:widowControl/>
              <w:spacing w:line="240" w:lineRule="auto"/>
              <w:ind w:firstLine="0" w:firstLineChars="0"/>
              <w:jc w:val="center"/>
              <w:rPr>
                <w:rFonts w:cs="Times New Roman"/>
                <w:b/>
                <w:bCs/>
                <w:color w:val="000000" w:themeColor="text1"/>
                <w:kern w:val="0"/>
                <w:sz w:val="21"/>
                <w:szCs w:val="21"/>
                <w:highlight w:val="none"/>
                <w:lang w:eastAsia="en-US"/>
                <w14:textFill>
                  <w14:solidFill>
                    <w14:schemeClr w14:val="tx1"/>
                  </w14:solidFill>
                </w14:textFill>
              </w:rPr>
            </w:pPr>
            <w:r>
              <w:rPr>
                <w:rFonts w:hint="eastAsia" w:cs="Times New Roman"/>
                <w:b/>
                <w:bCs/>
                <w:color w:val="000000" w:themeColor="text1"/>
                <w:kern w:val="0"/>
                <w:sz w:val="21"/>
                <w:szCs w:val="21"/>
                <w:highlight w:val="none"/>
                <w14:textFill>
                  <w14:solidFill>
                    <w14:schemeClr w14:val="tx1"/>
                  </w14:solidFill>
                </w14:textFill>
              </w:rPr>
              <w:t>监测点位</w:t>
            </w:r>
            <w:r>
              <w:rPr>
                <w:rFonts w:cs="Times New Roman"/>
                <w:b/>
                <w:bCs/>
                <w:color w:val="000000" w:themeColor="text1"/>
                <w:kern w:val="0"/>
                <w:sz w:val="21"/>
                <w:szCs w:val="21"/>
                <w:highlight w:val="none"/>
                <w:lang w:eastAsia="en-US"/>
                <w14:textFill>
                  <w14:solidFill>
                    <w14:schemeClr w14:val="tx1"/>
                  </w14:solidFill>
                </w14:textFill>
              </w:rPr>
              <w:t>信息</w:t>
            </w:r>
          </w:p>
        </w:tc>
        <w:tc>
          <w:tcPr>
            <w:tcW w:w="1548" w:type="pct"/>
            <w:vAlign w:val="center"/>
          </w:tcPr>
          <w:p>
            <w:pPr>
              <w:widowControl/>
              <w:spacing w:line="240" w:lineRule="auto"/>
              <w:ind w:firstLine="0" w:firstLineChars="0"/>
              <w:jc w:val="center"/>
              <w:rPr>
                <w:rFonts w:cs="Times New Roman"/>
                <w:b/>
                <w:bCs/>
                <w:color w:val="000000" w:themeColor="text1"/>
                <w:kern w:val="0"/>
                <w:sz w:val="21"/>
                <w:szCs w:val="21"/>
                <w:highlight w:val="none"/>
                <w14:textFill>
                  <w14:solidFill>
                    <w14:schemeClr w14:val="tx1"/>
                  </w14:solidFill>
                </w14:textFill>
              </w:rPr>
            </w:pPr>
            <w:r>
              <w:rPr>
                <w:rFonts w:cs="Times New Roman"/>
                <w:b/>
                <w:bCs/>
                <w:color w:val="000000" w:themeColor="text1"/>
                <w:kern w:val="0"/>
                <w:sz w:val="21"/>
                <w:szCs w:val="21"/>
                <w:highlight w:val="none"/>
                <w14:textFill>
                  <w14:solidFill>
                    <w14:schemeClr w14:val="tx1"/>
                  </w14:solidFill>
                </w14:textFill>
              </w:rPr>
              <w:t>坐标</w:t>
            </w:r>
          </w:p>
        </w:tc>
        <w:tc>
          <w:tcPr>
            <w:tcW w:w="944" w:type="pct"/>
            <w:vAlign w:val="center"/>
          </w:tcPr>
          <w:p>
            <w:pPr>
              <w:widowControl/>
              <w:spacing w:line="240" w:lineRule="auto"/>
              <w:ind w:firstLine="0" w:firstLineChars="0"/>
              <w:jc w:val="center"/>
              <w:rPr>
                <w:rFonts w:cs="Times New Roman"/>
                <w:b/>
                <w:bCs/>
                <w:color w:val="000000" w:themeColor="text1"/>
                <w:kern w:val="0"/>
                <w:sz w:val="21"/>
                <w:szCs w:val="21"/>
                <w:highlight w:val="none"/>
                <w14:textFill>
                  <w14:solidFill>
                    <w14:schemeClr w14:val="tx1"/>
                  </w14:solidFill>
                </w14:textFill>
              </w:rPr>
            </w:pPr>
            <w:r>
              <w:rPr>
                <w:rFonts w:cs="Times New Roman"/>
                <w:b/>
                <w:bCs/>
                <w:color w:val="000000" w:themeColor="text1"/>
                <w:kern w:val="0"/>
                <w:sz w:val="21"/>
                <w:szCs w:val="21"/>
                <w:highlight w:val="none"/>
                <w14:textFill>
                  <w14:solidFill>
                    <w14:schemeClr w14:val="tx1"/>
                  </w14:solidFill>
                </w14:textFill>
              </w:rPr>
              <w:t>水位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10" w:type="pct"/>
            <w:vMerge w:val="restart"/>
            <w:vAlign w:val="center"/>
          </w:tcPr>
          <w:p>
            <w:pPr>
              <w:spacing w:line="240" w:lineRule="auto"/>
              <w:ind w:firstLine="0" w:firstLineChars="0"/>
              <w:jc w:val="center"/>
              <w:rPr>
                <w:rFonts w:eastAsia="仿宋体" w:cs="Times New Roman"/>
                <w:color w:val="000000" w:themeColor="text1"/>
                <w:sz w:val="21"/>
                <w:szCs w:val="21"/>
                <w:highlight w:val="none"/>
                <w14:textFill>
                  <w14:solidFill>
                    <w14:schemeClr w14:val="tx1"/>
                  </w14:solidFill>
                </w14:textFill>
              </w:rPr>
            </w:pPr>
            <w:r>
              <w:rPr>
                <w:rFonts w:eastAsia="仿宋体" w:cs="Times New Roman"/>
                <w:color w:val="000000" w:themeColor="text1"/>
                <w:sz w:val="21"/>
                <w:szCs w:val="21"/>
                <w:highlight w:val="none"/>
                <w14:textFill>
                  <w14:solidFill>
                    <w14:schemeClr w14:val="tx1"/>
                  </w14:solidFill>
                </w14:textFill>
              </w:rPr>
              <w:t>2023.08.19</w:t>
            </w:r>
          </w:p>
        </w:tc>
        <w:tc>
          <w:tcPr>
            <w:tcW w:w="1698" w:type="pct"/>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1#雷页1井井口西南侧距项目地约800m处</w:t>
            </w:r>
          </w:p>
        </w:tc>
        <w:tc>
          <w:tcPr>
            <w:tcW w:w="1548"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东经107.606503，</w:t>
            </w:r>
          </w:p>
          <w:p>
            <w:pPr>
              <w:widowControl/>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北纬31.325909</w:t>
            </w:r>
          </w:p>
        </w:tc>
        <w:tc>
          <w:tcPr>
            <w:tcW w:w="944" w:type="pct"/>
            <w:vAlign w:val="center"/>
          </w:tcPr>
          <w:p>
            <w:pPr>
              <w:widowControl/>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810" w:type="pct"/>
            <w:vMerge w:val="continue"/>
            <w:vAlign w:val="center"/>
          </w:tcPr>
          <w:p>
            <w:pPr>
              <w:spacing w:line="240" w:lineRule="auto"/>
              <w:ind w:firstLine="0" w:firstLineChars="0"/>
              <w:jc w:val="center"/>
              <w:rPr>
                <w:rFonts w:eastAsia="仿宋体" w:cs="Times New Roman"/>
                <w:color w:val="000000" w:themeColor="text1"/>
                <w:sz w:val="21"/>
                <w:szCs w:val="21"/>
                <w:highlight w:val="none"/>
                <w14:textFill>
                  <w14:solidFill>
                    <w14:schemeClr w14:val="tx1"/>
                  </w14:solidFill>
                </w14:textFill>
              </w:rPr>
            </w:pPr>
          </w:p>
        </w:tc>
        <w:tc>
          <w:tcPr>
            <w:tcW w:w="1698" w:type="pct"/>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2#雷页1井井口西侧距项目地约50m处</w:t>
            </w:r>
          </w:p>
        </w:tc>
        <w:tc>
          <w:tcPr>
            <w:tcW w:w="1548" w:type="pct"/>
            <w:vAlign w:val="center"/>
          </w:tcPr>
          <w:p>
            <w:pPr>
              <w:widowControl/>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东经107.607740，北纬31.329294</w:t>
            </w:r>
          </w:p>
        </w:tc>
        <w:tc>
          <w:tcPr>
            <w:tcW w:w="944" w:type="pct"/>
            <w:vAlign w:val="center"/>
          </w:tcPr>
          <w:p>
            <w:pPr>
              <w:widowControl/>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10" w:type="pct"/>
            <w:vMerge w:val="continue"/>
            <w:vAlign w:val="center"/>
          </w:tcPr>
          <w:p>
            <w:pPr>
              <w:spacing w:line="240" w:lineRule="auto"/>
              <w:ind w:firstLine="0" w:firstLineChars="0"/>
              <w:jc w:val="center"/>
              <w:rPr>
                <w:rFonts w:eastAsia="仿宋体" w:cs="Times New Roman"/>
                <w:color w:val="000000" w:themeColor="text1"/>
                <w:sz w:val="21"/>
                <w:szCs w:val="21"/>
                <w:highlight w:val="none"/>
                <w14:textFill>
                  <w14:solidFill>
                    <w14:schemeClr w14:val="tx1"/>
                  </w14:solidFill>
                </w14:textFill>
              </w:rPr>
            </w:pPr>
          </w:p>
        </w:tc>
        <w:tc>
          <w:tcPr>
            <w:tcW w:w="1698" w:type="pct"/>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3#雷页1井井口东北侧距项目地约100m处</w:t>
            </w:r>
          </w:p>
        </w:tc>
        <w:tc>
          <w:tcPr>
            <w:tcW w:w="1548" w:type="pct"/>
            <w:vAlign w:val="center"/>
          </w:tcPr>
          <w:p>
            <w:pPr>
              <w:widowControl/>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东经107.604594，北纬31.302145</w:t>
            </w:r>
          </w:p>
        </w:tc>
        <w:tc>
          <w:tcPr>
            <w:tcW w:w="944" w:type="pct"/>
            <w:vAlign w:val="center"/>
          </w:tcPr>
          <w:p>
            <w:pPr>
              <w:widowControl/>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0.34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10" w:type="pct"/>
            <w:vMerge w:val="continue"/>
            <w:vAlign w:val="center"/>
          </w:tcPr>
          <w:p>
            <w:pPr>
              <w:spacing w:line="240" w:lineRule="auto"/>
              <w:ind w:firstLine="0" w:firstLineChars="0"/>
              <w:jc w:val="center"/>
              <w:rPr>
                <w:rFonts w:eastAsia="仿宋体" w:cs="Times New Roman"/>
                <w:color w:val="000000" w:themeColor="text1"/>
                <w:sz w:val="21"/>
                <w:szCs w:val="21"/>
                <w:highlight w:val="none"/>
                <w14:textFill>
                  <w14:solidFill>
                    <w14:schemeClr w14:val="tx1"/>
                  </w14:solidFill>
                </w14:textFill>
              </w:rPr>
            </w:pPr>
          </w:p>
        </w:tc>
        <w:tc>
          <w:tcPr>
            <w:tcW w:w="1698" w:type="pct"/>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4#雷页1井井口东北侧距项目地约160m处</w:t>
            </w:r>
          </w:p>
        </w:tc>
        <w:tc>
          <w:tcPr>
            <w:tcW w:w="1548" w:type="pct"/>
            <w:vAlign w:val="center"/>
          </w:tcPr>
          <w:p>
            <w:pPr>
              <w:widowControl/>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东经107.608375，北纬31.334384</w:t>
            </w:r>
          </w:p>
        </w:tc>
        <w:tc>
          <w:tcPr>
            <w:tcW w:w="944" w:type="pct"/>
            <w:vAlign w:val="center"/>
          </w:tcPr>
          <w:p>
            <w:pPr>
              <w:widowControl/>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0.56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10" w:type="pct"/>
            <w:vMerge w:val="continue"/>
            <w:vAlign w:val="center"/>
          </w:tcPr>
          <w:p>
            <w:pPr>
              <w:spacing w:line="240" w:lineRule="auto"/>
              <w:ind w:firstLine="0" w:firstLineChars="0"/>
              <w:jc w:val="center"/>
              <w:rPr>
                <w:rFonts w:eastAsia="仿宋体" w:cs="Times New Roman"/>
                <w:color w:val="000000" w:themeColor="text1"/>
                <w:sz w:val="21"/>
                <w:szCs w:val="21"/>
                <w:highlight w:val="none"/>
                <w14:textFill>
                  <w14:solidFill>
                    <w14:schemeClr w14:val="tx1"/>
                  </w14:solidFill>
                </w14:textFill>
              </w:rPr>
            </w:pPr>
          </w:p>
        </w:tc>
        <w:tc>
          <w:tcPr>
            <w:tcW w:w="1698" w:type="pct"/>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5#雷页1井井口东侧距项目地约360m处</w:t>
            </w:r>
          </w:p>
        </w:tc>
        <w:tc>
          <w:tcPr>
            <w:tcW w:w="1548" w:type="pct"/>
            <w:vAlign w:val="center"/>
          </w:tcPr>
          <w:p>
            <w:pPr>
              <w:widowControl/>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东经107.611668，北纬31.328721</w:t>
            </w:r>
          </w:p>
        </w:tc>
        <w:tc>
          <w:tcPr>
            <w:tcW w:w="944" w:type="pct"/>
            <w:vAlign w:val="center"/>
          </w:tcPr>
          <w:p>
            <w:pPr>
              <w:widowControl/>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0.31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10" w:type="pct"/>
            <w:vAlign w:val="center"/>
          </w:tcPr>
          <w:p>
            <w:pPr>
              <w:spacing w:line="240" w:lineRule="auto"/>
              <w:ind w:firstLine="0" w:firstLineChars="0"/>
              <w:jc w:val="center"/>
              <w:rPr>
                <w:rFonts w:eastAsia="仿宋体" w:cs="Times New Roman"/>
                <w:color w:val="000000" w:themeColor="text1"/>
                <w:sz w:val="21"/>
                <w:szCs w:val="21"/>
                <w:highlight w:val="none"/>
                <w14:textFill>
                  <w14:solidFill>
                    <w14:schemeClr w14:val="tx1"/>
                  </w14:solidFill>
                </w14:textFill>
              </w:rPr>
            </w:pPr>
            <w:r>
              <w:rPr>
                <w:rFonts w:hint="eastAsia" w:eastAsia="仿宋体" w:cs="Times New Roman"/>
                <w:color w:val="000000" w:themeColor="text1"/>
                <w:sz w:val="21"/>
                <w:szCs w:val="21"/>
                <w:highlight w:val="none"/>
                <w14:textFill>
                  <w14:solidFill>
                    <w14:schemeClr w14:val="tx1"/>
                  </w14:solidFill>
                </w14:textFill>
              </w:rPr>
              <w:t>2024.03.03</w:t>
            </w:r>
          </w:p>
        </w:tc>
        <w:tc>
          <w:tcPr>
            <w:tcW w:w="1698" w:type="pct"/>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1</w:t>
            </w:r>
            <w:r>
              <w:rPr>
                <w:rFonts w:cs="Times New Roman"/>
                <w:color w:val="000000" w:themeColor="text1"/>
                <w:sz w:val="21"/>
                <w:szCs w:val="21"/>
                <w:highlight w:val="none"/>
                <w14:textFill>
                  <w14:solidFill>
                    <w14:schemeClr w14:val="tx1"/>
                  </w14:solidFill>
                </w14:textFill>
              </w:rPr>
              <w:t>1#</w:t>
            </w:r>
            <w:r>
              <w:rPr>
                <w:rFonts w:hint="eastAsia" w:cs="Times New Roman"/>
                <w:color w:val="000000" w:themeColor="text1"/>
                <w:sz w:val="21"/>
                <w:szCs w:val="21"/>
                <w:highlight w:val="none"/>
                <w14:textFill>
                  <w14:solidFill>
                    <w14:schemeClr w14:val="tx1"/>
                  </w14:solidFill>
                </w14:textFill>
              </w:rPr>
              <w:t>雷页1井外输管线南侧约3</w:t>
            </w:r>
            <w:r>
              <w:rPr>
                <w:rFonts w:cs="Times New Roman"/>
                <w:color w:val="000000" w:themeColor="text1"/>
                <w:sz w:val="21"/>
                <w:szCs w:val="21"/>
                <w:highlight w:val="none"/>
                <w14:textFill>
                  <w14:solidFill>
                    <w14:schemeClr w14:val="tx1"/>
                  </w14:solidFill>
                </w14:textFill>
              </w:rPr>
              <w:t>0</w:t>
            </w:r>
            <w:r>
              <w:rPr>
                <w:rFonts w:hint="eastAsia" w:cs="Times New Roman"/>
                <w:color w:val="000000" w:themeColor="text1"/>
                <w:sz w:val="21"/>
                <w:szCs w:val="21"/>
                <w:highlight w:val="none"/>
                <w14:textFill>
                  <w14:solidFill>
                    <w14:schemeClr w14:val="tx1"/>
                  </w14:solidFill>
                </w14:textFill>
              </w:rPr>
              <w:t>m处</w:t>
            </w:r>
          </w:p>
        </w:tc>
        <w:tc>
          <w:tcPr>
            <w:tcW w:w="1548" w:type="pct"/>
            <w:vAlign w:val="center"/>
          </w:tcPr>
          <w:p>
            <w:pPr>
              <w:widowControl/>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1"/>
                <w:szCs w:val="21"/>
                <w:highlight w:val="none"/>
                <w14:textFill>
                  <w14:solidFill>
                    <w14:schemeClr w14:val="tx1"/>
                  </w14:solidFill>
                </w14:textFill>
              </w:rPr>
              <w:t>东经</w:t>
            </w:r>
            <w:r>
              <w:rPr>
                <w:rFonts w:cs="Times New Roman"/>
                <w:color w:val="000000" w:themeColor="text1"/>
                <w:kern w:val="0"/>
                <w:sz w:val="21"/>
                <w:szCs w:val="21"/>
                <w:highlight w:val="none"/>
                <w14:textFill>
                  <w14:solidFill>
                    <w14:schemeClr w14:val="tx1"/>
                  </w14:solidFill>
                </w14:textFill>
              </w:rPr>
              <w:t>107.521166</w:t>
            </w:r>
            <w:r>
              <w:rPr>
                <w:rFonts w:hint="eastAsia" w:cs="Times New Roman"/>
                <w:color w:val="000000" w:themeColor="text1"/>
                <w:kern w:val="0"/>
                <w:sz w:val="21"/>
                <w:szCs w:val="21"/>
                <w:highlight w:val="none"/>
                <w14:textFill>
                  <w14:solidFill>
                    <w14:schemeClr w14:val="tx1"/>
                  </w14:solidFill>
                </w14:textFill>
              </w:rPr>
              <w:t>，北纬</w:t>
            </w:r>
            <w:r>
              <w:rPr>
                <w:rFonts w:cs="Times New Roman"/>
                <w:color w:val="000000" w:themeColor="text1"/>
                <w:kern w:val="0"/>
                <w:sz w:val="21"/>
                <w:szCs w:val="21"/>
                <w:highlight w:val="none"/>
                <w14:textFill>
                  <w14:solidFill>
                    <w14:schemeClr w14:val="tx1"/>
                  </w14:solidFill>
                </w14:textFill>
              </w:rPr>
              <w:t>31.360347</w:t>
            </w:r>
          </w:p>
        </w:tc>
        <w:tc>
          <w:tcPr>
            <w:tcW w:w="944" w:type="pct"/>
            <w:vAlign w:val="center"/>
          </w:tcPr>
          <w:p>
            <w:pPr>
              <w:widowControl/>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1.5</w:t>
            </w:r>
          </w:p>
        </w:tc>
      </w:tr>
    </w:tbl>
    <w:p>
      <w:pPr>
        <w:spacing w:before="120" w:beforeLines="50"/>
        <w:ind w:firstLine="480"/>
        <w:rPr>
          <w:rFonts w:cs="Times New Roman"/>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本项目</w:t>
      </w:r>
      <w:r>
        <w:rPr>
          <w:rFonts w:hint="eastAsia"/>
          <w:bCs/>
          <w:color w:val="000000" w:themeColor="text1"/>
          <w:szCs w:val="24"/>
          <w:highlight w:val="none"/>
          <w14:textFill>
            <w14:solidFill>
              <w14:schemeClr w14:val="tx1"/>
            </w14:solidFill>
          </w14:textFill>
        </w:rPr>
        <w:t>在试采站四周</w:t>
      </w:r>
      <w:r>
        <w:rPr>
          <w:bCs/>
          <w:color w:val="000000" w:themeColor="text1"/>
          <w:szCs w:val="24"/>
          <w:highlight w:val="none"/>
          <w14:textFill>
            <w14:solidFill>
              <w14:schemeClr w14:val="tx1"/>
            </w14:solidFill>
          </w14:textFill>
        </w:rPr>
        <w:t>所设置的5个地下水水质监测点中，</w:t>
      </w:r>
      <w:r>
        <w:rPr>
          <w:rFonts w:hint="eastAsia"/>
          <w:bCs/>
          <w:color w:val="000000" w:themeColor="text1"/>
          <w:szCs w:val="24"/>
          <w:highlight w:val="none"/>
          <w14:textFill>
            <w14:solidFill>
              <w14:schemeClr w14:val="tx1"/>
            </w14:solidFill>
          </w14:textFill>
        </w:rPr>
        <w:t>2</w:t>
      </w:r>
      <w:r>
        <w:rPr>
          <w:bCs/>
          <w:color w:val="000000" w:themeColor="text1"/>
          <w:szCs w:val="24"/>
          <w:highlight w:val="none"/>
          <w14:textFill>
            <w14:solidFill>
              <w14:schemeClr w14:val="tx1"/>
            </w14:solidFill>
          </w14:textFill>
        </w:rPr>
        <w:t>个监测点（2#、4#）位于项目所在地地下水流向侧游，</w:t>
      </w:r>
      <w:r>
        <w:rPr>
          <w:rFonts w:hint="eastAsia"/>
          <w:bCs/>
          <w:color w:val="000000" w:themeColor="text1"/>
          <w:szCs w:val="24"/>
          <w:highlight w:val="none"/>
          <w14:textFill>
            <w14:solidFill>
              <w14:schemeClr w14:val="tx1"/>
            </w14:solidFill>
          </w14:textFill>
        </w:rPr>
        <w:t>1</w:t>
      </w:r>
      <w:r>
        <w:rPr>
          <w:bCs/>
          <w:color w:val="000000" w:themeColor="text1"/>
          <w:szCs w:val="24"/>
          <w:highlight w:val="none"/>
          <w14:textFill>
            <w14:solidFill>
              <w14:schemeClr w14:val="tx1"/>
            </w14:solidFill>
          </w14:textFill>
        </w:rPr>
        <w:t>个监测点（3#）位于地下水流向上游，2个监测点（1#、5#）位于地下水流向下游，该布点符合《环境影响评价导则-地下水环境》（HJ610-2016）中相关布点原则要求</w:t>
      </w:r>
      <w:r>
        <w:rPr>
          <w:rFonts w:cs="Times New Roman"/>
          <w:bCs/>
          <w:color w:val="000000" w:themeColor="text1"/>
          <w:szCs w:val="24"/>
          <w:highlight w:val="none"/>
          <w14:textFill>
            <w14:solidFill>
              <w14:schemeClr w14:val="tx1"/>
            </w14:solidFill>
          </w14:textFill>
        </w:rPr>
        <w:t>。</w:t>
      </w:r>
    </w:p>
    <w:p>
      <w:pPr>
        <w:spacing w:before="120" w:beforeLines="50"/>
        <w:ind w:firstLine="482"/>
        <w:rPr>
          <w:rFonts w:cs="Times New Roman"/>
          <w:b/>
          <w:color w:val="000000" w:themeColor="text1"/>
          <w:szCs w:val="24"/>
          <w:highlight w:val="none"/>
          <w14:textFill>
            <w14:solidFill>
              <w14:schemeClr w14:val="tx1"/>
            </w14:solidFill>
          </w14:textFill>
        </w:rPr>
      </w:pPr>
      <w:r>
        <w:rPr>
          <w:rFonts w:cs="Times New Roman"/>
          <w:b/>
          <w:color w:val="000000" w:themeColor="text1"/>
          <w:szCs w:val="24"/>
          <w:highlight w:val="none"/>
          <w14:textFill>
            <w14:solidFill>
              <w14:schemeClr w14:val="tx1"/>
            </w14:solidFill>
          </w14:textFill>
        </w:rPr>
        <w:t>（2）地下水现状监测因子及监测频率</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背景离子（K</w:t>
      </w:r>
      <w:r>
        <w:rPr>
          <w:rFonts w:cs="Times New Roman"/>
          <w:bCs/>
          <w:color w:val="000000" w:themeColor="text1"/>
          <w:szCs w:val="24"/>
          <w:highlight w:val="none"/>
          <w:vertAlign w:val="superscript"/>
          <w14:textFill>
            <w14:solidFill>
              <w14:schemeClr w14:val="tx1"/>
            </w14:solidFill>
          </w14:textFill>
        </w:rPr>
        <w:t>+</w:t>
      </w:r>
      <w:r>
        <w:rPr>
          <w:rFonts w:cs="Times New Roman"/>
          <w:bCs/>
          <w:color w:val="000000" w:themeColor="text1"/>
          <w:szCs w:val="24"/>
          <w:highlight w:val="none"/>
          <w14:textFill>
            <w14:solidFill>
              <w14:schemeClr w14:val="tx1"/>
            </w14:solidFill>
          </w14:textFill>
        </w:rPr>
        <w:t>、Na</w:t>
      </w:r>
      <w:r>
        <w:rPr>
          <w:rFonts w:cs="Times New Roman"/>
          <w:bCs/>
          <w:color w:val="000000" w:themeColor="text1"/>
          <w:szCs w:val="24"/>
          <w:highlight w:val="none"/>
          <w:vertAlign w:val="superscript"/>
          <w14:textFill>
            <w14:solidFill>
              <w14:schemeClr w14:val="tx1"/>
            </w14:solidFill>
          </w14:textFill>
        </w:rPr>
        <w:t>+</w:t>
      </w:r>
      <w:r>
        <w:rPr>
          <w:rFonts w:cs="Times New Roman"/>
          <w:bCs/>
          <w:color w:val="000000" w:themeColor="text1"/>
          <w:szCs w:val="24"/>
          <w:highlight w:val="none"/>
          <w14:textFill>
            <w14:solidFill>
              <w14:schemeClr w14:val="tx1"/>
            </w14:solidFill>
          </w14:textFill>
        </w:rPr>
        <w:t>、Ca</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、Mg</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、CO</w:t>
      </w:r>
      <w:r>
        <w:rPr>
          <w:rFonts w:cs="Times New Roman"/>
          <w:bCs/>
          <w:color w:val="000000" w:themeColor="text1"/>
          <w:szCs w:val="24"/>
          <w:highlight w:val="none"/>
          <w:vertAlign w:val="subscript"/>
          <w14:textFill>
            <w14:solidFill>
              <w14:schemeClr w14:val="tx1"/>
            </w14:solidFill>
          </w14:textFill>
        </w:rPr>
        <w:t>3</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、HCO</w:t>
      </w:r>
      <w:r>
        <w:rPr>
          <w:rFonts w:cs="Times New Roman"/>
          <w:bCs/>
          <w:color w:val="000000" w:themeColor="text1"/>
          <w:szCs w:val="24"/>
          <w:highlight w:val="none"/>
          <w:vertAlign w:val="subscript"/>
          <w14:textFill>
            <w14:solidFill>
              <w14:schemeClr w14:val="tx1"/>
            </w14:solidFill>
          </w14:textFill>
        </w:rPr>
        <w:t>3</w:t>
      </w:r>
      <w:r>
        <w:rPr>
          <w:rFonts w:cs="Times New Roman"/>
          <w:bCs/>
          <w:color w:val="000000" w:themeColor="text1"/>
          <w:szCs w:val="24"/>
          <w:highlight w:val="none"/>
          <w:vertAlign w:val="superscript"/>
          <w14:textFill>
            <w14:solidFill>
              <w14:schemeClr w14:val="tx1"/>
            </w14:solidFill>
          </w14:textFill>
        </w:rPr>
        <w:t>-</w:t>
      </w:r>
      <w:r>
        <w:rPr>
          <w:rFonts w:cs="Times New Roman"/>
          <w:bCs/>
          <w:color w:val="000000" w:themeColor="text1"/>
          <w:szCs w:val="24"/>
          <w:highlight w:val="none"/>
          <w14:textFill>
            <w14:solidFill>
              <w14:schemeClr w14:val="tx1"/>
            </w14:solidFill>
          </w14:textFill>
        </w:rPr>
        <w:t>、Cl</w:t>
      </w:r>
      <w:r>
        <w:rPr>
          <w:rFonts w:cs="Times New Roman"/>
          <w:bCs/>
          <w:color w:val="000000" w:themeColor="text1"/>
          <w:szCs w:val="24"/>
          <w:highlight w:val="none"/>
          <w:vertAlign w:val="superscript"/>
          <w14:textFill>
            <w14:solidFill>
              <w14:schemeClr w14:val="tx1"/>
            </w14:solidFill>
          </w14:textFill>
        </w:rPr>
        <w:t>-</w:t>
      </w:r>
      <w:r>
        <w:rPr>
          <w:rFonts w:cs="Times New Roman"/>
          <w:bCs/>
          <w:color w:val="000000" w:themeColor="text1"/>
          <w:szCs w:val="24"/>
          <w:highlight w:val="none"/>
          <w14:textFill>
            <w14:solidFill>
              <w14:schemeClr w14:val="tx1"/>
            </w14:solidFill>
          </w14:textFill>
        </w:rPr>
        <w:t>、SO</w:t>
      </w:r>
      <w:r>
        <w:rPr>
          <w:rFonts w:cs="Times New Roman"/>
          <w:bCs/>
          <w:color w:val="000000" w:themeColor="text1"/>
          <w:szCs w:val="24"/>
          <w:highlight w:val="none"/>
          <w:vertAlign w:val="subscript"/>
          <w14:textFill>
            <w14:solidFill>
              <w14:schemeClr w14:val="tx1"/>
            </w14:solidFill>
          </w14:textFill>
        </w:rPr>
        <w:t>4</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基本水质因子（pH、氨氮、硝酸盐、亚硝酸盐、挥发性酚类、氰化物、砷、汞、铬（六价）、总硬度、铅、氟、镉、铁、锰、溶解性总固体、耗氧量、硫酸盐、氯化物、总大肠菌群、细菌总数），项目特征因子（石油类）。</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所有指标监测1天，每天一次。</w:t>
      </w:r>
    </w:p>
    <w:p>
      <w:pPr>
        <w:ind w:firstLine="482"/>
        <w:rPr>
          <w:rFonts w:cs="Times New Roman"/>
          <w:b/>
          <w:color w:val="000000" w:themeColor="text1"/>
          <w:szCs w:val="24"/>
          <w:highlight w:val="none"/>
          <w14:textFill>
            <w14:solidFill>
              <w14:schemeClr w14:val="tx1"/>
            </w14:solidFill>
          </w14:textFill>
        </w:rPr>
      </w:pPr>
      <w:r>
        <w:rPr>
          <w:rFonts w:cs="Times New Roman"/>
          <w:b/>
          <w:color w:val="000000" w:themeColor="text1"/>
          <w:szCs w:val="24"/>
          <w:highlight w:val="none"/>
          <w14:textFill>
            <w14:solidFill>
              <w14:schemeClr w14:val="tx1"/>
            </w14:solidFill>
          </w14:textFill>
        </w:rPr>
        <w:t>（3）评价方法</w:t>
      </w:r>
    </w:p>
    <w:p>
      <w:pPr>
        <w:ind w:firstLine="480"/>
        <w:rPr>
          <w:rFonts w:cs="Times New Roman"/>
          <w:bCs/>
          <w:color w:val="000000" w:themeColor="text1"/>
          <w:szCs w:val="24"/>
          <w:highlight w:val="none"/>
          <w14:textFill>
            <w14:solidFill>
              <w14:schemeClr w14:val="tx1"/>
            </w14:solidFill>
          </w14:textFill>
        </w:rPr>
      </w:pPr>
      <w:r>
        <w:rPr>
          <w:rFonts w:hint="eastAsia" w:ascii="宋体" w:hAnsi="宋体" w:cs="宋体"/>
          <w:bCs/>
          <w:color w:val="000000" w:themeColor="text1"/>
          <w:szCs w:val="24"/>
          <w:highlight w:val="none"/>
          <w14:textFill>
            <w14:solidFill>
              <w14:schemeClr w14:val="tx1"/>
            </w14:solidFill>
          </w14:textFill>
        </w:rPr>
        <w:t>①</w:t>
      </w:r>
      <w:r>
        <w:rPr>
          <w:rFonts w:cs="Times New Roman"/>
          <w:bCs/>
          <w:color w:val="000000" w:themeColor="text1"/>
          <w:szCs w:val="24"/>
          <w:highlight w:val="none"/>
          <w14:textFill>
            <w14:solidFill>
              <w14:schemeClr w14:val="tx1"/>
            </w14:solidFill>
          </w14:textFill>
        </w:rPr>
        <w:t>按照《地下水质量标准》（GB/T14848-2017）评价方法对基本水质因子和特殊水质因子进行评价。</w:t>
      </w:r>
    </w:p>
    <w:p>
      <w:pPr>
        <w:ind w:firstLine="480"/>
        <w:rPr>
          <w:rFonts w:cs="Times New Roman"/>
          <w:bCs/>
          <w:color w:val="000000" w:themeColor="text1"/>
          <w:szCs w:val="24"/>
          <w:highlight w:val="none"/>
          <w14:textFill>
            <w14:solidFill>
              <w14:schemeClr w14:val="tx1"/>
            </w14:solidFill>
          </w14:textFill>
        </w:rPr>
      </w:pPr>
      <w:r>
        <w:rPr>
          <w:rFonts w:hint="eastAsia" w:ascii="宋体" w:hAnsi="宋体" w:cs="宋体"/>
          <w:bCs/>
          <w:color w:val="000000" w:themeColor="text1"/>
          <w:szCs w:val="24"/>
          <w:highlight w:val="none"/>
          <w14:textFill>
            <w14:solidFill>
              <w14:schemeClr w14:val="tx1"/>
            </w14:solidFill>
          </w14:textFill>
        </w:rPr>
        <w:t>②</w:t>
      </w:r>
      <w:r>
        <w:rPr>
          <w:rFonts w:cs="Times New Roman"/>
          <w:bCs/>
          <w:color w:val="000000" w:themeColor="text1"/>
          <w:szCs w:val="24"/>
          <w:highlight w:val="none"/>
          <w14:textFill>
            <w14:solidFill>
              <w14:schemeClr w14:val="tx1"/>
            </w14:solidFill>
          </w14:textFill>
        </w:rPr>
        <w:t>用舒卡列夫分类法对本项目所在区域地下水化学类型进行分类。</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地下水化学类型的舒卡列夫分类是根据地下水中6种主要离子（钠、钙、镁、重碳酸根、硫酸根、氯离子、钾合并于钠）及矿化度划分的，具体步骤如下：</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a</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根据水质分析结果，将6种主要离子中含量大于25%毫克当量的阴离子和阳离子进行组合；</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b</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按矿化度（M）的大小分为4组，A组——M≤1.5g/L；B组——1.5＜M≤10g/L；C组——10＜M≤40g/L；D组——M＞40g/L；</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c</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矿化度为阴阳离子总和减去重碳酸离子含量的二分之一；</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d</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将地下水化学类型用阿拉伯数字（1-49）与字母（A、B、C、D）组合在一起表达的表达式表示。</w:t>
      </w:r>
    </w:p>
    <w:p>
      <w:pPr>
        <w:ind w:firstLine="482"/>
        <w:rPr>
          <w:rFonts w:cs="Times New Roman"/>
          <w:b/>
          <w:color w:val="000000" w:themeColor="text1"/>
          <w:szCs w:val="24"/>
          <w:highlight w:val="none"/>
          <w14:textFill>
            <w14:solidFill>
              <w14:schemeClr w14:val="tx1"/>
            </w14:solidFill>
          </w14:textFill>
        </w:rPr>
      </w:pPr>
      <w:r>
        <w:rPr>
          <w:rFonts w:cs="Times New Roman"/>
          <w:b/>
          <w:color w:val="000000" w:themeColor="text1"/>
          <w:szCs w:val="24"/>
          <w:highlight w:val="none"/>
          <w14:textFill>
            <w14:solidFill>
              <w14:schemeClr w14:val="tx1"/>
            </w14:solidFill>
          </w14:textFill>
        </w:rPr>
        <w:t>（4）评价结果及分析</w:t>
      </w:r>
    </w:p>
    <w:p>
      <w:pPr>
        <w:ind w:firstLine="480"/>
        <w:rPr>
          <w:rFonts w:cs="Times New Roman"/>
          <w:bCs/>
          <w:color w:val="000000" w:themeColor="text1"/>
          <w:szCs w:val="24"/>
          <w:highlight w:val="none"/>
          <w14:textFill>
            <w14:solidFill>
              <w14:schemeClr w14:val="tx1"/>
            </w14:solidFill>
          </w14:textFill>
        </w:rPr>
        <w:sectPr>
          <w:pgSz w:w="11910" w:h="16840"/>
          <w:pgMar w:top="1440" w:right="1800" w:bottom="1440" w:left="1800" w:header="964" w:footer="964" w:gutter="0"/>
          <w:cols w:space="720" w:num="1"/>
          <w:docGrid w:linePitch="326" w:charSpace="0"/>
        </w:sectPr>
      </w:pPr>
      <w:r>
        <w:rPr>
          <w:rFonts w:cs="Times New Roman"/>
          <w:bCs/>
          <w:color w:val="000000" w:themeColor="text1"/>
          <w:szCs w:val="24"/>
          <w:highlight w:val="none"/>
          <w14:textFill>
            <w14:solidFill>
              <w14:schemeClr w14:val="tx1"/>
            </w14:solidFill>
          </w14:textFill>
        </w:rPr>
        <w:t>1）基本水质因子和特殊水质因子进行评价地下水现状评价，评价结果见</w:t>
      </w:r>
      <w:r>
        <w:rPr>
          <w:rFonts w:hint="eastAsia" w:cs="Times New Roman"/>
          <w:bCs/>
          <w:color w:val="000000" w:themeColor="text1"/>
          <w:szCs w:val="24"/>
          <w:highlight w:val="none"/>
          <w14:textFill>
            <w14:solidFill>
              <w14:schemeClr w14:val="tx1"/>
            </w14:solidFill>
          </w14:textFill>
        </w:rPr>
        <w:t>表4</w:t>
      </w:r>
      <w:r>
        <w:rPr>
          <w:rFonts w:cs="Times New Roman"/>
          <w:bCs/>
          <w:color w:val="000000" w:themeColor="text1"/>
          <w:szCs w:val="24"/>
          <w:highlight w:val="none"/>
          <w14:textFill>
            <w14:solidFill>
              <w14:schemeClr w14:val="tx1"/>
            </w14:solidFill>
          </w14:textFill>
        </w:rPr>
        <w:t>.2-8。</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11</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区域地下水质量现状监测结果</w:t>
      </w:r>
      <w:r>
        <w:rPr>
          <w:color w:val="000000" w:themeColor="text1"/>
          <w:highlight w:val="none"/>
          <w14:textFill>
            <w14:solidFill>
              <w14:schemeClr w14:val="tx1"/>
            </w14:solidFill>
          </w14:textFill>
        </w:rPr>
        <w:t>单位：mg/L</w:t>
      </w:r>
    </w:p>
    <w:tbl>
      <w:tblPr>
        <w:tblStyle w:val="4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02"/>
        <w:gridCol w:w="1145"/>
        <w:gridCol w:w="1145"/>
        <w:gridCol w:w="1145"/>
        <w:gridCol w:w="1143"/>
        <w:gridCol w:w="1143"/>
        <w:gridCol w:w="1143"/>
        <w:gridCol w:w="1143"/>
        <w:gridCol w:w="1143"/>
        <w:gridCol w:w="1120"/>
        <w:gridCol w:w="802"/>
        <w:gridCol w:w="802"/>
        <w:gridCol w:w="7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565" w:type="pct"/>
            <w:shd w:val="clear" w:color="auto" w:fill="auto"/>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监测因子</w:t>
            </w:r>
          </w:p>
        </w:tc>
        <w:tc>
          <w:tcPr>
            <w:tcW w:w="404" w:type="pct"/>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w:t>
            </w:r>
          </w:p>
        </w:tc>
        <w:tc>
          <w:tcPr>
            <w:tcW w:w="404" w:type="pct"/>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2#</w:t>
            </w:r>
          </w:p>
        </w:tc>
        <w:tc>
          <w:tcPr>
            <w:tcW w:w="404" w:type="pct"/>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3#</w:t>
            </w:r>
          </w:p>
        </w:tc>
        <w:tc>
          <w:tcPr>
            <w:tcW w:w="403" w:type="pct"/>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4#</w:t>
            </w:r>
          </w:p>
        </w:tc>
        <w:tc>
          <w:tcPr>
            <w:tcW w:w="403" w:type="pct"/>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5#</w:t>
            </w:r>
          </w:p>
        </w:tc>
        <w:tc>
          <w:tcPr>
            <w:tcW w:w="403" w:type="pct"/>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6#</w:t>
            </w:r>
          </w:p>
        </w:tc>
        <w:tc>
          <w:tcPr>
            <w:tcW w:w="403" w:type="pct"/>
            <w:shd w:val="clear" w:color="auto" w:fill="auto"/>
            <w:vAlign w:val="center"/>
          </w:tcPr>
          <w:p>
            <w:pPr>
              <w:pStyle w:val="118"/>
              <w:rPr>
                <w:rFonts w:ascii="宋体" w:hAnsi="宋体"/>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最大值</w:t>
            </w:r>
          </w:p>
        </w:tc>
        <w:tc>
          <w:tcPr>
            <w:tcW w:w="403" w:type="pct"/>
            <w:shd w:val="clear" w:color="auto" w:fill="auto"/>
            <w:vAlign w:val="center"/>
          </w:tcPr>
          <w:p>
            <w:pPr>
              <w:pStyle w:val="118"/>
              <w:rPr>
                <w:rFonts w:ascii="宋体" w:hAnsi="宋体"/>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最小值</w:t>
            </w:r>
          </w:p>
        </w:tc>
        <w:tc>
          <w:tcPr>
            <w:tcW w:w="395" w:type="pct"/>
            <w:shd w:val="clear" w:color="auto" w:fill="auto"/>
            <w:vAlign w:val="center"/>
          </w:tcPr>
          <w:p>
            <w:pPr>
              <w:pStyle w:val="118"/>
              <w:rPr>
                <w:rFonts w:ascii="宋体" w:hAnsi="宋体"/>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标准值</w:t>
            </w:r>
          </w:p>
        </w:tc>
        <w:tc>
          <w:tcPr>
            <w:tcW w:w="283" w:type="pct"/>
            <w:shd w:val="clear" w:color="auto" w:fill="auto"/>
            <w:vAlign w:val="center"/>
          </w:tcPr>
          <w:p>
            <w:pPr>
              <w:pStyle w:val="118"/>
              <w:rPr>
                <w:rFonts w:ascii="宋体" w:hAnsi="宋体"/>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最大标准指数</w:t>
            </w:r>
          </w:p>
        </w:tc>
        <w:tc>
          <w:tcPr>
            <w:tcW w:w="283" w:type="pct"/>
            <w:shd w:val="clear" w:color="auto" w:fill="auto"/>
            <w:vAlign w:val="center"/>
          </w:tcPr>
          <w:p>
            <w:pPr>
              <w:pStyle w:val="118"/>
              <w:rPr>
                <w:rFonts w:ascii="宋体" w:hAnsi="宋体"/>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最小标准指数</w:t>
            </w:r>
          </w:p>
        </w:tc>
        <w:tc>
          <w:tcPr>
            <w:tcW w:w="247" w:type="pct"/>
            <w:shd w:val="clear" w:color="auto" w:fill="auto"/>
            <w:vAlign w:val="center"/>
          </w:tcPr>
          <w:p>
            <w:pPr>
              <w:pStyle w:val="118"/>
              <w:rPr>
                <w:rFonts w:ascii="宋体" w:hAnsi="宋体"/>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超标率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5"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pH</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7.6</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7.4</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7.6</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7.4</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7.6</w:t>
            </w:r>
          </w:p>
        </w:tc>
        <w:tc>
          <w:tcPr>
            <w:tcW w:w="403"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7.6</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7.6</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7.4</w:t>
            </w:r>
          </w:p>
        </w:tc>
        <w:tc>
          <w:tcPr>
            <w:tcW w:w="395"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6.5~8.5</w:t>
            </w:r>
          </w:p>
        </w:tc>
        <w:tc>
          <w:tcPr>
            <w:tcW w:w="28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0.40</w:t>
            </w:r>
          </w:p>
        </w:tc>
        <w:tc>
          <w:tcPr>
            <w:tcW w:w="28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0.27</w:t>
            </w:r>
          </w:p>
        </w:tc>
        <w:tc>
          <w:tcPr>
            <w:tcW w:w="247"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5" w:type="pct"/>
            <w:shd w:val="clear" w:color="auto" w:fill="auto"/>
            <w:vAlign w:val="center"/>
          </w:tcPr>
          <w:p>
            <w:pPr>
              <w:pStyle w:val="118"/>
              <w:rPr>
                <w:rFonts w:ascii="宋体" w:hAnsi="宋体"/>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总硬度</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210</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206</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195</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190</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208</w:t>
            </w:r>
          </w:p>
        </w:tc>
        <w:tc>
          <w:tcPr>
            <w:tcW w:w="403"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227</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227</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180</w:t>
            </w:r>
          </w:p>
        </w:tc>
        <w:tc>
          <w:tcPr>
            <w:tcW w:w="395"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≤450</w:t>
            </w:r>
          </w:p>
        </w:tc>
        <w:tc>
          <w:tcPr>
            <w:tcW w:w="28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r>
              <w:rPr>
                <w:rFonts w:hint="eastAsia"/>
                <w:color w:val="000000" w:themeColor="text1"/>
                <w:highlight w:val="none"/>
                <w14:textFill>
                  <w14:solidFill>
                    <w14:schemeClr w14:val="tx1"/>
                  </w14:solidFill>
                </w14:textFill>
              </w:rPr>
              <w:t>50</w:t>
            </w:r>
          </w:p>
        </w:tc>
        <w:tc>
          <w:tcPr>
            <w:tcW w:w="28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0.40</w:t>
            </w:r>
          </w:p>
        </w:tc>
        <w:tc>
          <w:tcPr>
            <w:tcW w:w="247"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5" w:type="pct"/>
            <w:shd w:val="clear" w:color="auto" w:fill="auto"/>
            <w:vAlign w:val="center"/>
          </w:tcPr>
          <w:p>
            <w:pPr>
              <w:pStyle w:val="118"/>
              <w:rPr>
                <w:rFonts w:ascii="宋体" w:hAnsi="宋体"/>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溶解性总固体</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240</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216</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220</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205</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217</w:t>
            </w:r>
          </w:p>
        </w:tc>
        <w:tc>
          <w:tcPr>
            <w:tcW w:w="403"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251</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251</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205</w:t>
            </w:r>
          </w:p>
        </w:tc>
        <w:tc>
          <w:tcPr>
            <w:tcW w:w="395"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≤1000</w:t>
            </w:r>
          </w:p>
        </w:tc>
        <w:tc>
          <w:tcPr>
            <w:tcW w:w="28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0.2</w:t>
            </w:r>
            <w:r>
              <w:rPr>
                <w:rFonts w:hint="eastAsia"/>
                <w:color w:val="000000" w:themeColor="text1"/>
                <w:highlight w:val="none"/>
                <w14:textFill>
                  <w14:solidFill>
                    <w14:schemeClr w14:val="tx1"/>
                  </w14:solidFill>
                </w14:textFill>
              </w:rPr>
              <w:t>5</w:t>
            </w:r>
          </w:p>
        </w:tc>
        <w:tc>
          <w:tcPr>
            <w:tcW w:w="28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0.21</w:t>
            </w:r>
          </w:p>
        </w:tc>
        <w:tc>
          <w:tcPr>
            <w:tcW w:w="247"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5" w:type="pct"/>
            <w:shd w:val="clear" w:color="auto" w:fill="auto"/>
            <w:vAlign w:val="center"/>
          </w:tcPr>
          <w:p>
            <w:pPr>
              <w:pStyle w:val="118"/>
              <w:rPr>
                <w:rFonts w:ascii="宋体" w:hAnsi="宋体"/>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耗氧量</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2.07</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1.78</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2.51</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2.16</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2.68</w:t>
            </w:r>
          </w:p>
        </w:tc>
        <w:tc>
          <w:tcPr>
            <w:tcW w:w="403"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1.40</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2.68</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40</w:t>
            </w:r>
          </w:p>
        </w:tc>
        <w:tc>
          <w:tcPr>
            <w:tcW w:w="395"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≤3.0</w:t>
            </w:r>
          </w:p>
        </w:tc>
        <w:tc>
          <w:tcPr>
            <w:tcW w:w="28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0.89</w:t>
            </w:r>
          </w:p>
        </w:tc>
        <w:tc>
          <w:tcPr>
            <w:tcW w:w="28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r>
              <w:rPr>
                <w:rFonts w:hint="eastAsia"/>
                <w:color w:val="000000" w:themeColor="text1"/>
                <w:highlight w:val="none"/>
                <w14:textFill>
                  <w14:solidFill>
                    <w14:schemeClr w14:val="tx1"/>
                  </w14:solidFill>
                </w14:textFill>
              </w:rPr>
              <w:t>47</w:t>
            </w:r>
          </w:p>
        </w:tc>
        <w:tc>
          <w:tcPr>
            <w:tcW w:w="247"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5" w:type="pct"/>
            <w:shd w:val="clear" w:color="auto" w:fill="auto"/>
            <w:vAlign w:val="center"/>
          </w:tcPr>
          <w:p>
            <w:pPr>
              <w:pStyle w:val="118"/>
              <w:rPr>
                <w:rFonts w:ascii="宋体" w:hAnsi="宋体"/>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氨氮</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0.272</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0.38</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0.408</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0.334</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0.431</w:t>
            </w:r>
          </w:p>
        </w:tc>
        <w:tc>
          <w:tcPr>
            <w:tcW w:w="403"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0.284</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0.408</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0.272</w:t>
            </w:r>
          </w:p>
        </w:tc>
        <w:tc>
          <w:tcPr>
            <w:tcW w:w="395"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≤0.5</w:t>
            </w:r>
          </w:p>
        </w:tc>
        <w:tc>
          <w:tcPr>
            <w:tcW w:w="28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0.86</w:t>
            </w:r>
          </w:p>
        </w:tc>
        <w:tc>
          <w:tcPr>
            <w:tcW w:w="28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0.54</w:t>
            </w:r>
          </w:p>
        </w:tc>
        <w:tc>
          <w:tcPr>
            <w:tcW w:w="247"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5" w:type="pct"/>
            <w:shd w:val="clear" w:color="auto" w:fill="auto"/>
            <w:vAlign w:val="center"/>
          </w:tcPr>
          <w:p>
            <w:pPr>
              <w:pStyle w:val="118"/>
              <w:rPr>
                <w:rFonts w:ascii="宋体" w:hAnsi="宋体"/>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硝酸盐氮</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3.48</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1.3</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2.48</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1.25</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0.237</w:t>
            </w:r>
          </w:p>
        </w:tc>
        <w:tc>
          <w:tcPr>
            <w:tcW w:w="403"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3.65</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r>
              <w:rPr>
                <w:rFonts w:hint="eastAsia"/>
                <w:color w:val="000000" w:themeColor="text1"/>
                <w:highlight w:val="none"/>
                <w14:textFill>
                  <w14:solidFill>
                    <w14:schemeClr w14:val="tx1"/>
                  </w14:solidFill>
                </w14:textFill>
              </w:rPr>
              <w:t>64</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0.237</w:t>
            </w:r>
          </w:p>
        </w:tc>
        <w:tc>
          <w:tcPr>
            <w:tcW w:w="395"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w:t>
            </w:r>
          </w:p>
        </w:tc>
        <w:tc>
          <w:tcPr>
            <w:tcW w:w="28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0.1</w:t>
            </w:r>
            <w:r>
              <w:rPr>
                <w:rFonts w:hint="eastAsia"/>
                <w:color w:val="000000" w:themeColor="text1"/>
                <w:highlight w:val="none"/>
                <w14:textFill>
                  <w14:solidFill>
                    <w14:schemeClr w14:val="tx1"/>
                  </w14:solidFill>
                </w14:textFill>
              </w:rPr>
              <w:t>8</w:t>
            </w:r>
          </w:p>
        </w:tc>
        <w:tc>
          <w:tcPr>
            <w:tcW w:w="28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0.01</w:t>
            </w:r>
          </w:p>
        </w:tc>
        <w:tc>
          <w:tcPr>
            <w:tcW w:w="247"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5" w:type="pct"/>
            <w:shd w:val="clear" w:color="auto" w:fill="auto"/>
            <w:vAlign w:val="center"/>
          </w:tcPr>
          <w:p>
            <w:pPr>
              <w:pStyle w:val="118"/>
              <w:rPr>
                <w:rFonts w:ascii="宋体" w:hAnsi="宋体"/>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亚硝酸盐氮</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403"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0.004</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r>
              <w:rPr>
                <w:rFonts w:hint="eastAsia"/>
                <w:color w:val="000000" w:themeColor="text1"/>
                <w:highlight w:val="none"/>
                <w14:textFill>
                  <w14:solidFill>
                    <w14:schemeClr w14:val="tx1"/>
                  </w14:solidFill>
                </w14:textFill>
              </w:rPr>
              <w:t>.004</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395"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283"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0.004</w:t>
            </w:r>
          </w:p>
        </w:tc>
        <w:tc>
          <w:tcPr>
            <w:tcW w:w="28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247"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5" w:type="pct"/>
            <w:shd w:val="clear" w:color="auto" w:fill="auto"/>
            <w:vAlign w:val="center"/>
          </w:tcPr>
          <w:p>
            <w:pPr>
              <w:pStyle w:val="118"/>
              <w:rPr>
                <w:rFonts w:ascii="宋体" w:hAnsi="宋体"/>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氟化物</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0.344</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0.449</w:t>
            </w:r>
          </w:p>
        </w:tc>
        <w:tc>
          <w:tcPr>
            <w:tcW w:w="404" w:type="pct"/>
            <w:shd w:val="clear" w:color="auto" w:fill="auto"/>
            <w:vAlign w:val="center"/>
          </w:tcPr>
          <w:p>
            <w:pPr>
              <w:pStyle w:val="11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0.</w:t>
            </w:r>
            <w:r>
              <w:rPr>
                <w:rFonts w:hint="eastAsia"/>
                <w:color w:val="000000" w:themeColor="text1"/>
                <w:highlight w:val="none"/>
                <w:lang w:eastAsia="zh-CN"/>
                <w14:textFill>
                  <w14:solidFill>
                    <w14:schemeClr w14:val="tx1"/>
                  </w14:solidFill>
                </w14:textFill>
              </w:rPr>
              <w:t>**</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0.305</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0.346</w:t>
            </w:r>
          </w:p>
        </w:tc>
        <w:tc>
          <w:tcPr>
            <w:tcW w:w="403" w:type="pct"/>
            <w:vAlign w:val="center"/>
          </w:tcPr>
          <w:p>
            <w:pPr>
              <w:pStyle w:val="118"/>
              <w:rPr>
                <w:rFonts w:eastAsia="等线"/>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0.449</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0.305</w:t>
            </w:r>
          </w:p>
        </w:tc>
        <w:tc>
          <w:tcPr>
            <w:tcW w:w="395"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28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0.45</w:t>
            </w:r>
          </w:p>
        </w:tc>
        <w:tc>
          <w:tcPr>
            <w:tcW w:w="28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0.31</w:t>
            </w:r>
          </w:p>
        </w:tc>
        <w:tc>
          <w:tcPr>
            <w:tcW w:w="247"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5" w:type="pct"/>
            <w:shd w:val="clear" w:color="auto" w:fill="auto"/>
            <w:vAlign w:val="center"/>
          </w:tcPr>
          <w:p>
            <w:pPr>
              <w:pStyle w:val="118"/>
              <w:rPr>
                <w:rFonts w:ascii="宋体" w:hAnsi="宋体"/>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硫酸盐</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26.2</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22.7</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42.1</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22.9</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27.5</w:t>
            </w:r>
          </w:p>
        </w:tc>
        <w:tc>
          <w:tcPr>
            <w:tcW w:w="403"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33.0</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42.1</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22.7</w:t>
            </w:r>
          </w:p>
        </w:tc>
        <w:tc>
          <w:tcPr>
            <w:tcW w:w="395"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≤250</w:t>
            </w:r>
          </w:p>
        </w:tc>
        <w:tc>
          <w:tcPr>
            <w:tcW w:w="28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0.17</w:t>
            </w:r>
          </w:p>
        </w:tc>
        <w:tc>
          <w:tcPr>
            <w:tcW w:w="28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0.09</w:t>
            </w:r>
          </w:p>
        </w:tc>
        <w:tc>
          <w:tcPr>
            <w:tcW w:w="247"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5" w:type="pct"/>
            <w:shd w:val="clear" w:color="auto" w:fill="auto"/>
            <w:vAlign w:val="center"/>
          </w:tcPr>
          <w:p>
            <w:pPr>
              <w:pStyle w:val="118"/>
              <w:rPr>
                <w:rFonts w:ascii="宋体" w:hAnsi="宋体"/>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氯化物</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31.8</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10.3</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36.3</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7.38</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7.45</w:t>
            </w:r>
          </w:p>
        </w:tc>
        <w:tc>
          <w:tcPr>
            <w:tcW w:w="403"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30.2</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36.3</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7.38</w:t>
            </w:r>
          </w:p>
        </w:tc>
        <w:tc>
          <w:tcPr>
            <w:tcW w:w="395"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≤250</w:t>
            </w:r>
          </w:p>
        </w:tc>
        <w:tc>
          <w:tcPr>
            <w:tcW w:w="28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0.15</w:t>
            </w:r>
          </w:p>
        </w:tc>
        <w:tc>
          <w:tcPr>
            <w:tcW w:w="28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0.03</w:t>
            </w:r>
          </w:p>
        </w:tc>
        <w:tc>
          <w:tcPr>
            <w:tcW w:w="247"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5" w:type="pct"/>
            <w:shd w:val="clear" w:color="auto" w:fill="auto"/>
            <w:vAlign w:val="center"/>
          </w:tcPr>
          <w:p>
            <w:pPr>
              <w:pStyle w:val="118"/>
              <w:rPr>
                <w:rFonts w:ascii="宋体" w:hAnsi="宋体"/>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挥发性酚类</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0.0003</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403" w:type="pct"/>
            <w:vAlign w:val="center"/>
          </w:tcPr>
          <w:p>
            <w:pPr>
              <w:pStyle w:val="118"/>
              <w:rPr>
                <w:rFonts w:eastAsia="等线"/>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0.0003</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395"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≤0.002</w:t>
            </w:r>
          </w:p>
        </w:tc>
        <w:tc>
          <w:tcPr>
            <w:tcW w:w="28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0.15</w:t>
            </w:r>
          </w:p>
        </w:tc>
        <w:tc>
          <w:tcPr>
            <w:tcW w:w="28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247"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5" w:type="pct"/>
            <w:shd w:val="clear" w:color="auto" w:fill="auto"/>
            <w:vAlign w:val="center"/>
          </w:tcPr>
          <w:p>
            <w:pPr>
              <w:pStyle w:val="118"/>
              <w:rPr>
                <w:rFonts w:ascii="宋体" w:hAnsi="宋体"/>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氰化物</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&lt;0.002</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&lt;0.002</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&lt;0.002</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&lt;0.002</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&lt;0.002</w:t>
            </w:r>
          </w:p>
        </w:tc>
        <w:tc>
          <w:tcPr>
            <w:tcW w:w="403"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&lt;0.002</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395"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≤0.05</w:t>
            </w:r>
          </w:p>
        </w:tc>
        <w:tc>
          <w:tcPr>
            <w:tcW w:w="28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283" w:type="pct"/>
            <w:shd w:val="clear" w:color="auto" w:fill="auto"/>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247"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5" w:type="pct"/>
            <w:shd w:val="clear" w:color="auto" w:fill="auto"/>
            <w:vAlign w:val="center"/>
          </w:tcPr>
          <w:p>
            <w:pPr>
              <w:pStyle w:val="118"/>
              <w:rPr>
                <w:rFonts w:ascii="宋体" w:hAnsi="宋体"/>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砷（μg/L）</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403" w:type="pct"/>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&lt;0.002</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395"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28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283" w:type="pct"/>
            <w:shd w:val="clear" w:color="auto" w:fill="auto"/>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247"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5" w:type="pct"/>
            <w:shd w:val="clear" w:color="auto" w:fill="auto"/>
            <w:vAlign w:val="center"/>
          </w:tcPr>
          <w:p>
            <w:pPr>
              <w:pStyle w:val="118"/>
              <w:rPr>
                <w:rFonts w:ascii="宋体" w:hAnsi="宋体"/>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汞（μg/L）</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403" w:type="pct"/>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&lt;0.002</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395"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28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283" w:type="pct"/>
            <w:shd w:val="clear" w:color="auto" w:fill="auto"/>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247"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5" w:type="pct"/>
            <w:shd w:val="clear" w:color="auto" w:fill="auto"/>
            <w:vAlign w:val="center"/>
          </w:tcPr>
          <w:p>
            <w:pPr>
              <w:pStyle w:val="118"/>
              <w:rPr>
                <w:rFonts w:ascii="宋体" w:hAnsi="宋体"/>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铬</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六价</w:t>
            </w:r>
            <w:r>
              <w:rPr>
                <w:rFonts w:hint="eastAsia"/>
                <w:color w:val="000000" w:themeColor="text1"/>
                <w:highlight w:val="none"/>
                <w14:textFill>
                  <w14:solidFill>
                    <w14:schemeClr w14:val="tx1"/>
                  </w14:solidFill>
                </w14:textFill>
              </w:rPr>
              <w:t>）</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&lt;0.004</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&lt;0.004</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&lt;0.004</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&lt;0.004</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&lt;0.004</w:t>
            </w:r>
          </w:p>
        </w:tc>
        <w:tc>
          <w:tcPr>
            <w:tcW w:w="403"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&lt;0.004</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395"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≤0.05</w:t>
            </w:r>
          </w:p>
        </w:tc>
        <w:tc>
          <w:tcPr>
            <w:tcW w:w="28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283" w:type="pct"/>
            <w:shd w:val="clear" w:color="auto" w:fill="auto"/>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247"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5" w:type="pct"/>
            <w:shd w:val="clear" w:color="auto" w:fill="auto"/>
            <w:vAlign w:val="center"/>
          </w:tcPr>
          <w:p>
            <w:pPr>
              <w:pStyle w:val="118"/>
              <w:rPr>
                <w:rFonts w:ascii="宋体" w:hAnsi="宋体"/>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铁</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403" w:type="pct"/>
            <w:vAlign w:val="center"/>
          </w:tcPr>
          <w:p>
            <w:pPr>
              <w:pStyle w:val="118"/>
              <w:rPr>
                <w:rFonts w:eastAsia="等线"/>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395"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≤0.3</w:t>
            </w:r>
          </w:p>
        </w:tc>
        <w:tc>
          <w:tcPr>
            <w:tcW w:w="28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283" w:type="pct"/>
            <w:shd w:val="clear" w:color="auto" w:fill="auto"/>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247"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5" w:type="pct"/>
            <w:shd w:val="clear" w:color="auto" w:fill="auto"/>
            <w:vAlign w:val="center"/>
          </w:tcPr>
          <w:p>
            <w:pPr>
              <w:pStyle w:val="118"/>
              <w:rPr>
                <w:rFonts w:ascii="宋体" w:hAnsi="宋体"/>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锰</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403" w:type="pct"/>
            <w:vAlign w:val="center"/>
          </w:tcPr>
          <w:p>
            <w:pPr>
              <w:pStyle w:val="118"/>
              <w:rPr>
                <w:rFonts w:eastAsia="等线"/>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395"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≤0.1</w:t>
            </w:r>
          </w:p>
        </w:tc>
        <w:tc>
          <w:tcPr>
            <w:tcW w:w="28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283" w:type="pct"/>
            <w:shd w:val="clear" w:color="auto" w:fill="auto"/>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247"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5" w:type="pct"/>
            <w:shd w:val="clear" w:color="auto" w:fill="auto"/>
            <w:vAlign w:val="center"/>
          </w:tcPr>
          <w:p>
            <w:pPr>
              <w:pStyle w:val="118"/>
              <w:rPr>
                <w:rFonts w:ascii="宋体" w:hAnsi="宋体"/>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铅（μg/L）</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&lt;1</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&lt;1</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&lt;1</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&lt;1</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&lt;1</w:t>
            </w:r>
          </w:p>
        </w:tc>
        <w:tc>
          <w:tcPr>
            <w:tcW w:w="403"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&lt;1</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395"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≤0.01</w:t>
            </w:r>
          </w:p>
        </w:tc>
        <w:tc>
          <w:tcPr>
            <w:tcW w:w="28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283" w:type="pct"/>
            <w:shd w:val="clear" w:color="auto" w:fill="auto"/>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247"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5" w:type="pct"/>
            <w:shd w:val="clear" w:color="auto" w:fill="auto"/>
            <w:vAlign w:val="center"/>
          </w:tcPr>
          <w:p>
            <w:pPr>
              <w:pStyle w:val="118"/>
              <w:rPr>
                <w:rFonts w:ascii="宋体" w:hAnsi="宋体"/>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镉（μg/L）</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0.2</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&lt;0.1</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&lt;0.1</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&lt;0.1</w:t>
            </w:r>
          </w:p>
        </w:tc>
        <w:tc>
          <w:tcPr>
            <w:tcW w:w="403"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0.3</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395"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c>
          <w:tcPr>
            <w:tcW w:w="28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0.08</w:t>
            </w:r>
          </w:p>
        </w:tc>
        <w:tc>
          <w:tcPr>
            <w:tcW w:w="283" w:type="pct"/>
            <w:shd w:val="clear" w:color="auto" w:fill="auto"/>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247"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5" w:type="pct"/>
            <w:shd w:val="clear" w:color="auto" w:fill="auto"/>
            <w:vAlign w:val="center"/>
          </w:tcPr>
          <w:p>
            <w:pPr>
              <w:pStyle w:val="118"/>
              <w:rPr>
                <w:rFonts w:ascii="宋体" w:hAnsi="宋体"/>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石油类</w:t>
            </w:r>
            <w:r>
              <w:rPr>
                <w:rFonts w:hint="eastAsia"/>
                <w:color w:val="000000" w:themeColor="text1"/>
                <w:highlight w:val="none"/>
                <w14:textFill>
                  <w14:solidFill>
                    <w14:schemeClr w14:val="tx1"/>
                  </w14:solidFill>
                </w14:textFill>
              </w:rPr>
              <w:t>*</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403" w:type="pct"/>
            <w:vAlign w:val="center"/>
          </w:tcPr>
          <w:p>
            <w:pPr>
              <w:pStyle w:val="118"/>
              <w:rPr>
                <w:rFonts w:eastAsia="等线"/>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395" w:type="pct"/>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≤0.05*</w:t>
            </w:r>
          </w:p>
        </w:tc>
        <w:tc>
          <w:tcPr>
            <w:tcW w:w="28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283" w:type="pct"/>
            <w:shd w:val="clear" w:color="auto" w:fill="auto"/>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247"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5" w:type="pct"/>
            <w:shd w:val="clear" w:color="auto" w:fill="auto"/>
            <w:vAlign w:val="center"/>
          </w:tcPr>
          <w:p>
            <w:pPr>
              <w:pStyle w:val="118"/>
              <w:rPr>
                <w:rFonts w:ascii="宋体" w:hAnsi="宋体"/>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总大肠菌群</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&lt;2</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&lt;2</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&lt;2</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&lt;2</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&lt;2</w:t>
            </w:r>
          </w:p>
        </w:tc>
        <w:tc>
          <w:tcPr>
            <w:tcW w:w="403"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&lt;2</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395"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&lt;3个/L</w:t>
            </w:r>
          </w:p>
        </w:tc>
        <w:tc>
          <w:tcPr>
            <w:tcW w:w="28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283" w:type="pct"/>
            <w:shd w:val="clear" w:color="auto" w:fill="auto"/>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247"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5" w:type="pct"/>
            <w:shd w:val="clear" w:color="auto" w:fill="auto"/>
            <w:vAlign w:val="center"/>
          </w:tcPr>
          <w:p>
            <w:pPr>
              <w:pStyle w:val="118"/>
              <w:rPr>
                <w:rFonts w:ascii="宋体" w:hAnsi="宋体"/>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细菌总数</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21</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w:t>
            </w:r>
          </w:p>
        </w:tc>
        <w:tc>
          <w:tcPr>
            <w:tcW w:w="404"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19</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23</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16</w:t>
            </w:r>
          </w:p>
        </w:tc>
        <w:tc>
          <w:tcPr>
            <w:tcW w:w="403"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w:t>
            </w:r>
          </w:p>
        </w:tc>
        <w:tc>
          <w:tcPr>
            <w:tcW w:w="403" w:type="pct"/>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w:t>
            </w:r>
          </w:p>
        </w:tc>
        <w:tc>
          <w:tcPr>
            <w:tcW w:w="395" w:type="pct"/>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≤100个/L</w:t>
            </w:r>
          </w:p>
        </w:tc>
        <w:tc>
          <w:tcPr>
            <w:tcW w:w="28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0.25</w:t>
            </w:r>
          </w:p>
        </w:tc>
        <w:tc>
          <w:tcPr>
            <w:tcW w:w="283"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r>
              <w:rPr>
                <w:rFonts w:hint="eastAsia"/>
                <w:color w:val="000000" w:themeColor="text1"/>
                <w:highlight w:val="none"/>
                <w14:textFill>
                  <w14:solidFill>
                    <w14:schemeClr w14:val="tx1"/>
                  </w14:solidFill>
                </w14:textFill>
              </w:rPr>
              <w:t>09</w:t>
            </w:r>
          </w:p>
        </w:tc>
        <w:tc>
          <w:tcPr>
            <w:tcW w:w="247" w:type="pct"/>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r>
    </w:tbl>
    <w:p>
      <w:pPr>
        <w:pStyle w:val="14"/>
        <w:rPr>
          <w:color w:val="000000" w:themeColor="text1"/>
          <w:highlight w:val="none"/>
          <w14:textFill>
            <w14:solidFill>
              <w14:schemeClr w14:val="tx1"/>
            </w14:solidFill>
          </w14:textFill>
        </w:rPr>
        <w:sectPr>
          <w:pgSz w:w="16840" w:h="11910" w:orient="landscape"/>
          <w:pgMar w:top="1800" w:right="1440" w:bottom="1800" w:left="1440" w:header="964" w:footer="964" w:gutter="0"/>
          <w:cols w:space="720" w:num="1"/>
          <w:docGrid w:linePitch="326" w:charSpace="0"/>
        </w:sectPr>
      </w:pPr>
      <w:r>
        <w:rPr>
          <w:color w:val="000000" w:themeColor="text1"/>
          <w:highlight w:val="none"/>
          <w14:textFill>
            <w14:solidFill>
              <w14:schemeClr w14:val="tx1"/>
            </w14:solidFill>
          </w14:textFill>
        </w:rPr>
        <w:t>注：“*”为参考地表水标准。</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由上表可见，项目区域地下水现状监测指标均未超过《地下水质量标准》（GB/T14848-2017）中的Ⅲ类标准限值要求，可知项目建设未对区域地下水环境造成不利影响。本项目所在地区地下水质量总体上良好，施工期间应加强项目建设期间的</w:t>
      </w:r>
      <w:r>
        <w:rPr>
          <w:rFonts w:hint="eastAsia" w:cs="Times New Roman"/>
          <w:bCs/>
          <w:color w:val="000000" w:themeColor="text1"/>
          <w:szCs w:val="24"/>
          <w:highlight w:val="none"/>
          <w14:textFill>
            <w14:solidFill>
              <w14:schemeClr w14:val="tx1"/>
            </w14:solidFill>
          </w14:textFill>
        </w:rPr>
        <w:t>水污染治理</w:t>
      </w:r>
      <w:r>
        <w:rPr>
          <w:rFonts w:cs="Times New Roman"/>
          <w:bCs/>
          <w:color w:val="000000" w:themeColor="text1"/>
          <w:szCs w:val="24"/>
          <w:highlight w:val="none"/>
          <w14:textFill>
            <w14:solidFill>
              <w14:schemeClr w14:val="tx1"/>
            </w14:solidFill>
          </w14:textFill>
        </w:rPr>
        <w:t>工作，杜绝跑冒滴漏和做好防渗，避免对项目周围地下水的污染。</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2）地下水化学类型分类</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根据评价方法中介绍的使用舒卡列夫法对地下水类型进行分类，需要找到主要离子中含量大于25%毫克当量的阴离子及阳离子进行组合，计算各水样的矿化度，计算结果见</w:t>
      </w:r>
      <w:r>
        <w:rPr>
          <w:rFonts w:cs="Times New Roman"/>
          <w:bCs/>
          <w:color w:val="000000" w:themeColor="text1"/>
          <w:szCs w:val="24"/>
          <w:highlight w:val="none"/>
          <w14:textFill>
            <w14:solidFill>
              <w14:schemeClr w14:val="tx1"/>
            </w14:solidFill>
          </w14:textFill>
        </w:rPr>
        <w:fldChar w:fldCharType="begin"/>
      </w:r>
      <w:r>
        <w:rPr>
          <w:rFonts w:cs="Times New Roman"/>
          <w:bCs/>
          <w:color w:val="000000" w:themeColor="text1"/>
          <w:szCs w:val="24"/>
          <w:highlight w:val="none"/>
          <w14:textFill>
            <w14:solidFill>
              <w14:schemeClr w14:val="tx1"/>
            </w14:solidFill>
          </w14:textFill>
        </w:rPr>
        <w:instrText xml:space="preserve"> REF _Ref142600232 \h  \* MERGEFORMAT </w:instrText>
      </w:r>
      <w:r>
        <w:rPr>
          <w:rFonts w:cs="Times New Roman"/>
          <w:bCs/>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12</w:t>
      </w:r>
      <w:r>
        <w:rPr>
          <w:rFonts w:cs="Times New Roman"/>
          <w:bCs/>
          <w:color w:val="000000" w:themeColor="text1"/>
          <w:szCs w:val="24"/>
          <w:highlight w:val="none"/>
          <w14:textFill>
            <w14:solidFill>
              <w14:schemeClr w14:val="tx1"/>
            </w14:solidFill>
          </w14:textFill>
        </w:rPr>
        <w:fldChar w:fldCharType="end"/>
      </w:r>
      <w:r>
        <w:rPr>
          <w:rFonts w:cs="Times New Roman"/>
          <w:bCs/>
          <w:color w:val="000000" w:themeColor="text1"/>
          <w:szCs w:val="24"/>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bookmarkStart w:id="233" w:name="_Ref142600232"/>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12</w:t>
      </w:r>
      <w:r>
        <w:rPr>
          <w:color w:val="000000" w:themeColor="text1"/>
          <w:highlight w:val="none"/>
          <w14:textFill>
            <w14:solidFill>
              <w14:schemeClr w14:val="tx1"/>
            </w14:solidFill>
          </w14:textFill>
        </w:rPr>
        <w:fldChar w:fldCharType="end"/>
      </w:r>
      <w:bookmarkEnd w:id="233"/>
      <w:r>
        <w:rPr>
          <w:rFonts w:hint="eastAsia"/>
          <w:color w:val="000000" w:themeColor="text1"/>
          <w:highlight w:val="none"/>
          <w14:textFill>
            <w14:solidFill>
              <w14:schemeClr w14:val="tx1"/>
            </w14:solidFill>
          </w14:textFill>
        </w:rPr>
        <w:t>区域地下水阴阳离子含量比例及各水样矿化度一览表</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2714"/>
        <w:gridCol w:w="927"/>
        <w:gridCol w:w="1031"/>
        <w:gridCol w:w="855"/>
        <w:gridCol w:w="828"/>
        <w:gridCol w:w="1004"/>
        <w:gridCol w:w="10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622" w:type="pct"/>
            <w:vMerge w:val="restart"/>
            <w:vAlign w:val="center"/>
          </w:tcPr>
          <w:p>
            <w:pPr>
              <w:widowControl/>
              <w:spacing w:line="240" w:lineRule="auto"/>
              <w:ind w:firstLine="0" w:firstLineChars="0"/>
              <w:jc w:val="center"/>
              <w:rPr>
                <w:rFonts w:cs="Times New Roman"/>
                <w:b/>
                <w:bCs/>
                <w:color w:val="000000" w:themeColor="text1"/>
                <w:kern w:val="0"/>
                <w:sz w:val="21"/>
                <w:szCs w:val="21"/>
                <w:highlight w:val="none"/>
                <w:lang w:eastAsia="en-US"/>
                <w14:textFill>
                  <w14:solidFill>
                    <w14:schemeClr w14:val="tx1"/>
                  </w14:solidFill>
                </w14:textFill>
              </w:rPr>
            </w:pPr>
            <w:r>
              <w:rPr>
                <w:rFonts w:cs="Times New Roman"/>
                <w:b/>
                <w:bCs/>
                <w:color w:val="000000" w:themeColor="text1"/>
                <w:kern w:val="0"/>
                <w:sz w:val="21"/>
                <w:szCs w:val="21"/>
                <w:highlight w:val="none"/>
                <w:lang w:eastAsia="en-US"/>
                <w14:textFill>
                  <w14:solidFill>
                    <w14:schemeClr w14:val="tx1"/>
                  </w14:solidFill>
                </w14:textFill>
              </w:rPr>
              <w:t>监测因子</w:t>
            </w:r>
          </w:p>
        </w:tc>
        <w:tc>
          <w:tcPr>
            <w:tcW w:w="3378" w:type="pct"/>
            <w:gridSpan w:val="6"/>
            <w:vAlign w:val="center"/>
          </w:tcPr>
          <w:p>
            <w:pPr>
              <w:widowControl/>
              <w:spacing w:line="240" w:lineRule="auto"/>
              <w:ind w:firstLine="0" w:firstLineChars="0"/>
              <w:jc w:val="center"/>
              <w:rPr>
                <w:rFonts w:cs="Times New Roman"/>
                <w:b/>
                <w:bCs/>
                <w:color w:val="000000" w:themeColor="text1"/>
                <w:kern w:val="0"/>
                <w:sz w:val="21"/>
                <w:szCs w:val="21"/>
                <w:highlight w:val="none"/>
                <w14:textFill>
                  <w14:solidFill>
                    <w14:schemeClr w14:val="tx1"/>
                  </w14:solidFill>
                </w14:textFill>
              </w:rPr>
            </w:pPr>
            <w:r>
              <w:rPr>
                <w:rFonts w:cs="Times New Roman"/>
                <w:b/>
                <w:bCs/>
                <w:color w:val="000000" w:themeColor="text1"/>
                <w:kern w:val="0"/>
                <w:sz w:val="21"/>
                <w:szCs w:val="21"/>
                <w:highlight w:val="none"/>
                <w14:textFill>
                  <w14:solidFill>
                    <w14:schemeClr w14:val="tx1"/>
                  </w14:solidFill>
                </w14:textFill>
              </w:rPr>
              <w:t>监测点位及时间、监测结果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622" w:type="pct"/>
            <w:vMerge w:val="continue"/>
            <w:vAlign w:val="center"/>
          </w:tcPr>
          <w:p>
            <w:pPr>
              <w:widowControl/>
              <w:spacing w:line="240" w:lineRule="auto"/>
              <w:ind w:firstLine="0" w:firstLineChars="0"/>
              <w:jc w:val="center"/>
              <w:rPr>
                <w:rFonts w:cs="Times New Roman"/>
                <w:b/>
                <w:bCs/>
                <w:color w:val="000000" w:themeColor="text1"/>
                <w:kern w:val="0"/>
                <w:sz w:val="21"/>
                <w:szCs w:val="21"/>
                <w:highlight w:val="none"/>
                <w14:textFill>
                  <w14:solidFill>
                    <w14:schemeClr w14:val="tx1"/>
                  </w14:solidFill>
                </w14:textFill>
              </w:rPr>
            </w:pPr>
          </w:p>
        </w:tc>
        <w:tc>
          <w:tcPr>
            <w:tcW w:w="554" w:type="pct"/>
            <w:vAlign w:val="center"/>
          </w:tcPr>
          <w:p>
            <w:pPr>
              <w:widowControl/>
              <w:spacing w:line="240" w:lineRule="auto"/>
              <w:ind w:firstLine="0" w:firstLineChars="0"/>
              <w:jc w:val="center"/>
              <w:rPr>
                <w:rFonts w:cs="Times New Roman"/>
                <w:b/>
                <w:bCs/>
                <w:color w:val="000000" w:themeColor="text1"/>
                <w:kern w:val="0"/>
                <w:sz w:val="21"/>
                <w:szCs w:val="21"/>
                <w:highlight w:val="none"/>
                <w:lang w:eastAsia="en-US"/>
                <w14:textFill>
                  <w14:solidFill>
                    <w14:schemeClr w14:val="tx1"/>
                  </w14:solidFill>
                </w14:textFill>
              </w:rPr>
            </w:pPr>
            <w:r>
              <w:rPr>
                <w:rFonts w:cs="Times New Roman"/>
                <w:b/>
                <w:bCs/>
                <w:color w:val="000000" w:themeColor="text1"/>
                <w:kern w:val="0"/>
                <w:sz w:val="21"/>
                <w:szCs w:val="21"/>
                <w:highlight w:val="none"/>
                <w:lang w:eastAsia="en-US"/>
                <w14:textFill>
                  <w14:solidFill>
                    <w14:schemeClr w14:val="tx1"/>
                  </w14:solidFill>
                </w14:textFill>
              </w:rPr>
              <w:t>1#</w:t>
            </w:r>
          </w:p>
        </w:tc>
        <w:tc>
          <w:tcPr>
            <w:tcW w:w="616" w:type="pct"/>
            <w:vAlign w:val="center"/>
          </w:tcPr>
          <w:p>
            <w:pPr>
              <w:widowControl/>
              <w:spacing w:line="240" w:lineRule="auto"/>
              <w:ind w:firstLine="0" w:firstLineChars="0"/>
              <w:jc w:val="center"/>
              <w:rPr>
                <w:rFonts w:cs="Times New Roman"/>
                <w:b/>
                <w:bCs/>
                <w:color w:val="000000" w:themeColor="text1"/>
                <w:kern w:val="0"/>
                <w:sz w:val="21"/>
                <w:szCs w:val="21"/>
                <w:highlight w:val="none"/>
                <w:lang w:eastAsia="en-US"/>
                <w14:textFill>
                  <w14:solidFill>
                    <w14:schemeClr w14:val="tx1"/>
                  </w14:solidFill>
                </w14:textFill>
              </w:rPr>
            </w:pPr>
            <w:r>
              <w:rPr>
                <w:rFonts w:cs="Times New Roman"/>
                <w:b/>
                <w:bCs/>
                <w:color w:val="000000" w:themeColor="text1"/>
                <w:kern w:val="0"/>
                <w:sz w:val="21"/>
                <w:szCs w:val="21"/>
                <w:highlight w:val="none"/>
                <w:lang w:eastAsia="en-US"/>
                <w14:textFill>
                  <w14:solidFill>
                    <w14:schemeClr w14:val="tx1"/>
                  </w14:solidFill>
                </w14:textFill>
              </w:rPr>
              <w:t>2#</w:t>
            </w:r>
          </w:p>
        </w:tc>
        <w:tc>
          <w:tcPr>
            <w:tcW w:w="511" w:type="pct"/>
            <w:vAlign w:val="center"/>
          </w:tcPr>
          <w:p>
            <w:pPr>
              <w:widowControl/>
              <w:spacing w:line="240" w:lineRule="auto"/>
              <w:ind w:firstLine="0" w:firstLineChars="0"/>
              <w:jc w:val="center"/>
              <w:rPr>
                <w:rFonts w:cs="Times New Roman"/>
                <w:b/>
                <w:bCs/>
                <w:color w:val="000000" w:themeColor="text1"/>
                <w:kern w:val="0"/>
                <w:sz w:val="21"/>
                <w:szCs w:val="21"/>
                <w:highlight w:val="none"/>
                <w:lang w:eastAsia="en-US"/>
                <w14:textFill>
                  <w14:solidFill>
                    <w14:schemeClr w14:val="tx1"/>
                  </w14:solidFill>
                </w14:textFill>
              </w:rPr>
            </w:pPr>
            <w:r>
              <w:rPr>
                <w:rFonts w:cs="Times New Roman"/>
                <w:b/>
                <w:bCs/>
                <w:color w:val="000000" w:themeColor="text1"/>
                <w:kern w:val="0"/>
                <w:sz w:val="21"/>
                <w:szCs w:val="21"/>
                <w:highlight w:val="none"/>
                <w:lang w:eastAsia="en-US"/>
                <w14:textFill>
                  <w14:solidFill>
                    <w14:schemeClr w14:val="tx1"/>
                  </w14:solidFill>
                </w14:textFill>
              </w:rPr>
              <w:t>3#</w:t>
            </w:r>
          </w:p>
        </w:tc>
        <w:tc>
          <w:tcPr>
            <w:tcW w:w="495" w:type="pct"/>
            <w:vAlign w:val="center"/>
          </w:tcPr>
          <w:p>
            <w:pPr>
              <w:widowControl/>
              <w:spacing w:line="240" w:lineRule="auto"/>
              <w:ind w:firstLine="0" w:firstLineChars="0"/>
              <w:jc w:val="center"/>
              <w:rPr>
                <w:rFonts w:cs="Times New Roman"/>
                <w:b/>
                <w:bCs/>
                <w:color w:val="000000" w:themeColor="text1"/>
                <w:kern w:val="0"/>
                <w:sz w:val="21"/>
                <w:szCs w:val="21"/>
                <w:highlight w:val="none"/>
                <w:lang w:eastAsia="en-US"/>
                <w14:textFill>
                  <w14:solidFill>
                    <w14:schemeClr w14:val="tx1"/>
                  </w14:solidFill>
                </w14:textFill>
              </w:rPr>
            </w:pPr>
            <w:r>
              <w:rPr>
                <w:rFonts w:cs="Times New Roman"/>
                <w:b/>
                <w:bCs/>
                <w:color w:val="000000" w:themeColor="text1"/>
                <w:kern w:val="0"/>
                <w:sz w:val="21"/>
                <w:szCs w:val="21"/>
                <w:highlight w:val="none"/>
                <w:lang w:eastAsia="en-US"/>
                <w14:textFill>
                  <w14:solidFill>
                    <w14:schemeClr w14:val="tx1"/>
                  </w14:solidFill>
                </w14:textFill>
              </w:rPr>
              <w:t>4#</w:t>
            </w:r>
          </w:p>
        </w:tc>
        <w:tc>
          <w:tcPr>
            <w:tcW w:w="600" w:type="pct"/>
            <w:vAlign w:val="center"/>
          </w:tcPr>
          <w:p>
            <w:pPr>
              <w:widowControl/>
              <w:spacing w:line="240" w:lineRule="auto"/>
              <w:ind w:firstLine="0" w:firstLineChars="0"/>
              <w:jc w:val="center"/>
              <w:rPr>
                <w:rFonts w:cs="Times New Roman"/>
                <w:b/>
                <w:bCs/>
                <w:color w:val="000000" w:themeColor="text1"/>
                <w:kern w:val="0"/>
                <w:sz w:val="21"/>
                <w:szCs w:val="21"/>
                <w:highlight w:val="none"/>
                <w:lang w:eastAsia="en-US"/>
                <w14:textFill>
                  <w14:solidFill>
                    <w14:schemeClr w14:val="tx1"/>
                  </w14:solidFill>
                </w14:textFill>
              </w:rPr>
            </w:pPr>
            <w:r>
              <w:rPr>
                <w:rFonts w:cs="Times New Roman"/>
                <w:b/>
                <w:bCs/>
                <w:color w:val="000000" w:themeColor="text1"/>
                <w:kern w:val="0"/>
                <w:sz w:val="21"/>
                <w:szCs w:val="21"/>
                <w:highlight w:val="none"/>
                <w:lang w:eastAsia="en-US"/>
                <w14:textFill>
                  <w14:solidFill>
                    <w14:schemeClr w14:val="tx1"/>
                  </w14:solidFill>
                </w14:textFill>
              </w:rPr>
              <w:t>5#</w:t>
            </w:r>
          </w:p>
        </w:tc>
        <w:tc>
          <w:tcPr>
            <w:tcW w:w="603" w:type="pct"/>
          </w:tcPr>
          <w:p>
            <w:pPr>
              <w:widowControl/>
              <w:spacing w:line="240" w:lineRule="auto"/>
              <w:ind w:firstLine="0" w:firstLineChars="0"/>
              <w:jc w:val="center"/>
              <w:rPr>
                <w:rFonts w:cs="Times New Roman"/>
                <w:b/>
                <w:bCs/>
                <w:color w:val="000000" w:themeColor="text1"/>
                <w:kern w:val="0"/>
                <w:sz w:val="21"/>
                <w:szCs w:val="21"/>
                <w:highlight w:val="none"/>
                <w14:textFill>
                  <w14:solidFill>
                    <w14:schemeClr w14:val="tx1"/>
                  </w14:solidFill>
                </w14:textFill>
              </w:rPr>
            </w:pPr>
            <w:r>
              <w:rPr>
                <w:rFonts w:hint="eastAsia" w:cs="Times New Roman"/>
                <w:b/>
                <w:bCs/>
                <w:color w:val="000000" w:themeColor="text1"/>
                <w:kern w:val="0"/>
                <w:sz w:val="21"/>
                <w:szCs w:val="21"/>
                <w:highlight w:val="none"/>
                <w14:textFill>
                  <w14:solidFill>
                    <w14:schemeClr w14:val="tx1"/>
                  </w14:solidFill>
                </w14:textFill>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622" w:type="pct"/>
            <w:vMerge w:val="continue"/>
            <w:vAlign w:val="center"/>
          </w:tcPr>
          <w:p>
            <w:pPr>
              <w:widowControl/>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p>
        </w:tc>
        <w:tc>
          <w:tcPr>
            <w:tcW w:w="1680" w:type="pct"/>
            <w:gridSpan w:val="3"/>
            <w:vAlign w:val="center"/>
          </w:tcPr>
          <w:p>
            <w:pPr>
              <w:widowControl/>
              <w:spacing w:line="240" w:lineRule="auto"/>
              <w:ind w:firstLine="0" w:firstLineChars="0"/>
              <w:jc w:val="center"/>
              <w:rPr>
                <w:rFonts w:cs="Times New Roman"/>
                <w:b/>
                <w:bCs/>
                <w:color w:val="000000" w:themeColor="text1"/>
                <w:kern w:val="0"/>
                <w:sz w:val="21"/>
                <w:szCs w:val="21"/>
                <w:highlight w:val="none"/>
                <w14:textFill>
                  <w14:solidFill>
                    <w14:schemeClr w14:val="tx1"/>
                  </w14:solidFill>
                </w14:textFill>
              </w:rPr>
            </w:pPr>
            <w:r>
              <w:rPr>
                <w:rFonts w:hint="eastAsia" w:cs="Times New Roman"/>
                <w:b/>
                <w:bCs/>
                <w:color w:val="000000" w:themeColor="text1"/>
                <w:kern w:val="0"/>
                <w:sz w:val="21"/>
                <w:szCs w:val="21"/>
                <w:highlight w:val="none"/>
                <w14:textFill>
                  <w14:solidFill>
                    <w14:schemeClr w14:val="tx1"/>
                  </w14:solidFill>
                </w14:textFill>
              </w:rPr>
              <w:t>2</w:t>
            </w:r>
            <w:r>
              <w:rPr>
                <w:rFonts w:cs="Times New Roman"/>
                <w:b/>
                <w:bCs/>
                <w:color w:val="000000" w:themeColor="text1"/>
                <w:kern w:val="0"/>
                <w:sz w:val="21"/>
                <w:szCs w:val="21"/>
                <w:highlight w:val="none"/>
                <w14:textFill>
                  <w14:solidFill>
                    <w14:schemeClr w14:val="tx1"/>
                  </w14:solidFill>
                </w14:textFill>
              </w:rPr>
              <w:t>023.8.18</w:t>
            </w:r>
          </w:p>
        </w:tc>
        <w:tc>
          <w:tcPr>
            <w:tcW w:w="1095" w:type="pct"/>
            <w:gridSpan w:val="2"/>
            <w:vAlign w:val="center"/>
          </w:tcPr>
          <w:p>
            <w:pPr>
              <w:widowControl/>
              <w:spacing w:line="240" w:lineRule="auto"/>
              <w:ind w:firstLine="0" w:firstLineChars="0"/>
              <w:jc w:val="center"/>
              <w:rPr>
                <w:rFonts w:cs="Times New Roman"/>
                <w:b/>
                <w:bCs/>
                <w:color w:val="000000" w:themeColor="text1"/>
                <w:kern w:val="0"/>
                <w:sz w:val="21"/>
                <w:szCs w:val="21"/>
                <w:highlight w:val="none"/>
                <w14:textFill>
                  <w14:solidFill>
                    <w14:schemeClr w14:val="tx1"/>
                  </w14:solidFill>
                </w14:textFill>
              </w:rPr>
            </w:pPr>
            <w:r>
              <w:rPr>
                <w:rFonts w:hint="eastAsia" w:cs="Times New Roman"/>
                <w:b/>
                <w:bCs/>
                <w:color w:val="000000" w:themeColor="text1"/>
                <w:kern w:val="0"/>
                <w:sz w:val="21"/>
                <w:szCs w:val="21"/>
                <w:highlight w:val="none"/>
                <w14:textFill>
                  <w14:solidFill>
                    <w14:schemeClr w14:val="tx1"/>
                  </w14:solidFill>
                </w14:textFill>
              </w:rPr>
              <w:t>2</w:t>
            </w:r>
            <w:r>
              <w:rPr>
                <w:rFonts w:cs="Times New Roman"/>
                <w:b/>
                <w:bCs/>
                <w:color w:val="000000" w:themeColor="text1"/>
                <w:kern w:val="0"/>
                <w:sz w:val="21"/>
                <w:szCs w:val="21"/>
                <w:highlight w:val="none"/>
                <w14:textFill>
                  <w14:solidFill>
                    <w14:schemeClr w14:val="tx1"/>
                  </w14:solidFill>
                </w14:textFill>
              </w:rPr>
              <w:t>023.8.19</w:t>
            </w:r>
          </w:p>
        </w:tc>
        <w:tc>
          <w:tcPr>
            <w:tcW w:w="603" w:type="pct"/>
          </w:tcPr>
          <w:p>
            <w:pPr>
              <w:widowControl/>
              <w:spacing w:line="240" w:lineRule="auto"/>
              <w:ind w:firstLine="0" w:firstLineChars="0"/>
              <w:jc w:val="center"/>
              <w:rPr>
                <w:rFonts w:cs="Times New Roman"/>
                <w:b/>
                <w:bCs/>
                <w:color w:val="000000" w:themeColor="text1"/>
                <w:kern w:val="0"/>
                <w:sz w:val="21"/>
                <w:szCs w:val="21"/>
                <w:highlight w:val="none"/>
                <w14:textFill>
                  <w14:solidFill>
                    <w14:schemeClr w14:val="tx1"/>
                  </w14:solidFill>
                </w14:textFill>
              </w:rPr>
            </w:pPr>
            <w:r>
              <w:rPr>
                <w:rFonts w:hint="eastAsia" w:eastAsia="仿宋体" w:cs="Times New Roman"/>
                <w:b/>
                <w:bCs/>
                <w:color w:val="000000" w:themeColor="text1"/>
                <w:sz w:val="21"/>
                <w:szCs w:val="21"/>
                <w:highlight w:val="none"/>
                <w14:textFill>
                  <w14:solidFill>
                    <w14:schemeClr w14:val="tx1"/>
                  </w14:solidFill>
                </w14:textFill>
              </w:rPr>
              <w:t>2024.03.03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000" w:type="pct"/>
            <w:gridSpan w:val="7"/>
            <w:vAlign w:val="center"/>
          </w:tcPr>
          <w:p>
            <w:pPr>
              <w:widowControl/>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监测结果（mg/l）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622"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钾</w:t>
            </w:r>
          </w:p>
        </w:tc>
        <w:tc>
          <w:tcPr>
            <w:tcW w:w="554"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1.34</w:t>
            </w:r>
          </w:p>
        </w:tc>
        <w:tc>
          <w:tcPr>
            <w:tcW w:w="616"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2.24</w:t>
            </w:r>
          </w:p>
        </w:tc>
        <w:tc>
          <w:tcPr>
            <w:tcW w:w="511"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1.92</w:t>
            </w:r>
          </w:p>
        </w:tc>
        <w:tc>
          <w:tcPr>
            <w:tcW w:w="495"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1.47</w:t>
            </w:r>
          </w:p>
        </w:tc>
        <w:tc>
          <w:tcPr>
            <w:tcW w:w="600"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1.31</w:t>
            </w:r>
          </w:p>
        </w:tc>
        <w:tc>
          <w:tcPr>
            <w:tcW w:w="603" w:type="pct"/>
          </w:tcPr>
          <w:p>
            <w:pPr>
              <w:widowControl/>
              <w:adjustRightInd/>
              <w:snapToGrid/>
              <w:spacing w:line="240" w:lineRule="auto"/>
              <w:ind w:firstLine="0" w:firstLineChars="0"/>
              <w:jc w:val="center"/>
              <w:rPr>
                <w:rFonts w:cs="Times New Roman"/>
                <w:color w:val="000000" w:themeColor="text1"/>
                <w:kern w:val="0"/>
                <w:sz w:val="21"/>
                <w:szCs w:val="20"/>
                <w:highlight w:val="none"/>
                <w:lang w:eastAsia="en-US"/>
                <w14:textFill>
                  <w14:solidFill>
                    <w14:schemeClr w14:val="tx1"/>
                  </w14:solidFill>
                </w14:textFill>
              </w:rPr>
            </w:pPr>
            <w:r>
              <w:rPr>
                <w:color w:val="000000" w:themeColor="text1"/>
                <w:sz w:val="21"/>
                <w:szCs w:val="20"/>
                <w:highlight w:val="none"/>
                <w14:textFill>
                  <w14:solidFill>
                    <w14:schemeClr w14:val="tx1"/>
                  </w14:solidFill>
                </w14:textFill>
              </w:rPr>
              <w:t>1.16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622"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钠</w:t>
            </w:r>
          </w:p>
        </w:tc>
        <w:tc>
          <w:tcPr>
            <w:tcW w:w="554"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15.8</w:t>
            </w:r>
          </w:p>
        </w:tc>
        <w:tc>
          <w:tcPr>
            <w:tcW w:w="616"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12.6</w:t>
            </w:r>
          </w:p>
        </w:tc>
        <w:tc>
          <w:tcPr>
            <w:tcW w:w="511"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10</w:t>
            </w:r>
          </w:p>
        </w:tc>
        <w:tc>
          <w:tcPr>
            <w:tcW w:w="495"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9.64</w:t>
            </w:r>
          </w:p>
        </w:tc>
        <w:tc>
          <w:tcPr>
            <w:tcW w:w="600"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11.1</w:t>
            </w:r>
          </w:p>
        </w:tc>
        <w:tc>
          <w:tcPr>
            <w:tcW w:w="603" w:type="pct"/>
          </w:tcPr>
          <w:p>
            <w:pPr>
              <w:widowControl/>
              <w:adjustRightInd/>
              <w:snapToGrid/>
              <w:spacing w:line="240" w:lineRule="auto"/>
              <w:ind w:firstLine="0" w:firstLineChars="0"/>
              <w:jc w:val="center"/>
              <w:rPr>
                <w:rFonts w:cs="Times New Roman"/>
                <w:color w:val="000000" w:themeColor="text1"/>
                <w:kern w:val="0"/>
                <w:sz w:val="21"/>
                <w:szCs w:val="20"/>
                <w:highlight w:val="none"/>
                <w:lang w:eastAsia="en-US"/>
                <w14:textFill>
                  <w14:solidFill>
                    <w14:schemeClr w14:val="tx1"/>
                  </w14:solidFill>
                </w14:textFill>
              </w:rPr>
            </w:pPr>
            <w:r>
              <w:rPr>
                <w:color w:val="000000" w:themeColor="text1"/>
                <w:sz w:val="21"/>
                <w:szCs w:val="20"/>
                <w:highlight w:val="none"/>
                <w14:textFill>
                  <w14:solidFill>
                    <w14:schemeClr w14:val="tx1"/>
                  </w14:solidFill>
                </w14:textFill>
              </w:rPr>
              <w:t>3.87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622"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钙</w:t>
            </w:r>
          </w:p>
        </w:tc>
        <w:tc>
          <w:tcPr>
            <w:tcW w:w="554"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25.2</w:t>
            </w:r>
          </w:p>
        </w:tc>
        <w:tc>
          <w:tcPr>
            <w:tcW w:w="616"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25.4</w:t>
            </w:r>
          </w:p>
        </w:tc>
        <w:tc>
          <w:tcPr>
            <w:tcW w:w="511"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25.1</w:t>
            </w:r>
          </w:p>
        </w:tc>
        <w:tc>
          <w:tcPr>
            <w:tcW w:w="495"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24.9</w:t>
            </w:r>
          </w:p>
        </w:tc>
        <w:tc>
          <w:tcPr>
            <w:tcW w:w="600"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24.8</w:t>
            </w:r>
          </w:p>
        </w:tc>
        <w:tc>
          <w:tcPr>
            <w:tcW w:w="603" w:type="pct"/>
          </w:tcPr>
          <w:p>
            <w:pPr>
              <w:widowControl/>
              <w:adjustRightInd/>
              <w:snapToGrid/>
              <w:spacing w:line="240" w:lineRule="auto"/>
              <w:ind w:firstLine="0" w:firstLineChars="0"/>
              <w:jc w:val="center"/>
              <w:rPr>
                <w:rFonts w:cs="Times New Roman"/>
                <w:color w:val="000000" w:themeColor="text1"/>
                <w:kern w:val="0"/>
                <w:sz w:val="21"/>
                <w:szCs w:val="20"/>
                <w:highlight w:val="none"/>
                <w:lang w:eastAsia="en-US"/>
                <w14:textFill>
                  <w14:solidFill>
                    <w14:schemeClr w14:val="tx1"/>
                  </w14:solidFill>
                </w14:textFill>
              </w:rPr>
            </w:pPr>
            <w:r>
              <w:rPr>
                <w:color w:val="000000" w:themeColor="text1"/>
                <w:sz w:val="21"/>
                <w:szCs w:val="20"/>
                <w:highlight w:val="none"/>
                <w14:textFill>
                  <w14:solidFill>
                    <w14:schemeClr w14:val="tx1"/>
                  </w14:solidFill>
                </w14:textFill>
              </w:rPr>
              <w:t>58.0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622"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镁</w:t>
            </w:r>
          </w:p>
        </w:tc>
        <w:tc>
          <w:tcPr>
            <w:tcW w:w="554"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36.4</w:t>
            </w:r>
          </w:p>
        </w:tc>
        <w:tc>
          <w:tcPr>
            <w:tcW w:w="616"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34</w:t>
            </w:r>
          </w:p>
        </w:tc>
        <w:tc>
          <w:tcPr>
            <w:tcW w:w="511"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31.6</w:t>
            </w:r>
          </w:p>
        </w:tc>
        <w:tc>
          <w:tcPr>
            <w:tcW w:w="495"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32</w:t>
            </w:r>
          </w:p>
        </w:tc>
        <w:tc>
          <w:tcPr>
            <w:tcW w:w="600"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35.1</w:t>
            </w:r>
          </w:p>
        </w:tc>
        <w:tc>
          <w:tcPr>
            <w:tcW w:w="603" w:type="pct"/>
          </w:tcPr>
          <w:p>
            <w:pPr>
              <w:widowControl/>
              <w:adjustRightInd/>
              <w:snapToGrid/>
              <w:spacing w:line="240" w:lineRule="auto"/>
              <w:ind w:firstLine="0" w:firstLineChars="0"/>
              <w:jc w:val="center"/>
              <w:rPr>
                <w:rFonts w:cs="Times New Roman"/>
                <w:color w:val="000000" w:themeColor="text1"/>
                <w:kern w:val="0"/>
                <w:sz w:val="21"/>
                <w:szCs w:val="20"/>
                <w:highlight w:val="none"/>
                <w:lang w:eastAsia="en-US"/>
                <w14:textFill>
                  <w14:solidFill>
                    <w14:schemeClr w14:val="tx1"/>
                  </w14:solidFill>
                </w14:textFill>
              </w:rPr>
            </w:pPr>
            <w:r>
              <w:rPr>
                <w:color w:val="000000" w:themeColor="text1"/>
                <w:sz w:val="21"/>
                <w:szCs w:val="20"/>
                <w:highlight w:val="none"/>
                <w14:textFill>
                  <w14:solidFill>
                    <w14:schemeClr w14:val="tx1"/>
                  </w14:solidFill>
                </w14:textFill>
              </w:rPr>
              <w:t>19.2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622"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碳酸根</w:t>
            </w:r>
          </w:p>
        </w:tc>
        <w:tc>
          <w:tcPr>
            <w:tcW w:w="554"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0</w:t>
            </w:r>
          </w:p>
        </w:tc>
        <w:tc>
          <w:tcPr>
            <w:tcW w:w="616"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0</w:t>
            </w:r>
          </w:p>
        </w:tc>
        <w:tc>
          <w:tcPr>
            <w:tcW w:w="511"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0</w:t>
            </w:r>
          </w:p>
        </w:tc>
        <w:tc>
          <w:tcPr>
            <w:tcW w:w="495"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0</w:t>
            </w:r>
          </w:p>
        </w:tc>
        <w:tc>
          <w:tcPr>
            <w:tcW w:w="600"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0</w:t>
            </w:r>
          </w:p>
        </w:tc>
        <w:tc>
          <w:tcPr>
            <w:tcW w:w="603" w:type="pct"/>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1"/>
                <w:szCs w:val="21"/>
                <w:highlight w:val="non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622"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重碳酸根</w:t>
            </w:r>
            <w:r>
              <w:rPr>
                <w:rFonts w:hint="eastAsia" w:cs="Times New Roman"/>
                <w:color w:val="000000" w:themeColor="text1"/>
                <w:kern w:val="0"/>
                <w:sz w:val="21"/>
                <w:szCs w:val="21"/>
                <w:highlight w:val="none"/>
                <w14:textFill>
                  <w14:solidFill>
                    <w14:schemeClr w14:val="tx1"/>
                  </w14:solidFill>
                </w14:textFill>
              </w:rPr>
              <w:t>（</w:t>
            </w:r>
            <w:r>
              <w:rPr>
                <w:rFonts w:hint="eastAsia"/>
                <w:color w:val="000000" w:themeColor="text1"/>
                <w:sz w:val="21"/>
                <w:szCs w:val="18"/>
                <w:highlight w:val="none"/>
                <w14:textFill>
                  <w14:solidFill>
                    <w14:schemeClr w14:val="tx1"/>
                  </w14:solidFill>
                </w14:textFill>
              </w:rPr>
              <w:t>mmol/L</w:t>
            </w:r>
            <w:r>
              <w:rPr>
                <w:rFonts w:hint="eastAsia" w:cs="Times New Roman"/>
                <w:color w:val="000000" w:themeColor="text1"/>
                <w:kern w:val="0"/>
                <w:sz w:val="21"/>
                <w:szCs w:val="21"/>
                <w:highlight w:val="none"/>
                <w14:textFill>
                  <w14:solidFill>
                    <w14:schemeClr w14:val="tx1"/>
                  </w14:solidFill>
                </w14:textFill>
              </w:rPr>
              <w:t>）</w:t>
            </w:r>
          </w:p>
        </w:tc>
        <w:tc>
          <w:tcPr>
            <w:tcW w:w="554"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3.08</w:t>
            </w:r>
          </w:p>
        </w:tc>
        <w:tc>
          <w:tcPr>
            <w:tcW w:w="616"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3.32</w:t>
            </w:r>
          </w:p>
        </w:tc>
        <w:tc>
          <w:tcPr>
            <w:tcW w:w="511"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2.05</w:t>
            </w:r>
          </w:p>
        </w:tc>
        <w:tc>
          <w:tcPr>
            <w:tcW w:w="495"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3.35</w:t>
            </w:r>
          </w:p>
        </w:tc>
        <w:tc>
          <w:tcPr>
            <w:tcW w:w="600"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3.63</w:t>
            </w:r>
          </w:p>
        </w:tc>
        <w:tc>
          <w:tcPr>
            <w:tcW w:w="603" w:type="pct"/>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1"/>
                <w:szCs w:val="21"/>
                <w:highlight w:val="none"/>
                <w14:textFill>
                  <w14:solidFill>
                    <w14:schemeClr w14:val="tx1"/>
                  </w14:solidFill>
                </w14:textFill>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622"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氯化物</w:t>
            </w:r>
          </w:p>
        </w:tc>
        <w:tc>
          <w:tcPr>
            <w:tcW w:w="554"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31.8</w:t>
            </w:r>
          </w:p>
        </w:tc>
        <w:tc>
          <w:tcPr>
            <w:tcW w:w="616"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10.3</w:t>
            </w:r>
          </w:p>
        </w:tc>
        <w:tc>
          <w:tcPr>
            <w:tcW w:w="511"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36.3</w:t>
            </w:r>
          </w:p>
        </w:tc>
        <w:tc>
          <w:tcPr>
            <w:tcW w:w="495"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7.38</w:t>
            </w:r>
          </w:p>
        </w:tc>
        <w:tc>
          <w:tcPr>
            <w:tcW w:w="600"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7.45</w:t>
            </w:r>
          </w:p>
        </w:tc>
        <w:tc>
          <w:tcPr>
            <w:tcW w:w="603" w:type="pct"/>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1"/>
                <w:szCs w:val="21"/>
                <w:highlight w:val="none"/>
                <w14:textFill>
                  <w14:solidFill>
                    <w14:schemeClr w14:val="tx1"/>
                  </w14:solidFill>
                </w14:textFill>
              </w:rPr>
              <w:t>30.2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622"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硫酸盐</w:t>
            </w:r>
          </w:p>
        </w:tc>
        <w:tc>
          <w:tcPr>
            <w:tcW w:w="554"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26.2</w:t>
            </w:r>
          </w:p>
        </w:tc>
        <w:tc>
          <w:tcPr>
            <w:tcW w:w="616"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22.7</w:t>
            </w:r>
          </w:p>
        </w:tc>
        <w:tc>
          <w:tcPr>
            <w:tcW w:w="511"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42.1</w:t>
            </w:r>
          </w:p>
        </w:tc>
        <w:tc>
          <w:tcPr>
            <w:tcW w:w="495"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22.9</w:t>
            </w:r>
          </w:p>
        </w:tc>
        <w:tc>
          <w:tcPr>
            <w:tcW w:w="600"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27.5</w:t>
            </w:r>
          </w:p>
        </w:tc>
        <w:tc>
          <w:tcPr>
            <w:tcW w:w="603" w:type="pct"/>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1"/>
                <w:szCs w:val="21"/>
                <w:highlight w:val="none"/>
                <w14:textFill>
                  <w14:solidFill>
                    <w14:schemeClr w14:val="tx1"/>
                  </w14:solidFill>
                </w14:textFill>
              </w:rPr>
              <w:t>33.0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622"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hint="eastAsia" w:cs="Times New Roman"/>
                <w:color w:val="000000" w:themeColor="text1"/>
                <w:kern w:val="0"/>
                <w:sz w:val="21"/>
                <w:szCs w:val="21"/>
                <w:highlight w:val="none"/>
                <w14:textFill>
                  <w14:solidFill>
                    <w14:schemeClr w14:val="tx1"/>
                  </w14:solidFill>
                </w14:textFill>
              </w:rPr>
              <w:t>矿化度</w:t>
            </w:r>
          </w:p>
        </w:tc>
        <w:tc>
          <w:tcPr>
            <w:tcW w:w="554"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lang w:eastAsia="en-US"/>
                <w14:textFill>
                  <w14:solidFill>
                    <w14:schemeClr w14:val="tx1"/>
                  </w14:solidFill>
                </w14:textFill>
              </w:rPr>
            </w:pPr>
            <w:r>
              <w:rPr>
                <w:rFonts w:cs="Times New Roman"/>
                <w:color w:val="000000" w:themeColor="text1"/>
                <w:sz w:val="21"/>
                <w:szCs w:val="20"/>
                <w:highlight w:val="none"/>
                <w14:textFill>
                  <w14:solidFill>
                    <w14:schemeClr w14:val="tx1"/>
                  </w14:solidFill>
                </w14:textFill>
              </w:rPr>
              <w:t>230.68</w:t>
            </w:r>
          </w:p>
        </w:tc>
        <w:tc>
          <w:tcPr>
            <w:tcW w:w="616"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lang w:eastAsia="en-US"/>
                <w14:textFill>
                  <w14:solidFill>
                    <w14:schemeClr w14:val="tx1"/>
                  </w14:solidFill>
                </w14:textFill>
              </w:rPr>
            </w:pPr>
            <w:r>
              <w:rPr>
                <w:rFonts w:cs="Times New Roman"/>
                <w:color w:val="000000" w:themeColor="text1"/>
                <w:sz w:val="21"/>
                <w:szCs w:val="20"/>
                <w:highlight w:val="none"/>
                <w14:textFill>
                  <w14:solidFill>
                    <w14:schemeClr w14:val="tx1"/>
                  </w14:solidFill>
                </w14:textFill>
              </w:rPr>
              <w:t>208.50</w:t>
            </w:r>
          </w:p>
        </w:tc>
        <w:tc>
          <w:tcPr>
            <w:tcW w:w="511"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lang w:eastAsia="en-US"/>
                <w14:textFill>
                  <w14:solidFill>
                    <w14:schemeClr w14:val="tx1"/>
                  </w14:solidFill>
                </w14:textFill>
              </w:rPr>
            </w:pPr>
            <w:r>
              <w:rPr>
                <w:rFonts w:cs="Times New Roman"/>
                <w:color w:val="000000" w:themeColor="text1"/>
                <w:sz w:val="21"/>
                <w:szCs w:val="20"/>
                <w:highlight w:val="none"/>
                <w14:textFill>
                  <w14:solidFill>
                    <w14:schemeClr w14:val="tx1"/>
                  </w14:solidFill>
                </w14:textFill>
              </w:rPr>
              <w:t>209.55</w:t>
            </w:r>
          </w:p>
        </w:tc>
        <w:tc>
          <w:tcPr>
            <w:tcW w:w="495"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lang w:eastAsia="en-US"/>
                <w14:textFill>
                  <w14:solidFill>
                    <w14:schemeClr w14:val="tx1"/>
                  </w14:solidFill>
                </w14:textFill>
              </w:rPr>
            </w:pPr>
            <w:r>
              <w:rPr>
                <w:rFonts w:cs="Times New Roman"/>
                <w:color w:val="000000" w:themeColor="text1"/>
                <w:sz w:val="21"/>
                <w:szCs w:val="20"/>
                <w:highlight w:val="none"/>
                <w14:textFill>
                  <w14:solidFill>
                    <w14:schemeClr w14:val="tx1"/>
                  </w14:solidFill>
                </w14:textFill>
              </w:rPr>
              <w:t>200.47</w:t>
            </w:r>
          </w:p>
        </w:tc>
        <w:tc>
          <w:tcPr>
            <w:tcW w:w="600"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lang w:eastAsia="en-US"/>
                <w14:textFill>
                  <w14:solidFill>
                    <w14:schemeClr w14:val="tx1"/>
                  </w14:solidFill>
                </w14:textFill>
              </w:rPr>
            </w:pPr>
            <w:r>
              <w:rPr>
                <w:rFonts w:cs="Times New Roman"/>
                <w:color w:val="000000" w:themeColor="text1"/>
                <w:sz w:val="21"/>
                <w:szCs w:val="20"/>
                <w:highlight w:val="none"/>
                <w14:textFill>
                  <w14:solidFill>
                    <w14:schemeClr w14:val="tx1"/>
                  </w14:solidFill>
                </w14:textFill>
              </w:rPr>
              <w:t>217.98</w:t>
            </w:r>
          </w:p>
        </w:tc>
        <w:tc>
          <w:tcPr>
            <w:tcW w:w="603" w:type="pct"/>
            <w:vAlign w:val="center"/>
          </w:tcPr>
          <w:p>
            <w:pPr>
              <w:widowControl/>
              <w:adjustRightInd/>
              <w:snapToGrid/>
              <w:spacing w:line="240" w:lineRule="auto"/>
              <w:ind w:firstLine="0" w:firstLineChars="0"/>
              <w:jc w:val="center"/>
              <w:rPr>
                <w:rFonts w:cs="Times New Roman"/>
                <w:color w:val="000000" w:themeColor="text1"/>
                <w:kern w:val="0"/>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236.93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000" w:type="pct"/>
            <w:gridSpan w:val="7"/>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当量浓度（meq/L）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622" w:type="pct"/>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钠+钾</w:t>
            </w:r>
          </w:p>
        </w:tc>
        <w:tc>
          <w:tcPr>
            <w:tcW w:w="554"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0.72</w:t>
            </w:r>
          </w:p>
        </w:tc>
        <w:tc>
          <w:tcPr>
            <w:tcW w:w="616"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0.61</w:t>
            </w:r>
          </w:p>
        </w:tc>
        <w:tc>
          <w:tcPr>
            <w:tcW w:w="511"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0.48</w:t>
            </w:r>
          </w:p>
        </w:tc>
        <w:tc>
          <w:tcPr>
            <w:tcW w:w="495"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0.46</w:t>
            </w:r>
          </w:p>
        </w:tc>
        <w:tc>
          <w:tcPr>
            <w:tcW w:w="600"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0.52</w:t>
            </w:r>
          </w:p>
        </w:tc>
        <w:tc>
          <w:tcPr>
            <w:tcW w:w="603" w:type="pct"/>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622" w:type="pct"/>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钙</w:t>
            </w:r>
          </w:p>
        </w:tc>
        <w:tc>
          <w:tcPr>
            <w:tcW w:w="554"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1.26</w:t>
            </w:r>
          </w:p>
        </w:tc>
        <w:tc>
          <w:tcPr>
            <w:tcW w:w="616"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1.27</w:t>
            </w:r>
          </w:p>
        </w:tc>
        <w:tc>
          <w:tcPr>
            <w:tcW w:w="511"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1.26</w:t>
            </w:r>
          </w:p>
        </w:tc>
        <w:tc>
          <w:tcPr>
            <w:tcW w:w="495"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1.25</w:t>
            </w:r>
          </w:p>
        </w:tc>
        <w:tc>
          <w:tcPr>
            <w:tcW w:w="600"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1.24</w:t>
            </w:r>
          </w:p>
        </w:tc>
        <w:tc>
          <w:tcPr>
            <w:tcW w:w="603"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sz w:val="21"/>
                <w:szCs w:val="21"/>
                <w:highlight w:val="none"/>
                <w14:textFill>
                  <w14:solidFill>
                    <w14:schemeClr w14:val="tx1"/>
                  </w14:solidFill>
                </w14:textFill>
              </w:rPr>
              <w:t>2.90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622" w:type="pct"/>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镁</w:t>
            </w:r>
          </w:p>
        </w:tc>
        <w:tc>
          <w:tcPr>
            <w:tcW w:w="554"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3.03</w:t>
            </w:r>
          </w:p>
        </w:tc>
        <w:tc>
          <w:tcPr>
            <w:tcW w:w="616"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2.83</w:t>
            </w:r>
          </w:p>
        </w:tc>
        <w:tc>
          <w:tcPr>
            <w:tcW w:w="511"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2.63</w:t>
            </w:r>
          </w:p>
        </w:tc>
        <w:tc>
          <w:tcPr>
            <w:tcW w:w="495"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2.67</w:t>
            </w:r>
          </w:p>
        </w:tc>
        <w:tc>
          <w:tcPr>
            <w:tcW w:w="600"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2.93</w:t>
            </w:r>
          </w:p>
        </w:tc>
        <w:tc>
          <w:tcPr>
            <w:tcW w:w="603"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sz w:val="21"/>
                <w:szCs w:val="21"/>
                <w:highlight w:val="none"/>
                <w14:textFill>
                  <w14:solidFill>
                    <w14:schemeClr w14:val="tx1"/>
                  </w14:solidFill>
                </w14:textFill>
              </w:rPr>
              <w:t>1.58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622" w:type="pct"/>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碳酸根</w:t>
            </w:r>
          </w:p>
        </w:tc>
        <w:tc>
          <w:tcPr>
            <w:tcW w:w="554" w:type="pct"/>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0</w:t>
            </w:r>
          </w:p>
        </w:tc>
        <w:tc>
          <w:tcPr>
            <w:tcW w:w="616" w:type="pct"/>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0</w:t>
            </w:r>
          </w:p>
        </w:tc>
        <w:tc>
          <w:tcPr>
            <w:tcW w:w="511" w:type="pct"/>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0</w:t>
            </w:r>
          </w:p>
        </w:tc>
        <w:tc>
          <w:tcPr>
            <w:tcW w:w="495" w:type="pct"/>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0</w:t>
            </w:r>
          </w:p>
        </w:tc>
        <w:tc>
          <w:tcPr>
            <w:tcW w:w="600" w:type="pct"/>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0</w:t>
            </w:r>
          </w:p>
        </w:tc>
        <w:tc>
          <w:tcPr>
            <w:tcW w:w="603" w:type="pct"/>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622" w:type="pct"/>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重碳酸根</w:t>
            </w:r>
          </w:p>
        </w:tc>
        <w:tc>
          <w:tcPr>
            <w:tcW w:w="554"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1"/>
                <w:szCs w:val="21"/>
                <w:highlight w:val="none"/>
                <w14:textFill>
                  <w14:solidFill>
                    <w14:schemeClr w14:val="tx1"/>
                  </w14:solidFill>
                </w14:textFill>
              </w:rPr>
              <w:t>3.08</w:t>
            </w:r>
          </w:p>
        </w:tc>
        <w:tc>
          <w:tcPr>
            <w:tcW w:w="616"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1"/>
                <w:szCs w:val="21"/>
                <w:highlight w:val="none"/>
                <w14:textFill>
                  <w14:solidFill>
                    <w14:schemeClr w14:val="tx1"/>
                  </w14:solidFill>
                </w14:textFill>
              </w:rPr>
              <w:t>3.32</w:t>
            </w:r>
          </w:p>
        </w:tc>
        <w:tc>
          <w:tcPr>
            <w:tcW w:w="511"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1"/>
                <w:szCs w:val="21"/>
                <w:highlight w:val="none"/>
                <w14:textFill>
                  <w14:solidFill>
                    <w14:schemeClr w14:val="tx1"/>
                  </w14:solidFill>
                </w14:textFill>
              </w:rPr>
              <w:t>2.05</w:t>
            </w:r>
          </w:p>
        </w:tc>
        <w:tc>
          <w:tcPr>
            <w:tcW w:w="495"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1"/>
                <w:szCs w:val="21"/>
                <w:highlight w:val="none"/>
                <w14:textFill>
                  <w14:solidFill>
                    <w14:schemeClr w14:val="tx1"/>
                  </w14:solidFill>
                </w14:textFill>
              </w:rPr>
              <w:t>3.35</w:t>
            </w:r>
          </w:p>
        </w:tc>
        <w:tc>
          <w:tcPr>
            <w:tcW w:w="600"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1"/>
                <w:szCs w:val="21"/>
                <w:highlight w:val="none"/>
                <w14:textFill>
                  <w14:solidFill>
                    <w14:schemeClr w14:val="tx1"/>
                  </w14:solidFill>
                </w14:textFill>
              </w:rPr>
              <w:t>3.63</w:t>
            </w:r>
          </w:p>
        </w:tc>
        <w:tc>
          <w:tcPr>
            <w:tcW w:w="603"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sz w:val="21"/>
                <w:szCs w:val="21"/>
                <w:highlight w:val="none"/>
                <w14:textFill>
                  <w14:solidFill>
                    <w14:schemeClr w14:val="tx1"/>
                  </w14:solidFill>
                </w14:textFill>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622" w:type="pct"/>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氯化物</w:t>
            </w:r>
          </w:p>
        </w:tc>
        <w:tc>
          <w:tcPr>
            <w:tcW w:w="554"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0.90</w:t>
            </w:r>
          </w:p>
        </w:tc>
        <w:tc>
          <w:tcPr>
            <w:tcW w:w="616"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0.29</w:t>
            </w:r>
          </w:p>
        </w:tc>
        <w:tc>
          <w:tcPr>
            <w:tcW w:w="511"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1.02</w:t>
            </w:r>
          </w:p>
        </w:tc>
        <w:tc>
          <w:tcPr>
            <w:tcW w:w="495"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0.21</w:t>
            </w:r>
          </w:p>
        </w:tc>
        <w:tc>
          <w:tcPr>
            <w:tcW w:w="600"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0.21</w:t>
            </w:r>
          </w:p>
        </w:tc>
        <w:tc>
          <w:tcPr>
            <w:tcW w:w="603"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sz w:val="21"/>
                <w:szCs w:val="21"/>
                <w:highlight w:val="none"/>
                <w14:textFill>
                  <w14:solidFill>
                    <w14:schemeClr w14:val="tx1"/>
                  </w14:solidFill>
                </w14:textFill>
              </w:rPr>
              <w:t>0.69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622" w:type="pct"/>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硫酸盐</w:t>
            </w:r>
          </w:p>
        </w:tc>
        <w:tc>
          <w:tcPr>
            <w:tcW w:w="554"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0.55</w:t>
            </w:r>
          </w:p>
        </w:tc>
        <w:tc>
          <w:tcPr>
            <w:tcW w:w="616"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0.47</w:t>
            </w:r>
          </w:p>
        </w:tc>
        <w:tc>
          <w:tcPr>
            <w:tcW w:w="511"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0.88</w:t>
            </w:r>
          </w:p>
        </w:tc>
        <w:tc>
          <w:tcPr>
            <w:tcW w:w="495"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0.48</w:t>
            </w:r>
          </w:p>
        </w:tc>
        <w:tc>
          <w:tcPr>
            <w:tcW w:w="600"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0.57</w:t>
            </w:r>
          </w:p>
        </w:tc>
        <w:tc>
          <w:tcPr>
            <w:tcW w:w="603"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sz w:val="21"/>
                <w:szCs w:val="21"/>
                <w:highlight w:val="none"/>
                <w14:textFill>
                  <w14:solidFill>
                    <w14:schemeClr w14:val="tx1"/>
                  </w14:solidFill>
                </w14:textFill>
              </w:rPr>
              <w:t>0.85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622" w:type="pct"/>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矿化度mg/L</w:t>
            </w:r>
          </w:p>
        </w:tc>
        <w:tc>
          <w:tcPr>
            <w:tcW w:w="554"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138.28</w:t>
            </w:r>
          </w:p>
        </w:tc>
        <w:tc>
          <w:tcPr>
            <w:tcW w:w="616"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108.90</w:t>
            </w:r>
          </w:p>
        </w:tc>
        <w:tc>
          <w:tcPr>
            <w:tcW w:w="511"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148.05</w:t>
            </w:r>
          </w:p>
        </w:tc>
        <w:tc>
          <w:tcPr>
            <w:tcW w:w="495"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99.97</w:t>
            </w:r>
          </w:p>
        </w:tc>
        <w:tc>
          <w:tcPr>
            <w:tcW w:w="600"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109.08</w:t>
            </w:r>
          </w:p>
        </w:tc>
        <w:tc>
          <w:tcPr>
            <w:tcW w:w="603"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sz w:val="21"/>
                <w:szCs w:val="21"/>
                <w:highlight w:val="none"/>
                <w14:textFill>
                  <w14:solidFill>
                    <w14:schemeClr w14:val="tx1"/>
                  </w14:solidFill>
                </w14:textFill>
              </w:rPr>
              <w:t>4.54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397" w:type="pct"/>
            <w:gridSpan w:val="6"/>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当量浓度比例（%）</w:t>
            </w:r>
          </w:p>
        </w:tc>
        <w:tc>
          <w:tcPr>
            <w:tcW w:w="603" w:type="pct"/>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622" w:type="pct"/>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钠+钾</w:t>
            </w:r>
          </w:p>
        </w:tc>
        <w:tc>
          <w:tcPr>
            <w:tcW w:w="554"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2"/>
                <w:highlight w:val="none"/>
                <w14:textFill>
                  <w14:solidFill>
                    <w14:schemeClr w14:val="tx1"/>
                  </w14:solidFill>
                </w14:textFill>
              </w:rPr>
              <w:t>14.49</w:t>
            </w:r>
          </w:p>
        </w:tc>
        <w:tc>
          <w:tcPr>
            <w:tcW w:w="616"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2"/>
                <w:highlight w:val="none"/>
                <w14:textFill>
                  <w14:solidFill>
                    <w14:schemeClr w14:val="tx1"/>
                  </w14:solidFill>
                </w14:textFill>
              </w:rPr>
              <w:t>12.95</w:t>
            </w:r>
          </w:p>
        </w:tc>
        <w:tc>
          <w:tcPr>
            <w:tcW w:w="511"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2"/>
                <w:highlight w:val="none"/>
                <w14:textFill>
                  <w14:solidFill>
                    <w14:schemeClr w14:val="tx1"/>
                  </w14:solidFill>
                </w14:textFill>
              </w:rPr>
              <w:t>11.15</w:t>
            </w:r>
          </w:p>
        </w:tc>
        <w:tc>
          <w:tcPr>
            <w:tcW w:w="495"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2"/>
                <w:highlight w:val="none"/>
                <w14:textFill>
                  <w14:solidFill>
                    <w14:schemeClr w14:val="tx1"/>
                  </w14:solidFill>
                </w14:textFill>
              </w:rPr>
              <w:t>10.53</w:t>
            </w:r>
          </w:p>
        </w:tc>
        <w:tc>
          <w:tcPr>
            <w:tcW w:w="600"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2"/>
                <w:highlight w:val="none"/>
                <w14:textFill>
                  <w14:solidFill>
                    <w14:schemeClr w14:val="tx1"/>
                  </w14:solidFill>
                </w14:textFill>
              </w:rPr>
              <w:t>11.11</w:t>
            </w:r>
          </w:p>
        </w:tc>
        <w:tc>
          <w:tcPr>
            <w:tcW w:w="603" w:type="pct"/>
          </w:tcPr>
          <w:p>
            <w:pPr>
              <w:widowControl/>
              <w:adjustRightInd/>
              <w:snapToGrid/>
              <w:spacing w:line="240" w:lineRule="auto"/>
              <w:ind w:firstLine="0" w:firstLineChars="0"/>
              <w:jc w:val="center"/>
              <w:rPr>
                <w:rFonts w:cs="Times New Roman"/>
                <w:color w:val="000000" w:themeColor="text1"/>
                <w:kern w:val="0"/>
                <w:sz w:val="22"/>
                <w:highlight w:val="none"/>
                <w14:textFill>
                  <w14:solidFill>
                    <w14:schemeClr w14:val="tx1"/>
                  </w14:solidFill>
                </w14:textFill>
              </w:rPr>
            </w:pPr>
            <w:r>
              <w:rPr>
                <w:rFonts w:hint="eastAsia" w:cs="Times New Roman"/>
                <w:color w:val="000000" w:themeColor="text1"/>
                <w:kern w:val="0"/>
                <w:sz w:val="22"/>
                <w:highlight w:val="none"/>
                <w14:textFill>
                  <w14:solidFill>
                    <w14:schemeClr w14:val="tx1"/>
                  </w14:solidFill>
                </w14:textFill>
              </w:rPr>
              <w:t>4.23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622" w:type="pct"/>
            <w:vAlign w:val="center"/>
          </w:tcPr>
          <w:p>
            <w:pPr>
              <w:widowControl/>
              <w:spacing w:line="240" w:lineRule="auto"/>
              <w:ind w:firstLine="0" w:firstLineChars="0"/>
              <w:jc w:val="center"/>
              <w:rPr>
                <w:rFonts w:cs="Times New Roman"/>
                <w:color w:val="000000" w:themeColor="text1"/>
                <w:kern w:val="0"/>
                <w:sz w:val="21"/>
                <w:szCs w:val="21"/>
                <w:highlight w:val="none"/>
                <w:shd w:val="pct10" w:color="auto" w:fill="FFFFFF"/>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钙</w:t>
            </w:r>
          </w:p>
        </w:tc>
        <w:tc>
          <w:tcPr>
            <w:tcW w:w="554"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2"/>
                <w:highlight w:val="none"/>
                <w14:textFill>
                  <w14:solidFill>
                    <w14:schemeClr w14:val="tx1"/>
                  </w14:solidFill>
                </w14:textFill>
              </w:rPr>
              <w:t>25.32</w:t>
            </w:r>
          </w:p>
        </w:tc>
        <w:tc>
          <w:tcPr>
            <w:tcW w:w="616"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2"/>
                <w:highlight w:val="none"/>
                <w14:textFill>
                  <w14:solidFill>
                    <w14:schemeClr w14:val="tx1"/>
                  </w14:solidFill>
                </w14:textFill>
              </w:rPr>
              <w:t>27.17</w:t>
            </w:r>
          </w:p>
        </w:tc>
        <w:tc>
          <w:tcPr>
            <w:tcW w:w="511"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2"/>
                <w:highlight w:val="none"/>
                <w14:textFill>
                  <w14:solidFill>
                    <w14:schemeClr w14:val="tx1"/>
                  </w14:solidFill>
                </w14:textFill>
              </w:rPr>
              <w:t>28.92</w:t>
            </w:r>
          </w:p>
        </w:tc>
        <w:tc>
          <w:tcPr>
            <w:tcW w:w="495"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2"/>
                <w:highlight w:val="none"/>
                <w14:textFill>
                  <w14:solidFill>
                    <w14:schemeClr w14:val="tx1"/>
                  </w14:solidFill>
                </w14:textFill>
              </w:rPr>
              <w:t>28.72</w:t>
            </w:r>
          </w:p>
        </w:tc>
        <w:tc>
          <w:tcPr>
            <w:tcW w:w="600"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2"/>
                <w:highlight w:val="none"/>
                <w14:textFill>
                  <w14:solidFill>
                    <w14:schemeClr w14:val="tx1"/>
                  </w14:solidFill>
                </w14:textFill>
              </w:rPr>
              <w:t>26.70</w:t>
            </w:r>
          </w:p>
        </w:tc>
        <w:tc>
          <w:tcPr>
            <w:tcW w:w="603" w:type="pct"/>
          </w:tcPr>
          <w:p>
            <w:pPr>
              <w:widowControl/>
              <w:adjustRightInd/>
              <w:snapToGrid/>
              <w:spacing w:line="240" w:lineRule="auto"/>
              <w:ind w:firstLine="0" w:firstLineChars="0"/>
              <w:jc w:val="center"/>
              <w:rPr>
                <w:rFonts w:cs="Times New Roman"/>
                <w:color w:val="000000" w:themeColor="text1"/>
                <w:kern w:val="0"/>
                <w:sz w:val="22"/>
                <w:highlight w:val="none"/>
                <w14:textFill>
                  <w14:solidFill>
                    <w14:schemeClr w14:val="tx1"/>
                  </w14:solidFill>
                </w14:textFill>
              </w:rPr>
            </w:pPr>
            <w:r>
              <w:rPr>
                <w:rFonts w:hint="eastAsia" w:cs="Times New Roman"/>
                <w:color w:val="000000" w:themeColor="text1"/>
                <w:kern w:val="0"/>
                <w:sz w:val="22"/>
                <w:highlight w:val="none"/>
                <w14:textFill>
                  <w14:solidFill>
                    <w14:schemeClr w14:val="tx1"/>
                  </w14:solidFill>
                </w14:textFill>
              </w:rPr>
              <w:t>61.99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622" w:type="pct"/>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镁</w:t>
            </w:r>
          </w:p>
        </w:tc>
        <w:tc>
          <w:tcPr>
            <w:tcW w:w="554"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2"/>
                <w:highlight w:val="none"/>
                <w14:textFill>
                  <w14:solidFill>
                    <w14:schemeClr w14:val="tx1"/>
                  </w14:solidFill>
                </w14:textFill>
              </w:rPr>
              <w:t>60.19</w:t>
            </w:r>
          </w:p>
        </w:tc>
        <w:tc>
          <w:tcPr>
            <w:tcW w:w="616"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2"/>
                <w:highlight w:val="none"/>
                <w14:textFill>
                  <w14:solidFill>
                    <w14:schemeClr w14:val="tx1"/>
                  </w14:solidFill>
                </w14:textFill>
              </w:rPr>
              <w:t>59.88</w:t>
            </w:r>
          </w:p>
        </w:tc>
        <w:tc>
          <w:tcPr>
            <w:tcW w:w="511"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2"/>
                <w:highlight w:val="none"/>
                <w14:textFill>
                  <w14:solidFill>
                    <w14:schemeClr w14:val="tx1"/>
                  </w14:solidFill>
                </w14:textFill>
              </w:rPr>
              <w:t>59.93</w:t>
            </w:r>
          </w:p>
        </w:tc>
        <w:tc>
          <w:tcPr>
            <w:tcW w:w="495"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2"/>
                <w:highlight w:val="none"/>
                <w14:textFill>
                  <w14:solidFill>
                    <w14:schemeClr w14:val="tx1"/>
                  </w14:solidFill>
                </w14:textFill>
              </w:rPr>
              <w:t>60.75</w:t>
            </w:r>
          </w:p>
        </w:tc>
        <w:tc>
          <w:tcPr>
            <w:tcW w:w="600"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2"/>
                <w:highlight w:val="none"/>
                <w14:textFill>
                  <w14:solidFill>
                    <w14:schemeClr w14:val="tx1"/>
                  </w14:solidFill>
                </w14:textFill>
              </w:rPr>
              <w:t>62.19</w:t>
            </w:r>
          </w:p>
        </w:tc>
        <w:tc>
          <w:tcPr>
            <w:tcW w:w="603" w:type="pct"/>
          </w:tcPr>
          <w:p>
            <w:pPr>
              <w:widowControl/>
              <w:adjustRightInd/>
              <w:snapToGrid/>
              <w:spacing w:line="240" w:lineRule="auto"/>
              <w:ind w:firstLine="0" w:firstLineChars="0"/>
              <w:jc w:val="center"/>
              <w:rPr>
                <w:rFonts w:cs="Times New Roman"/>
                <w:color w:val="000000" w:themeColor="text1"/>
                <w:kern w:val="0"/>
                <w:sz w:val="22"/>
                <w:highlight w:val="none"/>
                <w14:textFill>
                  <w14:solidFill>
                    <w14:schemeClr w14:val="tx1"/>
                  </w14:solidFill>
                </w14:textFill>
              </w:rPr>
            </w:pPr>
            <w:r>
              <w:rPr>
                <w:rFonts w:hint="eastAsia" w:cs="Times New Roman"/>
                <w:color w:val="000000" w:themeColor="text1"/>
                <w:kern w:val="0"/>
                <w:sz w:val="22"/>
                <w:highlight w:val="none"/>
                <w14:textFill>
                  <w14:solidFill>
                    <w14:schemeClr w14:val="tx1"/>
                  </w14:solidFill>
                </w14:textFill>
              </w:rPr>
              <w:t>33.78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622" w:type="pct"/>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碳酸根</w:t>
            </w:r>
          </w:p>
        </w:tc>
        <w:tc>
          <w:tcPr>
            <w:tcW w:w="554"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2"/>
                <w:highlight w:val="none"/>
                <w:lang w:eastAsia="en-US"/>
                <w14:textFill>
                  <w14:solidFill>
                    <w14:schemeClr w14:val="tx1"/>
                  </w14:solidFill>
                </w14:textFill>
              </w:rPr>
              <w:t>0</w:t>
            </w:r>
          </w:p>
        </w:tc>
        <w:tc>
          <w:tcPr>
            <w:tcW w:w="616"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2"/>
                <w:highlight w:val="none"/>
                <w:lang w:eastAsia="en-US"/>
                <w14:textFill>
                  <w14:solidFill>
                    <w14:schemeClr w14:val="tx1"/>
                  </w14:solidFill>
                </w14:textFill>
              </w:rPr>
              <w:t>0</w:t>
            </w:r>
          </w:p>
        </w:tc>
        <w:tc>
          <w:tcPr>
            <w:tcW w:w="511"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2"/>
                <w:highlight w:val="none"/>
                <w:lang w:eastAsia="en-US"/>
                <w14:textFill>
                  <w14:solidFill>
                    <w14:schemeClr w14:val="tx1"/>
                  </w14:solidFill>
                </w14:textFill>
              </w:rPr>
              <w:t>0</w:t>
            </w:r>
          </w:p>
        </w:tc>
        <w:tc>
          <w:tcPr>
            <w:tcW w:w="495"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2"/>
                <w:highlight w:val="none"/>
                <w:lang w:eastAsia="en-US"/>
                <w14:textFill>
                  <w14:solidFill>
                    <w14:schemeClr w14:val="tx1"/>
                  </w14:solidFill>
                </w14:textFill>
              </w:rPr>
              <w:t>0</w:t>
            </w:r>
          </w:p>
        </w:tc>
        <w:tc>
          <w:tcPr>
            <w:tcW w:w="600"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2"/>
                <w:highlight w:val="none"/>
                <w:lang w:eastAsia="en-US"/>
                <w14:textFill>
                  <w14:solidFill>
                    <w14:schemeClr w14:val="tx1"/>
                  </w14:solidFill>
                </w14:textFill>
              </w:rPr>
              <w:t>0.</w:t>
            </w:r>
          </w:p>
        </w:tc>
        <w:tc>
          <w:tcPr>
            <w:tcW w:w="603" w:type="pct"/>
          </w:tcPr>
          <w:p>
            <w:pPr>
              <w:widowControl/>
              <w:adjustRightInd/>
              <w:snapToGrid/>
              <w:spacing w:line="240" w:lineRule="auto"/>
              <w:ind w:firstLine="0" w:firstLineChars="0"/>
              <w:jc w:val="center"/>
              <w:rPr>
                <w:rFonts w:cs="Times New Roman"/>
                <w:color w:val="000000" w:themeColor="text1"/>
                <w:kern w:val="0"/>
                <w:sz w:val="22"/>
                <w:highlight w:val="none"/>
                <w14:textFill>
                  <w14:solidFill>
                    <w14:schemeClr w14:val="tx1"/>
                  </w14:solidFill>
                </w14:textFill>
              </w:rPr>
            </w:pPr>
            <w:r>
              <w:rPr>
                <w:rFonts w:hint="eastAsia" w:cs="Times New Roman"/>
                <w:color w:val="000000" w:themeColor="text1"/>
                <w:kern w:val="0"/>
                <w:sz w:val="22"/>
                <w:highlight w:val="non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622" w:type="pct"/>
            <w:vAlign w:val="center"/>
          </w:tcPr>
          <w:p>
            <w:pPr>
              <w:widowControl/>
              <w:spacing w:line="240" w:lineRule="auto"/>
              <w:ind w:firstLine="0" w:firstLineChars="0"/>
              <w:jc w:val="center"/>
              <w:rPr>
                <w:rFonts w:cs="Times New Roman"/>
                <w:color w:val="000000" w:themeColor="text1"/>
                <w:kern w:val="0"/>
                <w:sz w:val="21"/>
                <w:szCs w:val="21"/>
                <w:highlight w:val="none"/>
                <w:shd w:val="pct10" w:color="auto" w:fill="FFFFFF"/>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重碳酸根</w:t>
            </w:r>
          </w:p>
        </w:tc>
        <w:tc>
          <w:tcPr>
            <w:tcW w:w="554"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2"/>
                <w:highlight w:val="none"/>
                <w14:textFill>
                  <w14:solidFill>
                    <w14:schemeClr w14:val="tx1"/>
                  </w14:solidFill>
                </w14:textFill>
              </w:rPr>
              <w:t>68.10</w:t>
            </w:r>
          </w:p>
        </w:tc>
        <w:tc>
          <w:tcPr>
            <w:tcW w:w="616"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2"/>
                <w:highlight w:val="none"/>
                <w14:textFill>
                  <w14:solidFill>
                    <w14:schemeClr w14:val="tx1"/>
                  </w14:solidFill>
                </w14:textFill>
              </w:rPr>
              <w:t>81.30</w:t>
            </w:r>
          </w:p>
        </w:tc>
        <w:tc>
          <w:tcPr>
            <w:tcW w:w="511"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2"/>
                <w:highlight w:val="none"/>
                <w14:textFill>
                  <w14:solidFill>
                    <w14:schemeClr w14:val="tx1"/>
                  </w14:solidFill>
                </w14:textFill>
              </w:rPr>
              <w:t>65.39</w:t>
            </w:r>
          </w:p>
        </w:tc>
        <w:tc>
          <w:tcPr>
            <w:tcW w:w="495"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2"/>
                <w:highlight w:val="none"/>
                <w14:textFill>
                  <w14:solidFill>
                    <w14:schemeClr w14:val="tx1"/>
                  </w14:solidFill>
                </w14:textFill>
              </w:rPr>
              <w:t>83.02</w:t>
            </w:r>
          </w:p>
        </w:tc>
        <w:tc>
          <w:tcPr>
            <w:tcW w:w="600"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hint="eastAsia" w:cs="Times New Roman"/>
                <w:color w:val="000000" w:themeColor="text1"/>
                <w:kern w:val="0"/>
                <w:sz w:val="22"/>
                <w:highlight w:val="none"/>
                <w14:textFill>
                  <w14:solidFill>
                    <w14:schemeClr w14:val="tx1"/>
                  </w14:solidFill>
                </w14:textFill>
              </w:rPr>
              <w:t>82.26</w:t>
            </w:r>
          </w:p>
        </w:tc>
        <w:tc>
          <w:tcPr>
            <w:tcW w:w="603" w:type="pct"/>
          </w:tcPr>
          <w:p>
            <w:pPr>
              <w:widowControl/>
              <w:adjustRightInd/>
              <w:snapToGrid/>
              <w:spacing w:line="240" w:lineRule="auto"/>
              <w:ind w:firstLine="0" w:firstLineChars="0"/>
              <w:jc w:val="center"/>
              <w:rPr>
                <w:rFonts w:cs="Times New Roman"/>
                <w:color w:val="000000" w:themeColor="text1"/>
                <w:kern w:val="0"/>
                <w:sz w:val="22"/>
                <w:highlight w:val="none"/>
                <w14:textFill>
                  <w14:solidFill>
                    <w14:schemeClr w14:val="tx1"/>
                  </w14:solidFill>
                </w14:textFill>
              </w:rPr>
            </w:pPr>
            <w:r>
              <w:rPr>
                <w:rFonts w:hint="eastAsia" w:cs="Times New Roman"/>
                <w:color w:val="000000" w:themeColor="text1"/>
                <w:kern w:val="0"/>
                <w:sz w:val="22"/>
                <w:highlight w:val="none"/>
                <w14:textFill>
                  <w14:solidFill>
                    <w14:schemeClr w14:val="tx1"/>
                  </w14:solidFill>
                </w14:textFill>
              </w:rPr>
              <w:t>66.09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622" w:type="pct"/>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氯化物</w:t>
            </w:r>
          </w:p>
        </w:tc>
        <w:tc>
          <w:tcPr>
            <w:tcW w:w="554"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2"/>
                <w:highlight w:val="none"/>
                <w14:textFill>
                  <w14:solidFill>
                    <w14:schemeClr w14:val="tx1"/>
                  </w14:solidFill>
                </w14:textFill>
              </w:rPr>
              <w:t>19.83</w:t>
            </w:r>
          </w:p>
        </w:tc>
        <w:tc>
          <w:tcPr>
            <w:tcW w:w="616"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2"/>
                <w:highlight w:val="none"/>
                <w14:textFill>
                  <w14:solidFill>
                    <w14:schemeClr w14:val="tx1"/>
                  </w14:solidFill>
                </w14:textFill>
              </w:rPr>
              <w:t>7.12</w:t>
            </w:r>
          </w:p>
        </w:tc>
        <w:tc>
          <w:tcPr>
            <w:tcW w:w="511"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2"/>
                <w:highlight w:val="none"/>
                <w14:textFill>
                  <w14:solidFill>
                    <w14:schemeClr w14:val="tx1"/>
                  </w14:solidFill>
                </w14:textFill>
              </w:rPr>
              <w:t>6.64</w:t>
            </w:r>
          </w:p>
        </w:tc>
        <w:tc>
          <w:tcPr>
            <w:tcW w:w="495"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2"/>
                <w:highlight w:val="none"/>
                <w14:textFill>
                  <w14:solidFill>
                    <w14:schemeClr w14:val="tx1"/>
                  </w14:solidFill>
                </w14:textFill>
              </w:rPr>
              <w:t>5.16</w:t>
            </w:r>
          </w:p>
        </w:tc>
        <w:tc>
          <w:tcPr>
            <w:tcW w:w="600"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2"/>
                <w:highlight w:val="none"/>
                <w14:textFill>
                  <w14:solidFill>
                    <w14:schemeClr w14:val="tx1"/>
                  </w14:solidFill>
                </w14:textFill>
              </w:rPr>
              <w:t>4.76</w:t>
            </w:r>
          </w:p>
        </w:tc>
        <w:tc>
          <w:tcPr>
            <w:tcW w:w="603" w:type="pct"/>
          </w:tcPr>
          <w:p>
            <w:pPr>
              <w:widowControl/>
              <w:adjustRightInd/>
              <w:snapToGrid/>
              <w:spacing w:line="240" w:lineRule="auto"/>
              <w:ind w:firstLine="0" w:firstLineChars="0"/>
              <w:jc w:val="center"/>
              <w:rPr>
                <w:rFonts w:cs="Times New Roman"/>
                <w:color w:val="000000" w:themeColor="text1"/>
                <w:kern w:val="0"/>
                <w:sz w:val="22"/>
                <w:highlight w:val="none"/>
                <w14:textFill>
                  <w14:solidFill>
                    <w14:schemeClr w14:val="tx1"/>
                  </w14:solidFill>
                </w14:textFill>
              </w:rPr>
            </w:pPr>
            <w:r>
              <w:rPr>
                <w:rFonts w:hint="eastAsia" w:cs="Times New Roman"/>
                <w:color w:val="000000" w:themeColor="text1"/>
                <w:kern w:val="0"/>
                <w:sz w:val="22"/>
                <w:highlight w:val="none"/>
                <w14:textFill>
                  <w14:solidFill>
                    <w14:schemeClr w14:val="tx1"/>
                  </w14:solidFill>
                </w14:textFill>
              </w:rPr>
              <w:t>18.77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41" w:hRule="atLeast"/>
          <w:jc w:val="center"/>
        </w:trPr>
        <w:tc>
          <w:tcPr>
            <w:tcW w:w="1622" w:type="pct"/>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硫酸盐</w:t>
            </w:r>
          </w:p>
        </w:tc>
        <w:tc>
          <w:tcPr>
            <w:tcW w:w="554"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2"/>
                <w:highlight w:val="none"/>
                <w14:textFill>
                  <w14:solidFill>
                    <w14:schemeClr w14:val="tx1"/>
                  </w14:solidFill>
                </w14:textFill>
              </w:rPr>
              <w:t>12.07</w:t>
            </w:r>
          </w:p>
        </w:tc>
        <w:tc>
          <w:tcPr>
            <w:tcW w:w="616"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2"/>
                <w:highlight w:val="none"/>
                <w14:textFill>
                  <w14:solidFill>
                    <w14:schemeClr w14:val="tx1"/>
                  </w14:solidFill>
                </w14:textFill>
              </w:rPr>
              <w:t>11.58</w:t>
            </w:r>
          </w:p>
        </w:tc>
        <w:tc>
          <w:tcPr>
            <w:tcW w:w="511"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2"/>
                <w:highlight w:val="none"/>
                <w14:textFill>
                  <w14:solidFill>
                    <w14:schemeClr w14:val="tx1"/>
                  </w14:solidFill>
                </w14:textFill>
              </w:rPr>
              <w:t>27.97</w:t>
            </w:r>
          </w:p>
        </w:tc>
        <w:tc>
          <w:tcPr>
            <w:tcW w:w="495"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2"/>
                <w:highlight w:val="none"/>
                <w14:textFill>
                  <w14:solidFill>
                    <w14:schemeClr w14:val="tx1"/>
                  </w14:solidFill>
                </w14:textFill>
              </w:rPr>
              <w:t>11.82</w:t>
            </w:r>
          </w:p>
        </w:tc>
        <w:tc>
          <w:tcPr>
            <w:tcW w:w="600"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2"/>
                <w:highlight w:val="none"/>
                <w14:textFill>
                  <w14:solidFill>
                    <w14:schemeClr w14:val="tx1"/>
                  </w14:solidFill>
                </w14:textFill>
              </w:rPr>
              <w:t>12.98</w:t>
            </w:r>
          </w:p>
        </w:tc>
        <w:tc>
          <w:tcPr>
            <w:tcW w:w="603" w:type="pct"/>
          </w:tcPr>
          <w:p>
            <w:pPr>
              <w:widowControl/>
              <w:adjustRightInd/>
              <w:snapToGrid/>
              <w:spacing w:line="240" w:lineRule="auto"/>
              <w:ind w:firstLine="0" w:firstLineChars="0"/>
              <w:jc w:val="center"/>
              <w:rPr>
                <w:rFonts w:cs="Times New Roman"/>
                <w:color w:val="000000" w:themeColor="text1"/>
                <w:kern w:val="0"/>
                <w:sz w:val="22"/>
                <w:highlight w:val="none"/>
                <w14:textFill>
                  <w14:solidFill>
                    <w14:schemeClr w14:val="tx1"/>
                  </w14:solidFill>
                </w14:textFill>
              </w:rPr>
            </w:pPr>
            <w:r>
              <w:rPr>
                <w:rFonts w:hint="eastAsia" w:cs="Times New Roman"/>
                <w:color w:val="000000" w:themeColor="text1"/>
                <w:kern w:val="0"/>
                <w:sz w:val="22"/>
                <w:highlight w:val="none"/>
                <w14:textFill>
                  <w14:solidFill>
                    <w14:schemeClr w14:val="tx1"/>
                  </w14:solidFill>
                </w14:textFill>
              </w:rPr>
              <w:t>15.15</w:t>
            </w:r>
          </w:p>
        </w:tc>
      </w:tr>
    </w:tbl>
    <w:p>
      <w:pPr>
        <w:spacing w:before="120"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由表4.2-9可以看出，本次评价各水样监测结果各水样的矿化度范围在</w:t>
      </w:r>
      <w:r>
        <w:rPr>
          <w:rFonts w:hint="eastAsia" w:cs="Times New Roman"/>
          <w:bCs/>
          <w:color w:val="000000" w:themeColor="text1"/>
          <w:szCs w:val="24"/>
          <w:highlight w:val="none"/>
          <w14:textFill>
            <w14:solidFill>
              <w14:schemeClr w14:val="tx1"/>
            </w14:solidFill>
          </w14:textFill>
        </w:rPr>
        <w:t>200.4</w:t>
      </w:r>
      <w:r>
        <w:rPr>
          <w:rFonts w:cs="Times New Roman"/>
          <w:bCs/>
          <w:color w:val="000000" w:themeColor="text1"/>
          <w:szCs w:val="24"/>
          <w:highlight w:val="none"/>
          <w14:textFill>
            <w14:solidFill>
              <w14:schemeClr w14:val="tx1"/>
            </w14:solidFill>
          </w14:textFill>
        </w:rPr>
        <w:t>7mg/L-</w:t>
      </w:r>
      <w:r>
        <w:rPr>
          <w:rFonts w:hint="eastAsia" w:cs="Times New Roman"/>
          <w:bCs/>
          <w:color w:val="000000" w:themeColor="text1"/>
          <w:szCs w:val="24"/>
          <w:highlight w:val="none"/>
          <w14:textFill>
            <w14:solidFill>
              <w14:schemeClr w14:val="tx1"/>
            </w14:solidFill>
          </w14:textFill>
        </w:rPr>
        <w:t>236.93</w:t>
      </w:r>
      <w:r>
        <w:rPr>
          <w:rFonts w:cs="Times New Roman"/>
          <w:bCs/>
          <w:color w:val="000000" w:themeColor="text1"/>
          <w:szCs w:val="24"/>
          <w:highlight w:val="none"/>
          <w14:textFill>
            <w14:solidFill>
              <w14:schemeClr w14:val="tx1"/>
            </w14:solidFill>
          </w14:textFill>
        </w:rPr>
        <w:t>mg/L，小于1500mg/L，</w:t>
      </w:r>
      <w:r>
        <w:rPr>
          <w:bCs/>
          <w:color w:val="000000" w:themeColor="text1"/>
          <w:szCs w:val="24"/>
          <w:highlight w:val="none"/>
          <w14:textFill>
            <w14:solidFill>
              <w14:schemeClr w14:val="tx1"/>
            </w14:solidFill>
          </w14:textFill>
        </w:rPr>
        <w:t>主要离子的阴离子及阳离子分别为</w:t>
      </w:r>
      <w:r>
        <w:rPr>
          <w:rFonts w:hint="eastAsia"/>
          <w:bCs/>
          <w:color w:val="000000" w:themeColor="text1"/>
          <w:szCs w:val="24"/>
          <w:highlight w:val="none"/>
          <w14:textFill>
            <w14:solidFill>
              <w14:schemeClr w14:val="tx1"/>
            </w14:solidFill>
          </w14:textFill>
        </w:rPr>
        <w:t>重碳酸</w:t>
      </w:r>
      <w:r>
        <w:rPr>
          <w:bCs/>
          <w:color w:val="000000" w:themeColor="text1"/>
          <w:szCs w:val="24"/>
          <w:highlight w:val="none"/>
          <w14:textFill>
            <w14:solidFill>
              <w14:schemeClr w14:val="tx1"/>
            </w14:solidFill>
          </w14:textFill>
        </w:rPr>
        <w:t>根和镁离子</w:t>
      </w:r>
      <w:r>
        <w:rPr>
          <w:rFonts w:hint="eastAsia"/>
          <w:bCs/>
          <w:color w:val="000000" w:themeColor="text1"/>
          <w:szCs w:val="24"/>
          <w:highlight w:val="none"/>
          <w14:textFill>
            <w14:solidFill>
              <w14:schemeClr w14:val="tx1"/>
            </w14:solidFill>
          </w14:textFill>
        </w:rPr>
        <w:t>、钙离子</w:t>
      </w:r>
      <w:r>
        <w:rPr>
          <w:bCs/>
          <w:color w:val="000000" w:themeColor="text1"/>
          <w:szCs w:val="24"/>
          <w:highlight w:val="none"/>
          <w14:textFill>
            <w14:solidFill>
              <w14:schemeClr w14:val="tx1"/>
            </w14:solidFill>
          </w14:textFill>
        </w:rPr>
        <w:t>，因此，本项目所在区域地下水化学类型为矿化度不大于1.5g/L的</w:t>
      </w:r>
      <w:r>
        <w:rPr>
          <w:rFonts w:hint="eastAsia"/>
          <w:bCs/>
          <w:color w:val="000000" w:themeColor="text1"/>
          <w:szCs w:val="24"/>
          <w:highlight w:val="none"/>
          <w14:textFill>
            <w14:solidFill>
              <w14:schemeClr w14:val="tx1"/>
            </w14:solidFill>
          </w14:textFill>
        </w:rPr>
        <w:t>HCO</w:t>
      </w:r>
      <w:r>
        <w:rPr>
          <w:rFonts w:hint="eastAsia"/>
          <w:bCs/>
          <w:color w:val="000000" w:themeColor="text1"/>
          <w:szCs w:val="24"/>
          <w:highlight w:val="none"/>
          <w:vertAlign w:val="subscript"/>
          <w14:textFill>
            <w14:solidFill>
              <w14:schemeClr w14:val="tx1"/>
            </w14:solidFill>
          </w14:textFill>
        </w:rPr>
        <w:t>4</w:t>
      </w:r>
      <w:r>
        <w:rPr>
          <w:rFonts w:hint="eastAsia"/>
          <w:bCs/>
          <w:color w:val="000000" w:themeColor="text1"/>
          <w:szCs w:val="24"/>
          <w:highlight w:val="none"/>
          <w14:textFill>
            <w14:solidFill>
              <w14:schemeClr w14:val="tx1"/>
            </w14:solidFill>
          </w14:textFill>
        </w:rPr>
        <w:t>·Ca</w:t>
      </w:r>
      <w:r>
        <w:rPr>
          <w:bCs/>
          <w:color w:val="000000" w:themeColor="text1"/>
          <w:szCs w:val="24"/>
          <w:highlight w:val="none"/>
          <w14:textFill>
            <w14:solidFill>
              <w14:schemeClr w14:val="tx1"/>
            </w14:solidFill>
          </w14:textFill>
        </w:rPr>
        <w:t>Mg型水</w:t>
      </w:r>
      <w:r>
        <w:rPr>
          <w:rFonts w:cs="Times New Roman"/>
          <w:bCs/>
          <w:color w:val="000000" w:themeColor="text1"/>
          <w:szCs w:val="24"/>
          <w:highlight w:val="none"/>
          <w14:textFill>
            <w14:solidFill>
              <w14:schemeClr w14:val="tx1"/>
            </w14:solidFill>
          </w14:textFill>
        </w:rPr>
        <w:t>。</w:t>
      </w:r>
    </w:p>
    <w:p>
      <w:pPr>
        <w:ind w:firstLine="482"/>
        <w:rPr>
          <w:rFonts w:cs="Times New Roman"/>
          <w:b/>
          <w:color w:val="000000" w:themeColor="text1"/>
          <w:szCs w:val="24"/>
          <w:highlight w:val="none"/>
          <w14:textFill>
            <w14:solidFill>
              <w14:schemeClr w14:val="tx1"/>
            </w14:solidFill>
          </w14:textFill>
        </w:rPr>
      </w:pPr>
      <w:r>
        <w:rPr>
          <w:rFonts w:cs="Times New Roman"/>
          <w:b/>
          <w:color w:val="000000" w:themeColor="text1"/>
          <w:szCs w:val="24"/>
          <w:highlight w:val="none"/>
          <w14:textFill>
            <w14:solidFill>
              <w14:schemeClr w14:val="tx1"/>
            </w14:solidFill>
          </w14:textFill>
        </w:rPr>
        <w:t>（5）地下水动态变化特征</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工程区内地下水主要接受大气降水补给，地下水的动态变化同大气降水密切相关，一般随着降雨量的变化而变化，雨季时地下水水位上升，雨季之后地下水水位逐渐下降。同时受地形地貌和堰塘等蓄水体的蓄水补给影响，靠近丘谷和蓄水体边上水井水位埋深普遍较浅。本项目区域地下水水位统计见</w:t>
      </w:r>
      <w:r>
        <w:rPr>
          <w:rFonts w:cs="Times New Roman"/>
          <w:bCs/>
          <w:color w:val="000000" w:themeColor="text1"/>
          <w:szCs w:val="24"/>
          <w:highlight w:val="none"/>
          <w14:textFill>
            <w14:solidFill>
              <w14:schemeClr w14:val="tx1"/>
            </w14:solidFill>
          </w14:textFill>
        </w:rPr>
        <w:fldChar w:fldCharType="begin"/>
      </w:r>
      <w:r>
        <w:rPr>
          <w:rFonts w:cs="Times New Roman"/>
          <w:bCs/>
          <w:color w:val="000000" w:themeColor="text1"/>
          <w:szCs w:val="24"/>
          <w:highlight w:val="none"/>
          <w14:textFill>
            <w14:solidFill>
              <w14:schemeClr w14:val="tx1"/>
            </w14:solidFill>
          </w14:textFill>
        </w:rPr>
        <w:instrText xml:space="preserve"> REF _Ref142600224 \h  \* MERGEFORMAT </w:instrText>
      </w:r>
      <w:r>
        <w:rPr>
          <w:rFonts w:cs="Times New Roman"/>
          <w:bCs/>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13</w:t>
      </w:r>
      <w:r>
        <w:rPr>
          <w:rFonts w:cs="Times New Roman"/>
          <w:bCs/>
          <w:color w:val="000000" w:themeColor="text1"/>
          <w:szCs w:val="24"/>
          <w:highlight w:val="none"/>
          <w14:textFill>
            <w14:solidFill>
              <w14:schemeClr w14:val="tx1"/>
            </w14:solidFill>
          </w14:textFill>
        </w:rPr>
        <w:fldChar w:fldCharType="end"/>
      </w:r>
      <w:r>
        <w:rPr>
          <w:rFonts w:cs="Times New Roman"/>
          <w:bCs/>
          <w:color w:val="000000" w:themeColor="text1"/>
          <w:szCs w:val="24"/>
          <w:highlight w:val="none"/>
          <w14:textFill>
            <w14:solidFill>
              <w14:schemeClr w14:val="tx1"/>
            </w14:solidFill>
          </w14:textFill>
        </w:rPr>
        <w:t>，点位分布见图附图</w:t>
      </w:r>
      <w:r>
        <w:rPr>
          <w:rFonts w:hint="eastAsia" w:cs="Times New Roman"/>
          <w:bCs/>
          <w:color w:val="000000" w:themeColor="text1"/>
          <w:szCs w:val="24"/>
          <w:highlight w:val="none"/>
          <w14:textFill>
            <w14:solidFill>
              <w14:schemeClr w14:val="tx1"/>
            </w14:solidFill>
          </w14:textFill>
        </w:rPr>
        <w:t>4</w:t>
      </w:r>
      <w:r>
        <w:rPr>
          <w:rFonts w:cs="Times New Roman"/>
          <w:bCs/>
          <w:color w:val="000000" w:themeColor="text1"/>
          <w:szCs w:val="24"/>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bookmarkStart w:id="234" w:name="_Ref142600224"/>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13</w:t>
      </w:r>
      <w:r>
        <w:rPr>
          <w:color w:val="000000" w:themeColor="text1"/>
          <w:highlight w:val="none"/>
          <w14:textFill>
            <w14:solidFill>
              <w14:schemeClr w14:val="tx1"/>
            </w14:solidFill>
          </w14:textFill>
        </w:rPr>
        <w:fldChar w:fldCharType="end"/>
      </w:r>
      <w:bookmarkEnd w:id="234"/>
      <w:r>
        <w:rPr>
          <w:rFonts w:hint="eastAsia"/>
          <w:color w:val="000000" w:themeColor="text1"/>
          <w:highlight w:val="none"/>
          <w14:textFill>
            <w14:solidFill>
              <w14:schemeClr w14:val="tx1"/>
            </w14:solidFill>
          </w14:textFill>
        </w:rPr>
        <w:t>本项目区域地下水水位统计一览表</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5"/>
        <w:gridCol w:w="2820"/>
        <w:gridCol w:w="2609"/>
        <w:gridCol w:w="18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2" w:type="pct"/>
            <w:vAlign w:val="center"/>
          </w:tcPr>
          <w:p>
            <w:pPr>
              <w:widowControl/>
              <w:adjustRightInd/>
              <w:snapToGrid/>
              <w:spacing w:line="240" w:lineRule="auto"/>
              <w:ind w:firstLine="0" w:firstLineChars="0"/>
              <w:jc w:val="center"/>
              <w:rPr>
                <w:rFonts w:cs="Times New Roman"/>
                <w:b/>
                <w:bCs/>
                <w:color w:val="000000" w:themeColor="text1"/>
                <w:kern w:val="0"/>
                <w:sz w:val="21"/>
                <w:szCs w:val="21"/>
                <w:highlight w:val="none"/>
                <w14:textFill>
                  <w14:solidFill>
                    <w14:schemeClr w14:val="tx1"/>
                  </w14:solidFill>
                </w14:textFill>
              </w:rPr>
            </w:pPr>
            <w:r>
              <w:rPr>
                <w:rFonts w:cs="Times New Roman"/>
                <w:b/>
                <w:bCs/>
                <w:color w:val="000000" w:themeColor="text1"/>
                <w:kern w:val="0"/>
                <w:sz w:val="21"/>
                <w:szCs w:val="21"/>
                <w:highlight w:val="none"/>
                <w14:textFill>
                  <w14:solidFill>
                    <w14:schemeClr w14:val="tx1"/>
                  </w14:solidFill>
                </w14:textFill>
              </w:rPr>
              <w:t>采样日期</w:t>
            </w:r>
          </w:p>
        </w:tc>
        <w:tc>
          <w:tcPr>
            <w:tcW w:w="1654" w:type="pct"/>
            <w:vAlign w:val="center"/>
          </w:tcPr>
          <w:p>
            <w:pPr>
              <w:widowControl/>
              <w:adjustRightInd/>
              <w:snapToGrid/>
              <w:spacing w:line="240" w:lineRule="auto"/>
              <w:ind w:firstLine="0" w:firstLineChars="0"/>
              <w:jc w:val="center"/>
              <w:rPr>
                <w:rFonts w:cs="Times New Roman"/>
                <w:b/>
                <w:bCs/>
                <w:color w:val="000000" w:themeColor="text1"/>
                <w:kern w:val="0"/>
                <w:sz w:val="21"/>
                <w:szCs w:val="21"/>
                <w:highlight w:val="none"/>
                <w:lang w:eastAsia="en-US"/>
                <w14:textFill>
                  <w14:solidFill>
                    <w14:schemeClr w14:val="tx1"/>
                  </w14:solidFill>
                </w14:textFill>
              </w:rPr>
            </w:pPr>
            <w:r>
              <w:rPr>
                <w:rFonts w:hint="eastAsia" w:cs="Times New Roman"/>
                <w:b/>
                <w:bCs/>
                <w:color w:val="000000" w:themeColor="text1"/>
                <w:kern w:val="0"/>
                <w:sz w:val="21"/>
                <w:szCs w:val="21"/>
                <w:highlight w:val="none"/>
                <w14:textFill>
                  <w14:solidFill>
                    <w14:schemeClr w14:val="tx1"/>
                  </w14:solidFill>
                </w14:textFill>
              </w:rPr>
              <w:t>监测点位</w:t>
            </w:r>
            <w:r>
              <w:rPr>
                <w:rFonts w:cs="Times New Roman"/>
                <w:b/>
                <w:bCs/>
                <w:color w:val="000000" w:themeColor="text1"/>
                <w:kern w:val="0"/>
                <w:sz w:val="21"/>
                <w:szCs w:val="21"/>
                <w:highlight w:val="none"/>
                <w:lang w:eastAsia="en-US"/>
                <w14:textFill>
                  <w14:solidFill>
                    <w14:schemeClr w14:val="tx1"/>
                  </w14:solidFill>
                </w14:textFill>
              </w:rPr>
              <w:t>信息</w:t>
            </w:r>
          </w:p>
        </w:tc>
        <w:tc>
          <w:tcPr>
            <w:tcW w:w="1530" w:type="pct"/>
            <w:vAlign w:val="center"/>
          </w:tcPr>
          <w:p>
            <w:pPr>
              <w:widowControl/>
              <w:adjustRightInd/>
              <w:snapToGrid/>
              <w:spacing w:line="240" w:lineRule="auto"/>
              <w:ind w:firstLine="0" w:firstLineChars="0"/>
              <w:jc w:val="center"/>
              <w:rPr>
                <w:rFonts w:cs="Times New Roman"/>
                <w:b/>
                <w:bCs/>
                <w:color w:val="000000" w:themeColor="text1"/>
                <w:kern w:val="0"/>
                <w:sz w:val="21"/>
                <w:szCs w:val="21"/>
                <w:highlight w:val="none"/>
                <w14:textFill>
                  <w14:solidFill>
                    <w14:schemeClr w14:val="tx1"/>
                  </w14:solidFill>
                </w14:textFill>
              </w:rPr>
            </w:pPr>
            <w:r>
              <w:rPr>
                <w:rFonts w:cs="Times New Roman"/>
                <w:b/>
                <w:bCs/>
                <w:color w:val="000000" w:themeColor="text1"/>
                <w:kern w:val="0"/>
                <w:sz w:val="21"/>
                <w:szCs w:val="21"/>
                <w:highlight w:val="none"/>
                <w14:textFill>
                  <w14:solidFill>
                    <w14:schemeClr w14:val="tx1"/>
                  </w14:solidFill>
                </w14:textFill>
              </w:rPr>
              <w:t>坐标</w:t>
            </w:r>
          </w:p>
        </w:tc>
        <w:tc>
          <w:tcPr>
            <w:tcW w:w="1074" w:type="pct"/>
            <w:vAlign w:val="center"/>
          </w:tcPr>
          <w:p>
            <w:pPr>
              <w:widowControl/>
              <w:adjustRightInd/>
              <w:snapToGrid/>
              <w:spacing w:line="240" w:lineRule="auto"/>
              <w:ind w:firstLine="0" w:firstLineChars="0"/>
              <w:jc w:val="center"/>
              <w:rPr>
                <w:rFonts w:cs="Times New Roman"/>
                <w:b/>
                <w:bCs/>
                <w:color w:val="000000" w:themeColor="text1"/>
                <w:kern w:val="0"/>
                <w:sz w:val="21"/>
                <w:szCs w:val="21"/>
                <w:highlight w:val="none"/>
                <w14:textFill>
                  <w14:solidFill>
                    <w14:schemeClr w14:val="tx1"/>
                  </w14:solidFill>
                </w14:textFill>
              </w:rPr>
            </w:pPr>
            <w:r>
              <w:rPr>
                <w:rFonts w:cs="Times New Roman"/>
                <w:b/>
                <w:bCs/>
                <w:color w:val="000000" w:themeColor="text1"/>
                <w:kern w:val="0"/>
                <w:sz w:val="21"/>
                <w:szCs w:val="21"/>
                <w:highlight w:val="none"/>
                <w14:textFill>
                  <w14:solidFill>
                    <w14:schemeClr w14:val="tx1"/>
                  </w14:solidFill>
                </w14:textFill>
              </w:rPr>
              <w:t>水位（m）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2" w:type="pct"/>
            <w:vMerge w:val="restart"/>
            <w:vAlign w:val="center"/>
          </w:tcPr>
          <w:p>
            <w:pPr>
              <w:adjustRightInd/>
              <w:snapToGrid/>
              <w:spacing w:line="240" w:lineRule="auto"/>
              <w:ind w:firstLine="0" w:firstLineChars="0"/>
              <w:jc w:val="center"/>
              <w:rPr>
                <w:rFonts w:eastAsia="仿宋体" w:cs="Times New Roman"/>
                <w:color w:val="000000" w:themeColor="text1"/>
                <w:sz w:val="21"/>
                <w:szCs w:val="21"/>
                <w:highlight w:val="none"/>
                <w14:textFill>
                  <w14:solidFill>
                    <w14:schemeClr w14:val="tx1"/>
                  </w14:solidFill>
                </w14:textFill>
              </w:rPr>
            </w:pPr>
            <w:r>
              <w:rPr>
                <w:rFonts w:eastAsia="仿宋体" w:cs="Times New Roman"/>
                <w:color w:val="000000" w:themeColor="text1"/>
                <w:sz w:val="21"/>
                <w:szCs w:val="21"/>
                <w:highlight w:val="none"/>
                <w14:textFill>
                  <w14:solidFill>
                    <w14:schemeClr w14:val="tx1"/>
                  </w14:solidFill>
                </w14:textFill>
              </w:rPr>
              <w:t>2023.08.18-2023.08.19</w:t>
            </w:r>
          </w:p>
        </w:tc>
        <w:tc>
          <w:tcPr>
            <w:tcW w:w="1654" w:type="pct"/>
            <w:vAlign w:val="center"/>
          </w:tcPr>
          <w:p>
            <w:pPr>
              <w:widowControl/>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1#雷页1井井口西南侧距项目地约800m处</w:t>
            </w:r>
          </w:p>
        </w:tc>
        <w:tc>
          <w:tcPr>
            <w:tcW w:w="1530"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东经107.606503，</w:t>
            </w:r>
          </w:p>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北纬31.325909</w:t>
            </w:r>
          </w:p>
        </w:tc>
        <w:tc>
          <w:tcPr>
            <w:tcW w:w="1074"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742" w:type="pct"/>
            <w:vMerge w:val="continue"/>
            <w:vAlign w:val="center"/>
          </w:tcPr>
          <w:p>
            <w:pPr>
              <w:adjustRightInd/>
              <w:snapToGrid/>
              <w:spacing w:line="240" w:lineRule="auto"/>
              <w:ind w:firstLine="0" w:firstLineChars="0"/>
              <w:jc w:val="center"/>
              <w:rPr>
                <w:rFonts w:eastAsia="仿宋体" w:cs="Times New Roman"/>
                <w:color w:val="000000" w:themeColor="text1"/>
                <w:sz w:val="21"/>
                <w:szCs w:val="21"/>
                <w:highlight w:val="none"/>
                <w14:textFill>
                  <w14:solidFill>
                    <w14:schemeClr w14:val="tx1"/>
                  </w14:solidFill>
                </w14:textFill>
              </w:rPr>
            </w:pPr>
          </w:p>
        </w:tc>
        <w:tc>
          <w:tcPr>
            <w:tcW w:w="1654" w:type="pct"/>
            <w:vAlign w:val="center"/>
          </w:tcPr>
          <w:p>
            <w:pPr>
              <w:widowControl/>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2#雷页1井井口西侧距项目地约50m处</w:t>
            </w:r>
          </w:p>
        </w:tc>
        <w:tc>
          <w:tcPr>
            <w:tcW w:w="1530"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东经107.607740，北纬31.329294</w:t>
            </w:r>
          </w:p>
        </w:tc>
        <w:tc>
          <w:tcPr>
            <w:tcW w:w="1074"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2" w:type="pct"/>
            <w:vMerge w:val="continue"/>
            <w:vAlign w:val="center"/>
          </w:tcPr>
          <w:p>
            <w:pPr>
              <w:adjustRightInd/>
              <w:snapToGrid/>
              <w:spacing w:line="240" w:lineRule="auto"/>
              <w:ind w:firstLine="0" w:firstLineChars="0"/>
              <w:jc w:val="center"/>
              <w:rPr>
                <w:rFonts w:eastAsia="仿宋体" w:cs="Times New Roman"/>
                <w:color w:val="000000" w:themeColor="text1"/>
                <w:sz w:val="21"/>
                <w:szCs w:val="21"/>
                <w:highlight w:val="none"/>
                <w14:textFill>
                  <w14:solidFill>
                    <w14:schemeClr w14:val="tx1"/>
                  </w14:solidFill>
                </w14:textFill>
              </w:rPr>
            </w:pPr>
          </w:p>
        </w:tc>
        <w:tc>
          <w:tcPr>
            <w:tcW w:w="1654" w:type="pct"/>
            <w:vAlign w:val="center"/>
          </w:tcPr>
          <w:p>
            <w:pPr>
              <w:widowControl/>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3#雷页1井井口东北侧距项目地约100m处</w:t>
            </w:r>
          </w:p>
        </w:tc>
        <w:tc>
          <w:tcPr>
            <w:tcW w:w="1530"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东经107.604594，北纬31.302145</w:t>
            </w:r>
          </w:p>
        </w:tc>
        <w:tc>
          <w:tcPr>
            <w:tcW w:w="1074"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0.34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2" w:type="pct"/>
            <w:vMerge w:val="continue"/>
            <w:vAlign w:val="center"/>
          </w:tcPr>
          <w:p>
            <w:pPr>
              <w:adjustRightInd/>
              <w:snapToGrid/>
              <w:spacing w:line="240" w:lineRule="auto"/>
              <w:ind w:firstLine="0" w:firstLineChars="0"/>
              <w:jc w:val="center"/>
              <w:rPr>
                <w:rFonts w:eastAsia="仿宋体" w:cs="Times New Roman"/>
                <w:color w:val="000000" w:themeColor="text1"/>
                <w:sz w:val="21"/>
                <w:szCs w:val="21"/>
                <w:highlight w:val="none"/>
                <w14:textFill>
                  <w14:solidFill>
                    <w14:schemeClr w14:val="tx1"/>
                  </w14:solidFill>
                </w14:textFill>
              </w:rPr>
            </w:pPr>
          </w:p>
        </w:tc>
        <w:tc>
          <w:tcPr>
            <w:tcW w:w="1654" w:type="pct"/>
            <w:vAlign w:val="center"/>
          </w:tcPr>
          <w:p>
            <w:pPr>
              <w:widowControl/>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4#雷页1井井口东北侧距项目地约160m处</w:t>
            </w:r>
          </w:p>
        </w:tc>
        <w:tc>
          <w:tcPr>
            <w:tcW w:w="1530"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东经107.608375，北纬31.334384</w:t>
            </w:r>
          </w:p>
        </w:tc>
        <w:tc>
          <w:tcPr>
            <w:tcW w:w="1074"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0.56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2" w:type="pct"/>
            <w:vMerge w:val="continue"/>
            <w:vAlign w:val="center"/>
          </w:tcPr>
          <w:p>
            <w:pPr>
              <w:adjustRightInd/>
              <w:snapToGrid/>
              <w:spacing w:line="240" w:lineRule="auto"/>
              <w:ind w:firstLine="0" w:firstLineChars="0"/>
              <w:jc w:val="center"/>
              <w:rPr>
                <w:rFonts w:eastAsia="仿宋体" w:cs="Times New Roman"/>
                <w:color w:val="000000" w:themeColor="text1"/>
                <w:sz w:val="21"/>
                <w:szCs w:val="21"/>
                <w:highlight w:val="none"/>
                <w14:textFill>
                  <w14:solidFill>
                    <w14:schemeClr w14:val="tx1"/>
                  </w14:solidFill>
                </w14:textFill>
              </w:rPr>
            </w:pPr>
          </w:p>
        </w:tc>
        <w:tc>
          <w:tcPr>
            <w:tcW w:w="1654" w:type="pct"/>
            <w:vAlign w:val="center"/>
          </w:tcPr>
          <w:p>
            <w:pPr>
              <w:widowControl/>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5#雷页1井井口东侧距项目地约360m处</w:t>
            </w:r>
          </w:p>
        </w:tc>
        <w:tc>
          <w:tcPr>
            <w:tcW w:w="1530"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东经107.611668，北纬31.328721</w:t>
            </w:r>
          </w:p>
        </w:tc>
        <w:tc>
          <w:tcPr>
            <w:tcW w:w="1074"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0.31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2" w:type="pct"/>
            <w:vMerge w:val="continue"/>
            <w:vAlign w:val="center"/>
          </w:tcPr>
          <w:p>
            <w:pPr>
              <w:adjustRightInd/>
              <w:snapToGrid/>
              <w:spacing w:line="240" w:lineRule="auto"/>
              <w:ind w:firstLine="0" w:firstLineChars="0"/>
              <w:jc w:val="center"/>
              <w:rPr>
                <w:rFonts w:eastAsia="仿宋体" w:cs="Times New Roman"/>
                <w:color w:val="000000" w:themeColor="text1"/>
                <w:sz w:val="21"/>
                <w:szCs w:val="21"/>
                <w:highlight w:val="none"/>
                <w14:textFill>
                  <w14:solidFill>
                    <w14:schemeClr w14:val="tx1"/>
                  </w14:solidFill>
                </w14:textFill>
              </w:rPr>
            </w:pPr>
          </w:p>
        </w:tc>
        <w:tc>
          <w:tcPr>
            <w:tcW w:w="1654" w:type="pct"/>
            <w:vAlign w:val="center"/>
          </w:tcPr>
          <w:p>
            <w:pPr>
              <w:widowControl/>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6#雷页1井井口西侧距项目地约586m处</w:t>
            </w:r>
          </w:p>
        </w:tc>
        <w:tc>
          <w:tcPr>
            <w:tcW w:w="1530"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东经107.601373，北纬31.328809</w:t>
            </w:r>
          </w:p>
        </w:tc>
        <w:tc>
          <w:tcPr>
            <w:tcW w:w="1074"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0.63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2" w:type="pct"/>
            <w:vMerge w:val="continue"/>
            <w:vAlign w:val="center"/>
          </w:tcPr>
          <w:p>
            <w:pPr>
              <w:adjustRightInd/>
              <w:snapToGrid/>
              <w:spacing w:line="240" w:lineRule="auto"/>
              <w:ind w:firstLine="0" w:firstLineChars="0"/>
              <w:jc w:val="center"/>
              <w:rPr>
                <w:rFonts w:eastAsia="仿宋体" w:cs="Times New Roman"/>
                <w:color w:val="000000" w:themeColor="text1"/>
                <w:sz w:val="21"/>
                <w:szCs w:val="21"/>
                <w:highlight w:val="none"/>
                <w14:textFill>
                  <w14:solidFill>
                    <w14:schemeClr w14:val="tx1"/>
                  </w14:solidFill>
                </w14:textFill>
              </w:rPr>
            </w:pPr>
          </w:p>
        </w:tc>
        <w:tc>
          <w:tcPr>
            <w:tcW w:w="1654" w:type="pct"/>
            <w:vAlign w:val="center"/>
          </w:tcPr>
          <w:p>
            <w:pPr>
              <w:widowControl/>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7#雷页1井井口西</w:t>
            </w:r>
            <w:r>
              <w:rPr>
                <w:rFonts w:hint="eastAsia" w:cs="Times New Roman"/>
                <w:color w:val="000000" w:themeColor="text1"/>
                <w:sz w:val="21"/>
                <w:szCs w:val="21"/>
                <w:highlight w:val="none"/>
                <w14:textFill>
                  <w14:solidFill>
                    <w14:schemeClr w14:val="tx1"/>
                  </w14:solidFill>
                </w14:textFill>
              </w:rPr>
              <w:t>南</w:t>
            </w:r>
            <w:r>
              <w:rPr>
                <w:rFonts w:cs="Times New Roman"/>
                <w:color w:val="000000" w:themeColor="text1"/>
                <w:sz w:val="21"/>
                <w:szCs w:val="21"/>
                <w:highlight w:val="none"/>
                <w14:textFill>
                  <w14:solidFill>
                    <w14:schemeClr w14:val="tx1"/>
                  </w14:solidFill>
                </w14:textFill>
              </w:rPr>
              <w:t>侧距项目地约406m处</w:t>
            </w:r>
          </w:p>
        </w:tc>
        <w:tc>
          <w:tcPr>
            <w:tcW w:w="1530"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东经107.602373，北纬31.327019</w:t>
            </w:r>
          </w:p>
        </w:tc>
        <w:tc>
          <w:tcPr>
            <w:tcW w:w="1074"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2" w:type="pct"/>
            <w:vMerge w:val="continue"/>
            <w:vAlign w:val="center"/>
          </w:tcPr>
          <w:p>
            <w:pPr>
              <w:adjustRightInd/>
              <w:snapToGrid/>
              <w:spacing w:line="240" w:lineRule="auto"/>
              <w:ind w:firstLine="0" w:firstLineChars="0"/>
              <w:jc w:val="center"/>
              <w:rPr>
                <w:rFonts w:eastAsia="仿宋体" w:cs="Times New Roman"/>
                <w:color w:val="000000" w:themeColor="text1"/>
                <w:sz w:val="21"/>
                <w:szCs w:val="21"/>
                <w:highlight w:val="none"/>
                <w14:textFill>
                  <w14:solidFill>
                    <w14:schemeClr w14:val="tx1"/>
                  </w14:solidFill>
                </w14:textFill>
              </w:rPr>
            </w:pPr>
          </w:p>
        </w:tc>
        <w:tc>
          <w:tcPr>
            <w:tcW w:w="1654" w:type="pct"/>
            <w:vAlign w:val="center"/>
          </w:tcPr>
          <w:p>
            <w:pPr>
              <w:widowControl/>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8#雷页1井井口东南侧距项目地约433m处</w:t>
            </w:r>
          </w:p>
        </w:tc>
        <w:tc>
          <w:tcPr>
            <w:tcW w:w="1530"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东经107.611895，北纬31.326692</w:t>
            </w:r>
          </w:p>
        </w:tc>
        <w:tc>
          <w:tcPr>
            <w:tcW w:w="1074"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0.55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2" w:type="pct"/>
            <w:vMerge w:val="continue"/>
            <w:vAlign w:val="center"/>
          </w:tcPr>
          <w:p>
            <w:pPr>
              <w:adjustRightInd/>
              <w:snapToGrid/>
              <w:spacing w:line="240" w:lineRule="auto"/>
              <w:ind w:firstLine="0" w:firstLineChars="0"/>
              <w:jc w:val="center"/>
              <w:rPr>
                <w:rFonts w:eastAsia="仿宋体" w:cs="Times New Roman"/>
                <w:color w:val="000000" w:themeColor="text1"/>
                <w:sz w:val="21"/>
                <w:szCs w:val="21"/>
                <w:highlight w:val="none"/>
                <w14:textFill>
                  <w14:solidFill>
                    <w14:schemeClr w14:val="tx1"/>
                  </w14:solidFill>
                </w14:textFill>
              </w:rPr>
            </w:pPr>
          </w:p>
        </w:tc>
        <w:tc>
          <w:tcPr>
            <w:tcW w:w="1654" w:type="pct"/>
            <w:vAlign w:val="center"/>
          </w:tcPr>
          <w:p>
            <w:pPr>
              <w:widowControl/>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9#雷页1井井口东北侧距项目地约137m处</w:t>
            </w:r>
          </w:p>
        </w:tc>
        <w:tc>
          <w:tcPr>
            <w:tcW w:w="1530"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东经107.609480，北纬31.331528</w:t>
            </w:r>
          </w:p>
        </w:tc>
        <w:tc>
          <w:tcPr>
            <w:tcW w:w="1074"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0.64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2" w:type="pct"/>
            <w:vMerge w:val="continue"/>
            <w:vAlign w:val="center"/>
          </w:tcPr>
          <w:p>
            <w:pPr>
              <w:adjustRightInd/>
              <w:snapToGrid/>
              <w:spacing w:line="240" w:lineRule="auto"/>
              <w:ind w:firstLine="0" w:firstLineChars="0"/>
              <w:jc w:val="center"/>
              <w:rPr>
                <w:rFonts w:eastAsia="仿宋体" w:cs="Times New Roman"/>
                <w:color w:val="000000" w:themeColor="text1"/>
                <w:sz w:val="21"/>
                <w:szCs w:val="21"/>
                <w:highlight w:val="none"/>
                <w14:textFill>
                  <w14:solidFill>
                    <w14:schemeClr w14:val="tx1"/>
                  </w14:solidFill>
                </w14:textFill>
              </w:rPr>
            </w:pPr>
          </w:p>
        </w:tc>
        <w:tc>
          <w:tcPr>
            <w:tcW w:w="1654" w:type="pct"/>
            <w:vAlign w:val="center"/>
          </w:tcPr>
          <w:p>
            <w:pPr>
              <w:widowControl/>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10#雷页1井井口北侧距项目地约582m处</w:t>
            </w:r>
          </w:p>
        </w:tc>
        <w:tc>
          <w:tcPr>
            <w:tcW w:w="1530"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东经107.604985，北纬31.334161</w:t>
            </w:r>
          </w:p>
        </w:tc>
        <w:tc>
          <w:tcPr>
            <w:tcW w:w="1074"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2" w:type="pct"/>
            <w:vMerge w:val="restart"/>
            <w:vAlign w:val="center"/>
          </w:tcPr>
          <w:p>
            <w:pPr>
              <w:adjustRightInd/>
              <w:snapToGrid/>
              <w:spacing w:line="240" w:lineRule="auto"/>
              <w:ind w:firstLine="0" w:firstLineChars="0"/>
              <w:jc w:val="center"/>
              <w:rPr>
                <w:rFonts w:eastAsia="仿宋体" w:cs="Times New Roman"/>
                <w:color w:val="000000" w:themeColor="text1"/>
                <w:sz w:val="21"/>
                <w:szCs w:val="21"/>
                <w:highlight w:val="none"/>
                <w14:textFill>
                  <w14:solidFill>
                    <w14:schemeClr w14:val="tx1"/>
                  </w14:solidFill>
                </w14:textFill>
              </w:rPr>
            </w:pPr>
            <w:r>
              <w:rPr>
                <w:rFonts w:eastAsia="仿宋体" w:cs="Times New Roman"/>
                <w:color w:val="000000" w:themeColor="text1"/>
                <w:sz w:val="21"/>
                <w:szCs w:val="21"/>
                <w:highlight w:val="none"/>
                <w14:textFill>
                  <w14:solidFill>
                    <w14:schemeClr w14:val="tx1"/>
                  </w14:solidFill>
                </w14:textFill>
              </w:rPr>
              <w:t>202</w:t>
            </w:r>
            <w:r>
              <w:rPr>
                <w:rFonts w:hint="eastAsia" w:eastAsia="仿宋体" w:cs="Times New Roman"/>
                <w:color w:val="000000" w:themeColor="text1"/>
                <w:sz w:val="21"/>
                <w:szCs w:val="21"/>
                <w:highlight w:val="none"/>
                <w14:textFill>
                  <w14:solidFill>
                    <w14:schemeClr w14:val="tx1"/>
                  </w14:solidFill>
                </w14:textFill>
              </w:rPr>
              <w:t>4</w:t>
            </w:r>
            <w:r>
              <w:rPr>
                <w:rFonts w:eastAsia="仿宋体" w:cs="Times New Roman"/>
                <w:color w:val="000000" w:themeColor="text1"/>
                <w:sz w:val="21"/>
                <w:szCs w:val="21"/>
                <w:highlight w:val="none"/>
                <w14:textFill>
                  <w14:solidFill>
                    <w14:schemeClr w14:val="tx1"/>
                  </w14:solidFill>
                </w14:textFill>
              </w:rPr>
              <w:t>.0</w:t>
            </w:r>
            <w:r>
              <w:rPr>
                <w:rFonts w:hint="eastAsia" w:eastAsia="仿宋体" w:cs="Times New Roman"/>
                <w:color w:val="000000" w:themeColor="text1"/>
                <w:sz w:val="21"/>
                <w:szCs w:val="21"/>
                <w:highlight w:val="none"/>
                <w14:textFill>
                  <w14:solidFill>
                    <w14:schemeClr w14:val="tx1"/>
                  </w14:solidFill>
                </w14:textFill>
              </w:rPr>
              <w:t>3</w:t>
            </w:r>
            <w:r>
              <w:rPr>
                <w:rFonts w:eastAsia="仿宋体" w:cs="Times New Roman"/>
                <w:color w:val="000000" w:themeColor="text1"/>
                <w:sz w:val="21"/>
                <w:szCs w:val="21"/>
                <w:highlight w:val="none"/>
                <w14:textFill>
                  <w14:solidFill>
                    <w14:schemeClr w14:val="tx1"/>
                  </w14:solidFill>
                </w14:textFill>
              </w:rPr>
              <w:t>.</w:t>
            </w:r>
            <w:r>
              <w:rPr>
                <w:rFonts w:hint="eastAsia" w:eastAsia="仿宋体" w:cs="Times New Roman"/>
                <w:color w:val="000000" w:themeColor="text1"/>
                <w:sz w:val="21"/>
                <w:szCs w:val="21"/>
                <w:highlight w:val="none"/>
                <w14:textFill>
                  <w14:solidFill>
                    <w14:schemeClr w14:val="tx1"/>
                  </w14:solidFill>
                </w14:textFill>
              </w:rPr>
              <w:t>03</w:t>
            </w:r>
          </w:p>
        </w:tc>
        <w:tc>
          <w:tcPr>
            <w:tcW w:w="1654" w:type="pct"/>
            <w:vAlign w:val="center"/>
          </w:tcPr>
          <w:p>
            <w:pPr>
              <w:widowControl/>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1</w:t>
            </w:r>
            <w:r>
              <w:rPr>
                <w:rFonts w:hint="eastAsia" w:cs="Times New Roman"/>
                <w:color w:val="000000" w:themeColor="text1"/>
                <w:sz w:val="21"/>
                <w:szCs w:val="21"/>
                <w:highlight w:val="none"/>
                <w14:textFill>
                  <w14:solidFill>
                    <w14:schemeClr w14:val="tx1"/>
                  </w14:solidFill>
                </w14:textFill>
              </w:rPr>
              <w:t>1</w:t>
            </w:r>
            <w:r>
              <w:rPr>
                <w:rFonts w:cs="Times New Roman"/>
                <w:color w:val="000000" w:themeColor="text1"/>
                <w:sz w:val="21"/>
                <w:szCs w:val="21"/>
                <w:highlight w:val="none"/>
                <w14:textFill>
                  <w14:solidFill>
                    <w14:schemeClr w14:val="tx1"/>
                  </w14:solidFill>
                </w14:textFill>
              </w:rPr>
              <w:t>#雷页1井</w:t>
            </w:r>
            <w:r>
              <w:rPr>
                <w:rFonts w:hint="eastAsia" w:cs="Times New Roman"/>
                <w:color w:val="000000" w:themeColor="text1"/>
                <w:sz w:val="21"/>
                <w:szCs w:val="21"/>
                <w:highlight w:val="none"/>
                <w14:textFill>
                  <w14:solidFill>
                    <w14:schemeClr w14:val="tx1"/>
                  </w14:solidFill>
                </w14:textFill>
              </w:rPr>
              <w:t>至魏兴站管线南侧</w:t>
            </w:r>
            <w:r>
              <w:rPr>
                <w:rFonts w:cs="Times New Roman"/>
                <w:color w:val="000000" w:themeColor="text1"/>
                <w:sz w:val="21"/>
                <w:szCs w:val="21"/>
                <w:highlight w:val="none"/>
                <w14:textFill>
                  <w14:solidFill>
                    <w14:schemeClr w14:val="tx1"/>
                  </w14:solidFill>
                </w14:textFill>
              </w:rPr>
              <w:t>处</w:t>
            </w:r>
          </w:p>
        </w:tc>
        <w:tc>
          <w:tcPr>
            <w:tcW w:w="1530"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东经</w:t>
            </w:r>
            <w:r>
              <w:rPr>
                <w:color w:val="000000" w:themeColor="text1"/>
                <w:sz w:val="21"/>
                <w:szCs w:val="21"/>
                <w:highlight w:val="none"/>
                <w14:textFill>
                  <w14:solidFill>
                    <w14:schemeClr w14:val="tx1"/>
                  </w14:solidFill>
                </w14:textFill>
              </w:rPr>
              <w:t>107.521166</w:t>
            </w:r>
            <w:r>
              <w:rPr>
                <w:rFonts w:hint="eastAsia"/>
                <w:color w:val="000000" w:themeColor="text1"/>
                <w:sz w:val="21"/>
                <w:szCs w:val="21"/>
                <w:highlight w:val="none"/>
                <w14:textFill>
                  <w14:solidFill>
                    <w14:schemeClr w14:val="tx1"/>
                  </w14:solidFill>
                </w14:textFill>
              </w:rPr>
              <w:t>，北纬</w:t>
            </w:r>
            <w:r>
              <w:rPr>
                <w:color w:val="000000" w:themeColor="text1"/>
                <w:sz w:val="21"/>
                <w:szCs w:val="21"/>
                <w:highlight w:val="none"/>
                <w14:textFill>
                  <w14:solidFill>
                    <w14:schemeClr w14:val="tx1"/>
                  </w14:solidFill>
                </w14:textFill>
              </w:rPr>
              <w:t>31.360347</w:t>
            </w:r>
          </w:p>
        </w:tc>
        <w:tc>
          <w:tcPr>
            <w:tcW w:w="1074"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1"/>
                <w:szCs w:val="21"/>
                <w:highlight w:val="none"/>
                <w14:textFill>
                  <w14:solidFill>
                    <w14:schemeClr w14:val="tx1"/>
                  </w14:solidFill>
                </w14:textFill>
              </w:rPr>
              <w:t>0.55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2" w:type="pct"/>
            <w:vMerge w:val="continue"/>
            <w:vAlign w:val="center"/>
          </w:tcPr>
          <w:p>
            <w:pPr>
              <w:adjustRightInd/>
              <w:snapToGrid/>
              <w:spacing w:line="240" w:lineRule="auto"/>
              <w:ind w:firstLine="0" w:firstLineChars="0"/>
              <w:jc w:val="center"/>
              <w:rPr>
                <w:rFonts w:eastAsia="仿宋体" w:cs="Times New Roman"/>
                <w:b/>
                <w:bCs/>
                <w:color w:val="000000" w:themeColor="text1"/>
                <w:sz w:val="21"/>
                <w:szCs w:val="21"/>
                <w:highlight w:val="none"/>
                <w14:textFill>
                  <w14:solidFill>
                    <w14:schemeClr w14:val="tx1"/>
                  </w14:solidFill>
                </w14:textFill>
              </w:rPr>
            </w:pPr>
          </w:p>
        </w:tc>
        <w:tc>
          <w:tcPr>
            <w:tcW w:w="1654" w:type="pct"/>
            <w:vAlign w:val="center"/>
          </w:tcPr>
          <w:p>
            <w:pPr>
              <w:widowControl/>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1</w:t>
            </w:r>
            <w:r>
              <w:rPr>
                <w:rFonts w:hint="eastAsia" w:cs="Times New Roman"/>
                <w:color w:val="000000" w:themeColor="text1"/>
                <w:sz w:val="21"/>
                <w:szCs w:val="21"/>
                <w:highlight w:val="none"/>
                <w14:textFill>
                  <w14:solidFill>
                    <w14:schemeClr w14:val="tx1"/>
                  </w14:solidFill>
                </w14:textFill>
              </w:rPr>
              <w:t>2</w:t>
            </w:r>
            <w:r>
              <w:rPr>
                <w:rFonts w:cs="Times New Roman"/>
                <w:color w:val="000000" w:themeColor="text1"/>
                <w:sz w:val="21"/>
                <w:szCs w:val="21"/>
                <w:highlight w:val="none"/>
                <w14:textFill>
                  <w14:solidFill>
                    <w14:schemeClr w14:val="tx1"/>
                  </w14:solidFill>
                </w14:textFill>
              </w:rPr>
              <w:t>#雷页1井</w:t>
            </w:r>
            <w:r>
              <w:rPr>
                <w:rFonts w:hint="eastAsia" w:cs="Times New Roman"/>
                <w:color w:val="000000" w:themeColor="text1"/>
                <w:sz w:val="21"/>
                <w:szCs w:val="21"/>
                <w:highlight w:val="none"/>
                <w14:textFill>
                  <w14:solidFill>
                    <w14:schemeClr w14:val="tx1"/>
                  </w14:solidFill>
                </w14:textFill>
              </w:rPr>
              <w:t>至魏兴站管线南侧</w:t>
            </w:r>
            <w:r>
              <w:rPr>
                <w:rFonts w:cs="Times New Roman"/>
                <w:color w:val="000000" w:themeColor="text1"/>
                <w:sz w:val="21"/>
                <w:szCs w:val="21"/>
                <w:highlight w:val="none"/>
                <w14:textFill>
                  <w14:solidFill>
                    <w14:schemeClr w14:val="tx1"/>
                  </w14:solidFill>
                </w14:textFill>
              </w:rPr>
              <w:t>处</w:t>
            </w:r>
          </w:p>
        </w:tc>
        <w:tc>
          <w:tcPr>
            <w:tcW w:w="1530"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东经</w:t>
            </w:r>
            <w:r>
              <w:rPr>
                <w:color w:val="000000" w:themeColor="text1"/>
                <w:sz w:val="21"/>
                <w:szCs w:val="21"/>
                <w:highlight w:val="none"/>
                <w14:textFill>
                  <w14:solidFill>
                    <w14:schemeClr w14:val="tx1"/>
                  </w14:solidFill>
                </w14:textFill>
              </w:rPr>
              <w:t>107.522681</w:t>
            </w:r>
            <w:r>
              <w:rPr>
                <w:rFonts w:hint="eastAsia"/>
                <w:color w:val="000000" w:themeColor="text1"/>
                <w:sz w:val="21"/>
                <w:szCs w:val="21"/>
                <w:highlight w:val="none"/>
                <w14:textFill>
                  <w14:solidFill>
                    <w14:schemeClr w14:val="tx1"/>
                  </w14:solidFill>
                </w14:textFill>
              </w:rPr>
              <w:t>，北纬</w:t>
            </w:r>
            <w:r>
              <w:rPr>
                <w:color w:val="000000" w:themeColor="text1"/>
                <w:sz w:val="21"/>
                <w:szCs w:val="21"/>
                <w:highlight w:val="none"/>
                <w14:textFill>
                  <w14:solidFill>
                    <w14:schemeClr w14:val="tx1"/>
                  </w14:solidFill>
                </w14:textFill>
              </w:rPr>
              <w:t>31.360657</w:t>
            </w:r>
          </w:p>
        </w:tc>
        <w:tc>
          <w:tcPr>
            <w:tcW w:w="1074"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1"/>
                <w:szCs w:val="21"/>
                <w:highlight w:val="none"/>
                <w14:textFill>
                  <w14:solidFill>
                    <w14:schemeClr w14:val="tx1"/>
                  </w14:solidFill>
                </w14:textFill>
              </w:rPr>
              <w:t>0.75</w:t>
            </w:r>
          </w:p>
        </w:tc>
      </w:tr>
    </w:tbl>
    <w:p>
      <w:pPr>
        <w:pStyle w:val="5"/>
        <w:spacing w:before="120"/>
        <w:ind w:firstLine="480"/>
        <w:rPr>
          <w:b/>
          <w:color w:val="000000" w:themeColor="text1"/>
          <w:highlight w:val="none"/>
          <w:lang w:eastAsia="zh-CN"/>
          <w14:textFill>
            <w14:solidFill>
              <w14:schemeClr w14:val="tx1"/>
            </w14:solidFill>
          </w14:textFill>
        </w:rPr>
      </w:pPr>
      <w:bookmarkStart w:id="235" w:name="_Toc120173132"/>
      <w:r>
        <w:rPr>
          <w:color w:val="000000" w:themeColor="text1"/>
          <w:highlight w:val="none"/>
          <w:lang w:eastAsia="zh-CN"/>
          <w14:textFill>
            <w14:solidFill>
              <w14:schemeClr w14:val="tx1"/>
            </w14:solidFill>
          </w14:textFill>
        </w:rPr>
        <w:t>土壤环境质量现状</w:t>
      </w:r>
      <w:bookmarkEnd w:id="235"/>
    </w:p>
    <w:p>
      <w:pPr>
        <w:pStyle w:val="6"/>
        <w:spacing w:before="12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土壤理化性质调查、利用状况调查</w:t>
      </w:r>
    </w:p>
    <w:p>
      <w:pPr>
        <w:ind w:firstLine="480"/>
        <w:rPr>
          <w:rFonts w:cs="Times New Roman"/>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本次评价重点针对平台周边200m范围进行调查，通过调查相关资料，并结合国家土壤信息服务平台（中国1km土壤类型图），本项目周边土壤类型属棕色壤土。为了解项目所在区域的环境质量现状，本次评价委托四川省允诺信检测技术有限公司对项目所在区域进行了土壤环境现状监测与调查。周边土壤理化特性见</w:t>
      </w:r>
      <w:r>
        <w:rPr>
          <w:rFonts w:cs="Times New Roman"/>
          <w:bCs/>
          <w:color w:val="000000" w:themeColor="text1"/>
          <w:szCs w:val="24"/>
          <w:highlight w:val="none"/>
          <w14:textFill>
            <w14:solidFill>
              <w14:schemeClr w14:val="tx1"/>
            </w14:solidFill>
          </w14:textFill>
        </w:rPr>
        <w:fldChar w:fldCharType="begin"/>
      </w:r>
      <w:r>
        <w:rPr>
          <w:rFonts w:cs="Times New Roman"/>
          <w:bCs/>
          <w:color w:val="000000" w:themeColor="text1"/>
          <w:szCs w:val="24"/>
          <w:highlight w:val="none"/>
          <w14:textFill>
            <w14:solidFill>
              <w14:schemeClr w14:val="tx1"/>
            </w14:solidFill>
          </w14:textFill>
        </w:rPr>
        <w:instrText xml:space="preserve"> REF _Ref142600216 \h  \* MERGEFORMAT </w:instrText>
      </w:r>
      <w:r>
        <w:rPr>
          <w:rFonts w:cs="Times New Roman"/>
          <w:bCs/>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14</w:t>
      </w:r>
      <w:r>
        <w:rPr>
          <w:rFonts w:cs="Times New Roman"/>
          <w:bCs/>
          <w:color w:val="000000" w:themeColor="text1"/>
          <w:szCs w:val="24"/>
          <w:highlight w:val="none"/>
          <w14:textFill>
            <w14:solidFill>
              <w14:schemeClr w14:val="tx1"/>
            </w14:solidFill>
          </w14:textFill>
        </w:rPr>
        <w:fldChar w:fldCharType="end"/>
      </w:r>
      <w:r>
        <w:rPr>
          <w:rFonts w:cs="Times New Roman"/>
          <w:bCs/>
          <w:color w:val="000000" w:themeColor="text1"/>
          <w:szCs w:val="24"/>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bookmarkStart w:id="236" w:name="_Ref142600216"/>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14</w:t>
      </w:r>
      <w:r>
        <w:rPr>
          <w:color w:val="000000" w:themeColor="text1"/>
          <w:highlight w:val="none"/>
          <w14:textFill>
            <w14:solidFill>
              <w14:schemeClr w14:val="tx1"/>
            </w14:solidFill>
          </w14:textFill>
        </w:rPr>
        <w:fldChar w:fldCharType="end"/>
      </w:r>
      <w:bookmarkEnd w:id="236"/>
      <w:r>
        <w:rPr>
          <w:rFonts w:hint="eastAsia"/>
          <w:color w:val="000000" w:themeColor="text1"/>
          <w:highlight w:val="none"/>
          <w14:textFill>
            <w14:solidFill>
              <w14:schemeClr w14:val="tx1"/>
            </w14:solidFill>
          </w14:textFill>
        </w:rPr>
        <w:t>土壤理化特性调查表</w:t>
      </w:r>
    </w:p>
    <w:tbl>
      <w:tblPr>
        <w:tblStyle w:val="4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40"/>
        <w:gridCol w:w="1917"/>
        <w:gridCol w:w="1448"/>
        <w:gridCol w:w="38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trPr>
        <w:tc>
          <w:tcPr>
            <w:tcW w:w="786" w:type="pct"/>
            <w:vMerge w:val="restart"/>
            <w:vAlign w:val="center"/>
          </w:tcPr>
          <w:p>
            <w:pPr>
              <w:widowControl/>
              <w:autoSpaceDE w:val="0"/>
              <w:autoSpaceDN w:val="0"/>
              <w:snapToGrid/>
              <w:spacing w:line="240" w:lineRule="auto"/>
              <w:ind w:firstLine="0" w:firstLineChars="0"/>
              <w:jc w:val="center"/>
              <w:rPr>
                <w:rFonts w:cs="Times New Roman"/>
                <w:b/>
                <w:bCs/>
                <w:color w:val="000000" w:themeColor="text1"/>
                <w:kern w:val="0"/>
                <w:sz w:val="21"/>
                <w:szCs w:val="21"/>
                <w:highlight w:val="none"/>
                <w14:textFill>
                  <w14:solidFill>
                    <w14:schemeClr w14:val="tx1"/>
                  </w14:solidFill>
                </w14:textFill>
              </w:rPr>
            </w:pPr>
            <w:r>
              <w:rPr>
                <w:rFonts w:cs="Times New Roman"/>
                <w:b/>
                <w:bCs/>
                <w:color w:val="000000" w:themeColor="text1"/>
                <w:kern w:val="0"/>
                <w:sz w:val="21"/>
                <w:szCs w:val="21"/>
                <w:highlight w:val="none"/>
                <w14:textFill>
                  <w14:solidFill>
                    <w14:schemeClr w14:val="tx1"/>
                  </w14:solidFill>
                </w14:textFill>
              </w:rPr>
              <w:t>采样时间</w:t>
            </w:r>
          </w:p>
        </w:tc>
        <w:tc>
          <w:tcPr>
            <w:tcW w:w="1124" w:type="pct"/>
            <w:vMerge w:val="restart"/>
            <w:vAlign w:val="center"/>
          </w:tcPr>
          <w:p>
            <w:pPr>
              <w:widowControl/>
              <w:autoSpaceDE w:val="0"/>
              <w:autoSpaceDN w:val="0"/>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b/>
                <w:bCs/>
                <w:color w:val="000000" w:themeColor="text1"/>
                <w:kern w:val="0"/>
                <w:sz w:val="21"/>
                <w:szCs w:val="21"/>
                <w:highlight w:val="none"/>
                <w:lang w:eastAsia="en-US"/>
                <w14:textFill>
                  <w14:solidFill>
                    <w14:schemeClr w14:val="tx1"/>
                  </w14:solidFill>
                </w14:textFill>
              </w:rPr>
              <w:t>检测项目</w:t>
            </w:r>
          </w:p>
        </w:tc>
        <w:tc>
          <w:tcPr>
            <w:tcW w:w="849" w:type="pct"/>
            <w:vMerge w:val="restart"/>
            <w:vAlign w:val="center"/>
          </w:tcPr>
          <w:p>
            <w:pPr>
              <w:widowControl/>
              <w:adjustRightInd/>
              <w:snapToGrid/>
              <w:spacing w:line="240" w:lineRule="auto"/>
              <w:ind w:firstLine="0" w:firstLineChars="0"/>
              <w:jc w:val="center"/>
              <w:rPr>
                <w:rFonts w:cs="Times New Roman"/>
                <w:b/>
                <w:bCs/>
                <w:color w:val="000000" w:themeColor="text1"/>
                <w:kern w:val="0"/>
                <w:sz w:val="21"/>
                <w:szCs w:val="21"/>
                <w:highlight w:val="none"/>
                <w14:textFill>
                  <w14:solidFill>
                    <w14:schemeClr w14:val="tx1"/>
                  </w14:solidFill>
                </w14:textFill>
              </w:rPr>
            </w:pPr>
            <w:r>
              <w:rPr>
                <w:rFonts w:cs="Times New Roman"/>
                <w:b/>
                <w:bCs/>
                <w:color w:val="000000" w:themeColor="text1"/>
                <w:kern w:val="0"/>
                <w:sz w:val="21"/>
                <w:szCs w:val="21"/>
                <w:highlight w:val="none"/>
                <w14:textFill>
                  <w14:solidFill>
                    <w14:schemeClr w14:val="tx1"/>
                  </w14:solidFill>
                </w14:textFill>
              </w:rPr>
              <w:t>单位</w:t>
            </w:r>
          </w:p>
        </w:tc>
        <w:tc>
          <w:tcPr>
            <w:tcW w:w="2241"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b/>
                <w:bCs/>
                <w:color w:val="000000" w:themeColor="text1"/>
                <w:kern w:val="0"/>
                <w:sz w:val="21"/>
                <w:szCs w:val="21"/>
                <w:highlight w:val="none"/>
                <w14:textFill>
                  <w14:solidFill>
                    <w14:schemeClr w14:val="tx1"/>
                  </w14:solidFill>
                </w14:textFill>
              </w:rPr>
              <w:t>检测点位信息及检测结果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trPr>
        <w:tc>
          <w:tcPr>
            <w:tcW w:w="786" w:type="pct"/>
            <w:vMerge w:val="continue"/>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p>
        </w:tc>
        <w:tc>
          <w:tcPr>
            <w:tcW w:w="1124" w:type="pct"/>
            <w:vMerge w:val="continue"/>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p>
        </w:tc>
        <w:tc>
          <w:tcPr>
            <w:tcW w:w="849" w:type="pct"/>
            <w:vMerge w:val="continue"/>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p>
        </w:tc>
        <w:tc>
          <w:tcPr>
            <w:tcW w:w="2241" w:type="pct"/>
            <w:vAlign w:val="center"/>
          </w:tcPr>
          <w:p>
            <w:pPr>
              <w:widowControl/>
              <w:adjustRightInd/>
              <w:snapToGrid/>
              <w:spacing w:line="240" w:lineRule="auto"/>
              <w:ind w:firstLine="0" w:firstLineChars="0"/>
              <w:jc w:val="center"/>
              <w:rPr>
                <w:rFonts w:cs="Times New Roman"/>
                <w:b/>
                <w:bCs/>
                <w:color w:val="000000" w:themeColor="text1"/>
                <w:kern w:val="0"/>
                <w:sz w:val="21"/>
                <w:szCs w:val="21"/>
                <w:highlight w:val="none"/>
                <w14:textFill>
                  <w14:solidFill>
                    <w14:schemeClr w14:val="tx1"/>
                  </w14:solidFill>
                </w14:textFill>
              </w:rPr>
            </w:pPr>
            <w:r>
              <w:rPr>
                <w:rFonts w:hint="eastAsia" w:cs="Times New Roman"/>
                <w:b/>
                <w:bCs/>
                <w:color w:val="000000" w:themeColor="text1"/>
                <w:sz w:val="21"/>
                <w:szCs w:val="21"/>
                <w:highlight w:val="none"/>
                <w14:textFill>
                  <w14:solidFill>
                    <w14:schemeClr w14:val="tx1"/>
                  </w14:solidFill>
                </w14:textFill>
              </w:rPr>
              <w:t>3#新建雷页1试采地面工程装置区内东侧区域处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trPr>
        <w:tc>
          <w:tcPr>
            <w:tcW w:w="786" w:type="pct"/>
            <w:vMerge w:val="continue"/>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p>
        </w:tc>
        <w:tc>
          <w:tcPr>
            <w:tcW w:w="1124" w:type="pct"/>
            <w:vMerge w:val="continue"/>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p>
        </w:tc>
        <w:tc>
          <w:tcPr>
            <w:tcW w:w="849" w:type="pct"/>
            <w:vMerge w:val="continue"/>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p>
        </w:tc>
        <w:tc>
          <w:tcPr>
            <w:tcW w:w="2241" w:type="pct"/>
            <w:vAlign w:val="center"/>
          </w:tcPr>
          <w:p>
            <w:pPr>
              <w:widowControl/>
              <w:adjustRightInd/>
              <w:snapToGrid/>
              <w:spacing w:line="240" w:lineRule="auto"/>
              <w:ind w:firstLine="0" w:firstLineChars="0"/>
              <w:jc w:val="center"/>
              <w:rPr>
                <w:rFonts w:cs="Times New Roman"/>
                <w:b/>
                <w:bCs/>
                <w:color w:val="000000" w:themeColor="text1"/>
                <w:kern w:val="0"/>
                <w:sz w:val="21"/>
                <w:szCs w:val="21"/>
                <w:highlight w:val="none"/>
                <w14:textFill>
                  <w14:solidFill>
                    <w14:schemeClr w14:val="tx1"/>
                  </w14:solidFill>
                </w14:textFill>
              </w:rPr>
            </w:pPr>
            <w:r>
              <w:rPr>
                <w:rFonts w:cs="Times New Roman"/>
                <w:b/>
                <w:bCs/>
                <w:color w:val="000000" w:themeColor="text1"/>
                <w:kern w:val="0"/>
                <w:sz w:val="21"/>
                <w:szCs w:val="21"/>
                <w:highlight w:val="none"/>
                <w:lang w:eastAsia="en-US"/>
                <w14:textFill>
                  <w14:solidFill>
                    <w14:schemeClr w14:val="tx1"/>
                  </w14:solidFill>
                </w14:textFill>
              </w:rPr>
              <w:t>0~0.</w:t>
            </w:r>
            <w:r>
              <w:rPr>
                <w:rFonts w:cs="Times New Roman"/>
                <w:b/>
                <w:bCs/>
                <w:color w:val="000000" w:themeColor="text1"/>
                <w:kern w:val="0"/>
                <w:sz w:val="21"/>
                <w:szCs w:val="21"/>
                <w:highlight w:val="none"/>
                <w14:textFill>
                  <w14:solidFill>
                    <w14:schemeClr w14:val="tx1"/>
                  </w14:solidFill>
                </w14:textFill>
              </w:rPr>
              <w:t>2</w:t>
            </w:r>
            <w:r>
              <w:rPr>
                <w:rFonts w:cs="Times New Roman"/>
                <w:b/>
                <w:bCs/>
                <w:color w:val="000000" w:themeColor="text1"/>
                <w:kern w:val="0"/>
                <w:sz w:val="21"/>
                <w:szCs w:val="21"/>
                <w:highlight w:val="none"/>
                <w:lang w:eastAsia="en-US"/>
                <w14:textFill>
                  <w14:solidFill>
                    <w14:schemeClr w14:val="tx1"/>
                  </w14:solidFill>
                </w14:textFill>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786" w:type="pct"/>
            <w:vMerge w:val="restar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202</w:t>
            </w:r>
            <w:r>
              <w:rPr>
                <w:rFonts w:hint="eastAsia" w:cs="Times New Roman"/>
                <w:color w:val="000000" w:themeColor="text1"/>
                <w:kern w:val="0"/>
                <w:sz w:val="21"/>
                <w:szCs w:val="21"/>
                <w:highlight w:val="none"/>
                <w14:textFill>
                  <w14:solidFill>
                    <w14:schemeClr w14:val="tx1"/>
                  </w14:solidFill>
                </w14:textFill>
              </w:rPr>
              <w:t>4</w:t>
            </w:r>
            <w:r>
              <w:rPr>
                <w:rFonts w:cs="Times New Roman"/>
                <w:color w:val="000000" w:themeColor="text1"/>
                <w:kern w:val="0"/>
                <w:sz w:val="21"/>
                <w:szCs w:val="21"/>
                <w:highlight w:val="none"/>
                <w14:textFill>
                  <w14:solidFill>
                    <w14:schemeClr w14:val="tx1"/>
                  </w14:solidFill>
                </w14:textFill>
              </w:rPr>
              <w:t>.0</w:t>
            </w:r>
            <w:r>
              <w:rPr>
                <w:rFonts w:hint="eastAsia" w:cs="Times New Roman"/>
                <w:color w:val="000000" w:themeColor="text1"/>
                <w:kern w:val="0"/>
                <w:sz w:val="21"/>
                <w:szCs w:val="21"/>
                <w:highlight w:val="none"/>
                <w14:textFill>
                  <w14:solidFill>
                    <w14:schemeClr w14:val="tx1"/>
                  </w14:solidFill>
                </w14:textFill>
              </w:rPr>
              <w:t>3</w:t>
            </w:r>
            <w:r>
              <w:rPr>
                <w:rFonts w:cs="Times New Roman"/>
                <w:color w:val="000000" w:themeColor="text1"/>
                <w:kern w:val="0"/>
                <w:sz w:val="21"/>
                <w:szCs w:val="21"/>
                <w:highlight w:val="none"/>
                <w14:textFill>
                  <w14:solidFill>
                    <w14:schemeClr w14:val="tx1"/>
                  </w14:solidFill>
                </w14:textFill>
              </w:rPr>
              <w:t>.</w:t>
            </w:r>
            <w:r>
              <w:rPr>
                <w:rFonts w:hint="eastAsia" w:cs="Times New Roman"/>
                <w:color w:val="000000" w:themeColor="text1"/>
                <w:kern w:val="0"/>
                <w:sz w:val="21"/>
                <w:szCs w:val="21"/>
                <w:highlight w:val="none"/>
                <w14:textFill>
                  <w14:solidFill>
                    <w14:schemeClr w14:val="tx1"/>
                  </w14:solidFill>
                </w14:textFill>
              </w:rPr>
              <w:t>04</w:t>
            </w:r>
          </w:p>
        </w:tc>
        <w:tc>
          <w:tcPr>
            <w:tcW w:w="1124" w:type="pct"/>
            <w:vAlign w:val="center"/>
          </w:tcPr>
          <w:p>
            <w:pPr>
              <w:widowControl/>
              <w:adjustRightIn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颜色</w:t>
            </w:r>
          </w:p>
        </w:tc>
        <w:tc>
          <w:tcPr>
            <w:tcW w:w="849" w:type="pct"/>
            <w:vAlign w:val="center"/>
          </w:tcPr>
          <w:p>
            <w:pPr>
              <w:widowControl/>
              <w:adjustRightIn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w:t>
            </w:r>
          </w:p>
        </w:tc>
        <w:tc>
          <w:tcPr>
            <w:tcW w:w="2241" w:type="pct"/>
            <w:vAlign w:val="center"/>
          </w:tcPr>
          <w:p>
            <w:pPr>
              <w:widowControl/>
              <w:adjustRightIn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786" w:type="pct"/>
            <w:vMerge w:val="continue"/>
            <w:vAlign w:val="bottom"/>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p>
        </w:tc>
        <w:tc>
          <w:tcPr>
            <w:tcW w:w="1124" w:type="pct"/>
            <w:vAlign w:val="center"/>
          </w:tcPr>
          <w:p>
            <w:pPr>
              <w:widowControl/>
              <w:adjustRightIn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结构</w:t>
            </w:r>
          </w:p>
        </w:tc>
        <w:tc>
          <w:tcPr>
            <w:tcW w:w="849"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w:t>
            </w:r>
          </w:p>
        </w:tc>
        <w:tc>
          <w:tcPr>
            <w:tcW w:w="2241" w:type="pct"/>
            <w:vAlign w:val="center"/>
          </w:tcPr>
          <w:p>
            <w:pPr>
              <w:widowControl/>
              <w:adjustRightIn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团粒结构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786" w:type="pct"/>
            <w:vMerge w:val="continue"/>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p>
        </w:tc>
        <w:tc>
          <w:tcPr>
            <w:tcW w:w="1124" w:type="pct"/>
            <w:vAlign w:val="center"/>
          </w:tcPr>
          <w:p>
            <w:pPr>
              <w:widowControl/>
              <w:adjustRightIn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质地</w:t>
            </w:r>
          </w:p>
        </w:tc>
        <w:tc>
          <w:tcPr>
            <w:tcW w:w="849"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w:t>
            </w:r>
          </w:p>
        </w:tc>
        <w:tc>
          <w:tcPr>
            <w:tcW w:w="2241" w:type="pct"/>
            <w:vAlign w:val="center"/>
          </w:tcPr>
          <w:p>
            <w:pPr>
              <w:widowControl/>
              <w:adjustRightIn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轻壤土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786" w:type="pct"/>
            <w:vMerge w:val="continue"/>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p>
        </w:tc>
        <w:tc>
          <w:tcPr>
            <w:tcW w:w="1124" w:type="pct"/>
            <w:vAlign w:val="center"/>
          </w:tcPr>
          <w:p>
            <w:pPr>
              <w:widowControl/>
              <w:adjustRightIn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其他异物</w:t>
            </w:r>
          </w:p>
        </w:tc>
        <w:tc>
          <w:tcPr>
            <w:tcW w:w="849" w:type="pct"/>
            <w:vAlign w:val="center"/>
          </w:tcPr>
          <w:p>
            <w:pPr>
              <w:widowControl/>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w:t>
            </w:r>
          </w:p>
        </w:tc>
        <w:tc>
          <w:tcPr>
            <w:tcW w:w="2241" w:type="pct"/>
            <w:vAlign w:val="center"/>
          </w:tcPr>
          <w:p>
            <w:pPr>
              <w:widowControl/>
              <w:adjustRightIn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无异物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786" w:type="pct"/>
            <w:vMerge w:val="continue"/>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p>
        </w:tc>
        <w:tc>
          <w:tcPr>
            <w:tcW w:w="1124" w:type="pct"/>
            <w:vAlign w:val="center"/>
          </w:tcPr>
          <w:p>
            <w:pPr>
              <w:widowControl/>
              <w:adjustRightIn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1"/>
                <w:szCs w:val="21"/>
                <w:highlight w:val="none"/>
                <w14:textFill>
                  <w14:solidFill>
                    <w14:schemeClr w14:val="tx1"/>
                  </w14:solidFill>
                </w14:textFill>
              </w:rPr>
              <w:t>砂砾</w:t>
            </w:r>
            <w:r>
              <w:rPr>
                <w:rFonts w:cs="Times New Roman"/>
                <w:color w:val="000000" w:themeColor="text1"/>
                <w:kern w:val="0"/>
                <w:sz w:val="21"/>
                <w:szCs w:val="21"/>
                <w:highlight w:val="none"/>
                <w14:textFill>
                  <w14:solidFill>
                    <w14:schemeClr w14:val="tx1"/>
                  </w14:solidFill>
                </w14:textFill>
              </w:rPr>
              <w:t>含量</w:t>
            </w:r>
          </w:p>
        </w:tc>
        <w:tc>
          <w:tcPr>
            <w:tcW w:w="849" w:type="pct"/>
            <w:vAlign w:val="center"/>
          </w:tcPr>
          <w:p>
            <w:pPr>
              <w:widowControl/>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w:t>
            </w:r>
          </w:p>
        </w:tc>
        <w:tc>
          <w:tcPr>
            <w:tcW w:w="2241" w:type="pct"/>
            <w:vAlign w:val="center"/>
          </w:tcPr>
          <w:p>
            <w:pPr>
              <w:widowControl/>
              <w:adjustRightIn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786" w:type="pct"/>
            <w:vMerge w:val="continue"/>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p>
        </w:tc>
        <w:tc>
          <w:tcPr>
            <w:tcW w:w="1124" w:type="pct"/>
            <w:vAlign w:val="center"/>
          </w:tcPr>
          <w:p>
            <w:pPr>
              <w:widowControl/>
              <w:adjustRightIn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pH</w:t>
            </w:r>
          </w:p>
        </w:tc>
        <w:tc>
          <w:tcPr>
            <w:tcW w:w="849" w:type="pct"/>
            <w:vAlign w:val="center"/>
          </w:tcPr>
          <w:p>
            <w:pPr>
              <w:widowControl/>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无量纲</w:t>
            </w:r>
          </w:p>
        </w:tc>
        <w:tc>
          <w:tcPr>
            <w:tcW w:w="2241" w:type="pct"/>
            <w:vAlign w:val="center"/>
          </w:tcPr>
          <w:p>
            <w:pPr>
              <w:widowControl/>
              <w:adjustRightIn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7.64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786" w:type="pct"/>
            <w:vMerge w:val="continue"/>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p>
        </w:tc>
        <w:tc>
          <w:tcPr>
            <w:tcW w:w="1124" w:type="pct"/>
            <w:vAlign w:val="center"/>
          </w:tcPr>
          <w:p>
            <w:pPr>
              <w:widowControl/>
              <w:adjustRightIn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阳离子交换量</w:t>
            </w:r>
          </w:p>
        </w:tc>
        <w:tc>
          <w:tcPr>
            <w:tcW w:w="849" w:type="pct"/>
            <w:vAlign w:val="center"/>
          </w:tcPr>
          <w:p>
            <w:pPr>
              <w:widowControl/>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cmol</w:t>
            </w:r>
            <w:r>
              <w:rPr>
                <w:rFonts w:cs="Times New Roman"/>
                <w:color w:val="000000" w:themeColor="text1"/>
                <w:kern w:val="0"/>
                <w:sz w:val="21"/>
                <w:szCs w:val="21"/>
                <w:highlight w:val="none"/>
                <w:vertAlign w:val="superscript"/>
                <w:lang w:eastAsia="en-US"/>
                <w14:textFill>
                  <w14:solidFill>
                    <w14:schemeClr w14:val="tx1"/>
                  </w14:solidFill>
                </w14:textFill>
              </w:rPr>
              <w:t>+</w:t>
            </w:r>
            <w:r>
              <w:rPr>
                <w:rFonts w:cs="Times New Roman"/>
                <w:color w:val="000000" w:themeColor="text1"/>
                <w:kern w:val="0"/>
                <w:sz w:val="21"/>
                <w:szCs w:val="21"/>
                <w:highlight w:val="none"/>
                <w:lang w:eastAsia="en-US"/>
                <w14:textFill>
                  <w14:solidFill>
                    <w14:schemeClr w14:val="tx1"/>
                  </w14:solidFill>
                </w14:textFill>
              </w:rPr>
              <w:t>/kg</w:t>
            </w:r>
          </w:p>
        </w:tc>
        <w:tc>
          <w:tcPr>
            <w:tcW w:w="2241" w:type="pct"/>
            <w:vAlign w:val="center"/>
          </w:tcPr>
          <w:p>
            <w:pPr>
              <w:widowControl/>
              <w:adjustRightIn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19.2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786" w:type="pct"/>
            <w:vMerge w:val="continue"/>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p>
        </w:tc>
        <w:tc>
          <w:tcPr>
            <w:tcW w:w="1124" w:type="pct"/>
            <w:vAlign w:val="center"/>
          </w:tcPr>
          <w:p>
            <w:pPr>
              <w:widowControl/>
              <w:adjustRightIn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容重</w:t>
            </w:r>
          </w:p>
        </w:tc>
        <w:tc>
          <w:tcPr>
            <w:tcW w:w="849"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g/</w:t>
            </w:r>
            <w:r>
              <w:rPr>
                <w:rFonts w:cs="Times New Roman"/>
                <w:color w:val="000000" w:themeColor="text1"/>
                <w:kern w:val="0"/>
                <w:sz w:val="21"/>
                <w:szCs w:val="21"/>
                <w:highlight w:val="none"/>
                <w14:textFill>
                  <w14:solidFill>
                    <w14:schemeClr w14:val="tx1"/>
                  </w14:solidFill>
                </w14:textFill>
              </w:rPr>
              <w:t>c</w:t>
            </w:r>
            <w:r>
              <w:rPr>
                <w:rFonts w:cs="Times New Roman"/>
                <w:color w:val="000000" w:themeColor="text1"/>
                <w:kern w:val="0"/>
                <w:sz w:val="21"/>
                <w:szCs w:val="21"/>
                <w:highlight w:val="none"/>
                <w:lang w:eastAsia="en-US"/>
                <w14:textFill>
                  <w14:solidFill>
                    <w14:schemeClr w14:val="tx1"/>
                  </w14:solidFill>
                </w14:textFill>
              </w:rPr>
              <w:t>m</w:t>
            </w:r>
            <w:r>
              <w:rPr>
                <w:rFonts w:cs="Times New Roman"/>
                <w:color w:val="000000" w:themeColor="text1"/>
                <w:kern w:val="0"/>
                <w:sz w:val="21"/>
                <w:szCs w:val="21"/>
                <w:highlight w:val="none"/>
                <w:vertAlign w:val="superscript"/>
                <w:lang w:eastAsia="en-US"/>
                <w14:textFill>
                  <w14:solidFill>
                    <w14:schemeClr w14:val="tx1"/>
                  </w14:solidFill>
                </w14:textFill>
              </w:rPr>
              <w:t>3</w:t>
            </w:r>
          </w:p>
        </w:tc>
        <w:tc>
          <w:tcPr>
            <w:tcW w:w="2241" w:type="pct"/>
            <w:vAlign w:val="center"/>
          </w:tcPr>
          <w:p>
            <w:pPr>
              <w:widowControl/>
              <w:adjustRightIn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1.42</w:t>
            </w:r>
          </w:p>
        </w:tc>
      </w:tr>
    </w:tbl>
    <w:p>
      <w:pPr>
        <w:pStyle w:val="6"/>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土壤环境质量现状调查</w:t>
      </w:r>
    </w:p>
    <w:p>
      <w:pPr>
        <w:ind w:firstLine="480"/>
        <w:rPr>
          <w:rFonts w:cs="Times New Roman"/>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本次评价委托四川省允诺信检测技术有限公司于2023年8月19日对平台厂界内外的6处土壤进行了取样监测，平台占地范围内布置3个柱状样，1个表层样</w:t>
      </w:r>
      <w:r>
        <w:rPr>
          <w:rFonts w:hint="eastAsia"/>
          <w:bCs/>
          <w:color w:val="000000" w:themeColor="text1"/>
          <w:szCs w:val="24"/>
          <w:highlight w:val="none"/>
          <w14:textFill>
            <w14:solidFill>
              <w14:schemeClr w14:val="tx1"/>
            </w14:solidFill>
          </w14:textFill>
        </w:rPr>
        <w:t>（其中4#点引用雷页1井天然气回收工程监测</w:t>
      </w:r>
      <w:r>
        <w:rPr>
          <w:rFonts w:hint="eastAsia"/>
          <w:color w:val="000000" w:themeColor="text1"/>
          <w:highlight w:val="none"/>
          <w14:textFill>
            <w14:solidFill>
              <w14:schemeClr w14:val="tx1"/>
            </w14:solidFill>
          </w14:textFill>
        </w:rPr>
        <w:t>结果</w:t>
      </w:r>
      <w:r>
        <w:rPr>
          <w:rFonts w:hint="eastAsia"/>
          <w:bCs/>
          <w:color w:val="000000" w:themeColor="text1"/>
          <w:szCs w:val="24"/>
          <w:highlight w:val="none"/>
          <w14:textFill>
            <w14:solidFill>
              <w14:schemeClr w14:val="tx1"/>
            </w14:solidFill>
          </w14:textFill>
        </w:rPr>
        <w:t>）</w:t>
      </w:r>
      <w:r>
        <w:rPr>
          <w:bCs/>
          <w:color w:val="000000" w:themeColor="text1"/>
          <w:szCs w:val="24"/>
          <w:highlight w:val="none"/>
          <w14:textFill>
            <w14:solidFill>
              <w14:schemeClr w14:val="tx1"/>
            </w14:solidFill>
          </w14:textFill>
        </w:rPr>
        <w:t>；场地外</w:t>
      </w:r>
      <w:r>
        <w:rPr>
          <w:rFonts w:hint="eastAsia"/>
          <w:bCs/>
          <w:color w:val="000000" w:themeColor="text1"/>
          <w:szCs w:val="24"/>
          <w:highlight w:val="none"/>
          <w14:textFill>
            <w14:solidFill>
              <w14:schemeClr w14:val="tx1"/>
            </w14:solidFill>
          </w14:textFill>
        </w:rPr>
        <w:t>布置</w:t>
      </w:r>
      <w:r>
        <w:rPr>
          <w:bCs/>
          <w:color w:val="000000" w:themeColor="text1"/>
          <w:szCs w:val="24"/>
          <w:highlight w:val="none"/>
          <w14:textFill>
            <w14:solidFill>
              <w14:schemeClr w14:val="tx1"/>
            </w14:solidFill>
          </w14:textFill>
        </w:rPr>
        <w:t>2个表层样</w:t>
      </w:r>
      <w:r>
        <w:rPr>
          <w:rFonts w:hint="eastAsia"/>
          <w:bCs/>
          <w:color w:val="000000" w:themeColor="text1"/>
          <w:szCs w:val="24"/>
          <w:highlight w:val="none"/>
          <w14:textFill>
            <w14:solidFill>
              <w14:schemeClr w14:val="tx1"/>
            </w14:solidFill>
          </w14:textFill>
        </w:rPr>
        <w:t>（</w:t>
      </w:r>
      <w:r>
        <w:rPr>
          <w:rFonts w:hint="eastAsia"/>
          <w:color w:val="000000" w:themeColor="text1"/>
          <w:highlight w:val="none"/>
          <w14:textFill>
            <w14:solidFill>
              <w14:schemeClr w14:val="tx1"/>
            </w14:solidFill>
          </w14:textFill>
        </w:rPr>
        <w:t>其中6#引用雷页1试验井组钻井及试采工程监测结果</w:t>
      </w:r>
      <w:r>
        <w:rPr>
          <w:rFonts w:hint="eastAsia"/>
          <w:bCs/>
          <w:color w:val="000000" w:themeColor="text1"/>
          <w:szCs w:val="24"/>
          <w:highlight w:val="none"/>
          <w14:textFill>
            <w14:solidFill>
              <w14:schemeClr w14:val="tx1"/>
            </w14:solidFill>
          </w14:textFill>
        </w:rPr>
        <w:t>）。（特殊说明：由于本项目为利用雷页1井井场西侧鱼塘填方后建设，因此，占地范围内的土壤监测点位紧邻鱼塘边界处的可采样点位）。因此，本项目</w:t>
      </w:r>
      <w:r>
        <w:rPr>
          <w:bCs/>
          <w:color w:val="000000" w:themeColor="text1"/>
          <w:szCs w:val="24"/>
          <w:highlight w:val="none"/>
          <w14:textFill>
            <w14:solidFill>
              <w14:schemeClr w14:val="tx1"/>
            </w14:solidFill>
          </w14:textFill>
        </w:rPr>
        <w:t>监测点位设置符合《环境影响评价技术导则 土壤环境（试行）》（HJ 964-2018）中的布点原则和现状监测点数量要求，监测布点见附图</w:t>
      </w:r>
      <w:r>
        <w:rPr>
          <w:rFonts w:hint="eastAsia"/>
          <w:bCs/>
          <w:color w:val="000000" w:themeColor="text1"/>
          <w:szCs w:val="24"/>
          <w:highlight w:val="none"/>
          <w14:textFill>
            <w14:solidFill>
              <w14:schemeClr w14:val="tx1"/>
            </w14:solidFill>
          </w14:textFill>
        </w:rPr>
        <w:t>4</w:t>
      </w:r>
      <w:r>
        <w:rPr>
          <w:rFonts w:cs="Times New Roman"/>
          <w:bCs/>
          <w:color w:val="000000" w:themeColor="text1"/>
          <w:szCs w:val="24"/>
          <w:highlight w:val="none"/>
          <w14:textFill>
            <w14:solidFill>
              <w14:schemeClr w14:val="tx1"/>
            </w14:solidFill>
          </w14:textFill>
        </w:rPr>
        <w:t>。</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（1）监测点位及监测因子</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本次评价土壤监测布点情况见</w:t>
      </w:r>
      <w:r>
        <w:rPr>
          <w:rFonts w:cs="Times New Roman"/>
          <w:bCs/>
          <w:color w:val="000000" w:themeColor="text1"/>
          <w:szCs w:val="24"/>
          <w:highlight w:val="none"/>
          <w14:textFill>
            <w14:solidFill>
              <w14:schemeClr w14:val="tx1"/>
            </w14:solidFill>
          </w14:textFill>
        </w:rPr>
        <w:fldChar w:fldCharType="begin"/>
      </w:r>
      <w:r>
        <w:rPr>
          <w:rFonts w:cs="Times New Roman"/>
          <w:bCs/>
          <w:color w:val="000000" w:themeColor="text1"/>
          <w:szCs w:val="24"/>
          <w:highlight w:val="none"/>
          <w14:textFill>
            <w14:solidFill>
              <w14:schemeClr w14:val="tx1"/>
            </w14:solidFill>
          </w14:textFill>
        </w:rPr>
        <w:instrText xml:space="preserve"> REF _Ref142600210 \h  \* MERGEFORMAT </w:instrText>
      </w:r>
      <w:r>
        <w:rPr>
          <w:rFonts w:cs="Times New Roman"/>
          <w:bCs/>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15</w:t>
      </w:r>
      <w:r>
        <w:rPr>
          <w:rFonts w:cs="Times New Roman"/>
          <w:bCs/>
          <w:color w:val="000000" w:themeColor="text1"/>
          <w:szCs w:val="24"/>
          <w:highlight w:val="none"/>
          <w14:textFill>
            <w14:solidFill>
              <w14:schemeClr w14:val="tx1"/>
            </w14:solidFill>
          </w14:textFill>
        </w:rPr>
        <w:fldChar w:fldCharType="end"/>
      </w:r>
      <w:r>
        <w:rPr>
          <w:rFonts w:cs="Times New Roman"/>
          <w:bCs/>
          <w:color w:val="000000" w:themeColor="text1"/>
          <w:szCs w:val="24"/>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bookmarkStart w:id="237" w:name="_Ref142600210"/>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15</w:t>
      </w:r>
      <w:r>
        <w:rPr>
          <w:color w:val="000000" w:themeColor="text1"/>
          <w:highlight w:val="none"/>
          <w14:textFill>
            <w14:solidFill>
              <w14:schemeClr w14:val="tx1"/>
            </w14:solidFill>
          </w14:textFill>
        </w:rPr>
        <w:fldChar w:fldCharType="end"/>
      </w:r>
      <w:bookmarkEnd w:id="237"/>
      <w:r>
        <w:rPr>
          <w:rFonts w:hint="eastAsia"/>
          <w:color w:val="000000" w:themeColor="text1"/>
          <w:highlight w:val="none"/>
          <w14:textFill>
            <w14:solidFill>
              <w14:schemeClr w14:val="tx1"/>
            </w14:solidFill>
          </w14:textFill>
        </w:rPr>
        <w:t>本项目土壤环境监测布点情况</w:t>
      </w:r>
    </w:p>
    <w:tbl>
      <w:tblPr>
        <w:tblStyle w:val="41"/>
        <w:tblpPr w:leftFromText="180" w:rightFromText="180" w:vertAnchor="text" w:tblpY="1"/>
        <w:tblOverlap w:val="never"/>
        <w:tblW w:w="4982"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616"/>
        <w:gridCol w:w="1854"/>
        <w:gridCol w:w="1456"/>
        <w:gridCol w:w="3833"/>
        <w:gridCol w:w="73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9" w:hRule="atLeast"/>
        </w:trPr>
        <w:tc>
          <w:tcPr>
            <w:tcW w:w="363" w:type="pct"/>
            <w:tcBorders>
              <w:right w:val="single" w:color="auto" w:sz="4" w:space="0"/>
            </w:tcBorders>
            <w:vAlign w:val="center"/>
          </w:tcPr>
          <w:p>
            <w:pPr>
              <w:widowControl/>
              <w:adjustRightInd/>
              <w:snapToGrid/>
              <w:spacing w:line="240" w:lineRule="auto"/>
              <w:ind w:firstLine="0" w:firstLineChars="0"/>
              <w:jc w:val="center"/>
              <w:rPr>
                <w:rFonts w:cs="Times New Roman"/>
                <w:b/>
                <w:bCs/>
                <w:color w:val="000000" w:themeColor="text1"/>
                <w:kern w:val="0"/>
                <w:sz w:val="22"/>
                <w:szCs w:val="21"/>
                <w:highlight w:val="none"/>
                <w:lang w:eastAsia="en-US"/>
                <w14:textFill>
                  <w14:solidFill>
                    <w14:schemeClr w14:val="tx1"/>
                  </w14:solidFill>
                </w14:textFill>
              </w:rPr>
            </w:pPr>
            <w:r>
              <w:rPr>
                <w:rFonts w:cs="Times New Roman"/>
                <w:b/>
                <w:bCs/>
                <w:color w:val="000000" w:themeColor="text1"/>
                <w:kern w:val="0"/>
                <w:sz w:val="22"/>
                <w:szCs w:val="21"/>
                <w:highlight w:val="none"/>
                <w:lang w:eastAsia="en-US"/>
                <w14:textFill>
                  <w14:solidFill>
                    <w14:schemeClr w14:val="tx1"/>
                  </w14:solidFill>
                </w14:textFill>
              </w:rPr>
              <w:t>编号</w:t>
            </w:r>
          </w:p>
        </w:tc>
        <w:tc>
          <w:tcPr>
            <w:tcW w:w="1091" w:type="pct"/>
            <w:vAlign w:val="center"/>
          </w:tcPr>
          <w:p>
            <w:pPr>
              <w:widowControl/>
              <w:adjustRightInd/>
              <w:snapToGrid/>
              <w:spacing w:line="240" w:lineRule="auto"/>
              <w:ind w:firstLine="0" w:firstLineChars="0"/>
              <w:jc w:val="center"/>
              <w:rPr>
                <w:rFonts w:cs="Times New Roman"/>
                <w:b/>
                <w:bCs/>
                <w:color w:val="000000" w:themeColor="text1"/>
                <w:kern w:val="0"/>
                <w:sz w:val="22"/>
                <w:szCs w:val="21"/>
                <w:highlight w:val="none"/>
                <w:lang w:eastAsia="en-US"/>
                <w14:textFill>
                  <w14:solidFill>
                    <w14:schemeClr w14:val="tx1"/>
                  </w14:solidFill>
                </w14:textFill>
              </w:rPr>
            </w:pPr>
            <w:r>
              <w:rPr>
                <w:rFonts w:cs="Times New Roman"/>
                <w:b/>
                <w:bCs/>
                <w:color w:val="000000" w:themeColor="text1"/>
                <w:kern w:val="0"/>
                <w:sz w:val="22"/>
                <w:szCs w:val="21"/>
                <w:highlight w:val="none"/>
                <w:lang w:eastAsia="en-US"/>
                <w14:textFill>
                  <w14:solidFill>
                    <w14:schemeClr w14:val="tx1"/>
                  </w14:solidFill>
                </w14:textFill>
              </w:rPr>
              <w:t>坐标</w:t>
            </w:r>
          </w:p>
        </w:tc>
        <w:tc>
          <w:tcPr>
            <w:tcW w:w="857" w:type="pct"/>
            <w:vAlign w:val="center"/>
          </w:tcPr>
          <w:p>
            <w:pPr>
              <w:widowControl/>
              <w:adjustRightInd/>
              <w:snapToGrid/>
              <w:spacing w:line="240" w:lineRule="auto"/>
              <w:ind w:firstLine="0" w:firstLineChars="0"/>
              <w:jc w:val="center"/>
              <w:rPr>
                <w:rFonts w:cs="Times New Roman"/>
                <w:b/>
                <w:bCs/>
                <w:color w:val="000000" w:themeColor="text1"/>
                <w:kern w:val="0"/>
                <w:sz w:val="22"/>
                <w:szCs w:val="21"/>
                <w:highlight w:val="none"/>
                <w:lang w:eastAsia="en-US"/>
                <w14:textFill>
                  <w14:solidFill>
                    <w14:schemeClr w14:val="tx1"/>
                  </w14:solidFill>
                </w14:textFill>
              </w:rPr>
            </w:pPr>
            <w:r>
              <w:rPr>
                <w:rFonts w:cs="Times New Roman"/>
                <w:b/>
                <w:bCs/>
                <w:color w:val="000000" w:themeColor="text1"/>
                <w:kern w:val="0"/>
                <w:sz w:val="22"/>
                <w:szCs w:val="21"/>
                <w:highlight w:val="none"/>
                <w:lang w:eastAsia="en-US"/>
                <w14:textFill>
                  <w14:solidFill>
                    <w14:schemeClr w14:val="tx1"/>
                  </w14:solidFill>
                </w14:textFill>
              </w:rPr>
              <w:t>方位距离</w:t>
            </w:r>
          </w:p>
        </w:tc>
        <w:tc>
          <w:tcPr>
            <w:tcW w:w="2256" w:type="pct"/>
            <w:vAlign w:val="center"/>
          </w:tcPr>
          <w:p>
            <w:pPr>
              <w:widowControl/>
              <w:adjustRightInd/>
              <w:snapToGrid/>
              <w:spacing w:line="240" w:lineRule="auto"/>
              <w:ind w:firstLine="0" w:firstLineChars="0"/>
              <w:jc w:val="center"/>
              <w:rPr>
                <w:rFonts w:cs="Times New Roman"/>
                <w:b/>
                <w:bCs/>
                <w:color w:val="000000" w:themeColor="text1"/>
                <w:kern w:val="0"/>
                <w:sz w:val="22"/>
                <w:szCs w:val="21"/>
                <w:highlight w:val="none"/>
                <w:lang w:eastAsia="en-US"/>
                <w14:textFill>
                  <w14:solidFill>
                    <w14:schemeClr w14:val="tx1"/>
                  </w14:solidFill>
                </w14:textFill>
              </w:rPr>
            </w:pPr>
            <w:r>
              <w:rPr>
                <w:rFonts w:cs="Times New Roman"/>
                <w:b/>
                <w:bCs/>
                <w:color w:val="000000" w:themeColor="text1"/>
                <w:kern w:val="0"/>
                <w:sz w:val="22"/>
                <w:szCs w:val="21"/>
                <w:highlight w:val="none"/>
                <w:lang w:eastAsia="en-US"/>
                <w14:textFill>
                  <w14:solidFill>
                    <w14:schemeClr w14:val="tx1"/>
                  </w14:solidFill>
                </w14:textFill>
              </w:rPr>
              <w:t>监测指标</w:t>
            </w:r>
          </w:p>
        </w:tc>
        <w:tc>
          <w:tcPr>
            <w:tcW w:w="433" w:type="pct"/>
            <w:vAlign w:val="center"/>
          </w:tcPr>
          <w:p>
            <w:pPr>
              <w:widowControl/>
              <w:adjustRightInd/>
              <w:snapToGrid/>
              <w:spacing w:line="240" w:lineRule="auto"/>
              <w:ind w:firstLine="0" w:firstLineChars="0"/>
              <w:jc w:val="center"/>
              <w:rPr>
                <w:rFonts w:cs="Times New Roman"/>
                <w:b/>
                <w:bCs/>
                <w:color w:val="000000" w:themeColor="text1"/>
                <w:kern w:val="0"/>
                <w:sz w:val="22"/>
                <w:szCs w:val="21"/>
                <w:highlight w:val="none"/>
                <w:lang w:eastAsia="en-US"/>
                <w14:textFill>
                  <w14:solidFill>
                    <w14:schemeClr w14:val="tx1"/>
                  </w14:solidFill>
                </w14:textFill>
              </w:rPr>
            </w:pPr>
            <w:r>
              <w:rPr>
                <w:rFonts w:cs="Times New Roman"/>
                <w:b/>
                <w:bCs/>
                <w:color w:val="000000" w:themeColor="text1"/>
                <w:kern w:val="0"/>
                <w:sz w:val="22"/>
                <w:szCs w:val="21"/>
                <w:highlight w:val="none"/>
                <w:lang w:eastAsia="en-US"/>
                <w14:textFill>
                  <w14:solidFill>
                    <w14:schemeClr w14:val="tx1"/>
                  </w14:solidFill>
                </w14:textFill>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9" w:hRule="atLeast"/>
        </w:trPr>
        <w:tc>
          <w:tcPr>
            <w:tcW w:w="363" w:type="pct"/>
            <w:tcBorders>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2"/>
                <w:szCs w:val="21"/>
                <w:highlight w:val="none"/>
                <w:lang w:eastAsia="en-US"/>
                <w14:textFill>
                  <w14:solidFill>
                    <w14:schemeClr w14:val="tx1"/>
                  </w14:solidFill>
                </w14:textFill>
              </w:rPr>
            </w:pPr>
            <w:r>
              <w:rPr>
                <w:rFonts w:cs="Times New Roman"/>
                <w:color w:val="000000" w:themeColor="text1"/>
                <w:kern w:val="0"/>
                <w:sz w:val="22"/>
                <w:szCs w:val="21"/>
                <w:highlight w:val="none"/>
                <w:lang w:eastAsia="en-US"/>
                <w14:textFill>
                  <w14:solidFill>
                    <w14:schemeClr w14:val="tx1"/>
                  </w14:solidFill>
                </w14:textFill>
              </w:rPr>
              <w:t>1#</w:t>
            </w:r>
          </w:p>
        </w:tc>
        <w:tc>
          <w:tcPr>
            <w:tcW w:w="1091"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sz w:val="21"/>
                <w:szCs w:val="21"/>
                <w:highlight w:val="none"/>
                <w14:textFill>
                  <w14:solidFill>
                    <w14:schemeClr w14:val="tx1"/>
                  </w14:solidFill>
                </w14:textFill>
              </w:rPr>
              <w:t>107.603936</w:t>
            </w:r>
            <w:r>
              <w:rPr>
                <w:rFonts w:cs="Times New Roman"/>
                <w:color w:val="000000" w:themeColor="text1"/>
                <w:kern w:val="0"/>
                <w:sz w:val="21"/>
                <w:szCs w:val="21"/>
                <w:highlight w:val="none"/>
                <w:lang w:eastAsia="en-US"/>
                <w14:textFill>
                  <w14:solidFill>
                    <w14:schemeClr w14:val="tx1"/>
                  </w14:solidFill>
                </w14:textFill>
              </w:rPr>
              <w:t>°东</w:t>
            </w:r>
          </w:p>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sz w:val="21"/>
                <w:szCs w:val="21"/>
                <w:highlight w:val="none"/>
                <w14:textFill>
                  <w14:solidFill>
                    <w14:schemeClr w14:val="tx1"/>
                  </w14:solidFill>
                </w14:textFill>
              </w:rPr>
              <w:t>31.332168</w:t>
            </w:r>
            <w:r>
              <w:rPr>
                <w:rFonts w:cs="Times New Roman"/>
                <w:color w:val="000000" w:themeColor="text1"/>
                <w:kern w:val="0"/>
                <w:sz w:val="21"/>
                <w:szCs w:val="21"/>
                <w:highlight w:val="none"/>
                <w:lang w:eastAsia="en-US"/>
                <w14:textFill>
                  <w14:solidFill>
                    <w14:schemeClr w14:val="tx1"/>
                  </w14:solidFill>
                </w14:textFill>
              </w:rPr>
              <w:t>°北</w:t>
            </w:r>
          </w:p>
        </w:tc>
        <w:tc>
          <w:tcPr>
            <w:tcW w:w="857"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新建雷页1试采地面工程装置区内北侧区域处</w:t>
            </w:r>
          </w:p>
        </w:tc>
        <w:tc>
          <w:tcPr>
            <w:tcW w:w="2256" w:type="pct"/>
            <w:vAlign w:val="center"/>
          </w:tcPr>
          <w:p>
            <w:pPr>
              <w:spacing w:line="240" w:lineRule="auto"/>
              <w:ind w:firstLine="0" w:firstLineChars="0"/>
              <w:rPr>
                <w:b/>
                <w:color w:val="000000" w:themeColor="text1"/>
                <w:sz w:val="21"/>
                <w:szCs w:val="18"/>
                <w:highlight w:val="none"/>
                <w14:textFill>
                  <w14:solidFill>
                    <w14:schemeClr w14:val="tx1"/>
                  </w14:solidFill>
                </w14:textFill>
              </w:rPr>
            </w:pPr>
            <w:r>
              <w:rPr>
                <w:b/>
                <w:color w:val="000000" w:themeColor="text1"/>
                <w:sz w:val="21"/>
                <w:szCs w:val="18"/>
                <w:highlight w:val="none"/>
                <w14:textFill>
                  <w14:solidFill>
                    <w14:schemeClr w14:val="tx1"/>
                  </w14:solidFill>
                </w14:textFill>
              </w:rPr>
              <w:t>理化性质：</w:t>
            </w:r>
            <w:r>
              <w:rPr>
                <w:color w:val="000000" w:themeColor="text1"/>
                <w:sz w:val="21"/>
                <w:szCs w:val="18"/>
                <w:highlight w:val="none"/>
                <w14:textFill>
                  <w14:solidFill>
                    <w14:schemeClr w14:val="tx1"/>
                  </w14:solidFill>
                </w14:textFill>
              </w:rPr>
              <w:t>pH</w:t>
            </w:r>
          </w:p>
          <w:p>
            <w:pPr>
              <w:widowControl/>
              <w:spacing w:line="240" w:lineRule="auto"/>
              <w:ind w:firstLine="0" w:firstLineChars="0"/>
              <w:jc w:val="left"/>
              <w:rPr>
                <w:rFonts w:cs="Times New Roman"/>
                <w:color w:val="000000" w:themeColor="text1"/>
                <w:kern w:val="0"/>
                <w:sz w:val="21"/>
                <w:szCs w:val="18"/>
                <w:highlight w:val="none"/>
                <w14:textFill>
                  <w14:solidFill>
                    <w14:schemeClr w14:val="tx1"/>
                  </w14:solidFill>
                </w14:textFill>
              </w:rPr>
            </w:pPr>
            <w:r>
              <w:rPr>
                <w:b/>
                <w:color w:val="000000" w:themeColor="text1"/>
                <w:sz w:val="21"/>
                <w:szCs w:val="18"/>
                <w:highlight w:val="none"/>
                <w14:textFill>
                  <w14:solidFill>
                    <w14:schemeClr w14:val="tx1"/>
                  </w14:solidFill>
                </w14:textFill>
              </w:rPr>
              <w:t>特征因子：</w:t>
            </w:r>
            <w:r>
              <w:rPr>
                <w:color w:val="000000" w:themeColor="text1"/>
                <w:sz w:val="21"/>
                <w:szCs w:val="18"/>
                <w:highlight w:val="none"/>
                <w14:textFill>
                  <w14:solidFill>
                    <w14:schemeClr w14:val="tx1"/>
                  </w14:solidFill>
                </w14:textFill>
              </w:rPr>
              <w:t>石油烃、</w:t>
            </w:r>
            <w:r>
              <w:rPr>
                <w:rFonts w:hint="eastAsia"/>
                <w:color w:val="000000" w:themeColor="text1"/>
                <w:sz w:val="21"/>
                <w:szCs w:val="18"/>
                <w:highlight w:val="none"/>
                <w14:textFill>
                  <w14:solidFill>
                    <w14:schemeClr w14:val="tx1"/>
                  </w14:solidFill>
                </w14:textFill>
              </w:rPr>
              <w:t>全盐量、氯离子、硫酸根、钡</w:t>
            </w:r>
          </w:p>
        </w:tc>
        <w:tc>
          <w:tcPr>
            <w:tcW w:w="433" w:type="pct"/>
            <w:vAlign w:val="center"/>
          </w:tcPr>
          <w:p>
            <w:pPr>
              <w:widowControl/>
              <w:adjustRightInd/>
              <w:snapToGrid/>
              <w:spacing w:line="240" w:lineRule="auto"/>
              <w:ind w:firstLine="0" w:firstLineChars="0"/>
              <w:jc w:val="center"/>
              <w:rPr>
                <w:rFonts w:cs="Times New Roman"/>
                <w:color w:val="000000" w:themeColor="text1"/>
                <w:kern w:val="0"/>
                <w:sz w:val="22"/>
                <w:szCs w:val="21"/>
                <w:highlight w:val="none"/>
                <w:lang w:eastAsia="en-US"/>
                <w14:textFill>
                  <w14:solidFill>
                    <w14:schemeClr w14:val="tx1"/>
                  </w14:solidFill>
                </w14:textFill>
              </w:rPr>
            </w:pPr>
            <w:r>
              <w:rPr>
                <w:rFonts w:cs="Times New Roman"/>
                <w:color w:val="000000" w:themeColor="text1"/>
                <w:kern w:val="0"/>
                <w:sz w:val="22"/>
                <w:szCs w:val="21"/>
                <w:highlight w:val="none"/>
                <w:lang w:eastAsia="en-US"/>
                <w14:textFill>
                  <w14:solidFill>
                    <w14:schemeClr w14:val="tx1"/>
                  </w14:solidFill>
                </w14:textFill>
              </w:rPr>
              <w:t>柱状样点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9" w:hRule="atLeast"/>
        </w:trPr>
        <w:tc>
          <w:tcPr>
            <w:tcW w:w="363" w:type="pct"/>
            <w:tcBorders>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2"/>
                <w:szCs w:val="21"/>
                <w:highlight w:val="none"/>
                <w:lang w:eastAsia="en-US"/>
                <w14:textFill>
                  <w14:solidFill>
                    <w14:schemeClr w14:val="tx1"/>
                  </w14:solidFill>
                </w14:textFill>
              </w:rPr>
            </w:pPr>
            <w:r>
              <w:rPr>
                <w:rFonts w:cs="Times New Roman"/>
                <w:color w:val="000000" w:themeColor="text1"/>
                <w:kern w:val="0"/>
                <w:sz w:val="22"/>
                <w:szCs w:val="21"/>
                <w:highlight w:val="none"/>
                <w:lang w:eastAsia="en-US"/>
                <w14:textFill>
                  <w14:solidFill>
                    <w14:schemeClr w14:val="tx1"/>
                  </w14:solidFill>
                </w14:textFill>
              </w:rPr>
              <w:t>2#</w:t>
            </w:r>
          </w:p>
        </w:tc>
        <w:tc>
          <w:tcPr>
            <w:tcW w:w="1091"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sz w:val="21"/>
                <w:szCs w:val="21"/>
                <w:highlight w:val="none"/>
                <w14:textFill>
                  <w14:solidFill>
                    <w14:schemeClr w14:val="tx1"/>
                  </w14:solidFill>
                </w14:textFill>
              </w:rPr>
              <w:t>107.603682</w:t>
            </w:r>
            <w:r>
              <w:rPr>
                <w:rFonts w:cs="Times New Roman"/>
                <w:color w:val="000000" w:themeColor="text1"/>
                <w:kern w:val="0"/>
                <w:sz w:val="21"/>
                <w:szCs w:val="21"/>
                <w:highlight w:val="none"/>
                <w:lang w:eastAsia="en-US"/>
                <w14:textFill>
                  <w14:solidFill>
                    <w14:schemeClr w14:val="tx1"/>
                  </w14:solidFill>
                </w14:textFill>
              </w:rPr>
              <w:t>°东</w:t>
            </w:r>
          </w:p>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sz w:val="21"/>
                <w:szCs w:val="21"/>
                <w:highlight w:val="none"/>
                <w14:textFill>
                  <w14:solidFill>
                    <w14:schemeClr w14:val="tx1"/>
                  </w14:solidFill>
                </w14:textFill>
              </w:rPr>
              <w:t>31.332350</w:t>
            </w:r>
            <w:r>
              <w:rPr>
                <w:rFonts w:cs="Times New Roman"/>
                <w:color w:val="000000" w:themeColor="text1"/>
                <w:kern w:val="0"/>
                <w:sz w:val="21"/>
                <w:szCs w:val="21"/>
                <w:highlight w:val="none"/>
                <w:lang w:eastAsia="en-US"/>
                <w14:textFill>
                  <w14:solidFill>
                    <w14:schemeClr w14:val="tx1"/>
                  </w14:solidFill>
                </w14:textFill>
              </w:rPr>
              <w:t>°北</w:t>
            </w:r>
          </w:p>
        </w:tc>
        <w:tc>
          <w:tcPr>
            <w:tcW w:w="857"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新建雷页1试采地面工程装置区内</w:t>
            </w:r>
            <w:r>
              <w:rPr>
                <w:rFonts w:hint="eastAsia" w:cs="Times New Roman"/>
                <w:color w:val="000000" w:themeColor="text1"/>
                <w:kern w:val="0"/>
                <w:sz w:val="21"/>
                <w:szCs w:val="21"/>
                <w:highlight w:val="none"/>
                <w14:textFill>
                  <w14:solidFill>
                    <w14:schemeClr w14:val="tx1"/>
                  </w14:solidFill>
                </w14:textFill>
              </w:rPr>
              <w:t>西</w:t>
            </w:r>
            <w:r>
              <w:rPr>
                <w:rFonts w:cs="Times New Roman"/>
                <w:color w:val="000000" w:themeColor="text1"/>
                <w:kern w:val="0"/>
                <w:sz w:val="21"/>
                <w:szCs w:val="21"/>
                <w:highlight w:val="none"/>
                <w14:textFill>
                  <w14:solidFill>
                    <w14:schemeClr w14:val="tx1"/>
                  </w14:solidFill>
                </w14:textFill>
              </w:rPr>
              <w:t>南侧区域处</w:t>
            </w:r>
          </w:p>
        </w:tc>
        <w:tc>
          <w:tcPr>
            <w:tcW w:w="2256" w:type="pct"/>
            <w:vAlign w:val="center"/>
          </w:tcPr>
          <w:p>
            <w:pPr>
              <w:spacing w:line="240" w:lineRule="auto"/>
              <w:ind w:firstLine="0" w:firstLineChars="0"/>
              <w:rPr>
                <w:b/>
                <w:color w:val="000000" w:themeColor="text1"/>
                <w:sz w:val="21"/>
                <w:szCs w:val="18"/>
                <w:highlight w:val="none"/>
                <w14:textFill>
                  <w14:solidFill>
                    <w14:schemeClr w14:val="tx1"/>
                  </w14:solidFill>
                </w14:textFill>
              </w:rPr>
            </w:pPr>
            <w:r>
              <w:rPr>
                <w:b/>
                <w:color w:val="000000" w:themeColor="text1"/>
                <w:sz w:val="21"/>
                <w:szCs w:val="18"/>
                <w:highlight w:val="none"/>
                <w14:textFill>
                  <w14:solidFill>
                    <w14:schemeClr w14:val="tx1"/>
                  </w14:solidFill>
                </w14:textFill>
              </w:rPr>
              <w:t>理化性质：</w:t>
            </w:r>
            <w:r>
              <w:rPr>
                <w:color w:val="000000" w:themeColor="text1"/>
                <w:sz w:val="21"/>
                <w:szCs w:val="18"/>
                <w:highlight w:val="none"/>
                <w14:textFill>
                  <w14:solidFill>
                    <w14:schemeClr w14:val="tx1"/>
                  </w14:solidFill>
                </w14:textFill>
              </w:rPr>
              <w:t>pH</w:t>
            </w:r>
          </w:p>
          <w:p>
            <w:pPr>
              <w:widowControl/>
              <w:spacing w:line="240" w:lineRule="auto"/>
              <w:ind w:firstLine="0" w:firstLineChars="0"/>
              <w:jc w:val="left"/>
              <w:rPr>
                <w:rFonts w:cs="Times New Roman"/>
                <w:color w:val="000000" w:themeColor="text1"/>
                <w:kern w:val="0"/>
                <w:sz w:val="21"/>
                <w:szCs w:val="18"/>
                <w:highlight w:val="none"/>
                <w14:textFill>
                  <w14:solidFill>
                    <w14:schemeClr w14:val="tx1"/>
                  </w14:solidFill>
                </w14:textFill>
              </w:rPr>
            </w:pPr>
            <w:r>
              <w:rPr>
                <w:b/>
                <w:color w:val="000000" w:themeColor="text1"/>
                <w:sz w:val="21"/>
                <w:szCs w:val="18"/>
                <w:highlight w:val="none"/>
                <w14:textFill>
                  <w14:solidFill>
                    <w14:schemeClr w14:val="tx1"/>
                  </w14:solidFill>
                </w14:textFill>
              </w:rPr>
              <w:t>特征因子：</w:t>
            </w:r>
            <w:r>
              <w:rPr>
                <w:color w:val="000000" w:themeColor="text1"/>
                <w:sz w:val="21"/>
                <w:szCs w:val="18"/>
                <w:highlight w:val="none"/>
                <w14:textFill>
                  <w14:solidFill>
                    <w14:schemeClr w14:val="tx1"/>
                  </w14:solidFill>
                </w14:textFill>
              </w:rPr>
              <w:t>石油烃、</w:t>
            </w:r>
            <w:r>
              <w:rPr>
                <w:rFonts w:hint="eastAsia"/>
                <w:color w:val="000000" w:themeColor="text1"/>
                <w:sz w:val="21"/>
                <w:szCs w:val="18"/>
                <w:highlight w:val="none"/>
                <w14:textFill>
                  <w14:solidFill>
                    <w14:schemeClr w14:val="tx1"/>
                  </w14:solidFill>
                </w14:textFill>
              </w:rPr>
              <w:t>全盐量、氯离子、硫酸根、钡</w:t>
            </w:r>
          </w:p>
        </w:tc>
        <w:tc>
          <w:tcPr>
            <w:tcW w:w="433" w:type="pct"/>
            <w:vAlign w:val="center"/>
          </w:tcPr>
          <w:p>
            <w:pPr>
              <w:widowControl/>
              <w:adjustRightInd/>
              <w:snapToGrid/>
              <w:spacing w:line="240" w:lineRule="auto"/>
              <w:ind w:firstLine="0" w:firstLineChars="0"/>
              <w:jc w:val="center"/>
              <w:rPr>
                <w:rFonts w:cs="Times New Roman"/>
                <w:color w:val="000000" w:themeColor="text1"/>
                <w:kern w:val="0"/>
                <w:sz w:val="22"/>
                <w:szCs w:val="21"/>
                <w:highlight w:val="none"/>
                <w:lang w:eastAsia="en-US"/>
                <w14:textFill>
                  <w14:solidFill>
                    <w14:schemeClr w14:val="tx1"/>
                  </w14:solidFill>
                </w14:textFill>
              </w:rPr>
            </w:pPr>
            <w:r>
              <w:rPr>
                <w:rFonts w:cs="Times New Roman"/>
                <w:color w:val="000000" w:themeColor="text1"/>
                <w:kern w:val="0"/>
                <w:sz w:val="22"/>
                <w:szCs w:val="21"/>
                <w:highlight w:val="none"/>
                <w:lang w:eastAsia="en-US"/>
                <w14:textFill>
                  <w14:solidFill>
                    <w14:schemeClr w14:val="tx1"/>
                  </w14:solidFill>
                </w14:textFill>
              </w:rPr>
              <w:t>柱状样点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9" w:hRule="atLeast"/>
        </w:trPr>
        <w:tc>
          <w:tcPr>
            <w:tcW w:w="363" w:type="pct"/>
            <w:tcBorders>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2"/>
                <w:szCs w:val="21"/>
                <w:highlight w:val="none"/>
                <w:lang w:eastAsia="en-US"/>
                <w14:textFill>
                  <w14:solidFill>
                    <w14:schemeClr w14:val="tx1"/>
                  </w14:solidFill>
                </w14:textFill>
              </w:rPr>
            </w:pPr>
            <w:r>
              <w:rPr>
                <w:rFonts w:cs="Times New Roman"/>
                <w:color w:val="000000" w:themeColor="text1"/>
                <w:kern w:val="0"/>
                <w:sz w:val="22"/>
                <w:szCs w:val="21"/>
                <w:highlight w:val="none"/>
                <w:lang w:eastAsia="en-US"/>
                <w14:textFill>
                  <w14:solidFill>
                    <w14:schemeClr w14:val="tx1"/>
                  </w14:solidFill>
                </w14:textFill>
              </w:rPr>
              <w:t>3#</w:t>
            </w:r>
          </w:p>
        </w:tc>
        <w:tc>
          <w:tcPr>
            <w:tcW w:w="1091"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sz w:val="21"/>
                <w:szCs w:val="21"/>
                <w:highlight w:val="none"/>
                <w14:textFill>
                  <w14:solidFill>
                    <w14:schemeClr w14:val="tx1"/>
                  </w14:solidFill>
                </w14:textFill>
              </w:rPr>
              <w:t>107.603731</w:t>
            </w:r>
            <w:r>
              <w:rPr>
                <w:rFonts w:cs="Times New Roman"/>
                <w:color w:val="000000" w:themeColor="text1"/>
                <w:kern w:val="0"/>
                <w:sz w:val="21"/>
                <w:szCs w:val="21"/>
                <w:highlight w:val="none"/>
                <w:lang w:eastAsia="en-US"/>
                <w14:textFill>
                  <w14:solidFill>
                    <w14:schemeClr w14:val="tx1"/>
                  </w14:solidFill>
                </w14:textFill>
              </w:rPr>
              <w:t>°东</w:t>
            </w:r>
          </w:p>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sz w:val="21"/>
                <w:szCs w:val="21"/>
                <w:highlight w:val="none"/>
                <w14:textFill>
                  <w14:solidFill>
                    <w14:schemeClr w14:val="tx1"/>
                  </w14:solidFill>
                </w14:textFill>
              </w:rPr>
              <w:t>31.332313</w:t>
            </w:r>
            <w:r>
              <w:rPr>
                <w:rFonts w:cs="Times New Roman"/>
                <w:color w:val="000000" w:themeColor="text1"/>
                <w:kern w:val="0"/>
                <w:sz w:val="21"/>
                <w:szCs w:val="21"/>
                <w:highlight w:val="none"/>
                <w:lang w:eastAsia="en-US"/>
                <w14:textFill>
                  <w14:solidFill>
                    <w14:schemeClr w14:val="tx1"/>
                  </w14:solidFill>
                </w14:textFill>
              </w:rPr>
              <w:t>°北</w:t>
            </w:r>
          </w:p>
        </w:tc>
        <w:tc>
          <w:tcPr>
            <w:tcW w:w="857"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新建雷页1试采地面工程装置区内东侧区域处</w:t>
            </w:r>
          </w:p>
        </w:tc>
        <w:tc>
          <w:tcPr>
            <w:tcW w:w="2256" w:type="pct"/>
            <w:vAlign w:val="center"/>
          </w:tcPr>
          <w:p>
            <w:pPr>
              <w:spacing w:line="240" w:lineRule="auto"/>
              <w:ind w:firstLine="0" w:firstLineChars="0"/>
              <w:rPr>
                <w:b/>
                <w:color w:val="000000" w:themeColor="text1"/>
                <w:sz w:val="21"/>
                <w:szCs w:val="18"/>
                <w:highlight w:val="none"/>
                <w14:textFill>
                  <w14:solidFill>
                    <w14:schemeClr w14:val="tx1"/>
                  </w14:solidFill>
                </w14:textFill>
              </w:rPr>
            </w:pPr>
            <w:r>
              <w:rPr>
                <w:b/>
                <w:color w:val="000000" w:themeColor="text1"/>
                <w:sz w:val="21"/>
                <w:szCs w:val="18"/>
                <w:highlight w:val="none"/>
                <w14:textFill>
                  <w14:solidFill>
                    <w14:schemeClr w14:val="tx1"/>
                  </w14:solidFill>
                </w14:textFill>
              </w:rPr>
              <w:t>基本因子：</w:t>
            </w:r>
            <w:r>
              <w:rPr>
                <w:color w:val="000000" w:themeColor="text1"/>
                <w:sz w:val="21"/>
                <w:szCs w:val="18"/>
                <w:highlight w:val="none"/>
                <w14:textFill>
                  <w14:solidFill>
                    <w14:schemeClr w14:val="tx1"/>
                  </w14:solidFill>
                </w14:textFill>
              </w:rPr>
              <w:t>《土壤环境质量 建设用地土壤污染风险管控标准（试行）</w:t>
            </w:r>
            <w:r>
              <w:rPr>
                <w:rFonts w:hint="eastAsia"/>
                <w:color w:val="000000" w:themeColor="text1"/>
                <w:sz w:val="21"/>
                <w:szCs w:val="18"/>
                <w:highlight w:val="none"/>
                <w14:textFill>
                  <w14:solidFill>
                    <w14:schemeClr w14:val="tx1"/>
                  </w14:solidFill>
                </w14:textFill>
              </w:rPr>
              <w:t>（</w:t>
            </w:r>
            <w:r>
              <w:rPr>
                <w:color w:val="000000" w:themeColor="text1"/>
                <w:sz w:val="21"/>
                <w:szCs w:val="18"/>
                <w:highlight w:val="none"/>
                <w14:textFill>
                  <w14:solidFill>
                    <w14:schemeClr w14:val="tx1"/>
                  </w14:solidFill>
                </w14:textFill>
              </w:rPr>
              <w:t>GB36600—2018</w:t>
            </w:r>
            <w:r>
              <w:rPr>
                <w:rFonts w:hint="eastAsia"/>
                <w:color w:val="000000" w:themeColor="text1"/>
                <w:sz w:val="21"/>
                <w:szCs w:val="18"/>
                <w:highlight w:val="none"/>
                <w14:textFill>
                  <w14:solidFill>
                    <w14:schemeClr w14:val="tx1"/>
                  </w14:solidFill>
                </w14:textFill>
              </w:rPr>
              <w:t>）</w:t>
            </w:r>
            <w:r>
              <w:rPr>
                <w:color w:val="000000" w:themeColor="text1"/>
                <w:sz w:val="21"/>
                <w:szCs w:val="18"/>
                <w:highlight w:val="none"/>
                <w14:textFill>
                  <w14:solidFill>
                    <w14:schemeClr w14:val="tx1"/>
                  </w14:solidFill>
                </w14:textFill>
              </w:rPr>
              <w:t>》中表1基本项目，共45个</w:t>
            </w:r>
          </w:p>
          <w:p>
            <w:pPr>
              <w:spacing w:line="240" w:lineRule="auto"/>
              <w:ind w:firstLine="0" w:firstLineChars="0"/>
              <w:rPr>
                <w:color w:val="000000" w:themeColor="text1"/>
                <w:sz w:val="21"/>
                <w:szCs w:val="18"/>
                <w:highlight w:val="none"/>
                <w14:textFill>
                  <w14:solidFill>
                    <w14:schemeClr w14:val="tx1"/>
                  </w14:solidFill>
                </w14:textFill>
              </w:rPr>
            </w:pPr>
            <w:r>
              <w:rPr>
                <w:b/>
                <w:color w:val="000000" w:themeColor="text1"/>
                <w:sz w:val="21"/>
                <w:szCs w:val="18"/>
                <w:highlight w:val="none"/>
                <w14:textFill>
                  <w14:solidFill>
                    <w14:schemeClr w14:val="tx1"/>
                  </w14:solidFill>
                </w14:textFill>
              </w:rPr>
              <w:t>特征因子：</w:t>
            </w:r>
            <w:r>
              <w:rPr>
                <w:rFonts w:hint="eastAsia"/>
                <w:color w:val="000000" w:themeColor="text1"/>
                <w:sz w:val="21"/>
                <w:szCs w:val="18"/>
                <w:highlight w:val="none"/>
                <w14:textFill>
                  <w14:solidFill>
                    <w14:schemeClr w14:val="tx1"/>
                  </w14:solidFill>
                </w14:textFill>
              </w:rPr>
              <w:t>石油烃、氯离子、硫酸根、钡、</w:t>
            </w:r>
            <w:r>
              <w:rPr>
                <w:color w:val="000000" w:themeColor="text1"/>
                <w:sz w:val="21"/>
                <w:szCs w:val="18"/>
                <w:highlight w:val="none"/>
                <w14:textFill>
                  <w14:solidFill>
                    <w14:schemeClr w14:val="tx1"/>
                  </w14:solidFill>
                </w14:textFill>
              </w:rPr>
              <w:t>全盐量</w:t>
            </w:r>
          </w:p>
        </w:tc>
        <w:tc>
          <w:tcPr>
            <w:tcW w:w="433" w:type="pct"/>
            <w:vAlign w:val="center"/>
          </w:tcPr>
          <w:p>
            <w:pPr>
              <w:widowControl/>
              <w:adjustRightInd/>
              <w:snapToGrid/>
              <w:spacing w:line="240" w:lineRule="auto"/>
              <w:ind w:firstLine="0" w:firstLineChars="0"/>
              <w:jc w:val="center"/>
              <w:rPr>
                <w:rFonts w:cs="Times New Roman"/>
                <w:color w:val="000000" w:themeColor="text1"/>
                <w:kern w:val="0"/>
                <w:sz w:val="22"/>
                <w:szCs w:val="21"/>
                <w:highlight w:val="none"/>
                <w:lang w:eastAsia="en-US"/>
                <w14:textFill>
                  <w14:solidFill>
                    <w14:schemeClr w14:val="tx1"/>
                  </w14:solidFill>
                </w14:textFill>
              </w:rPr>
            </w:pPr>
            <w:r>
              <w:rPr>
                <w:rFonts w:cs="Times New Roman"/>
                <w:color w:val="000000" w:themeColor="text1"/>
                <w:kern w:val="0"/>
                <w:sz w:val="22"/>
                <w:szCs w:val="21"/>
                <w:highlight w:val="none"/>
                <w:lang w:eastAsia="en-US"/>
                <w14:textFill>
                  <w14:solidFill>
                    <w14:schemeClr w14:val="tx1"/>
                  </w14:solidFill>
                </w14:textFill>
              </w:rPr>
              <w:t>柱状样点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83" w:hRule="atLeast"/>
        </w:trPr>
        <w:tc>
          <w:tcPr>
            <w:tcW w:w="363" w:type="pct"/>
            <w:tcBorders>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2"/>
                <w:szCs w:val="21"/>
                <w:highlight w:val="none"/>
                <w:lang w:eastAsia="en-US"/>
                <w14:textFill>
                  <w14:solidFill>
                    <w14:schemeClr w14:val="tx1"/>
                  </w14:solidFill>
                </w14:textFill>
              </w:rPr>
            </w:pPr>
            <w:r>
              <w:rPr>
                <w:rFonts w:cs="Times New Roman"/>
                <w:color w:val="000000" w:themeColor="text1"/>
                <w:kern w:val="0"/>
                <w:sz w:val="22"/>
                <w:szCs w:val="21"/>
                <w:highlight w:val="none"/>
                <w:lang w:eastAsia="en-US"/>
                <w14:textFill>
                  <w14:solidFill>
                    <w14:schemeClr w14:val="tx1"/>
                  </w14:solidFill>
                </w14:textFill>
              </w:rPr>
              <w:t>4#</w:t>
            </w:r>
          </w:p>
        </w:tc>
        <w:tc>
          <w:tcPr>
            <w:tcW w:w="1091"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107.608128°东</w:t>
            </w:r>
          </w:p>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31.329070°北</w:t>
            </w:r>
          </w:p>
        </w:tc>
        <w:tc>
          <w:tcPr>
            <w:tcW w:w="857"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新建雷页1试采地面工程</w:t>
            </w:r>
            <w:r>
              <w:rPr>
                <w:rFonts w:hint="eastAsia" w:cs="Times New Roman"/>
                <w:color w:val="000000" w:themeColor="text1"/>
                <w:sz w:val="21"/>
                <w:szCs w:val="21"/>
                <w:highlight w:val="none"/>
                <w14:textFill>
                  <w14:solidFill>
                    <w14:schemeClr w14:val="tx1"/>
                  </w14:solidFill>
                </w14:textFill>
              </w:rPr>
              <w:t>东</w:t>
            </w:r>
            <w:r>
              <w:rPr>
                <w:rFonts w:cs="Times New Roman"/>
                <w:color w:val="000000" w:themeColor="text1"/>
                <w:kern w:val="0"/>
                <w:sz w:val="21"/>
                <w:szCs w:val="21"/>
                <w:highlight w:val="none"/>
                <w14:textFill>
                  <w14:solidFill>
                    <w14:schemeClr w14:val="tx1"/>
                  </w14:solidFill>
                </w14:textFill>
              </w:rPr>
              <w:t>南侧区域处</w:t>
            </w:r>
          </w:p>
        </w:tc>
        <w:tc>
          <w:tcPr>
            <w:tcW w:w="2256" w:type="pct"/>
            <w:vAlign w:val="center"/>
          </w:tcPr>
          <w:p>
            <w:pPr>
              <w:spacing w:line="240" w:lineRule="auto"/>
              <w:ind w:firstLine="0" w:firstLineChars="0"/>
              <w:rPr>
                <w:b/>
                <w:color w:val="000000" w:themeColor="text1"/>
                <w:sz w:val="21"/>
                <w:szCs w:val="18"/>
                <w:highlight w:val="none"/>
                <w14:textFill>
                  <w14:solidFill>
                    <w14:schemeClr w14:val="tx1"/>
                  </w14:solidFill>
                </w14:textFill>
              </w:rPr>
            </w:pPr>
            <w:r>
              <w:rPr>
                <w:b/>
                <w:color w:val="000000" w:themeColor="text1"/>
                <w:sz w:val="21"/>
                <w:szCs w:val="18"/>
                <w:highlight w:val="none"/>
                <w14:textFill>
                  <w14:solidFill>
                    <w14:schemeClr w14:val="tx1"/>
                  </w14:solidFill>
                </w14:textFill>
              </w:rPr>
              <w:t>理化性质：</w:t>
            </w:r>
            <w:r>
              <w:rPr>
                <w:color w:val="000000" w:themeColor="text1"/>
                <w:sz w:val="21"/>
                <w:szCs w:val="18"/>
                <w:highlight w:val="none"/>
                <w14:textFill>
                  <w14:solidFill>
                    <w14:schemeClr w14:val="tx1"/>
                  </w14:solidFill>
                </w14:textFill>
              </w:rPr>
              <w:t>pH</w:t>
            </w:r>
          </w:p>
          <w:p>
            <w:pPr>
              <w:spacing w:line="240" w:lineRule="auto"/>
              <w:ind w:firstLine="0" w:firstLineChars="0"/>
              <w:rPr>
                <w:b/>
                <w:color w:val="000000" w:themeColor="text1"/>
                <w:sz w:val="21"/>
                <w:szCs w:val="18"/>
                <w:highlight w:val="none"/>
                <w14:textFill>
                  <w14:solidFill>
                    <w14:schemeClr w14:val="tx1"/>
                  </w14:solidFill>
                </w14:textFill>
              </w:rPr>
            </w:pPr>
            <w:r>
              <w:rPr>
                <w:b/>
                <w:color w:val="000000" w:themeColor="text1"/>
                <w:sz w:val="21"/>
                <w:szCs w:val="18"/>
                <w:highlight w:val="none"/>
                <w14:textFill>
                  <w14:solidFill>
                    <w14:schemeClr w14:val="tx1"/>
                  </w14:solidFill>
                </w14:textFill>
              </w:rPr>
              <w:t>基本因子：</w:t>
            </w:r>
            <w:r>
              <w:rPr>
                <w:color w:val="000000" w:themeColor="text1"/>
                <w:sz w:val="21"/>
                <w:szCs w:val="18"/>
                <w:highlight w:val="none"/>
                <w14:textFill>
                  <w14:solidFill>
                    <w14:schemeClr w14:val="tx1"/>
                  </w14:solidFill>
                </w14:textFill>
              </w:rPr>
              <w:t>《土壤环境质量 农用地土壤污染风险管控标准（试行）</w:t>
            </w:r>
            <w:r>
              <w:rPr>
                <w:rFonts w:hint="eastAsia"/>
                <w:color w:val="000000" w:themeColor="text1"/>
                <w:sz w:val="21"/>
                <w:szCs w:val="18"/>
                <w:highlight w:val="none"/>
                <w14:textFill>
                  <w14:solidFill>
                    <w14:schemeClr w14:val="tx1"/>
                  </w14:solidFill>
                </w14:textFill>
              </w:rPr>
              <w:t>（</w:t>
            </w:r>
            <w:r>
              <w:rPr>
                <w:color w:val="000000" w:themeColor="text1"/>
                <w:sz w:val="21"/>
                <w:szCs w:val="18"/>
                <w:highlight w:val="none"/>
                <w14:textFill>
                  <w14:solidFill>
                    <w14:schemeClr w14:val="tx1"/>
                  </w14:solidFill>
                </w14:textFill>
              </w:rPr>
              <w:t>GB15618—2018</w:t>
            </w:r>
            <w:r>
              <w:rPr>
                <w:rFonts w:hint="eastAsia"/>
                <w:color w:val="000000" w:themeColor="text1"/>
                <w:sz w:val="21"/>
                <w:szCs w:val="18"/>
                <w:highlight w:val="none"/>
                <w14:textFill>
                  <w14:solidFill>
                    <w14:schemeClr w14:val="tx1"/>
                  </w14:solidFill>
                </w14:textFill>
              </w:rPr>
              <w:t>）</w:t>
            </w:r>
            <w:r>
              <w:rPr>
                <w:color w:val="000000" w:themeColor="text1"/>
                <w:sz w:val="21"/>
                <w:szCs w:val="18"/>
                <w:highlight w:val="none"/>
                <w14:textFill>
                  <w14:solidFill>
                    <w14:schemeClr w14:val="tx1"/>
                  </w14:solidFill>
                </w14:textFill>
              </w:rPr>
              <w:t>》中表1基本项目，共8个</w:t>
            </w:r>
          </w:p>
          <w:p>
            <w:pPr>
              <w:widowControl/>
              <w:spacing w:line="240" w:lineRule="auto"/>
              <w:ind w:firstLine="0" w:firstLineChars="0"/>
              <w:jc w:val="left"/>
              <w:rPr>
                <w:rFonts w:cs="Times New Roman"/>
                <w:b/>
                <w:color w:val="000000" w:themeColor="text1"/>
                <w:kern w:val="0"/>
                <w:sz w:val="21"/>
                <w:szCs w:val="18"/>
                <w:highlight w:val="none"/>
                <w14:textFill>
                  <w14:solidFill>
                    <w14:schemeClr w14:val="tx1"/>
                  </w14:solidFill>
                </w14:textFill>
              </w:rPr>
            </w:pPr>
            <w:r>
              <w:rPr>
                <w:b/>
                <w:color w:val="000000" w:themeColor="text1"/>
                <w:sz w:val="21"/>
                <w:szCs w:val="18"/>
                <w:highlight w:val="none"/>
                <w14:textFill>
                  <w14:solidFill>
                    <w14:schemeClr w14:val="tx1"/>
                  </w14:solidFill>
                </w14:textFill>
              </w:rPr>
              <w:t>特征因子：</w:t>
            </w:r>
            <w:r>
              <w:rPr>
                <w:rFonts w:hint="eastAsia"/>
                <w:color w:val="000000" w:themeColor="text1"/>
                <w:sz w:val="21"/>
                <w:szCs w:val="18"/>
                <w:highlight w:val="none"/>
                <w14:textFill>
                  <w14:solidFill>
                    <w14:schemeClr w14:val="tx1"/>
                  </w14:solidFill>
                </w14:textFill>
              </w:rPr>
              <w:t>石油烃、氯离子、硫酸根、钡、</w:t>
            </w:r>
            <w:r>
              <w:rPr>
                <w:color w:val="000000" w:themeColor="text1"/>
                <w:sz w:val="21"/>
                <w:szCs w:val="18"/>
                <w:highlight w:val="none"/>
                <w14:textFill>
                  <w14:solidFill>
                    <w14:schemeClr w14:val="tx1"/>
                  </w14:solidFill>
                </w14:textFill>
              </w:rPr>
              <w:t>全盐量</w:t>
            </w:r>
          </w:p>
        </w:tc>
        <w:tc>
          <w:tcPr>
            <w:tcW w:w="433" w:type="pct"/>
            <w:vAlign w:val="center"/>
          </w:tcPr>
          <w:p>
            <w:pPr>
              <w:widowControl/>
              <w:adjustRightInd/>
              <w:snapToGrid/>
              <w:spacing w:line="240" w:lineRule="auto"/>
              <w:ind w:firstLine="0" w:firstLineChars="0"/>
              <w:jc w:val="center"/>
              <w:rPr>
                <w:rFonts w:cs="Times New Roman"/>
                <w:color w:val="000000" w:themeColor="text1"/>
                <w:kern w:val="0"/>
                <w:sz w:val="22"/>
                <w:szCs w:val="21"/>
                <w:highlight w:val="none"/>
                <w:lang w:eastAsia="en-US"/>
                <w14:textFill>
                  <w14:solidFill>
                    <w14:schemeClr w14:val="tx1"/>
                  </w14:solidFill>
                </w14:textFill>
              </w:rPr>
            </w:pPr>
            <w:r>
              <w:rPr>
                <w:rFonts w:cs="Times New Roman"/>
                <w:color w:val="000000" w:themeColor="text1"/>
                <w:kern w:val="0"/>
                <w:sz w:val="22"/>
                <w:szCs w:val="21"/>
                <w:highlight w:val="none"/>
                <w:lang w:eastAsia="en-US"/>
                <w14:textFill>
                  <w14:solidFill>
                    <w14:schemeClr w14:val="tx1"/>
                  </w14:solidFill>
                </w14:textFill>
              </w:rPr>
              <w:t>表层样点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93" w:hRule="atLeast"/>
        </w:trPr>
        <w:tc>
          <w:tcPr>
            <w:tcW w:w="363" w:type="pct"/>
            <w:tcBorders>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2"/>
                <w:szCs w:val="21"/>
                <w:highlight w:val="none"/>
                <w:lang w:eastAsia="en-US"/>
                <w14:textFill>
                  <w14:solidFill>
                    <w14:schemeClr w14:val="tx1"/>
                  </w14:solidFill>
                </w14:textFill>
              </w:rPr>
            </w:pPr>
            <w:r>
              <w:rPr>
                <w:rFonts w:cs="Times New Roman"/>
                <w:color w:val="000000" w:themeColor="text1"/>
                <w:kern w:val="0"/>
                <w:sz w:val="22"/>
                <w:szCs w:val="21"/>
                <w:highlight w:val="none"/>
                <w:lang w:eastAsia="en-US"/>
                <w14:textFill>
                  <w14:solidFill>
                    <w14:schemeClr w14:val="tx1"/>
                  </w14:solidFill>
                </w14:textFill>
              </w:rPr>
              <w:t>5#</w:t>
            </w:r>
          </w:p>
        </w:tc>
        <w:tc>
          <w:tcPr>
            <w:tcW w:w="1091"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hint="eastAsia" w:cs="Times New Roman"/>
                <w:color w:val="000000" w:themeColor="text1"/>
                <w:kern w:val="0"/>
                <w:sz w:val="21"/>
                <w:szCs w:val="21"/>
                <w:highlight w:val="none"/>
                <w:lang w:eastAsia="en-US"/>
                <w14:textFill>
                  <w14:solidFill>
                    <w14:schemeClr w14:val="tx1"/>
                  </w14:solidFill>
                </w14:textFill>
              </w:rPr>
              <w:t>107.603961</w:t>
            </w:r>
            <w:r>
              <w:rPr>
                <w:rFonts w:cs="Times New Roman"/>
                <w:color w:val="000000" w:themeColor="text1"/>
                <w:kern w:val="0"/>
                <w:sz w:val="21"/>
                <w:szCs w:val="21"/>
                <w:highlight w:val="none"/>
                <w:lang w:eastAsia="en-US"/>
                <w14:textFill>
                  <w14:solidFill>
                    <w14:schemeClr w14:val="tx1"/>
                  </w14:solidFill>
                </w14:textFill>
              </w:rPr>
              <w:t>°东</w:t>
            </w:r>
          </w:p>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hint="eastAsia" w:cs="Times New Roman"/>
                <w:color w:val="000000" w:themeColor="text1"/>
                <w:kern w:val="0"/>
                <w:sz w:val="21"/>
                <w:szCs w:val="21"/>
                <w:highlight w:val="none"/>
                <w:lang w:eastAsia="en-US"/>
                <w14:textFill>
                  <w14:solidFill>
                    <w14:schemeClr w14:val="tx1"/>
                  </w14:solidFill>
                </w14:textFill>
              </w:rPr>
              <w:t>31.331930</w:t>
            </w:r>
            <w:r>
              <w:rPr>
                <w:rFonts w:cs="Times New Roman"/>
                <w:color w:val="000000" w:themeColor="text1"/>
                <w:kern w:val="0"/>
                <w:sz w:val="21"/>
                <w:szCs w:val="21"/>
                <w:highlight w:val="none"/>
                <w:lang w:eastAsia="en-US"/>
                <w14:textFill>
                  <w14:solidFill>
                    <w14:schemeClr w14:val="tx1"/>
                  </w14:solidFill>
                </w14:textFill>
              </w:rPr>
              <w:t>°北</w:t>
            </w:r>
          </w:p>
        </w:tc>
        <w:tc>
          <w:tcPr>
            <w:tcW w:w="857"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1"/>
                <w:szCs w:val="21"/>
                <w:highlight w:val="none"/>
                <w14:textFill>
                  <w14:solidFill>
                    <w14:schemeClr w14:val="tx1"/>
                  </w14:solidFill>
                </w14:textFill>
              </w:rPr>
              <w:t>新建雷页1试采地面工程装置区内西南侧工艺装置外南侧15m处</w:t>
            </w:r>
          </w:p>
        </w:tc>
        <w:tc>
          <w:tcPr>
            <w:tcW w:w="2256" w:type="pct"/>
            <w:vAlign w:val="center"/>
          </w:tcPr>
          <w:p>
            <w:pPr>
              <w:widowControl/>
              <w:adjustRightInd/>
              <w:snapToGrid/>
              <w:spacing w:line="240" w:lineRule="auto"/>
              <w:ind w:firstLine="0" w:firstLineChars="0"/>
              <w:jc w:val="left"/>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理化性质：</w:t>
            </w:r>
            <w:r>
              <w:rPr>
                <w:rFonts w:cs="Times New Roman"/>
                <w:color w:val="000000" w:themeColor="text1"/>
                <w:kern w:val="0"/>
                <w:sz w:val="21"/>
                <w:szCs w:val="21"/>
                <w:highlight w:val="none"/>
                <w14:textFill>
                  <w14:solidFill>
                    <w14:schemeClr w14:val="tx1"/>
                  </w14:solidFill>
                </w14:textFill>
              </w:rPr>
              <w:t>pH</w:t>
            </w:r>
          </w:p>
          <w:p>
            <w:pPr>
              <w:widowControl/>
              <w:adjustRightInd/>
              <w:snapToGrid/>
              <w:spacing w:line="240" w:lineRule="auto"/>
              <w:ind w:firstLine="0" w:firstLineChars="0"/>
              <w:jc w:val="left"/>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基本因子：</w:t>
            </w:r>
            <w:r>
              <w:rPr>
                <w:rFonts w:cs="Times New Roman"/>
                <w:color w:val="000000" w:themeColor="text1"/>
                <w:kern w:val="0"/>
                <w:sz w:val="21"/>
                <w:szCs w:val="21"/>
                <w:highlight w:val="none"/>
                <w14:textFill>
                  <w14:solidFill>
                    <w14:schemeClr w14:val="tx1"/>
                  </w14:solidFill>
                </w14:textFill>
              </w:rPr>
              <w:t>《土壤环境质量 农用地土壤污染风险管控标准（试行）</w:t>
            </w:r>
            <w:r>
              <w:rPr>
                <w:rFonts w:hint="eastAsia" w:cs="Times New Roman"/>
                <w:color w:val="000000" w:themeColor="text1"/>
                <w:kern w:val="0"/>
                <w:sz w:val="21"/>
                <w:szCs w:val="21"/>
                <w:highlight w:val="none"/>
                <w14:textFill>
                  <w14:solidFill>
                    <w14:schemeClr w14:val="tx1"/>
                  </w14:solidFill>
                </w14:textFill>
              </w:rPr>
              <w:t>（</w:t>
            </w:r>
            <w:r>
              <w:rPr>
                <w:rFonts w:cs="Times New Roman"/>
                <w:color w:val="000000" w:themeColor="text1"/>
                <w:kern w:val="0"/>
                <w:sz w:val="21"/>
                <w:szCs w:val="21"/>
                <w:highlight w:val="none"/>
                <w14:textFill>
                  <w14:solidFill>
                    <w14:schemeClr w14:val="tx1"/>
                  </w14:solidFill>
                </w14:textFill>
              </w:rPr>
              <w:t>GB15618—2018</w:t>
            </w:r>
            <w:r>
              <w:rPr>
                <w:rFonts w:hint="eastAsia" w:cs="Times New Roman"/>
                <w:color w:val="000000" w:themeColor="text1"/>
                <w:kern w:val="0"/>
                <w:sz w:val="21"/>
                <w:szCs w:val="21"/>
                <w:highlight w:val="none"/>
                <w14:textFill>
                  <w14:solidFill>
                    <w14:schemeClr w14:val="tx1"/>
                  </w14:solidFill>
                </w14:textFill>
              </w:rPr>
              <w:t>）</w:t>
            </w:r>
            <w:r>
              <w:rPr>
                <w:rFonts w:cs="Times New Roman"/>
                <w:color w:val="000000" w:themeColor="text1"/>
                <w:kern w:val="0"/>
                <w:sz w:val="21"/>
                <w:szCs w:val="21"/>
                <w:highlight w:val="none"/>
                <w14:textFill>
                  <w14:solidFill>
                    <w14:schemeClr w14:val="tx1"/>
                  </w14:solidFill>
                </w14:textFill>
              </w:rPr>
              <w:t>》中表1基本项目，共8个</w:t>
            </w:r>
          </w:p>
          <w:p>
            <w:pPr>
              <w:widowControl/>
              <w:adjustRightInd/>
              <w:snapToGrid/>
              <w:spacing w:line="240" w:lineRule="auto"/>
              <w:ind w:firstLine="0" w:firstLineChars="0"/>
              <w:jc w:val="left"/>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特征因子：</w:t>
            </w:r>
            <w:r>
              <w:rPr>
                <w:rFonts w:cs="Times New Roman"/>
                <w:color w:val="000000" w:themeColor="text1"/>
                <w:kern w:val="0"/>
                <w:sz w:val="21"/>
                <w:szCs w:val="21"/>
                <w:highlight w:val="none"/>
                <w14:textFill>
                  <w14:solidFill>
                    <w14:schemeClr w14:val="tx1"/>
                  </w14:solidFill>
                </w14:textFill>
              </w:rPr>
              <w:t>石油烃、全盐量</w:t>
            </w:r>
          </w:p>
        </w:tc>
        <w:tc>
          <w:tcPr>
            <w:tcW w:w="433" w:type="pct"/>
            <w:vAlign w:val="center"/>
          </w:tcPr>
          <w:p>
            <w:pPr>
              <w:widowControl/>
              <w:adjustRightInd/>
              <w:snapToGrid/>
              <w:spacing w:line="240" w:lineRule="auto"/>
              <w:ind w:firstLine="0" w:firstLineChars="0"/>
              <w:jc w:val="center"/>
              <w:rPr>
                <w:rFonts w:cs="Times New Roman"/>
                <w:color w:val="000000" w:themeColor="text1"/>
                <w:kern w:val="0"/>
                <w:sz w:val="22"/>
                <w:szCs w:val="21"/>
                <w:highlight w:val="none"/>
                <w:lang w:eastAsia="en-US"/>
                <w14:textFill>
                  <w14:solidFill>
                    <w14:schemeClr w14:val="tx1"/>
                  </w14:solidFill>
                </w14:textFill>
              </w:rPr>
            </w:pPr>
            <w:r>
              <w:rPr>
                <w:rFonts w:cs="Times New Roman"/>
                <w:color w:val="000000" w:themeColor="text1"/>
                <w:kern w:val="0"/>
                <w:sz w:val="22"/>
                <w:szCs w:val="21"/>
                <w:highlight w:val="none"/>
                <w:lang w:eastAsia="en-US"/>
                <w14:textFill>
                  <w14:solidFill>
                    <w14:schemeClr w14:val="tx1"/>
                  </w14:solidFill>
                </w14:textFill>
              </w:rPr>
              <w:t>表层样点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9" w:hRule="atLeast"/>
        </w:trPr>
        <w:tc>
          <w:tcPr>
            <w:tcW w:w="363" w:type="pct"/>
            <w:tcBorders>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2"/>
                <w:szCs w:val="21"/>
                <w:highlight w:val="none"/>
                <w:lang w:eastAsia="en-US"/>
                <w14:textFill>
                  <w14:solidFill>
                    <w14:schemeClr w14:val="tx1"/>
                  </w14:solidFill>
                </w14:textFill>
              </w:rPr>
            </w:pPr>
            <w:r>
              <w:rPr>
                <w:rFonts w:cs="Times New Roman"/>
                <w:color w:val="000000" w:themeColor="text1"/>
                <w:kern w:val="0"/>
                <w:sz w:val="22"/>
                <w:szCs w:val="21"/>
                <w:highlight w:val="none"/>
                <w:lang w:eastAsia="en-US"/>
                <w14:textFill>
                  <w14:solidFill>
                    <w14:schemeClr w14:val="tx1"/>
                  </w14:solidFill>
                </w14:textFill>
              </w:rPr>
              <w:t>6#</w:t>
            </w:r>
          </w:p>
        </w:tc>
        <w:tc>
          <w:tcPr>
            <w:tcW w:w="1091"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107.605824°东</w:t>
            </w:r>
          </w:p>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31.333375°北</w:t>
            </w:r>
          </w:p>
        </w:tc>
        <w:tc>
          <w:tcPr>
            <w:tcW w:w="857" w:type="pct"/>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新建雷页1试验井外东北侧240m区域处</w:t>
            </w:r>
          </w:p>
        </w:tc>
        <w:tc>
          <w:tcPr>
            <w:tcW w:w="2256" w:type="pct"/>
            <w:vAlign w:val="center"/>
          </w:tcPr>
          <w:p>
            <w:pPr>
              <w:widowControl/>
              <w:adjustRightInd/>
              <w:snapToGrid/>
              <w:spacing w:line="240" w:lineRule="auto"/>
              <w:ind w:firstLine="0" w:firstLineChars="0"/>
              <w:jc w:val="left"/>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理化性质：</w:t>
            </w:r>
            <w:r>
              <w:rPr>
                <w:rFonts w:cs="Times New Roman"/>
                <w:color w:val="000000" w:themeColor="text1"/>
                <w:kern w:val="0"/>
                <w:sz w:val="21"/>
                <w:szCs w:val="21"/>
                <w:highlight w:val="none"/>
                <w14:textFill>
                  <w14:solidFill>
                    <w14:schemeClr w14:val="tx1"/>
                  </w14:solidFill>
                </w14:textFill>
              </w:rPr>
              <w:t>pH</w:t>
            </w:r>
          </w:p>
          <w:p>
            <w:pPr>
              <w:widowControl/>
              <w:adjustRightInd/>
              <w:snapToGrid/>
              <w:spacing w:line="240" w:lineRule="auto"/>
              <w:ind w:firstLine="0" w:firstLineChars="0"/>
              <w:jc w:val="left"/>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特征因子：</w:t>
            </w:r>
            <w:r>
              <w:rPr>
                <w:rFonts w:cs="Times New Roman"/>
                <w:color w:val="000000" w:themeColor="text1"/>
                <w:kern w:val="0"/>
                <w:sz w:val="21"/>
                <w:szCs w:val="21"/>
                <w:highlight w:val="none"/>
                <w14:textFill>
                  <w14:solidFill>
                    <w14:schemeClr w14:val="tx1"/>
                  </w14:solidFill>
                </w14:textFill>
              </w:rPr>
              <w:t>石油烃、全盐量</w:t>
            </w:r>
          </w:p>
        </w:tc>
        <w:tc>
          <w:tcPr>
            <w:tcW w:w="433" w:type="pct"/>
            <w:vAlign w:val="center"/>
          </w:tcPr>
          <w:p>
            <w:pPr>
              <w:widowControl/>
              <w:adjustRightInd/>
              <w:snapToGrid/>
              <w:spacing w:line="240" w:lineRule="auto"/>
              <w:ind w:firstLine="0" w:firstLineChars="0"/>
              <w:jc w:val="center"/>
              <w:rPr>
                <w:rFonts w:cs="Times New Roman"/>
                <w:color w:val="000000" w:themeColor="text1"/>
                <w:kern w:val="0"/>
                <w:sz w:val="22"/>
                <w:szCs w:val="21"/>
                <w:highlight w:val="none"/>
                <w:lang w:eastAsia="en-US"/>
                <w14:textFill>
                  <w14:solidFill>
                    <w14:schemeClr w14:val="tx1"/>
                  </w14:solidFill>
                </w14:textFill>
              </w:rPr>
            </w:pPr>
            <w:r>
              <w:rPr>
                <w:rFonts w:cs="Times New Roman"/>
                <w:color w:val="000000" w:themeColor="text1"/>
                <w:kern w:val="0"/>
                <w:sz w:val="22"/>
                <w:szCs w:val="21"/>
                <w:highlight w:val="none"/>
                <w:lang w:eastAsia="en-US"/>
                <w14:textFill>
                  <w14:solidFill>
                    <w14:schemeClr w14:val="tx1"/>
                  </w14:solidFill>
                </w14:textFill>
              </w:rPr>
              <w:t>表层样点</w:t>
            </w:r>
          </w:p>
        </w:tc>
      </w:tr>
    </w:tbl>
    <w:p>
      <w:pPr>
        <w:spacing w:before="120"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（2）评价标准</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占地范围内执行《土壤环境质量建设用地土壤污染风险管控标准（试行）》（GB36600-2018）中的第二类用地筛选值标准</w:t>
      </w:r>
      <w:r>
        <w:rPr>
          <w:rFonts w:hint="eastAsia" w:cs="Times New Roman"/>
          <w:bCs/>
          <w:color w:val="000000" w:themeColor="text1"/>
          <w:szCs w:val="24"/>
          <w:highlight w:val="none"/>
          <w14:textFill>
            <w14:solidFill>
              <w14:schemeClr w14:val="tx1"/>
            </w14:solidFill>
          </w14:textFill>
        </w:rPr>
        <w:t>和</w:t>
      </w:r>
      <w:r>
        <w:rPr>
          <w:rFonts w:hint="eastAsia"/>
          <w:color w:val="000000" w:themeColor="text1"/>
          <w:highlight w:val="none"/>
          <w14:textFill>
            <w14:solidFill>
              <w14:schemeClr w14:val="tx1"/>
            </w14:solidFill>
          </w14:textFill>
        </w:rPr>
        <w:t>《四川省建设用地土壤污染风险管控标准》（DB51/2978—2023）</w:t>
      </w:r>
      <w:r>
        <w:rPr>
          <w:rFonts w:hint="eastAsia"/>
          <w:bCs/>
          <w:color w:val="000000" w:themeColor="text1"/>
          <w:szCs w:val="24"/>
          <w:highlight w:val="none"/>
          <w14:textFill>
            <w14:solidFill>
              <w14:schemeClr w14:val="tx1"/>
            </w14:solidFill>
          </w14:textFill>
        </w:rPr>
        <w:t>中相关标准限值</w:t>
      </w:r>
      <w:r>
        <w:rPr>
          <w:rFonts w:cs="Times New Roman"/>
          <w:bCs/>
          <w:color w:val="000000" w:themeColor="text1"/>
          <w:szCs w:val="24"/>
          <w:highlight w:val="none"/>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占</w:t>
      </w:r>
      <w:r>
        <w:rPr>
          <w:rFonts w:cs="Times New Roman"/>
          <w:bCs/>
          <w:color w:val="000000" w:themeColor="text1"/>
          <w:szCs w:val="24"/>
          <w:highlight w:val="none"/>
          <w14:textFill>
            <w14:solidFill>
              <w14:schemeClr w14:val="tx1"/>
            </w14:solidFill>
          </w14:textFill>
        </w:rPr>
        <w:t>地范围外执行《土壤环境质量农用地土壤污染风险管控标准》（GB15618-2018）中土壤污染风险筛选值标准。</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（3）土壤环境现状监测统计</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土壤环境现状监测及评价结果见</w:t>
      </w:r>
      <w:r>
        <w:rPr>
          <w:rFonts w:cs="Times New Roman"/>
          <w:bCs/>
          <w:color w:val="000000" w:themeColor="text1"/>
          <w:szCs w:val="24"/>
          <w:highlight w:val="none"/>
          <w14:textFill>
            <w14:solidFill>
              <w14:schemeClr w14:val="tx1"/>
            </w14:solidFill>
          </w14:textFill>
        </w:rPr>
        <w:fldChar w:fldCharType="begin"/>
      </w:r>
      <w:r>
        <w:rPr>
          <w:rFonts w:cs="Times New Roman"/>
          <w:bCs/>
          <w:color w:val="000000" w:themeColor="text1"/>
          <w:szCs w:val="24"/>
          <w:highlight w:val="none"/>
          <w14:textFill>
            <w14:solidFill>
              <w14:schemeClr w14:val="tx1"/>
            </w14:solidFill>
          </w14:textFill>
        </w:rPr>
        <w:instrText xml:space="preserve"> REF _Ref142600179 \h  \* MERGEFORMAT </w:instrText>
      </w:r>
      <w:r>
        <w:rPr>
          <w:rFonts w:cs="Times New Roman"/>
          <w:bCs/>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16</w:t>
      </w:r>
      <w:r>
        <w:rPr>
          <w:rFonts w:cs="Times New Roman"/>
          <w:bCs/>
          <w:color w:val="000000" w:themeColor="text1"/>
          <w:szCs w:val="24"/>
          <w:highlight w:val="none"/>
          <w14:textFill>
            <w14:solidFill>
              <w14:schemeClr w14:val="tx1"/>
            </w14:solidFill>
          </w14:textFill>
        </w:rPr>
        <w:fldChar w:fldCharType="end"/>
      </w:r>
      <w:r>
        <w:rPr>
          <w:rFonts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fldChar w:fldCharType="begin"/>
      </w:r>
      <w:r>
        <w:rPr>
          <w:rFonts w:cs="Times New Roman"/>
          <w:bCs/>
          <w:color w:val="000000" w:themeColor="text1"/>
          <w:szCs w:val="24"/>
          <w:highlight w:val="none"/>
          <w14:textFill>
            <w14:solidFill>
              <w14:schemeClr w14:val="tx1"/>
            </w14:solidFill>
          </w14:textFill>
        </w:rPr>
        <w:instrText xml:space="preserve"> REF _Ref142600183 \h  \* MERGEFORMAT </w:instrText>
      </w:r>
      <w:r>
        <w:rPr>
          <w:rFonts w:cs="Times New Roman"/>
          <w:bCs/>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17</w:t>
      </w:r>
      <w:r>
        <w:rPr>
          <w:rFonts w:cs="Times New Roman"/>
          <w:bCs/>
          <w:color w:val="000000" w:themeColor="text1"/>
          <w:szCs w:val="24"/>
          <w:highlight w:val="none"/>
          <w14:textFill>
            <w14:solidFill>
              <w14:schemeClr w14:val="tx1"/>
            </w14:solidFill>
          </w14:textFill>
        </w:rPr>
        <w:fldChar w:fldCharType="end"/>
      </w:r>
      <w:r>
        <w:rPr>
          <w:rFonts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fldChar w:fldCharType="begin"/>
      </w:r>
      <w:r>
        <w:rPr>
          <w:rFonts w:cs="Times New Roman"/>
          <w:bCs/>
          <w:color w:val="000000" w:themeColor="text1"/>
          <w:szCs w:val="24"/>
          <w:highlight w:val="none"/>
          <w14:textFill>
            <w14:solidFill>
              <w14:schemeClr w14:val="tx1"/>
            </w14:solidFill>
          </w14:textFill>
        </w:rPr>
        <w:instrText xml:space="preserve"> REF _Ref142600187 \h  \* MERGEFORMAT </w:instrText>
      </w:r>
      <w:r>
        <w:rPr>
          <w:rFonts w:cs="Times New Roman"/>
          <w:bCs/>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18</w:t>
      </w:r>
      <w:r>
        <w:rPr>
          <w:rFonts w:cs="Times New Roman"/>
          <w:bCs/>
          <w:color w:val="000000" w:themeColor="text1"/>
          <w:szCs w:val="24"/>
          <w:highlight w:val="none"/>
          <w14:textFill>
            <w14:solidFill>
              <w14:schemeClr w14:val="tx1"/>
            </w14:solidFill>
          </w14:textFill>
        </w:rPr>
        <w:fldChar w:fldCharType="end"/>
      </w:r>
      <w:r>
        <w:rPr>
          <w:rFonts w:cs="Times New Roman"/>
          <w:bCs/>
          <w:color w:val="000000" w:themeColor="text1"/>
          <w:szCs w:val="24"/>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bookmarkStart w:id="238" w:name="_Ref142600179"/>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16</w:t>
      </w:r>
      <w:r>
        <w:rPr>
          <w:color w:val="000000" w:themeColor="text1"/>
          <w:highlight w:val="none"/>
          <w14:textFill>
            <w14:solidFill>
              <w14:schemeClr w14:val="tx1"/>
            </w14:solidFill>
          </w14:textFill>
        </w:rPr>
        <w:fldChar w:fldCharType="end"/>
      </w:r>
      <w:bookmarkEnd w:id="238"/>
      <w:r>
        <w:rPr>
          <w:rFonts w:hint="eastAsia"/>
          <w:color w:val="000000" w:themeColor="text1"/>
          <w:highlight w:val="none"/>
          <w14:textFill>
            <w14:solidFill>
              <w14:schemeClr w14:val="tx1"/>
            </w14:solidFill>
          </w14:textFill>
        </w:rPr>
        <w:t xml:space="preserve">本项目场外土壤环境现状监测及评价表 </w:t>
      </w:r>
      <w:r>
        <w:rPr>
          <w:color w:val="000000" w:themeColor="text1"/>
          <w:highlight w:val="none"/>
          <w14:textFill>
            <w14:solidFill>
              <w14:schemeClr w14:val="tx1"/>
            </w14:solidFill>
          </w14:textFill>
        </w:rPr>
        <w:t xml:space="preserve"> 单位：mg/kg，pH无量纲</w:t>
      </w:r>
    </w:p>
    <w:tbl>
      <w:tblPr>
        <w:tblStyle w:val="41"/>
        <w:tblW w:w="5000" w:type="pct"/>
        <w:jc w:val="center"/>
        <w:tblLayout w:type="fixed"/>
        <w:tblCellMar>
          <w:top w:w="15" w:type="dxa"/>
          <w:left w:w="15" w:type="dxa"/>
          <w:bottom w:w="15" w:type="dxa"/>
          <w:right w:w="15" w:type="dxa"/>
        </w:tblCellMar>
      </w:tblPr>
      <w:tblGrid>
        <w:gridCol w:w="607"/>
        <w:gridCol w:w="1104"/>
        <w:gridCol w:w="508"/>
        <w:gridCol w:w="510"/>
        <w:gridCol w:w="510"/>
        <w:gridCol w:w="510"/>
        <w:gridCol w:w="510"/>
        <w:gridCol w:w="510"/>
        <w:gridCol w:w="508"/>
        <w:gridCol w:w="510"/>
        <w:gridCol w:w="510"/>
        <w:gridCol w:w="510"/>
        <w:gridCol w:w="510"/>
        <w:gridCol w:w="510"/>
        <w:gridCol w:w="510"/>
      </w:tblGrid>
      <w:tr>
        <w:tblPrEx>
          <w:tblCellMar>
            <w:top w:w="15" w:type="dxa"/>
            <w:left w:w="15" w:type="dxa"/>
            <w:bottom w:w="15" w:type="dxa"/>
            <w:right w:w="15" w:type="dxa"/>
          </w:tblCellMar>
        </w:tblPrEx>
        <w:trPr>
          <w:trHeight w:val="454" w:hRule="atLeast"/>
          <w:jc w:val="center"/>
        </w:trPr>
        <w:tc>
          <w:tcPr>
            <w:tcW w:w="1024" w:type="pct"/>
            <w:gridSpan w:val="2"/>
            <w:tcBorders>
              <w:top w:val="single" w:color="auto" w:sz="4" w:space="0"/>
              <w:left w:val="single" w:color="auto" w:sz="4" w:space="0"/>
              <w:bottom w:val="single" w:color="auto" w:sz="4" w:space="0"/>
              <w:right w:val="single" w:color="auto" w:sz="4" w:space="0"/>
              <w:tl2br w:val="single" w:color="auto" w:sz="4" w:space="0"/>
            </w:tcBorders>
            <w:noWrap/>
            <w:vAlign w:val="center"/>
          </w:tcPr>
          <w:p>
            <w:pPr>
              <w:pStyle w:val="118"/>
              <w:jc w:val="right"/>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监测项目</w:t>
            </w:r>
          </w:p>
          <w:p>
            <w:pPr>
              <w:pStyle w:val="118"/>
              <w:jc w:val="left"/>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监测点</w:t>
            </w:r>
          </w:p>
        </w:tc>
        <w:tc>
          <w:tcPr>
            <w:tcW w:w="305" w:type="pct"/>
            <w:tcBorders>
              <w:top w:val="single" w:color="auto" w:sz="4" w:space="0"/>
              <w:left w:val="single" w:color="auto" w:sz="4" w:space="0"/>
              <w:bottom w:val="single" w:color="auto" w:sz="4" w:space="0"/>
              <w:right w:val="single" w:color="auto" w:sz="4" w:space="0"/>
            </w:tcBorders>
            <w:noWrap/>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pH</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砷</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镉</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铜</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铅</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汞</w:t>
            </w:r>
          </w:p>
        </w:tc>
        <w:tc>
          <w:tcPr>
            <w:tcW w:w="305" w:type="pct"/>
            <w:tcBorders>
              <w:top w:val="single" w:color="auto" w:sz="4" w:space="0"/>
              <w:left w:val="single" w:color="auto" w:sz="4" w:space="0"/>
              <w:bottom w:val="single" w:color="auto" w:sz="4" w:space="0"/>
              <w:right w:val="single" w:color="auto" w:sz="4" w:space="0"/>
            </w:tcBorders>
            <w:noWrap/>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镍</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铬</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锌</w:t>
            </w:r>
          </w:p>
        </w:tc>
        <w:tc>
          <w:tcPr>
            <w:tcW w:w="306" w:type="pct"/>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石油烃</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全盐量</w:t>
            </w:r>
          </w:p>
        </w:tc>
        <w:tc>
          <w:tcPr>
            <w:tcW w:w="306" w:type="pct"/>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钡</w:t>
            </w:r>
          </w:p>
        </w:tc>
        <w:tc>
          <w:tcPr>
            <w:tcW w:w="306" w:type="pct"/>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水溶性硫酸盐</w:t>
            </w:r>
          </w:p>
        </w:tc>
      </w:tr>
      <w:tr>
        <w:tblPrEx>
          <w:tblCellMar>
            <w:top w:w="15" w:type="dxa"/>
            <w:left w:w="15" w:type="dxa"/>
            <w:bottom w:w="15" w:type="dxa"/>
            <w:right w:w="15" w:type="dxa"/>
          </w:tblCellMar>
        </w:tblPrEx>
        <w:trPr>
          <w:trHeight w:val="454" w:hRule="atLeast"/>
          <w:jc w:val="center"/>
        </w:trPr>
        <w:tc>
          <w:tcPr>
            <w:tcW w:w="364" w:type="pct"/>
            <w:vMerge w:val="restart"/>
            <w:tcBorders>
              <w:top w:val="single" w:color="auto" w:sz="4" w:space="0"/>
              <w:left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监测值</w:t>
            </w:r>
          </w:p>
        </w:tc>
        <w:tc>
          <w:tcPr>
            <w:tcW w:w="660"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c>
          <w:tcPr>
            <w:tcW w:w="305"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7.58</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6.41</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0.25</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72</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57</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0.141</w:t>
            </w:r>
          </w:p>
        </w:tc>
        <w:tc>
          <w:tcPr>
            <w:tcW w:w="305"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30</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193</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89</w:t>
            </w:r>
          </w:p>
        </w:tc>
        <w:tc>
          <w:tcPr>
            <w:tcW w:w="306"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85</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0.8</w:t>
            </w:r>
          </w:p>
        </w:tc>
        <w:tc>
          <w:tcPr>
            <w:tcW w:w="306"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643</w:t>
            </w:r>
          </w:p>
        </w:tc>
        <w:tc>
          <w:tcPr>
            <w:tcW w:w="306"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205</w:t>
            </w:r>
          </w:p>
        </w:tc>
      </w:tr>
      <w:tr>
        <w:tblPrEx>
          <w:tblCellMar>
            <w:top w:w="15" w:type="dxa"/>
            <w:left w:w="15" w:type="dxa"/>
            <w:bottom w:w="15" w:type="dxa"/>
            <w:right w:w="15" w:type="dxa"/>
          </w:tblCellMar>
        </w:tblPrEx>
        <w:trPr>
          <w:trHeight w:val="454" w:hRule="atLeast"/>
          <w:jc w:val="center"/>
        </w:trPr>
        <w:tc>
          <w:tcPr>
            <w:tcW w:w="364" w:type="pct"/>
            <w:vMerge w:val="continue"/>
            <w:tcBorders>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p>
        </w:tc>
        <w:tc>
          <w:tcPr>
            <w:tcW w:w="660"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w:t>
            </w:r>
          </w:p>
        </w:tc>
        <w:tc>
          <w:tcPr>
            <w:tcW w:w="305"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7.14</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05"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06"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41</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0.28</w:t>
            </w:r>
          </w:p>
        </w:tc>
        <w:tc>
          <w:tcPr>
            <w:tcW w:w="306"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325</w:t>
            </w:r>
          </w:p>
        </w:tc>
        <w:tc>
          <w:tcPr>
            <w:tcW w:w="306"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60</w:t>
            </w:r>
          </w:p>
        </w:tc>
      </w:tr>
      <w:tr>
        <w:tblPrEx>
          <w:tblCellMar>
            <w:top w:w="15" w:type="dxa"/>
            <w:left w:w="15" w:type="dxa"/>
            <w:bottom w:w="15" w:type="dxa"/>
            <w:right w:w="15" w:type="dxa"/>
          </w:tblCellMar>
        </w:tblPrEx>
        <w:trPr>
          <w:trHeight w:val="454" w:hRule="atLeast"/>
          <w:jc w:val="center"/>
        </w:trPr>
        <w:tc>
          <w:tcPr>
            <w:tcW w:w="1024" w:type="pct"/>
            <w:gridSpan w:val="2"/>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标准值</w:t>
            </w:r>
            <w:r>
              <w:rPr>
                <w:color w:val="000000" w:themeColor="text1"/>
                <w:highlight w:val="none"/>
                <w14:textFill>
                  <w14:solidFill>
                    <w14:schemeClr w14:val="tx1"/>
                  </w14:solidFill>
                </w14:textFill>
              </w:rPr>
              <w:br w:type="textWrapping"/>
            </w:r>
            <w:r>
              <w:rPr>
                <w:color w:val="000000" w:themeColor="text1"/>
                <w:highlight w:val="none"/>
                <w14:textFill>
                  <w14:solidFill>
                    <w14:schemeClr w14:val="tx1"/>
                  </w14:solidFill>
                </w14:textFill>
              </w:rPr>
              <w:t>pH</w:t>
            </w:r>
            <w:r>
              <w:rPr>
                <w:rFonts w:hint="eastAsia"/>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t>.5（其他）</w:t>
            </w:r>
          </w:p>
        </w:tc>
        <w:tc>
          <w:tcPr>
            <w:tcW w:w="305"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0.6</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100</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170</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3.4</w:t>
            </w:r>
          </w:p>
        </w:tc>
        <w:tc>
          <w:tcPr>
            <w:tcW w:w="305"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190</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250</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300</w:t>
            </w:r>
          </w:p>
        </w:tc>
        <w:tc>
          <w:tcPr>
            <w:tcW w:w="306"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06"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06"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r>
        <w:tblPrEx>
          <w:tblCellMar>
            <w:top w:w="15" w:type="dxa"/>
            <w:left w:w="15" w:type="dxa"/>
            <w:bottom w:w="15" w:type="dxa"/>
            <w:right w:w="15" w:type="dxa"/>
          </w:tblCellMar>
        </w:tblPrEx>
        <w:trPr>
          <w:trHeight w:val="454" w:hRule="atLeast"/>
          <w:jc w:val="center"/>
        </w:trPr>
        <w:tc>
          <w:tcPr>
            <w:tcW w:w="1024" w:type="pct"/>
            <w:gridSpan w:val="2"/>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6.5＜pH≤7.5（其他）</w:t>
            </w:r>
          </w:p>
        </w:tc>
        <w:tc>
          <w:tcPr>
            <w:tcW w:w="305"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0</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w:t>
            </w:r>
            <w:r>
              <w:rPr>
                <w:color w:val="000000" w:themeColor="text1"/>
                <w:highlight w:val="none"/>
                <w14:textFill>
                  <w14:solidFill>
                    <w14:schemeClr w14:val="tx1"/>
                  </w14:solidFill>
                </w14:textFill>
              </w:rPr>
              <w:t>.3</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00</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20</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.4</w:t>
            </w:r>
          </w:p>
        </w:tc>
        <w:tc>
          <w:tcPr>
            <w:tcW w:w="305"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00</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00</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50</w:t>
            </w:r>
          </w:p>
        </w:tc>
        <w:tc>
          <w:tcPr>
            <w:tcW w:w="306"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06"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06"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r>
        <w:tblPrEx>
          <w:tblCellMar>
            <w:top w:w="15" w:type="dxa"/>
            <w:left w:w="15" w:type="dxa"/>
            <w:bottom w:w="15" w:type="dxa"/>
            <w:right w:w="15" w:type="dxa"/>
          </w:tblCellMar>
        </w:tblPrEx>
        <w:trPr>
          <w:trHeight w:val="454" w:hRule="atLeast"/>
          <w:jc w:val="center"/>
        </w:trPr>
        <w:tc>
          <w:tcPr>
            <w:tcW w:w="1024" w:type="pct"/>
            <w:gridSpan w:val="2"/>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达标情况</w:t>
            </w:r>
          </w:p>
        </w:tc>
        <w:tc>
          <w:tcPr>
            <w:tcW w:w="305"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305"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306"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06" w:type="pct"/>
            <w:tcBorders>
              <w:top w:val="single" w:color="auto" w:sz="4" w:space="0"/>
              <w:left w:val="single" w:color="auto" w:sz="4" w:space="0"/>
              <w:bottom w:val="single" w:color="auto" w:sz="4" w:space="0"/>
              <w:right w:val="single" w:color="auto" w:sz="4" w:space="0"/>
            </w:tcBorders>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06"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06"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bl>
    <w:p>
      <w:pPr>
        <w:pStyle w:val="96"/>
        <w:spacing w:before="120"/>
        <w:rPr>
          <w:color w:val="000000" w:themeColor="text1"/>
          <w:highlight w:val="none"/>
          <w14:textFill>
            <w14:solidFill>
              <w14:schemeClr w14:val="tx1"/>
            </w14:solidFill>
          </w14:textFill>
        </w:rPr>
      </w:pPr>
      <w:bookmarkStart w:id="239" w:name="_Ref142600183"/>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17</w:t>
      </w:r>
      <w:r>
        <w:rPr>
          <w:color w:val="000000" w:themeColor="text1"/>
          <w:highlight w:val="none"/>
          <w14:textFill>
            <w14:solidFill>
              <w14:schemeClr w14:val="tx1"/>
            </w14:solidFill>
          </w14:textFill>
        </w:rPr>
        <w:fldChar w:fldCharType="end"/>
      </w:r>
      <w:bookmarkEnd w:id="239"/>
      <w:r>
        <w:rPr>
          <w:rFonts w:hint="eastAsia"/>
          <w:color w:val="000000" w:themeColor="text1"/>
          <w:highlight w:val="none"/>
          <w14:textFill>
            <w14:solidFill>
              <w14:schemeClr w14:val="tx1"/>
            </w14:solidFill>
          </w14:textFill>
        </w:rPr>
        <w:t xml:space="preserve">本项目场内土壤环境现状监测及评价表 </w:t>
      </w:r>
      <w:r>
        <w:rPr>
          <w:color w:val="000000" w:themeColor="text1"/>
          <w:highlight w:val="none"/>
          <w14:textFill>
            <w14:solidFill>
              <w14:schemeClr w14:val="tx1"/>
            </w14:solidFill>
          </w14:textFill>
        </w:rPr>
        <w:t xml:space="preserve"> 单位：mg/kg，pH无量纲</w:t>
      </w:r>
    </w:p>
    <w:tbl>
      <w:tblPr>
        <w:tblStyle w:val="41"/>
        <w:tblW w:w="5000" w:type="pct"/>
        <w:jc w:val="center"/>
        <w:tblLayout w:type="fixed"/>
        <w:tblCellMar>
          <w:top w:w="0" w:type="dxa"/>
          <w:left w:w="0" w:type="dxa"/>
          <w:bottom w:w="0" w:type="dxa"/>
          <w:right w:w="0" w:type="dxa"/>
        </w:tblCellMar>
      </w:tblPr>
      <w:tblGrid>
        <w:gridCol w:w="563"/>
        <w:gridCol w:w="1137"/>
        <w:gridCol w:w="995"/>
        <w:gridCol w:w="1137"/>
        <w:gridCol w:w="1564"/>
        <w:gridCol w:w="1789"/>
        <w:gridCol w:w="1135"/>
      </w:tblGrid>
      <w:tr>
        <w:tblPrEx>
          <w:tblCellMar>
            <w:top w:w="0" w:type="dxa"/>
            <w:left w:w="0" w:type="dxa"/>
            <w:bottom w:w="0" w:type="dxa"/>
            <w:right w:w="0" w:type="dxa"/>
          </w:tblCellMar>
        </w:tblPrEx>
        <w:trPr>
          <w:tblHeader/>
          <w:jc w:val="center"/>
        </w:trPr>
        <w:tc>
          <w:tcPr>
            <w:tcW w:w="1022" w:type="pct"/>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noWrap/>
            <w:vAlign w:val="center"/>
          </w:tcPr>
          <w:p>
            <w:pPr>
              <w:pStyle w:val="118"/>
              <w:jc w:val="right"/>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监测因子</w:t>
            </w:r>
          </w:p>
          <w:p>
            <w:pPr>
              <w:pStyle w:val="118"/>
              <w:jc w:val="left"/>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监测点</w:t>
            </w:r>
          </w:p>
        </w:tc>
        <w:tc>
          <w:tcPr>
            <w:tcW w:w="598" w:type="pct"/>
            <w:tcBorders>
              <w:top w:val="single" w:color="auto" w:sz="4" w:space="0"/>
              <w:left w:val="single" w:color="auto" w:sz="4" w:space="0"/>
              <w:right w:val="single" w:color="auto" w:sz="4" w:space="0"/>
            </w:tcBorders>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pH</w:t>
            </w:r>
          </w:p>
        </w:tc>
        <w:tc>
          <w:tcPr>
            <w:tcW w:w="683" w:type="pct"/>
            <w:tcBorders>
              <w:top w:val="single" w:color="auto" w:sz="4" w:space="0"/>
              <w:left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氯离子</w:t>
            </w:r>
            <w:r>
              <w:rPr>
                <w:b/>
                <w:bCs/>
                <w:color w:val="000000" w:themeColor="text1"/>
                <w:highlight w:val="none"/>
                <w14:textFill>
                  <w14:solidFill>
                    <w14:schemeClr w14:val="tx1"/>
                  </w14:solidFill>
                </w14:textFill>
              </w:rPr>
              <w:t>（g/kg）</w:t>
            </w:r>
          </w:p>
        </w:tc>
        <w:tc>
          <w:tcPr>
            <w:tcW w:w="940" w:type="pct"/>
            <w:tcBorders>
              <w:top w:val="single" w:color="auto" w:sz="4" w:space="0"/>
              <w:left w:val="single" w:color="auto" w:sz="4" w:space="0"/>
              <w:right w:val="single" w:color="auto" w:sz="4" w:space="0"/>
            </w:tcBorders>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水溶性硫酸盐</w:t>
            </w:r>
            <w:r>
              <w:rPr>
                <w:b/>
                <w:bCs/>
                <w:color w:val="000000" w:themeColor="text1"/>
                <w:highlight w:val="none"/>
                <w14:textFill>
                  <w14:solidFill>
                    <w14:schemeClr w14:val="tx1"/>
                  </w14:solidFill>
                </w14:textFill>
              </w:rPr>
              <w:t>（mg/kg）</w:t>
            </w:r>
          </w:p>
        </w:tc>
        <w:tc>
          <w:tcPr>
            <w:tcW w:w="1075" w:type="pct"/>
            <w:tcBorders>
              <w:top w:val="single" w:color="auto" w:sz="4" w:space="0"/>
              <w:left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石油烃〔C</w:t>
            </w:r>
            <w:r>
              <w:rPr>
                <w:b/>
                <w:bCs/>
                <w:color w:val="000000" w:themeColor="text1"/>
                <w:highlight w:val="none"/>
                <w:vertAlign w:val="subscript"/>
                <w14:textFill>
                  <w14:solidFill>
                    <w14:schemeClr w14:val="tx1"/>
                  </w14:solidFill>
                </w14:textFill>
              </w:rPr>
              <w:t>10</w:t>
            </w:r>
            <w:r>
              <w:rPr>
                <w:b/>
                <w:bCs/>
                <w:color w:val="000000" w:themeColor="text1"/>
                <w:highlight w:val="none"/>
                <w14:textFill>
                  <w14:solidFill>
                    <w14:schemeClr w14:val="tx1"/>
                  </w14:solidFill>
                </w14:textFill>
              </w:rPr>
              <w:t>-C</w:t>
            </w:r>
            <w:r>
              <w:rPr>
                <w:b/>
                <w:bCs/>
                <w:color w:val="000000" w:themeColor="text1"/>
                <w:highlight w:val="none"/>
                <w:vertAlign w:val="subscript"/>
                <w14:textFill>
                  <w14:solidFill>
                    <w14:schemeClr w14:val="tx1"/>
                  </w14:solidFill>
                </w14:textFill>
              </w:rPr>
              <w:t>40</w:t>
            </w:r>
            <w:r>
              <w:rPr>
                <w:b/>
                <w:bCs/>
                <w:color w:val="000000" w:themeColor="text1"/>
                <w:highlight w:val="none"/>
                <w14:textFill>
                  <w14:solidFill>
                    <w14:schemeClr w14:val="tx1"/>
                  </w14:solidFill>
                </w14:textFill>
              </w:rPr>
              <w:t>〕（mg/kg）</w:t>
            </w:r>
          </w:p>
        </w:tc>
        <w:tc>
          <w:tcPr>
            <w:tcW w:w="68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全盐量（g/kg）</w:t>
            </w:r>
          </w:p>
        </w:tc>
      </w:tr>
      <w:tr>
        <w:tblPrEx>
          <w:tblCellMar>
            <w:top w:w="0" w:type="dxa"/>
            <w:left w:w="0" w:type="dxa"/>
            <w:bottom w:w="0" w:type="dxa"/>
            <w:right w:w="0" w:type="dxa"/>
          </w:tblCellMar>
        </w:tblPrEx>
        <w:trPr>
          <w:jc w:val="center"/>
        </w:trPr>
        <w:tc>
          <w:tcPr>
            <w:tcW w:w="339" w:type="pct"/>
            <w:vMerge w:val="restart"/>
            <w:tcBorders>
              <w:top w:val="single" w:color="auto" w:sz="4" w:space="0"/>
              <w:left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683"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0~0.5m</w:t>
            </w:r>
          </w:p>
        </w:tc>
        <w:tc>
          <w:tcPr>
            <w:tcW w:w="59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7.53</w:t>
            </w:r>
          </w:p>
        </w:tc>
        <w:tc>
          <w:tcPr>
            <w:tcW w:w="68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0.12</w:t>
            </w:r>
          </w:p>
        </w:tc>
        <w:tc>
          <w:tcPr>
            <w:tcW w:w="94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190</w:t>
            </w:r>
          </w:p>
        </w:tc>
        <w:tc>
          <w:tcPr>
            <w:tcW w:w="1075"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90</w:t>
            </w:r>
          </w:p>
        </w:tc>
        <w:tc>
          <w:tcPr>
            <w:tcW w:w="68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0.8</w:t>
            </w:r>
          </w:p>
        </w:tc>
      </w:tr>
      <w:tr>
        <w:tblPrEx>
          <w:tblCellMar>
            <w:top w:w="0" w:type="dxa"/>
            <w:left w:w="0" w:type="dxa"/>
            <w:bottom w:w="0" w:type="dxa"/>
            <w:right w:w="0" w:type="dxa"/>
          </w:tblCellMar>
        </w:tblPrEx>
        <w:trPr>
          <w:jc w:val="center"/>
        </w:trPr>
        <w:tc>
          <w:tcPr>
            <w:tcW w:w="339" w:type="pct"/>
            <w:vMerge w:val="continue"/>
            <w:tcBorders>
              <w:left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p>
        </w:tc>
        <w:tc>
          <w:tcPr>
            <w:tcW w:w="683"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0.5～1.5m</w:t>
            </w:r>
          </w:p>
        </w:tc>
        <w:tc>
          <w:tcPr>
            <w:tcW w:w="598" w:type="pct"/>
            <w:tcBorders>
              <w:top w:val="single" w:color="auto" w:sz="4" w:space="0"/>
              <w:left w:val="single" w:color="auto" w:sz="4" w:space="0"/>
              <w:bottom w:val="single" w:color="auto" w:sz="4" w:space="0"/>
              <w:right w:val="single" w:color="auto" w:sz="4" w:space="0"/>
            </w:tcBorders>
            <w:shd w:val="clear" w:color="auto" w:fill="auto"/>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68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0.088</w:t>
            </w:r>
          </w:p>
        </w:tc>
        <w:tc>
          <w:tcPr>
            <w:tcW w:w="94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189</w:t>
            </w:r>
          </w:p>
        </w:tc>
        <w:tc>
          <w:tcPr>
            <w:tcW w:w="1075"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88</w:t>
            </w:r>
          </w:p>
        </w:tc>
        <w:tc>
          <w:tcPr>
            <w:tcW w:w="68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1.1</w:t>
            </w:r>
          </w:p>
        </w:tc>
      </w:tr>
      <w:tr>
        <w:tblPrEx>
          <w:tblCellMar>
            <w:top w:w="0" w:type="dxa"/>
            <w:left w:w="0" w:type="dxa"/>
            <w:bottom w:w="0" w:type="dxa"/>
            <w:right w:w="0" w:type="dxa"/>
          </w:tblCellMar>
        </w:tblPrEx>
        <w:trPr>
          <w:jc w:val="center"/>
        </w:trPr>
        <w:tc>
          <w:tcPr>
            <w:tcW w:w="339" w:type="pct"/>
            <w:vMerge w:val="continue"/>
            <w:tcBorders>
              <w:left w:val="single" w:color="auto" w:sz="4" w:space="0"/>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p>
        </w:tc>
        <w:tc>
          <w:tcPr>
            <w:tcW w:w="683"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1.5～3.0m</w:t>
            </w:r>
          </w:p>
        </w:tc>
        <w:tc>
          <w:tcPr>
            <w:tcW w:w="598" w:type="pct"/>
            <w:tcBorders>
              <w:top w:val="single" w:color="auto" w:sz="4" w:space="0"/>
              <w:left w:val="single" w:color="auto" w:sz="4" w:space="0"/>
              <w:bottom w:val="single" w:color="auto" w:sz="4" w:space="0"/>
              <w:right w:val="single" w:color="auto" w:sz="4" w:space="0"/>
            </w:tcBorders>
            <w:shd w:val="clear" w:color="auto" w:fill="auto"/>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68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0.056</w:t>
            </w:r>
          </w:p>
        </w:tc>
        <w:tc>
          <w:tcPr>
            <w:tcW w:w="94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197</w:t>
            </w:r>
          </w:p>
        </w:tc>
        <w:tc>
          <w:tcPr>
            <w:tcW w:w="1075"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81</w:t>
            </w:r>
          </w:p>
        </w:tc>
        <w:tc>
          <w:tcPr>
            <w:tcW w:w="68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0.7</w:t>
            </w:r>
          </w:p>
        </w:tc>
      </w:tr>
      <w:tr>
        <w:tblPrEx>
          <w:tblCellMar>
            <w:top w:w="0" w:type="dxa"/>
            <w:left w:w="0" w:type="dxa"/>
            <w:bottom w:w="0" w:type="dxa"/>
            <w:right w:w="0" w:type="dxa"/>
          </w:tblCellMar>
        </w:tblPrEx>
        <w:trPr>
          <w:jc w:val="center"/>
        </w:trPr>
        <w:tc>
          <w:tcPr>
            <w:tcW w:w="339" w:type="pct"/>
            <w:vMerge w:val="restart"/>
            <w:tcBorders>
              <w:top w:val="single" w:color="auto" w:sz="4" w:space="0"/>
              <w:left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683"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0~0.5m</w:t>
            </w:r>
          </w:p>
        </w:tc>
        <w:tc>
          <w:tcPr>
            <w:tcW w:w="59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7.63</w:t>
            </w:r>
          </w:p>
        </w:tc>
        <w:tc>
          <w:tcPr>
            <w:tcW w:w="68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0.091</w:t>
            </w:r>
          </w:p>
        </w:tc>
        <w:tc>
          <w:tcPr>
            <w:tcW w:w="94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173</w:t>
            </w:r>
          </w:p>
        </w:tc>
        <w:tc>
          <w:tcPr>
            <w:tcW w:w="1075"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90</w:t>
            </w:r>
          </w:p>
        </w:tc>
        <w:tc>
          <w:tcPr>
            <w:tcW w:w="68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1.1</w:t>
            </w:r>
          </w:p>
        </w:tc>
      </w:tr>
      <w:tr>
        <w:tblPrEx>
          <w:tblCellMar>
            <w:top w:w="0" w:type="dxa"/>
            <w:left w:w="0" w:type="dxa"/>
            <w:bottom w:w="0" w:type="dxa"/>
            <w:right w:w="0" w:type="dxa"/>
          </w:tblCellMar>
        </w:tblPrEx>
        <w:trPr>
          <w:jc w:val="center"/>
        </w:trPr>
        <w:tc>
          <w:tcPr>
            <w:tcW w:w="339" w:type="pct"/>
            <w:vMerge w:val="continue"/>
            <w:tcBorders>
              <w:left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p>
        </w:tc>
        <w:tc>
          <w:tcPr>
            <w:tcW w:w="683"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0.5～1.5m</w:t>
            </w:r>
          </w:p>
        </w:tc>
        <w:tc>
          <w:tcPr>
            <w:tcW w:w="598" w:type="pct"/>
            <w:tcBorders>
              <w:top w:val="single" w:color="auto" w:sz="4" w:space="0"/>
              <w:left w:val="single" w:color="auto" w:sz="4" w:space="0"/>
              <w:bottom w:val="single" w:color="auto" w:sz="4" w:space="0"/>
              <w:right w:val="single" w:color="auto" w:sz="4" w:space="0"/>
            </w:tcBorders>
            <w:shd w:val="clear" w:color="auto" w:fill="auto"/>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68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0.046</w:t>
            </w:r>
          </w:p>
        </w:tc>
        <w:tc>
          <w:tcPr>
            <w:tcW w:w="94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188</w:t>
            </w:r>
          </w:p>
        </w:tc>
        <w:tc>
          <w:tcPr>
            <w:tcW w:w="1075"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85</w:t>
            </w:r>
          </w:p>
        </w:tc>
        <w:tc>
          <w:tcPr>
            <w:tcW w:w="68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0.7</w:t>
            </w:r>
          </w:p>
        </w:tc>
      </w:tr>
      <w:tr>
        <w:tblPrEx>
          <w:tblCellMar>
            <w:top w:w="0" w:type="dxa"/>
            <w:left w:w="0" w:type="dxa"/>
            <w:bottom w:w="0" w:type="dxa"/>
            <w:right w:w="0" w:type="dxa"/>
          </w:tblCellMar>
        </w:tblPrEx>
        <w:trPr>
          <w:jc w:val="center"/>
        </w:trPr>
        <w:tc>
          <w:tcPr>
            <w:tcW w:w="339" w:type="pct"/>
            <w:vMerge w:val="continue"/>
            <w:tcBorders>
              <w:left w:val="single" w:color="auto" w:sz="4" w:space="0"/>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p>
        </w:tc>
        <w:tc>
          <w:tcPr>
            <w:tcW w:w="683"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1.5～3.0m</w:t>
            </w:r>
          </w:p>
        </w:tc>
        <w:tc>
          <w:tcPr>
            <w:tcW w:w="598" w:type="pct"/>
            <w:tcBorders>
              <w:top w:val="single" w:color="auto" w:sz="4" w:space="0"/>
              <w:left w:val="single" w:color="auto" w:sz="4" w:space="0"/>
              <w:bottom w:val="single" w:color="auto" w:sz="4" w:space="0"/>
              <w:right w:val="single" w:color="auto" w:sz="4" w:space="0"/>
            </w:tcBorders>
            <w:shd w:val="clear" w:color="auto" w:fill="auto"/>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68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0.036</w:t>
            </w:r>
          </w:p>
        </w:tc>
        <w:tc>
          <w:tcPr>
            <w:tcW w:w="94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201</w:t>
            </w:r>
          </w:p>
        </w:tc>
        <w:tc>
          <w:tcPr>
            <w:tcW w:w="1075"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85</w:t>
            </w:r>
          </w:p>
        </w:tc>
        <w:tc>
          <w:tcPr>
            <w:tcW w:w="68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0.9</w:t>
            </w:r>
          </w:p>
        </w:tc>
      </w:tr>
      <w:tr>
        <w:tblPrEx>
          <w:tblCellMar>
            <w:top w:w="0" w:type="dxa"/>
            <w:left w:w="0" w:type="dxa"/>
            <w:bottom w:w="0" w:type="dxa"/>
            <w:right w:w="0" w:type="dxa"/>
          </w:tblCellMar>
        </w:tblPrEx>
        <w:trPr>
          <w:jc w:val="center"/>
        </w:trPr>
        <w:tc>
          <w:tcPr>
            <w:tcW w:w="339" w:type="pct"/>
            <w:vMerge w:val="restart"/>
            <w:tcBorders>
              <w:left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683"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0~0.5m</w:t>
            </w:r>
          </w:p>
        </w:tc>
        <w:tc>
          <w:tcPr>
            <w:tcW w:w="59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7.64</w:t>
            </w:r>
          </w:p>
        </w:tc>
        <w:tc>
          <w:tcPr>
            <w:tcW w:w="68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0.12</w:t>
            </w:r>
          </w:p>
        </w:tc>
        <w:tc>
          <w:tcPr>
            <w:tcW w:w="94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216</w:t>
            </w:r>
          </w:p>
        </w:tc>
        <w:tc>
          <w:tcPr>
            <w:tcW w:w="1075"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160</w:t>
            </w:r>
          </w:p>
        </w:tc>
        <w:tc>
          <w:tcPr>
            <w:tcW w:w="68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0.7</w:t>
            </w:r>
          </w:p>
        </w:tc>
      </w:tr>
      <w:tr>
        <w:tblPrEx>
          <w:tblCellMar>
            <w:top w:w="0" w:type="dxa"/>
            <w:left w:w="0" w:type="dxa"/>
            <w:bottom w:w="0" w:type="dxa"/>
            <w:right w:w="0" w:type="dxa"/>
          </w:tblCellMar>
        </w:tblPrEx>
        <w:trPr>
          <w:jc w:val="center"/>
        </w:trPr>
        <w:tc>
          <w:tcPr>
            <w:tcW w:w="339" w:type="pct"/>
            <w:vMerge w:val="continue"/>
            <w:tcBorders>
              <w:left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p>
        </w:tc>
        <w:tc>
          <w:tcPr>
            <w:tcW w:w="683"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0.5～1.5m</w:t>
            </w:r>
          </w:p>
        </w:tc>
        <w:tc>
          <w:tcPr>
            <w:tcW w:w="598" w:type="pct"/>
            <w:tcBorders>
              <w:top w:val="single" w:color="auto" w:sz="4" w:space="0"/>
              <w:left w:val="single" w:color="auto" w:sz="4" w:space="0"/>
              <w:bottom w:val="single" w:color="auto" w:sz="4" w:space="0"/>
              <w:right w:val="single" w:color="auto" w:sz="4" w:space="0"/>
            </w:tcBorders>
            <w:shd w:val="clear" w:color="auto" w:fill="auto"/>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68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0.10</w:t>
            </w:r>
          </w:p>
        </w:tc>
        <w:tc>
          <w:tcPr>
            <w:tcW w:w="94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192</w:t>
            </w:r>
          </w:p>
        </w:tc>
        <w:tc>
          <w:tcPr>
            <w:tcW w:w="1075"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151</w:t>
            </w:r>
          </w:p>
        </w:tc>
        <w:tc>
          <w:tcPr>
            <w:tcW w:w="68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0.6</w:t>
            </w:r>
          </w:p>
        </w:tc>
      </w:tr>
      <w:tr>
        <w:tblPrEx>
          <w:tblCellMar>
            <w:top w:w="0" w:type="dxa"/>
            <w:left w:w="0" w:type="dxa"/>
            <w:bottom w:w="0" w:type="dxa"/>
            <w:right w:w="0" w:type="dxa"/>
          </w:tblCellMar>
        </w:tblPrEx>
        <w:trPr>
          <w:jc w:val="center"/>
        </w:trPr>
        <w:tc>
          <w:tcPr>
            <w:tcW w:w="339" w:type="pct"/>
            <w:vMerge w:val="continue"/>
            <w:tcBorders>
              <w:left w:val="single" w:color="auto" w:sz="4" w:space="0"/>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p>
        </w:tc>
        <w:tc>
          <w:tcPr>
            <w:tcW w:w="683"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1.5～3.0m</w:t>
            </w:r>
          </w:p>
        </w:tc>
        <w:tc>
          <w:tcPr>
            <w:tcW w:w="598" w:type="pct"/>
            <w:tcBorders>
              <w:top w:val="single" w:color="auto" w:sz="4" w:space="0"/>
              <w:left w:val="single" w:color="auto" w:sz="4" w:space="0"/>
              <w:bottom w:val="single" w:color="auto" w:sz="4" w:space="0"/>
              <w:right w:val="single" w:color="auto" w:sz="4" w:space="0"/>
            </w:tcBorders>
            <w:shd w:val="clear" w:color="auto" w:fill="auto"/>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68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0.06</w:t>
            </w:r>
          </w:p>
        </w:tc>
        <w:tc>
          <w:tcPr>
            <w:tcW w:w="94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189</w:t>
            </w:r>
          </w:p>
        </w:tc>
        <w:tc>
          <w:tcPr>
            <w:tcW w:w="1075"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145</w:t>
            </w:r>
          </w:p>
        </w:tc>
        <w:tc>
          <w:tcPr>
            <w:tcW w:w="68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1.1</w:t>
            </w:r>
          </w:p>
        </w:tc>
      </w:tr>
      <w:tr>
        <w:tblPrEx>
          <w:tblCellMar>
            <w:top w:w="0" w:type="dxa"/>
            <w:left w:w="0" w:type="dxa"/>
            <w:bottom w:w="0" w:type="dxa"/>
            <w:right w:w="0" w:type="dxa"/>
          </w:tblCellMar>
        </w:tblPrEx>
        <w:trPr>
          <w:jc w:val="center"/>
        </w:trPr>
        <w:tc>
          <w:tcPr>
            <w:tcW w:w="339" w:type="pct"/>
            <w:tcBorders>
              <w:left w:val="single" w:color="auto" w:sz="4" w:space="0"/>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w:t>
            </w:r>
          </w:p>
        </w:tc>
        <w:tc>
          <w:tcPr>
            <w:tcW w:w="683"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0.3m</w:t>
            </w:r>
          </w:p>
        </w:tc>
        <w:tc>
          <w:tcPr>
            <w:tcW w:w="598" w:type="pct"/>
            <w:tcBorders>
              <w:top w:val="single" w:color="auto" w:sz="4" w:space="0"/>
              <w:left w:val="single" w:color="auto" w:sz="4" w:space="0"/>
              <w:bottom w:val="single" w:color="auto" w:sz="4" w:space="0"/>
              <w:right w:val="single" w:color="auto" w:sz="4" w:space="0"/>
            </w:tcBorders>
            <w:shd w:val="clear" w:color="auto" w:fill="auto"/>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8.04</w:t>
            </w:r>
          </w:p>
        </w:tc>
        <w:tc>
          <w:tcPr>
            <w:tcW w:w="683" w:type="pct"/>
            <w:tcBorders>
              <w:top w:val="single" w:color="auto" w:sz="4" w:space="0"/>
              <w:left w:val="single" w:color="auto" w:sz="4" w:space="0"/>
              <w:bottom w:val="single" w:color="auto" w:sz="4" w:space="0"/>
              <w:right w:val="single" w:color="auto" w:sz="4" w:space="0"/>
            </w:tcBorders>
          </w:tcPr>
          <w:p>
            <w:pPr>
              <w:pStyle w:val="118"/>
              <w:rPr>
                <w:rFonts w:eastAsia="等线"/>
                <w:color w:val="000000" w:themeColor="text1"/>
                <w:szCs w:val="2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940" w:type="pct"/>
            <w:tcBorders>
              <w:top w:val="single" w:color="auto" w:sz="4" w:space="0"/>
              <w:left w:val="single" w:color="auto" w:sz="4" w:space="0"/>
              <w:bottom w:val="single" w:color="auto" w:sz="4" w:space="0"/>
              <w:right w:val="single" w:color="auto" w:sz="4" w:space="0"/>
            </w:tcBorders>
          </w:tcPr>
          <w:p>
            <w:pPr>
              <w:pStyle w:val="118"/>
              <w:rPr>
                <w:rFonts w:eastAsia="等线"/>
                <w:color w:val="000000" w:themeColor="text1"/>
                <w:szCs w:val="2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1075"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62</w:t>
            </w:r>
          </w:p>
        </w:tc>
        <w:tc>
          <w:tcPr>
            <w:tcW w:w="68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1.6</w:t>
            </w:r>
          </w:p>
        </w:tc>
      </w:tr>
      <w:tr>
        <w:tblPrEx>
          <w:tblCellMar>
            <w:top w:w="0" w:type="dxa"/>
            <w:left w:w="0" w:type="dxa"/>
            <w:bottom w:w="0" w:type="dxa"/>
            <w:right w:w="0" w:type="dxa"/>
          </w:tblCellMar>
        </w:tblPrEx>
        <w:trPr>
          <w:jc w:val="center"/>
        </w:trPr>
        <w:tc>
          <w:tcPr>
            <w:tcW w:w="1022" w:type="pct"/>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标准值</w:t>
            </w:r>
          </w:p>
        </w:tc>
        <w:tc>
          <w:tcPr>
            <w:tcW w:w="59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683"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940" w:type="pct"/>
            <w:tcBorders>
              <w:top w:val="single" w:color="auto" w:sz="4" w:space="0"/>
              <w:left w:val="single" w:color="auto" w:sz="4" w:space="0"/>
              <w:bottom w:val="single" w:color="auto" w:sz="4" w:space="0"/>
              <w:right w:val="single" w:color="auto" w:sz="4" w:space="0"/>
            </w:tcBorders>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1075"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4500（826）</w:t>
            </w:r>
          </w:p>
        </w:tc>
        <w:tc>
          <w:tcPr>
            <w:tcW w:w="68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bl>
    <w:p>
      <w:pPr>
        <w:pStyle w:val="96"/>
        <w:spacing w:before="120"/>
        <w:rPr>
          <w:color w:val="000000" w:themeColor="text1"/>
          <w:highlight w:val="none"/>
          <w14:textFill>
            <w14:solidFill>
              <w14:schemeClr w14:val="tx1"/>
            </w14:solidFill>
          </w14:textFill>
        </w:rPr>
      </w:pPr>
      <w:bookmarkStart w:id="240" w:name="_Ref142600187"/>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18</w:t>
      </w:r>
      <w:r>
        <w:rPr>
          <w:color w:val="000000" w:themeColor="text1"/>
          <w:highlight w:val="none"/>
          <w14:textFill>
            <w14:solidFill>
              <w14:schemeClr w14:val="tx1"/>
            </w14:solidFill>
          </w14:textFill>
        </w:rPr>
        <w:fldChar w:fldCharType="end"/>
      </w:r>
      <w:bookmarkEnd w:id="240"/>
      <w:r>
        <w:rPr>
          <w:rFonts w:hint="eastAsia"/>
          <w:color w:val="000000" w:themeColor="text1"/>
          <w:highlight w:val="none"/>
          <w14:textFill>
            <w14:solidFill>
              <w14:schemeClr w14:val="tx1"/>
            </w14:solidFill>
          </w14:textFill>
        </w:rPr>
        <w:t>场内土壤环境现状监测结果</w:t>
      </w:r>
    </w:p>
    <w:tbl>
      <w:tblPr>
        <w:tblStyle w:val="41"/>
        <w:tblW w:w="5000" w:type="pct"/>
        <w:jc w:val="center"/>
        <w:tblLayout w:type="autofit"/>
        <w:tblCellMar>
          <w:top w:w="0" w:type="dxa"/>
          <w:left w:w="0" w:type="dxa"/>
          <w:bottom w:w="0" w:type="dxa"/>
          <w:right w:w="0" w:type="dxa"/>
        </w:tblCellMar>
      </w:tblPr>
      <w:tblGrid>
        <w:gridCol w:w="2052"/>
        <w:gridCol w:w="1251"/>
        <w:gridCol w:w="1378"/>
        <w:gridCol w:w="1376"/>
        <w:gridCol w:w="2256"/>
        <w:gridCol w:w="7"/>
      </w:tblGrid>
      <w:tr>
        <w:tblPrEx>
          <w:tblCellMar>
            <w:top w:w="0" w:type="dxa"/>
            <w:left w:w="0" w:type="dxa"/>
            <w:bottom w:w="0" w:type="dxa"/>
            <w:right w:w="0" w:type="dxa"/>
          </w:tblCellMar>
        </w:tblPrEx>
        <w:trPr>
          <w:gridAfter w:val="1"/>
          <w:wAfter w:w="4" w:type="pct"/>
          <w:tblHeader/>
          <w:jc w:val="center"/>
        </w:trPr>
        <w:tc>
          <w:tcPr>
            <w:tcW w:w="123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监测因子</w:t>
            </w:r>
          </w:p>
        </w:tc>
        <w:tc>
          <w:tcPr>
            <w:tcW w:w="752" w:type="pct"/>
            <w:vMerge w:val="restart"/>
            <w:tcBorders>
              <w:top w:val="single" w:color="auto" w:sz="4" w:space="0"/>
              <w:left w:val="nil"/>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单位</w:t>
            </w:r>
          </w:p>
        </w:tc>
        <w:tc>
          <w:tcPr>
            <w:tcW w:w="1655" w:type="pct"/>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3</w:t>
            </w:r>
            <w:r>
              <w:rPr>
                <w:rFonts w:hint="eastAsia"/>
                <w:b/>
                <w:bCs/>
                <w:color w:val="000000" w:themeColor="text1"/>
                <w:sz w:val="22"/>
                <w:szCs w:val="22"/>
                <w:highlight w:val="none"/>
                <w14:textFill>
                  <w14:solidFill>
                    <w14:schemeClr w14:val="tx1"/>
                  </w14:solidFill>
                </w14:textFill>
              </w:rPr>
              <w:t>#</w:t>
            </w:r>
            <w:r>
              <w:rPr>
                <w:rFonts w:hint="eastAsia"/>
                <w:b/>
                <w:bCs/>
                <w:color w:val="000000" w:themeColor="text1"/>
                <w:highlight w:val="none"/>
                <w14:textFill>
                  <w14:solidFill>
                    <w14:schemeClr w14:val="tx1"/>
                  </w14:solidFill>
                </w14:textFill>
              </w:rPr>
              <w:t>新建雷页1试采地面工程装置区内东侧区域处</w:t>
            </w:r>
          </w:p>
        </w:tc>
        <w:tc>
          <w:tcPr>
            <w:tcW w:w="1356"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标准值</w:t>
            </w:r>
          </w:p>
        </w:tc>
      </w:tr>
      <w:tr>
        <w:tblPrEx>
          <w:tblCellMar>
            <w:top w:w="0" w:type="dxa"/>
            <w:left w:w="0" w:type="dxa"/>
            <w:bottom w:w="0" w:type="dxa"/>
            <w:right w:w="0" w:type="dxa"/>
          </w:tblCellMar>
        </w:tblPrEx>
        <w:trPr>
          <w:tblHeader/>
          <w:jc w:val="center"/>
        </w:trPr>
        <w:tc>
          <w:tcPr>
            <w:tcW w:w="1233" w:type="pct"/>
            <w:vMerge w:val="continue"/>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p>
        </w:tc>
        <w:tc>
          <w:tcPr>
            <w:tcW w:w="752" w:type="pct"/>
            <w:vMerge w:val="continue"/>
            <w:tcBorders>
              <w:left w:val="nil"/>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p>
        </w:tc>
        <w:tc>
          <w:tcPr>
            <w:tcW w:w="828" w:type="pct"/>
            <w:tcBorders>
              <w:top w:val="nil"/>
              <w:left w:val="single" w:color="auto" w:sz="4" w:space="0"/>
              <w:bottom w:val="single" w:color="auto" w:sz="4" w:space="0"/>
              <w:right w:val="single" w:color="auto" w:sz="4" w:space="0"/>
            </w:tcBorders>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监测值</w:t>
            </w:r>
          </w:p>
        </w:tc>
        <w:tc>
          <w:tcPr>
            <w:tcW w:w="827" w:type="pct"/>
            <w:tcBorders>
              <w:top w:val="nil"/>
              <w:left w:val="nil"/>
              <w:bottom w:val="single" w:color="auto" w:sz="4" w:space="0"/>
              <w:right w:val="single" w:color="auto" w:sz="4" w:space="0"/>
            </w:tcBorders>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是否达标</w:t>
            </w:r>
          </w:p>
        </w:tc>
        <w:tc>
          <w:tcPr>
            <w:tcW w:w="1360" w:type="pct"/>
            <w:gridSpan w:val="2"/>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w:t>
            </w:r>
          </w:p>
        </w:tc>
      </w:tr>
      <w:tr>
        <w:tblPrEx>
          <w:tblCellMar>
            <w:top w:w="0" w:type="dxa"/>
            <w:left w:w="0" w:type="dxa"/>
            <w:bottom w:w="0" w:type="dxa"/>
            <w:right w:w="0" w:type="dxa"/>
          </w:tblCellMar>
        </w:tblPrEx>
        <w:trPr>
          <w:jc w:val="center"/>
        </w:trPr>
        <w:tc>
          <w:tcPr>
            <w:tcW w:w="1233"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pH</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无量纲</w:t>
            </w:r>
          </w:p>
        </w:tc>
        <w:tc>
          <w:tcPr>
            <w:tcW w:w="828"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7.64</w:t>
            </w:r>
          </w:p>
        </w:tc>
        <w:tc>
          <w:tcPr>
            <w:tcW w:w="827" w:type="pct"/>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1360" w:type="pct"/>
            <w:gridSpan w:val="2"/>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r>
        <w:tblPrEx>
          <w:tblCellMar>
            <w:top w:w="0" w:type="dxa"/>
            <w:left w:w="0" w:type="dxa"/>
            <w:bottom w:w="0" w:type="dxa"/>
            <w:right w:w="0" w:type="dxa"/>
          </w:tblCellMar>
        </w:tblPrEx>
        <w:trPr>
          <w:jc w:val="center"/>
        </w:trPr>
        <w:tc>
          <w:tcPr>
            <w:tcW w:w="1233"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砷</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2.89</w:t>
            </w:r>
          </w:p>
        </w:tc>
        <w:tc>
          <w:tcPr>
            <w:tcW w:w="827" w:type="pct"/>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60</w:t>
            </w:r>
          </w:p>
        </w:tc>
      </w:tr>
      <w:tr>
        <w:tblPrEx>
          <w:tblCellMar>
            <w:top w:w="0" w:type="dxa"/>
            <w:left w:w="0" w:type="dxa"/>
            <w:bottom w:w="0" w:type="dxa"/>
            <w:right w:w="0" w:type="dxa"/>
          </w:tblCellMar>
        </w:tblPrEx>
        <w:trPr>
          <w:jc w:val="center"/>
        </w:trPr>
        <w:tc>
          <w:tcPr>
            <w:tcW w:w="1233"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镉</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0.24</w:t>
            </w:r>
          </w:p>
        </w:tc>
        <w:tc>
          <w:tcPr>
            <w:tcW w:w="827" w:type="pct"/>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65</w:t>
            </w:r>
          </w:p>
        </w:tc>
      </w:tr>
      <w:tr>
        <w:tblPrEx>
          <w:tblCellMar>
            <w:top w:w="0" w:type="dxa"/>
            <w:left w:w="0" w:type="dxa"/>
            <w:bottom w:w="0" w:type="dxa"/>
            <w:right w:w="0" w:type="dxa"/>
          </w:tblCellMar>
        </w:tblPrEx>
        <w:trPr>
          <w:jc w:val="center"/>
        </w:trPr>
        <w:tc>
          <w:tcPr>
            <w:tcW w:w="1233"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六价铬</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0.7</w:t>
            </w:r>
          </w:p>
        </w:tc>
        <w:tc>
          <w:tcPr>
            <w:tcW w:w="827" w:type="pct"/>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5.7</w:t>
            </w:r>
          </w:p>
        </w:tc>
      </w:tr>
      <w:tr>
        <w:tblPrEx>
          <w:tblCellMar>
            <w:top w:w="0" w:type="dxa"/>
            <w:left w:w="0" w:type="dxa"/>
            <w:bottom w:w="0" w:type="dxa"/>
            <w:right w:w="0" w:type="dxa"/>
          </w:tblCellMar>
        </w:tblPrEx>
        <w:trPr>
          <w:jc w:val="center"/>
        </w:trPr>
        <w:tc>
          <w:tcPr>
            <w:tcW w:w="1233"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铜</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70</w:t>
            </w:r>
          </w:p>
        </w:tc>
        <w:tc>
          <w:tcPr>
            <w:tcW w:w="827" w:type="pct"/>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18000</w:t>
            </w:r>
          </w:p>
        </w:tc>
      </w:tr>
      <w:tr>
        <w:tblPrEx>
          <w:tblCellMar>
            <w:top w:w="0" w:type="dxa"/>
            <w:left w:w="0" w:type="dxa"/>
            <w:bottom w:w="0" w:type="dxa"/>
            <w:right w:w="0" w:type="dxa"/>
          </w:tblCellMar>
        </w:tblPrEx>
        <w:trPr>
          <w:jc w:val="center"/>
        </w:trPr>
        <w:tc>
          <w:tcPr>
            <w:tcW w:w="1233"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铅</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54</w:t>
            </w:r>
          </w:p>
        </w:tc>
        <w:tc>
          <w:tcPr>
            <w:tcW w:w="827" w:type="pct"/>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800</w:t>
            </w:r>
          </w:p>
        </w:tc>
      </w:tr>
      <w:tr>
        <w:tblPrEx>
          <w:tblCellMar>
            <w:top w:w="0" w:type="dxa"/>
            <w:left w:w="0" w:type="dxa"/>
            <w:bottom w:w="0" w:type="dxa"/>
            <w:right w:w="0" w:type="dxa"/>
          </w:tblCellMar>
        </w:tblPrEx>
        <w:trPr>
          <w:jc w:val="center"/>
        </w:trPr>
        <w:tc>
          <w:tcPr>
            <w:tcW w:w="1233"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汞</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0.147</w:t>
            </w:r>
          </w:p>
        </w:tc>
        <w:tc>
          <w:tcPr>
            <w:tcW w:w="827" w:type="pct"/>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38</w:t>
            </w:r>
          </w:p>
        </w:tc>
      </w:tr>
      <w:tr>
        <w:tblPrEx>
          <w:tblCellMar>
            <w:top w:w="0" w:type="dxa"/>
            <w:left w:w="0" w:type="dxa"/>
            <w:bottom w:w="0" w:type="dxa"/>
            <w:right w:w="0" w:type="dxa"/>
          </w:tblCellMar>
        </w:tblPrEx>
        <w:trPr>
          <w:jc w:val="center"/>
        </w:trPr>
        <w:tc>
          <w:tcPr>
            <w:tcW w:w="1233"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镍</w:t>
            </w:r>
          </w:p>
        </w:tc>
        <w:tc>
          <w:tcPr>
            <w:tcW w:w="75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28</w:t>
            </w:r>
          </w:p>
        </w:tc>
        <w:tc>
          <w:tcPr>
            <w:tcW w:w="827"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900</w:t>
            </w:r>
          </w:p>
        </w:tc>
      </w:tr>
      <w:tr>
        <w:tblPrEx>
          <w:tblCellMar>
            <w:top w:w="0" w:type="dxa"/>
            <w:left w:w="0" w:type="dxa"/>
            <w:bottom w:w="0" w:type="dxa"/>
            <w:right w:w="0" w:type="dxa"/>
          </w:tblCellMar>
        </w:tblPrEx>
        <w:trPr>
          <w:jc w:val="center"/>
        </w:trPr>
        <w:tc>
          <w:tcPr>
            <w:tcW w:w="1233"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石油烃〔C10-C40〕</w:t>
            </w:r>
          </w:p>
        </w:tc>
        <w:tc>
          <w:tcPr>
            <w:tcW w:w="75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160</w:t>
            </w:r>
          </w:p>
        </w:tc>
        <w:tc>
          <w:tcPr>
            <w:tcW w:w="827"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4500</w:t>
            </w:r>
          </w:p>
        </w:tc>
      </w:tr>
      <w:tr>
        <w:tblPrEx>
          <w:tblCellMar>
            <w:top w:w="0" w:type="dxa"/>
            <w:left w:w="0" w:type="dxa"/>
            <w:bottom w:w="0" w:type="dxa"/>
            <w:right w:w="0" w:type="dxa"/>
          </w:tblCellMar>
        </w:tblPrEx>
        <w:trPr>
          <w:jc w:val="center"/>
        </w:trPr>
        <w:tc>
          <w:tcPr>
            <w:tcW w:w="1233"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四氯化碳</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827" w:type="pct"/>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2.8</w:t>
            </w:r>
          </w:p>
        </w:tc>
      </w:tr>
      <w:tr>
        <w:tblPrEx>
          <w:tblCellMar>
            <w:top w:w="0" w:type="dxa"/>
            <w:left w:w="0" w:type="dxa"/>
            <w:bottom w:w="0" w:type="dxa"/>
            <w:right w:w="0" w:type="dxa"/>
          </w:tblCellMar>
        </w:tblPrEx>
        <w:trPr>
          <w:jc w:val="center"/>
        </w:trPr>
        <w:tc>
          <w:tcPr>
            <w:tcW w:w="1233"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氯仿</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827" w:type="pct"/>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0.9</w:t>
            </w:r>
          </w:p>
        </w:tc>
      </w:tr>
      <w:tr>
        <w:tblPrEx>
          <w:tblCellMar>
            <w:top w:w="0" w:type="dxa"/>
            <w:left w:w="0" w:type="dxa"/>
            <w:bottom w:w="0" w:type="dxa"/>
            <w:right w:w="0" w:type="dxa"/>
          </w:tblCellMar>
        </w:tblPrEx>
        <w:trPr>
          <w:jc w:val="center"/>
        </w:trPr>
        <w:tc>
          <w:tcPr>
            <w:tcW w:w="1233"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氯甲烷</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827" w:type="pct"/>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37</w:t>
            </w:r>
          </w:p>
        </w:tc>
      </w:tr>
      <w:tr>
        <w:tblPrEx>
          <w:tblCellMar>
            <w:top w:w="0" w:type="dxa"/>
            <w:left w:w="0" w:type="dxa"/>
            <w:bottom w:w="0" w:type="dxa"/>
            <w:right w:w="0" w:type="dxa"/>
          </w:tblCellMar>
        </w:tblPrEx>
        <w:trPr>
          <w:jc w:val="center"/>
        </w:trPr>
        <w:tc>
          <w:tcPr>
            <w:tcW w:w="1233"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1,1-二氯乙烷</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827" w:type="pct"/>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w:t>
            </w:r>
          </w:p>
        </w:tc>
      </w:tr>
      <w:tr>
        <w:tblPrEx>
          <w:tblCellMar>
            <w:top w:w="0" w:type="dxa"/>
            <w:left w:w="0" w:type="dxa"/>
            <w:bottom w:w="0" w:type="dxa"/>
            <w:right w:w="0" w:type="dxa"/>
          </w:tblCellMar>
        </w:tblPrEx>
        <w:trPr>
          <w:jc w:val="center"/>
        </w:trPr>
        <w:tc>
          <w:tcPr>
            <w:tcW w:w="1233"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1,2-二氯乙烷</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827" w:type="pct"/>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r>
      <w:tr>
        <w:tblPrEx>
          <w:tblCellMar>
            <w:top w:w="0" w:type="dxa"/>
            <w:left w:w="0" w:type="dxa"/>
            <w:bottom w:w="0" w:type="dxa"/>
            <w:right w:w="0" w:type="dxa"/>
          </w:tblCellMar>
        </w:tblPrEx>
        <w:trPr>
          <w:jc w:val="center"/>
        </w:trPr>
        <w:tc>
          <w:tcPr>
            <w:tcW w:w="1233"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1,1-二氯乙烯</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827" w:type="pct"/>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66</w:t>
            </w:r>
          </w:p>
        </w:tc>
      </w:tr>
      <w:tr>
        <w:tblPrEx>
          <w:tblCellMar>
            <w:top w:w="0" w:type="dxa"/>
            <w:left w:w="0" w:type="dxa"/>
            <w:bottom w:w="0" w:type="dxa"/>
            <w:right w:w="0" w:type="dxa"/>
          </w:tblCellMar>
        </w:tblPrEx>
        <w:trPr>
          <w:jc w:val="center"/>
        </w:trPr>
        <w:tc>
          <w:tcPr>
            <w:tcW w:w="1233"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顺-1,2-二氯乙烯</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827" w:type="pct"/>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596</w:t>
            </w:r>
          </w:p>
        </w:tc>
      </w:tr>
      <w:tr>
        <w:tblPrEx>
          <w:tblCellMar>
            <w:top w:w="0" w:type="dxa"/>
            <w:left w:w="0" w:type="dxa"/>
            <w:bottom w:w="0" w:type="dxa"/>
            <w:right w:w="0" w:type="dxa"/>
          </w:tblCellMar>
        </w:tblPrEx>
        <w:trPr>
          <w:jc w:val="center"/>
        </w:trPr>
        <w:tc>
          <w:tcPr>
            <w:tcW w:w="1233"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反-1,2-二氯乙烯</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827" w:type="pct"/>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54</w:t>
            </w:r>
          </w:p>
        </w:tc>
      </w:tr>
      <w:tr>
        <w:tblPrEx>
          <w:tblCellMar>
            <w:top w:w="0" w:type="dxa"/>
            <w:left w:w="0" w:type="dxa"/>
            <w:bottom w:w="0" w:type="dxa"/>
            <w:right w:w="0" w:type="dxa"/>
          </w:tblCellMar>
        </w:tblPrEx>
        <w:trPr>
          <w:jc w:val="center"/>
        </w:trPr>
        <w:tc>
          <w:tcPr>
            <w:tcW w:w="1233"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二氯甲烷</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827" w:type="pct"/>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616</w:t>
            </w:r>
          </w:p>
        </w:tc>
      </w:tr>
      <w:tr>
        <w:tblPrEx>
          <w:tblCellMar>
            <w:top w:w="0" w:type="dxa"/>
            <w:left w:w="0" w:type="dxa"/>
            <w:bottom w:w="0" w:type="dxa"/>
            <w:right w:w="0" w:type="dxa"/>
          </w:tblCellMar>
        </w:tblPrEx>
        <w:trPr>
          <w:jc w:val="center"/>
        </w:trPr>
        <w:tc>
          <w:tcPr>
            <w:tcW w:w="1233"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1,2-二氯丙烷</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827" w:type="pct"/>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r>
      <w:tr>
        <w:tblPrEx>
          <w:tblCellMar>
            <w:top w:w="0" w:type="dxa"/>
            <w:left w:w="0" w:type="dxa"/>
            <w:bottom w:w="0" w:type="dxa"/>
            <w:right w:w="0" w:type="dxa"/>
          </w:tblCellMar>
        </w:tblPrEx>
        <w:trPr>
          <w:jc w:val="center"/>
        </w:trPr>
        <w:tc>
          <w:tcPr>
            <w:tcW w:w="1233"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1,1,1,2-四氯乙烷</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827" w:type="pct"/>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r>
      <w:tr>
        <w:tblPrEx>
          <w:tblCellMar>
            <w:top w:w="0" w:type="dxa"/>
            <w:left w:w="0" w:type="dxa"/>
            <w:bottom w:w="0" w:type="dxa"/>
            <w:right w:w="0" w:type="dxa"/>
          </w:tblCellMar>
        </w:tblPrEx>
        <w:trPr>
          <w:jc w:val="center"/>
        </w:trPr>
        <w:tc>
          <w:tcPr>
            <w:tcW w:w="1233"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1,1,2,2-四氯乙烷</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827" w:type="pct"/>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6.8</w:t>
            </w:r>
          </w:p>
        </w:tc>
      </w:tr>
      <w:tr>
        <w:tblPrEx>
          <w:tblCellMar>
            <w:top w:w="0" w:type="dxa"/>
            <w:left w:w="0" w:type="dxa"/>
            <w:bottom w:w="0" w:type="dxa"/>
            <w:right w:w="0" w:type="dxa"/>
          </w:tblCellMar>
        </w:tblPrEx>
        <w:trPr>
          <w:jc w:val="center"/>
        </w:trPr>
        <w:tc>
          <w:tcPr>
            <w:tcW w:w="1233"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四氯乙烯</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827" w:type="pct"/>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53</w:t>
            </w:r>
          </w:p>
        </w:tc>
      </w:tr>
      <w:tr>
        <w:tblPrEx>
          <w:tblCellMar>
            <w:top w:w="0" w:type="dxa"/>
            <w:left w:w="0" w:type="dxa"/>
            <w:bottom w:w="0" w:type="dxa"/>
            <w:right w:w="0" w:type="dxa"/>
          </w:tblCellMar>
        </w:tblPrEx>
        <w:trPr>
          <w:jc w:val="center"/>
        </w:trPr>
        <w:tc>
          <w:tcPr>
            <w:tcW w:w="1233"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1,1,1-三氯乙烷</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827" w:type="pct"/>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840</w:t>
            </w:r>
          </w:p>
        </w:tc>
      </w:tr>
      <w:tr>
        <w:tblPrEx>
          <w:tblCellMar>
            <w:top w:w="0" w:type="dxa"/>
            <w:left w:w="0" w:type="dxa"/>
            <w:bottom w:w="0" w:type="dxa"/>
            <w:right w:w="0" w:type="dxa"/>
          </w:tblCellMar>
        </w:tblPrEx>
        <w:trPr>
          <w:jc w:val="center"/>
        </w:trPr>
        <w:tc>
          <w:tcPr>
            <w:tcW w:w="1233"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1,1,2-三氯乙烷</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827" w:type="pct"/>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2.8</w:t>
            </w:r>
          </w:p>
        </w:tc>
      </w:tr>
      <w:tr>
        <w:tblPrEx>
          <w:tblCellMar>
            <w:top w:w="0" w:type="dxa"/>
            <w:left w:w="0" w:type="dxa"/>
            <w:bottom w:w="0" w:type="dxa"/>
            <w:right w:w="0" w:type="dxa"/>
          </w:tblCellMar>
        </w:tblPrEx>
        <w:trPr>
          <w:jc w:val="center"/>
        </w:trPr>
        <w:tc>
          <w:tcPr>
            <w:tcW w:w="1233"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三氯乙烯</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827" w:type="pct"/>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2.8</w:t>
            </w:r>
          </w:p>
        </w:tc>
      </w:tr>
      <w:tr>
        <w:tblPrEx>
          <w:tblCellMar>
            <w:top w:w="0" w:type="dxa"/>
            <w:left w:w="0" w:type="dxa"/>
            <w:bottom w:w="0" w:type="dxa"/>
            <w:right w:w="0" w:type="dxa"/>
          </w:tblCellMar>
        </w:tblPrEx>
        <w:trPr>
          <w:jc w:val="center"/>
        </w:trPr>
        <w:tc>
          <w:tcPr>
            <w:tcW w:w="1233"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1,2,3-三氯丙烷</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827" w:type="pct"/>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0.5</w:t>
            </w:r>
          </w:p>
        </w:tc>
      </w:tr>
      <w:tr>
        <w:tblPrEx>
          <w:tblCellMar>
            <w:top w:w="0" w:type="dxa"/>
            <w:left w:w="0" w:type="dxa"/>
            <w:bottom w:w="0" w:type="dxa"/>
            <w:right w:w="0" w:type="dxa"/>
          </w:tblCellMar>
        </w:tblPrEx>
        <w:trPr>
          <w:jc w:val="center"/>
        </w:trPr>
        <w:tc>
          <w:tcPr>
            <w:tcW w:w="1233"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氯乙烯</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827" w:type="pct"/>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0.43</w:t>
            </w:r>
          </w:p>
        </w:tc>
      </w:tr>
      <w:tr>
        <w:tblPrEx>
          <w:tblCellMar>
            <w:top w:w="0" w:type="dxa"/>
            <w:left w:w="0" w:type="dxa"/>
            <w:bottom w:w="0" w:type="dxa"/>
            <w:right w:w="0" w:type="dxa"/>
          </w:tblCellMar>
        </w:tblPrEx>
        <w:trPr>
          <w:jc w:val="center"/>
        </w:trPr>
        <w:tc>
          <w:tcPr>
            <w:tcW w:w="1233"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苯</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827" w:type="pct"/>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r>
      <w:tr>
        <w:tblPrEx>
          <w:tblCellMar>
            <w:top w:w="0" w:type="dxa"/>
            <w:left w:w="0" w:type="dxa"/>
            <w:bottom w:w="0" w:type="dxa"/>
            <w:right w:w="0" w:type="dxa"/>
          </w:tblCellMar>
        </w:tblPrEx>
        <w:trPr>
          <w:jc w:val="center"/>
        </w:trPr>
        <w:tc>
          <w:tcPr>
            <w:tcW w:w="1233"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氯苯</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827" w:type="pct"/>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270</w:t>
            </w:r>
          </w:p>
        </w:tc>
      </w:tr>
      <w:tr>
        <w:tblPrEx>
          <w:tblCellMar>
            <w:top w:w="0" w:type="dxa"/>
            <w:left w:w="0" w:type="dxa"/>
            <w:bottom w:w="0" w:type="dxa"/>
            <w:right w:w="0" w:type="dxa"/>
          </w:tblCellMar>
        </w:tblPrEx>
        <w:trPr>
          <w:jc w:val="center"/>
        </w:trPr>
        <w:tc>
          <w:tcPr>
            <w:tcW w:w="1233"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1,2-二氯苯</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827" w:type="pct"/>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560</w:t>
            </w:r>
          </w:p>
        </w:tc>
      </w:tr>
      <w:tr>
        <w:tblPrEx>
          <w:tblCellMar>
            <w:top w:w="0" w:type="dxa"/>
            <w:left w:w="0" w:type="dxa"/>
            <w:bottom w:w="0" w:type="dxa"/>
            <w:right w:w="0" w:type="dxa"/>
          </w:tblCellMar>
        </w:tblPrEx>
        <w:trPr>
          <w:jc w:val="center"/>
        </w:trPr>
        <w:tc>
          <w:tcPr>
            <w:tcW w:w="1233"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1,4-二氯苯</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827" w:type="pct"/>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w:t>
            </w:r>
          </w:p>
        </w:tc>
      </w:tr>
      <w:tr>
        <w:tblPrEx>
          <w:tblCellMar>
            <w:top w:w="0" w:type="dxa"/>
            <w:left w:w="0" w:type="dxa"/>
            <w:bottom w:w="0" w:type="dxa"/>
            <w:right w:w="0" w:type="dxa"/>
          </w:tblCellMar>
        </w:tblPrEx>
        <w:trPr>
          <w:jc w:val="center"/>
        </w:trPr>
        <w:tc>
          <w:tcPr>
            <w:tcW w:w="1233"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乙苯</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827" w:type="pct"/>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28</w:t>
            </w:r>
          </w:p>
        </w:tc>
      </w:tr>
      <w:tr>
        <w:tblPrEx>
          <w:tblCellMar>
            <w:top w:w="0" w:type="dxa"/>
            <w:left w:w="0" w:type="dxa"/>
            <w:bottom w:w="0" w:type="dxa"/>
            <w:right w:w="0" w:type="dxa"/>
          </w:tblCellMar>
        </w:tblPrEx>
        <w:trPr>
          <w:jc w:val="center"/>
        </w:trPr>
        <w:tc>
          <w:tcPr>
            <w:tcW w:w="1233"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苯乙烯</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827" w:type="pct"/>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1290</w:t>
            </w:r>
          </w:p>
        </w:tc>
      </w:tr>
      <w:tr>
        <w:tblPrEx>
          <w:tblCellMar>
            <w:top w:w="0" w:type="dxa"/>
            <w:left w:w="0" w:type="dxa"/>
            <w:bottom w:w="0" w:type="dxa"/>
            <w:right w:w="0" w:type="dxa"/>
          </w:tblCellMar>
        </w:tblPrEx>
        <w:trPr>
          <w:jc w:val="center"/>
        </w:trPr>
        <w:tc>
          <w:tcPr>
            <w:tcW w:w="1233"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甲苯</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827" w:type="pct"/>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1200</w:t>
            </w:r>
          </w:p>
        </w:tc>
      </w:tr>
      <w:tr>
        <w:tblPrEx>
          <w:tblCellMar>
            <w:top w:w="0" w:type="dxa"/>
            <w:left w:w="0" w:type="dxa"/>
            <w:bottom w:w="0" w:type="dxa"/>
            <w:right w:w="0" w:type="dxa"/>
          </w:tblCellMar>
        </w:tblPrEx>
        <w:trPr>
          <w:jc w:val="center"/>
        </w:trPr>
        <w:tc>
          <w:tcPr>
            <w:tcW w:w="1233"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间，对-二甲苯</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827" w:type="pct"/>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570</w:t>
            </w:r>
          </w:p>
        </w:tc>
      </w:tr>
      <w:tr>
        <w:tblPrEx>
          <w:tblCellMar>
            <w:top w:w="0" w:type="dxa"/>
            <w:left w:w="0" w:type="dxa"/>
            <w:bottom w:w="0" w:type="dxa"/>
            <w:right w:w="0" w:type="dxa"/>
          </w:tblCellMar>
        </w:tblPrEx>
        <w:trPr>
          <w:jc w:val="center"/>
        </w:trPr>
        <w:tc>
          <w:tcPr>
            <w:tcW w:w="1233"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邻-二甲苯</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827" w:type="pct"/>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640</w:t>
            </w:r>
          </w:p>
        </w:tc>
      </w:tr>
      <w:tr>
        <w:tblPrEx>
          <w:tblCellMar>
            <w:top w:w="0" w:type="dxa"/>
            <w:left w:w="0" w:type="dxa"/>
            <w:bottom w:w="0" w:type="dxa"/>
            <w:right w:w="0" w:type="dxa"/>
          </w:tblCellMar>
        </w:tblPrEx>
        <w:trPr>
          <w:jc w:val="center"/>
        </w:trPr>
        <w:tc>
          <w:tcPr>
            <w:tcW w:w="1233"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硝基苯</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827" w:type="pct"/>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76</w:t>
            </w:r>
          </w:p>
        </w:tc>
      </w:tr>
      <w:tr>
        <w:tblPrEx>
          <w:tblCellMar>
            <w:top w:w="0" w:type="dxa"/>
            <w:left w:w="0" w:type="dxa"/>
            <w:bottom w:w="0" w:type="dxa"/>
            <w:right w:w="0" w:type="dxa"/>
          </w:tblCellMar>
        </w:tblPrEx>
        <w:trPr>
          <w:jc w:val="center"/>
        </w:trPr>
        <w:tc>
          <w:tcPr>
            <w:tcW w:w="1233"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苯胺</w:t>
            </w:r>
          </w:p>
        </w:tc>
        <w:tc>
          <w:tcPr>
            <w:tcW w:w="75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827"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260</w:t>
            </w:r>
          </w:p>
        </w:tc>
      </w:tr>
      <w:tr>
        <w:tblPrEx>
          <w:tblCellMar>
            <w:top w:w="0" w:type="dxa"/>
            <w:left w:w="0" w:type="dxa"/>
            <w:bottom w:w="0" w:type="dxa"/>
            <w:right w:w="0" w:type="dxa"/>
          </w:tblCellMar>
        </w:tblPrEx>
        <w:trPr>
          <w:jc w:val="center"/>
        </w:trPr>
        <w:tc>
          <w:tcPr>
            <w:tcW w:w="1233"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2-氯酚</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827" w:type="pct"/>
            <w:tcBorders>
              <w:top w:val="single" w:color="auto" w:sz="4" w:space="0"/>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single" w:color="auto" w:sz="4" w:space="0"/>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2256</w:t>
            </w:r>
          </w:p>
        </w:tc>
      </w:tr>
      <w:tr>
        <w:tblPrEx>
          <w:tblCellMar>
            <w:top w:w="0" w:type="dxa"/>
            <w:left w:w="0" w:type="dxa"/>
            <w:bottom w:w="0" w:type="dxa"/>
            <w:right w:w="0" w:type="dxa"/>
          </w:tblCellMar>
        </w:tblPrEx>
        <w:trPr>
          <w:jc w:val="center"/>
        </w:trPr>
        <w:tc>
          <w:tcPr>
            <w:tcW w:w="1233"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苯并（a）蒽</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827" w:type="pct"/>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r>
      <w:tr>
        <w:tblPrEx>
          <w:tblCellMar>
            <w:top w:w="0" w:type="dxa"/>
            <w:left w:w="0" w:type="dxa"/>
            <w:bottom w:w="0" w:type="dxa"/>
            <w:right w:w="0" w:type="dxa"/>
          </w:tblCellMar>
        </w:tblPrEx>
        <w:trPr>
          <w:jc w:val="center"/>
        </w:trPr>
        <w:tc>
          <w:tcPr>
            <w:tcW w:w="1233"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苯并（a）芘</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827" w:type="pct"/>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r>
      <w:tr>
        <w:tblPrEx>
          <w:tblCellMar>
            <w:top w:w="0" w:type="dxa"/>
            <w:left w:w="0" w:type="dxa"/>
            <w:bottom w:w="0" w:type="dxa"/>
            <w:right w:w="0" w:type="dxa"/>
          </w:tblCellMar>
        </w:tblPrEx>
        <w:trPr>
          <w:jc w:val="center"/>
        </w:trPr>
        <w:tc>
          <w:tcPr>
            <w:tcW w:w="1233"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苯并（b）荧蒽</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827" w:type="pct"/>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r>
      <w:tr>
        <w:tblPrEx>
          <w:tblCellMar>
            <w:top w:w="0" w:type="dxa"/>
            <w:left w:w="0" w:type="dxa"/>
            <w:bottom w:w="0" w:type="dxa"/>
            <w:right w:w="0" w:type="dxa"/>
          </w:tblCellMar>
        </w:tblPrEx>
        <w:trPr>
          <w:jc w:val="center"/>
        </w:trPr>
        <w:tc>
          <w:tcPr>
            <w:tcW w:w="1233"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苯并（k）荧蒽</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827" w:type="pct"/>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151</w:t>
            </w:r>
          </w:p>
        </w:tc>
      </w:tr>
      <w:tr>
        <w:tblPrEx>
          <w:tblCellMar>
            <w:top w:w="0" w:type="dxa"/>
            <w:left w:w="0" w:type="dxa"/>
            <w:bottom w:w="0" w:type="dxa"/>
            <w:right w:w="0" w:type="dxa"/>
          </w:tblCellMar>
        </w:tblPrEx>
        <w:trPr>
          <w:jc w:val="center"/>
        </w:trPr>
        <w:tc>
          <w:tcPr>
            <w:tcW w:w="1233"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䓛</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827" w:type="pct"/>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1293</w:t>
            </w:r>
          </w:p>
        </w:tc>
      </w:tr>
      <w:tr>
        <w:tblPrEx>
          <w:tblCellMar>
            <w:top w:w="0" w:type="dxa"/>
            <w:left w:w="0" w:type="dxa"/>
            <w:bottom w:w="0" w:type="dxa"/>
            <w:right w:w="0" w:type="dxa"/>
          </w:tblCellMar>
        </w:tblPrEx>
        <w:trPr>
          <w:jc w:val="center"/>
        </w:trPr>
        <w:tc>
          <w:tcPr>
            <w:tcW w:w="1233"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二苯并（a,h）蒽</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827" w:type="pct"/>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r>
      <w:tr>
        <w:tblPrEx>
          <w:tblCellMar>
            <w:top w:w="0" w:type="dxa"/>
            <w:left w:w="0" w:type="dxa"/>
            <w:bottom w:w="0" w:type="dxa"/>
            <w:right w:w="0" w:type="dxa"/>
          </w:tblCellMar>
        </w:tblPrEx>
        <w:trPr>
          <w:jc w:val="center"/>
        </w:trPr>
        <w:tc>
          <w:tcPr>
            <w:tcW w:w="1233"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茚并（1,2,3-c,d）芘</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nil"/>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827" w:type="pct"/>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nil"/>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r>
      <w:tr>
        <w:tblPrEx>
          <w:tblCellMar>
            <w:top w:w="0" w:type="dxa"/>
            <w:left w:w="0" w:type="dxa"/>
            <w:bottom w:w="0" w:type="dxa"/>
            <w:right w:w="0" w:type="dxa"/>
          </w:tblCellMar>
        </w:tblPrEx>
        <w:trPr>
          <w:jc w:val="center"/>
        </w:trPr>
        <w:tc>
          <w:tcPr>
            <w:tcW w:w="1233"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萘</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未检出</w:t>
            </w:r>
          </w:p>
        </w:tc>
        <w:tc>
          <w:tcPr>
            <w:tcW w:w="827" w:type="pct"/>
            <w:tcBorders>
              <w:top w:val="single" w:color="auto" w:sz="4" w:space="0"/>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360" w:type="pct"/>
            <w:gridSpan w:val="2"/>
            <w:tcBorders>
              <w:top w:val="single" w:color="auto" w:sz="4" w:space="0"/>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70</w:t>
            </w:r>
          </w:p>
        </w:tc>
      </w:tr>
      <w:tr>
        <w:tblPrEx>
          <w:tblCellMar>
            <w:top w:w="0" w:type="dxa"/>
            <w:left w:w="0" w:type="dxa"/>
            <w:bottom w:w="0" w:type="dxa"/>
            <w:right w:w="0" w:type="dxa"/>
          </w:tblCellMar>
        </w:tblPrEx>
        <w:trPr>
          <w:jc w:val="center"/>
        </w:trPr>
        <w:tc>
          <w:tcPr>
            <w:tcW w:w="1233"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钡</w:t>
            </w:r>
          </w:p>
        </w:tc>
        <w:tc>
          <w:tcPr>
            <w:tcW w:w="752" w:type="pct"/>
            <w:tcBorders>
              <w:top w:val="single" w:color="auto" w:sz="4" w:space="0"/>
              <w:left w:val="nil"/>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c>
          <w:tcPr>
            <w:tcW w:w="82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652</w:t>
            </w:r>
          </w:p>
        </w:tc>
        <w:tc>
          <w:tcPr>
            <w:tcW w:w="827" w:type="pct"/>
            <w:tcBorders>
              <w:top w:val="single" w:color="auto" w:sz="4" w:space="0"/>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达标</w:t>
            </w:r>
          </w:p>
        </w:tc>
        <w:tc>
          <w:tcPr>
            <w:tcW w:w="1360" w:type="pct"/>
            <w:gridSpan w:val="2"/>
            <w:tcBorders>
              <w:top w:val="single" w:color="auto" w:sz="4" w:space="0"/>
              <w:left w:val="nil"/>
              <w:bottom w:val="single" w:color="auto" w:sz="4" w:space="0"/>
              <w:right w:val="single" w:color="auto" w:sz="4" w:space="0"/>
            </w:tcBorders>
            <w:shd w:val="clear" w:color="auto" w:fill="auto"/>
            <w:noWrap/>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8660</w:t>
            </w:r>
          </w:p>
        </w:tc>
      </w:tr>
    </w:tbl>
    <w:p>
      <w:pPr>
        <w:spacing w:before="120"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由</w:t>
      </w:r>
      <w:r>
        <w:rPr>
          <w:rFonts w:cs="Times New Roman"/>
          <w:bCs/>
          <w:color w:val="000000" w:themeColor="text1"/>
          <w:szCs w:val="24"/>
          <w:highlight w:val="none"/>
          <w14:textFill>
            <w14:solidFill>
              <w14:schemeClr w14:val="tx1"/>
            </w14:solidFill>
          </w14:textFill>
        </w:rPr>
        <w:fldChar w:fldCharType="begin"/>
      </w:r>
      <w:r>
        <w:rPr>
          <w:rFonts w:cs="Times New Roman"/>
          <w:bCs/>
          <w:color w:val="000000" w:themeColor="text1"/>
          <w:szCs w:val="24"/>
          <w:highlight w:val="none"/>
          <w14:textFill>
            <w14:solidFill>
              <w14:schemeClr w14:val="tx1"/>
            </w14:solidFill>
          </w14:textFill>
        </w:rPr>
        <w:instrText xml:space="preserve"> REF _Ref142600179 \h  \* MERGEFORMAT </w:instrText>
      </w:r>
      <w:r>
        <w:rPr>
          <w:rFonts w:cs="Times New Roman"/>
          <w:bCs/>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16</w:t>
      </w:r>
      <w:r>
        <w:rPr>
          <w:rFonts w:cs="Times New Roman"/>
          <w:bCs/>
          <w:color w:val="000000" w:themeColor="text1"/>
          <w:szCs w:val="24"/>
          <w:highlight w:val="none"/>
          <w14:textFill>
            <w14:solidFill>
              <w14:schemeClr w14:val="tx1"/>
            </w14:solidFill>
          </w14:textFill>
        </w:rPr>
        <w:fldChar w:fldCharType="end"/>
      </w:r>
      <w:r>
        <w:rPr>
          <w:rFonts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fldChar w:fldCharType="begin"/>
      </w:r>
      <w:r>
        <w:rPr>
          <w:rFonts w:cs="Times New Roman"/>
          <w:bCs/>
          <w:color w:val="000000" w:themeColor="text1"/>
          <w:szCs w:val="24"/>
          <w:highlight w:val="none"/>
          <w14:textFill>
            <w14:solidFill>
              <w14:schemeClr w14:val="tx1"/>
            </w14:solidFill>
          </w14:textFill>
        </w:rPr>
        <w:instrText xml:space="preserve"> REF _Ref142600183 \h  \* MERGEFORMAT </w:instrText>
      </w:r>
      <w:r>
        <w:rPr>
          <w:rFonts w:cs="Times New Roman"/>
          <w:bCs/>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17</w:t>
      </w:r>
      <w:r>
        <w:rPr>
          <w:rFonts w:cs="Times New Roman"/>
          <w:bCs/>
          <w:color w:val="000000" w:themeColor="text1"/>
          <w:szCs w:val="24"/>
          <w:highlight w:val="none"/>
          <w14:textFill>
            <w14:solidFill>
              <w14:schemeClr w14:val="tx1"/>
            </w14:solidFill>
          </w14:textFill>
        </w:rPr>
        <w:fldChar w:fldCharType="end"/>
      </w:r>
      <w:r>
        <w:rPr>
          <w:rFonts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fldChar w:fldCharType="begin"/>
      </w:r>
      <w:r>
        <w:rPr>
          <w:rFonts w:cs="Times New Roman"/>
          <w:bCs/>
          <w:color w:val="000000" w:themeColor="text1"/>
          <w:szCs w:val="24"/>
          <w:highlight w:val="none"/>
          <w14:textFill>
            <w14:solidFill>
              <w14:schemeClr w14:val="tx1"/>
            </w14:solidFill>
          </w14:textFill>
        </w:rPr>
        <w:instrText xml:space="preserve"> REF _Ref142600187 \h  \* MERGEFORMAT </w:instrText>
      </w:r>
      <w:r>
        <w:rPr>
          <w:rFonts w:cs="Times New Roman"/>
          <w:bCs/>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18</w:t>
      </w:r>
      <w:r>
        <w:rPr>
          <w:rFonts w:cs="Times New Roman"/>
          <w:bCs/>
          <w:color w:val="000000" w:themeColor="text1"/>
          <w:szCs w:val="24"/>
          <w:highlight w:val="none"/>
          <w14:textFill>
            <w14:solidFill>
              <w14:schemeClr w14:val="tx1"/>
            </w14:solidFill>
          </w14:textFill>
        </w:rPr>
        <w:fldChar w:fldCharType="end"/>
      </w:r>
      <w:r>
        <w:rPr>
          <w:rFonts w:cs="Times New Roman"/>
          <w:bCs/>
          <w:color w:val="000000" w:themeColor="text1"/>
          <w:szCs w:val="24"/>
          <w:highlight w:val="none"/>
          <w14:textFill>
            <w14:solidFill>
              <w14:schemeClr w14:val="tx1"/>
            </w14:solidFill>
          </w14:textFill>
        </w:rPr>
        <w:t>可知，</w:t>
      </w:r>
      <w:bookmarkStart w:id="241" w:name="_Hlk164067388"/>
      <w:r>
        <w:rPr>
          <w:rFonts w:hint="eastAsia" w:cs="Times New Roman"/>
          <w:bCs/>
          <w:color w:val="000000" w:themeColor="text1"/>
          <w:szCs w:val="24"/>
          <w:highlight w:val="none"/>
          <w14:textFill>
            <w14:solidFill>
              <w14:schemeClr w14:val="tx1"/>
            </w14:solidFill>
          </w14:textFill>
        </w:rPr>
        <w:t>试采站</w:t>
      </w:r>
      <w:r>
        <w:rPr>
          <w:rFonts w:cs="Times New Roman"/>
          <w:bCs/>
          <w:color w:val="000000" w:themeColor="text1"/>
          <w:szCs w:val="24"/>
          <w:highlight w:val="none"/>
          <w14:textFill>
            <w14:solidFill>
              <w14:schemeClr w14:val="tx1"/>
            </w14:solidFill>
          </w14:textFill>
        </w:rPr>
        <w:t>外土壤监测点监测值均低于《土壤环境质量农用地土壤污染风险管控标准（试行）》（GB15618-2018）风险筛选值；</w:t>
      </w:r>
      <w:r>
        <w:rPr>
          <w:rFonts w:hint="eastAsia" w:cs="Times New Roman"/>
          <w:bCs/>
          <w:color w:val="000000" w:themeColor="text1"/>
          <w:szCs w:val="24"/>
          <w:highlight w:val="none"/>
          <w14:textFill>
            <w14:solidFill>
              <w14:schemeClr w14:val="tx1"/>
            </w14:solidFill>
          </w14:textFill>
        </w:rPr>
        <w:t>试采站</w:t>
      </w:r>
      <w:r>
        <w:rPr>
          <w:rFonts w:cs="Times New Roman"/>
          <w:bCs/>
          <w:color w:val="000000" w:themeColor="text1"/>
          <w:szCs w:val="24"/>
          <w:highlight w:val="none"/>
          <w14:textFill>
            <w14:solidFill>
              <w14:schemeClr w14:val="tx1"/>
            </w14:solidFill>
          </w14:textFill>
        </w:rPr>
        <w:t>内各土壤监测点监测因子均低于《土壤环境质量建设用地土壤污染风险管控标准（试行）》（GB36600-2018）中的第二类用地筛选值</w:t>
      </w:r>
      <w:r>
        <w:rPr>
          <w:rFonts w:hint="eastAsia"/>
          <w:color w:val="000000" w:themeColor="text1"/>
          <w:highlight w:val="none"/>
          <w14:textFill>
            <w14:solidFill>
              <w14:schemeClr w14:val="tx1"/>
            </w14:solidFill>
          </w14:textFill>
        </w:rPr>
        <w:t>和《四川省建设用地土壤污染风险管控标准》（DB51/2978—2023）标准要求</w:t>
      </w:r>
      <w:bookmarkEnd w:id="241"/>
      <w:r>
        <w:rPr>
          <w:rFonts w:cs="Times New Roman"/>
          <w:bCs/>
          <w:color w:val="000000" w:themeColor="text1"/>
          <w:szCs w:val="24"/>
          <w:highlight w:val="none"/>
          <w14:textFill>
            <w14:solidFill>
              <w14:schemeClr w14:val="tx1"/>
            </w14:solidFill>
          </w14:textFill>
        </w:rPr>
        <w:t>。</w:t>
      </w:r>
    </w:p>
    <w:p>
      <w:pPr>
        <w:pStyle w:val="4"/>
        <w:spacing w:before="120"/>
        <w:rPr>
          <w:color w:val="000000" w:themeColor="text1"/>
          <w:highlight w:val="none"/>
          <w:lang w:eastAsia="zh-CN"/>
          <w14:textFill>
            <w14:solidFill>
              <w14:schemeClr w14:val="tx1"/>
            </w14:solidFill>
          </w14:textFill>
        </w:rPr>
      </w:pPr>
      <w:bookmarkStart w:id="242" w:name="_Toc4227"/>
      <w:r>
        <w:rPr>
          <w:color w:val="000000" w:themeColor="text1"/>
          <w:highlight w:val="none"/>
          <w:lang w:eastAsia="zh-CN"/>
          <w14:textFill>
            <w14:solidFill>
              <w14:schemeClr w14:val="tx1"/>
            </w14:solidFill>
          </w14:textFill>
        </w:rPr>
        <w:t>生态环境调查与评价</w:t>
      </w:r>
      <w:bookmarkEnd w:id="242"/>
    </w:p>
    <w:p>
      <w:pPr>
        <w:pStyle w:val="5"/>
        <w:spacing w:before="120"/>
        <w:ind w:firstLine="480"/>
        <w:rPr>
          <w:b/>
          <w:color w:val="000000" w:themeColor="text1"/>
          <w:highlight w:val="none"/>
          <w:lang w:eastAsia="zh-CN"/>
          <w14:textFill>
            <w14:solidFill>
              <w14:schemeClr w14:val="tx1"/>
            </w14:solidFill>
          </w14:textFill>
        </w:rPr>
      </w:pPr>
      <w:bookmarkStart w:id="243" w:name="_Toc120173135"/>
      <w:bookmarkStart w:id="244" w:name="_Hlk84604214"/>
      <w:r>
        <w:rPr>
          <w:color w:val="000000" w:themeColor="text1"/>
          <w:highlight w:val="none"/>
          <w:lang w:eastAsia="zh-CN"/>
          <w14:textFill>
            <w14:solidFill>
              <w14:schemeClr w14:val="tx1"/>
            </w14:solidFill>
          </w14:textFill>
        </w:rPr>
        <w:t>生态功能区划</w:t>
      </w:r>
      <w:bookmarkEnd w:id="243"/>
    </w:p>
    <w:p>
      <w:pPr>
        <w:pStyle w:val="153"/>
        <w:spacing w:line="360" w:lineRule="auto"/>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本项目位于四川盆地亚热带湿润气候生态区，属于</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水源涵养与土壤保持生态功能区（I-3-2），该生态功能区的主导功能是水源涵养功能，土壤保持功能。面临的主要环境问题是多洪灾，滑坡崩塌强烈发育，水土流失严重。项目区的生态功能区划见下</w:t>
      </w:r>
      <w:r>
        <w:rPr>
          <w:bCs/>
          <w:color w:val="000000" w:themeColor="text1"/>
          <w:highlight w:val="none"/>
          <w14:textFill>
            <w14:solidFill>
              <w14:schemeClr w14:val="tx1"/>
            </w14:solidFill>
          </w14:textFill>
        </w:rPr>
        <w:fldChar w:fldCharType="begin"/>
      </w:r>
      <w:r>
        <w:rPr>
          <w:bCs/>
          <w:color w:val="000000" w:themeColor="text1"/>
          <w:highlight w:val="none"/>
          <w14:textFill>
            <w14:solidFill>
              <w14:schemeClr w14:val="tx1"/>
            </w14:solidFill>
          </w14:textFill>
        </w:rPr>
        <w:instrText xml:space="preserve"> REF _Ref142600299 \h  \* MERGEFORMAT </w:instrText>
      </w:r>
      <w:r>
        <w:rPr>
          <w:bCs/>
          <w:color w:val="000000" w:themeColor="text1"/>
          <w:highlight w:val="none"/>
          <w14:textFill>
            <w14:solidFill>
              <w14:schemeClr w14:val="tx1"/>
            </w14:solidFill>
          </w14:textFill>
        </w:rPr>
        <w:fldChar w:fldCharType="separate"/>
      </w:r>
      <w:r>
        <w:rPr>
          <w:rFonts w:hint="eastAsia"/>
          <w:bCs/>
          <w:color w:val="000000" w:themeColor="text1"/>
          <w:highlight w:val="none"/>
          <w14:textFill>
            <w14:solidFill>
              <w14:schemeClr w14:val="tx1"/>
            </w14:solidFill>
          </w14:textFill>
        </w:rPr>
        <w:t>表</w:t>
      </w:r>
      <w:r>
        <w:rPr>
          <w:bCs/>
          <w:color w:val="000000" w:themeColor="text1"/>
          <w:highlight w:val="none"/>
          <w14:textFill>
            <w14:solidFill>
              <w14:schemeClr w14:val="tx1"/>
            </w14:solidFill>
          </w14:textFill>
        </w:rPr>
        <w:t>4.3</w:t>
      </w:r>
      <w:r>
        <w:rPr>
          <w:bCs/>
          <w:color w:val="000000" w:themeColor="text1"/>
          <w:highlight w:val="none"/>
          <w14:textFill>
            <w14:solidFill>
              <w14:schemeClr w14:val="tx1"/>
            </w14:solidFill>
          </w14:textFill>
        </w:rPr>
        <w:noBreakHyphen/>
      </w:r>
      <w:r>
        <w:rPr>
          <w:bCs/>
          <w:color w:val="000000" w:themeColor="text1"/>
          <w:highlight w:val="none"/>
          <w14:textFill>
            <w14:solidFill>
              <w14:schemeClr w14:val="tx1"/>
            </w14:solidFill>
          </w14:textFill>
        </w:rPr>
        <w:t>1</w:t>
      </w:r>
      <w:r>
        <w:rPr>
          <w:bCs/>
          <w:color w:val="000000" w:themeColor="text1"/>
          <w:highlight w:val="none"/>
          <w14:textFill>
            <w14:solidFill>
              <w14:schemeClr w14:val="tx1"/>
            </w14:solidFill>
          </w14:textFill>
        </w:rPr>
        <w:fldChar w:fldCharType="end"/>
      </w:r>
      <w:r>
        <w:rPr>
          <w:bCs/>
          <w:color w:val="000000" w:themeColor="text1"/>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bookmarkStart w:id="245" w:name="_Ref142600299"/>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bookmarkEnd w:id="245"/>
      <w:r>
        <w:rPr>
          <w:rFonts w:hint="eastAsia"/>
          <w:color w:val="000000" w:themeColor="text1"/>
          <w:highlight w:val="none"/>
          <w14:textFill>
            <w14:solidFill>
              <w14:schemeClr w14:val="tx1"/>
            </w14:solidFill>
          </w14:textFill>
        </w:rPr>
        <w:t>项目区生态功能区划及主要生态环境问题</w:t>
      </w:r>
    </w:p>
    <w:tbl>
      <w:tblPr>
        <w:tblStyle w:val="41"/>
        <w:tblW w:w="501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09"/>
        <w:gridCol w:w="1030"/>
        <w:gridCol w:w="1090"/>
        <w:gridCol w:w="1078"/>
        <w:gridCol w:w="786"/>
        <w:gridCol w:w="35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 w:hRule="atLeast"/>
          <w:tblHeader/>
          <w:jc w:val="center"/>
        </w:trPr>
        <w:tc>
          <w:tcPr>
            <w:tcW w:w="485"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生态区</w:t>
            </w:r>
          </w:p>
        </w:tc>
        <w:tc>
          <w:tcPr>
            <w:tcW w:w="617"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生态亚区</w:t>
            </w:r>
          </w:p>
        </w:tc>
        <w:tc>
          <w:tcPr>
            <w:tcW w:w="653"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生态功能区</w:t>
            </w:r>
          </w:p>
        </w:tc>
        <w:tc>
          <w:tcPr>
            <w:tcW w:w="646"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主要环境问题</w:t>
            </w:r>
          </w:p>
        </w:tc>
        <w:tc>
          <w:tcPr>
            <w:tcW w:w="471"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服务功能</w:t>
            </w:r>
          </w:p>
        </w:tc>
        <w:tc>
          <w:tcPr>
            <w:tcW w:w="2128"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保护与发展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48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I四川盆地亚热带湿润气候生态区</w:t>
            </w:r>
          </w:p>
        </w:tc>
        <w:tc>
          <w:tcPr>
            <w:tcW w:w="617"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I-3盆北秦巴山地常绿阔叶林-针阔混交林生态亚区</w:t>
            </w:r>
          </w:p>
        </w:tc>
        <w:tc>
          <w:tcPr>
            <w:tcW w:w="653"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I-3-2</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水源涵养与土壤保持生态功能区</w:t>
            </w:r>
          </w:p>
        </w:tc>
        <w:tc>
          <w:tcPr>
            <w:tcW w:w="64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多洪灾，滑坡崩塌强烈发育，水土流失严重</w:t>
            </w:r>
          </w:p>
        </w:tc>
        <w:tc>
          <w:tcPr>
            <w:tcW w:w="471"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水源涵养功能，土壤保持功能</w:t>
            </w:r>
          </w:p>
        </w:tc>
        <w:tc>
          <w:tcPr>
            <w:tcW w:w="2128"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保护森林植被和生物多样性，巩固长江上游防护林建设、天然林保护和退耕还林成果。合理开发和利用自然资源，发展特色农业，绿色和有机农产品。拓展生态农业产业链，培育新的经济增长点。规范和严格管理矿产、水电、生物资源的开发，防止对生态环境和生态系统的不利影响</w:t>
            </w:r>
          </w:p>
        </w:tc>
      </w:tr>
    </w:tbl>
    <w:p>
      <w:pPr>
        <w:pStyle w:val="5"/>
        <w:spacing w:before="120"/>
        <w:ind w:firstLine="480"/>
        <w:rPr>
          <w:b/>
          <w:color w:val="000000" w:themeColor="text1"/>
          <w:highlight w:val="none"/>
          <w:lang w:eastAsia="zh-CN"/>
          <w14:textFill>
            <w14:solidFill>
              <w14:schemeClr w14:val="tx1"/>
            </w14:solidFill>
          </w14:textFill>
        </w:rPr>
      </w:pPr>
      <w:bookmarkStart w:id="246" w:name="_Toc120173136"/>
      <w:r>
        <w:rPr>
          <w:color w:val="000000" w:themeColor="text1"/>
          <w:highlight w:val="none"/>
          <w:lang w:eastAsia="zh-CN"/>
          <w14:textFill>
            <w14:solidFill>
              <w14:schemeClr w14:val="tx1"/>
            </w14:solidFill>
          </w14:textFill>
        </w:rPr>
        <w:t>生态环境现状调查方法</w:t>
      </w:r>
      <w:bookmarkEnd w:id="246"/>
    </w:p>
    <w:p>
      <w:pPr>
        <w:ind w:firstLine="482"/>
        <w:rPr>
          <w:rFonts w:cs="Times New Roman"/>
          <w:b/>
          <w:bCs/>
          <w:color w:val="000000" w:themeColor="text1"/>
          <w:highlight w:val="none"/>
          <w14:textFill>
            <w14:solidFill>
              <w14:schemeClr w14:val="tx1"/>
            </w14:solidFill>
          </w14:textFill>
        </w:rPr>
      </w:pPr>
      <w:r>
        <w:rPr>
          <w:rFonts w:cs="Times New Roman"/>
          <w:b/>
          <w:bCs/>
          <w:color w:val="000000" w:themeColor="text1"/>
          <w:highlight w:val="none"/>
          <w14:textFill>
            <w14:solidFill>
              <w14:schemeClr w14:val="tx1"/>
            </w14:solidFill>
          </w14:textFill>
        </w:rPr>
        <w:t>1、基础资料收集</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收集整理项目涉及区域现有生物资料，包括市志、统计年鉴以及林业、环保、水利、农业、国土资源等部门提供的相关资料，并且参考《中国植物志</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中国高等植物图鉴</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四川植物志》和《四川资源动物志》系列等专著。</w:t>
      </w:r>
    </w:p>
    <w:p>
      <w:pPr>
        <w:ind w:firstLine="482"/>
        <w:rPr>
          <w:rFonts w:cs="Times New Roman"/>
          <w:b/>
          <w:bCs/>
          <w:color w:val="000000" w:themeColor="text1"/>
          <w:highlight w:val="none"/>
          <w14:textFill>
            <w14:solidFill>
              <w14:schemeClr w14:val="tx1"/>
            </w14:solidFill>
          </w14:textFill>
        </w:rPr>
      </w:pPr>
      <w:r>
        <w:rPr>
          <w:rFonts w:cs="Times New Roman"/>
          <w:b/>
          <w:bCs/>
          <w:color w:val="000000" w:themeColor="text1"/>
          <w:highlight w:val="none"/>
          <w14:textFill>
            <w14:solidFill>
              <w14:schemeClr w14:val="tx1"/>
            </w14:solidFill>
          </w14:textFill>
        </w:rPr>
        <w:t>2、生物资源调查方法</w:t>
      </w:r>
    </w:p>
    <w:p>
      <w:pPr>
        <w:ind w:firstLine="482"/>
        <w:rPr>
          <w:b/>
          <w:bCs/>
          <w:color w:val="000000" w:themeColor="text1"/>
          <w:highlight w:val="none"/>
          <w14:textFill>
            <w14:solidFill>
              <w14:schemeClr w14:val="tx1"/>
            </w14:solidFill>
          </w14:textFill>
        </w:rPr>
      </w:pPr>
      <w:bookmarkStart w:id="247" w:name="_Toc280781526"/>
      <w:r>
        <w:rPr>
          <w:rFonts w:hint="eastAsia"/>
          <w:b/>
          <w:bCs/>
          <w:color w:val="000000" w:themeColor="text1"/>
          <w:highlight w:val="none"/>
          <w14:textFill>
            <w14:solidFill>
              <w14:schemeClr w14:val="tx1"/>
            </w14:solidFill>
          </w14:textFill>
        </w:rPr>
        <w:t>（1）时间安排</w:t>
      </w:r>
    </w:p>
    <w:p>
      <w:pPr>
        <w:ind w:firstLine="480"/>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本项目现场调查安排在202</w:t>
      </w:r>
      <w:r>
        <w:rPr>
          <w:rFonts w:hint="eastAsia"/>
          <w:bCs/>
          <w:color w:val="000000" w:themeColor="text1"/>
          <w:highlight w:val="none"/>
          <w14:textFill>
            <w14:solidFill>
              <w14:schemeClr w14:val="tx1"/>
            </w14:solidFill>
          </w14:textFill>
        </w:rPr>
        <w:t>4</w:t>
      </w:r>
      <w:r>
        <w:rPr>
          <w:bCs/>
          <w:color w:val="000000" w:themeColor="text1"/>
          <w:highlight w:val="none"/>
          <w14:textFill>
            <w14:solidFill>
              <w14:schemeClr w14:val="tx1"/>
            </w14:solidFill>
          </w14:textFill>
        </w:rPr>
        <w:t>年</w:t>
      </w:r>
      <w:r>
        <w:rPr>
          <w:rFonts w:hint="eastAsia"/>
          <w:bCs/>
          <w:color w:val="000000" w:themeColor="text1"/>
          <w:highlight w:val="none"/>
          <w14:textFill>
            <w14:solidFill>
              <w14:schemeClr w14:val="tx1"/>
            </w14:solidFill>
          </w14:textFill>
        </w:rPr>
        <w:t>1</w:t>
      </w:r>
      <w:r>
        <w:rPr>
          <w:bCs/>
          <w:color w:val="000000" w:themeColor="text1"/>
          <w:highlight w:val="none"/>
          <w14:textFill>
            <w14:solidFill>
              <w14:schemeClr w14:val="tx1"/>
            </w14:solidFill>
          </w14:textFill>
        </w:rPr>
        <w:t>月进行，可满足生态二级评价现状调查要求</w:t>
      </w:r>
      <w:r>
        <w:rPr>
          <w:color w:val="000000" w:themeColor="text1"/>
          <w:highlight w:val="none"/>
          <w14:textFill>
            <w14:solidFill>
              <w14:schemeClr w14:val="tx1"/>
            </w14:solidFill>
          </w14:textFill>
        </w:rPr>
        <w:t>。</w:t>
      </w:r>
    </w:p>
    <w:p>
      <w:pPr>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w:t>
      </w:r>
      <w:r>
        <w:rPr>
          <w:rFonts w:hint="eastAsia"/>
          <w:b/>
          <w:bCs/>
          <w:color w:val="000000" w:themeColor="text1"/>
          <w:highlight w:val="none"/>
          <w14:textFill>
            <w14:solidFill>
              <w14:schemeClr w14:val="tx1"/>
            </w14:solidFill>
          </w14:textFill>
        </w:rPr>
        <w:t>2</w:t>
      </w:r>
      <w:r>
        <w:rPr>
          <w:b/>
          <w:bCs/>
          <w:color w:val="000000" w:themeColor="text1"/>
          <w:highlight w:val="none"/>
          <w14:textFill>
            <w14:solidFill>
              <w14:schemeClr w14:val="tx1"/>
            </w14:solidFill>
          </w14:textFill>
        </w:rPr>
        <w:t>）野外生态信息数据的采集与处理</w:t>
      </w:r>
    </w:p>
    <w:p>
      <w:pPr>
        <w:ind w:firstLine="480"/>
        <w:rPr>
          <w:rFonts w:cs="Times New Roman"/>
          <w:bCs/>
          <w:color w:val="000000" w:themeColor="text1"/>
          <w:szCs w:val="20"/>
          <w:highlight w:val="none"/>
          <w14:textFill>
            <w14:solidFill>
              <w14:schemeClr w14:val="tx1"/>
            </w14:solidFill>
          </w14:textFill>
        </w:rPr>
      </w:pPr>
      <w:r>
        <w:rPr>
          <w:rFonts w:cs="Times New Roman"/>
          <w:bCs/>
          <w:color w:val="000000" w:themeColor="text1"/>
          <w:szCs w:val="20"/>
          <w:highlight w:val="none"/>
          <w14:textFill>
            <w14:solidFill>
              <w14:schemeClr w14:val="tx1"/>
            </w14:solidFill>
          </w14:textFill>
        </w:rPr>
        <w:t>野外生态信息数据的采集主要借助HOLUXM-241蓝牙GPS记录器获取及尼康单反数码相机。HOLUXM-241蓝牙GPS</w:t>
      </w:r>
      <w:r>
        <w:rPr>
          <w:rFonts w:hint="eastAsia" w:cs="Times New Roman"/>
          <w:bCs/>
          <w:color w:val="000000" w:themeColor="text1"/>
          <w:szCs w:val="20"/>
          <w:highlight w:val="none"/>
          <w14:textFill>
            <w14:solidFill>
              <w14:schemeClr w14:val="tx1"/>
            </w14:solidFill>
          </w14:textFill>
        </w:rPr>
        <w:t>记录器</w:t>
      </w:r>
      <w:r>
        <w:rPr>
          <w:rFonts w:cs="Times New Roman"/>
          <w:bCs/>
          <w:color w:val="000000" w:themeColor="text1"/>
          <w:szCs w:val="20"/>
          <w:highlight w:val="none"/>
          <w14:textFill>
            <w14:solidFill>
              <w14:schemeClr w14:val="tx1"/>
            </w14:solidFill>
          </w14:textFill>
        </w:rPr>
        <w:t>可以记录高达13万个位置，每个位置都含有经度、纬度、时间和高度资料；野外生态考察中开机让记</w:t>
      </w:r>
      <w:r>
        <w:rPr>
          <w:rFonts w:cs="Times New Roman"/>
          <w:bCs/>
          <w:color w:val="000000" w:themeColor="text1"/>
          <w:szCs w:val="24"/>
          <w:highlight w:val="none"/>
          <w14:textFill>
            <w14:solidFill>
              <w14:schemeClr w14:val="tx1"/>
            </w14:solidFill>
          </w14:textFill>
        </w:rPr>
        <w:t>录器始终处</w:t>
      </w:r>
      <w:r>
        <w:rPr>
          <w:rFonts w:cs="Times New Roman"/>
          <w:bCs/>
          <w:color w:val="000000" w:themeColor="text1"/>
          <w:szCs w:val="20"/>
          <w:highlight w:val="none"/>
          <w14:textFill>
            <w14:solidFill>
              <w14:schemeClr w14:val="tx1"/>
            </w14:solidFill>
          </w14:textFill>
        </w:rPr>
        <w:t>于运行状态，每5秒自动存储一个GPS点位，以保证野外考察中生态信息采集的完整性，同时于不同生态系统及重要生态考察点上采集照片。</w:t>
      </w:r>
    </w:p>
    <w:p>
      <w:pPr>
        <w:ind w:firstLine="480"/>
        <w:rPr>
          <w:rFonts w:cs="Times New Roman"/>
          <w:bCs/>
          <w:color w:val="000000" w:themeColor="text1"/>
          <w:szCs w:val="20"/>
          <w:highlight w:val="none"/>
          <w14:textFill>
            <w14:solidFill>
              <w14:schemeClr w14:val="tx1"/>
            </w14:solidFill>
          </w14:textFill>
        </w:rPr>
      </w:pPr>
      <w:r>
        <w:rPr>
          <w:rFonts w:cs="Times New Roman"/>
          <w:bCs/>
          <w:color w:val="000000" w:themeColor="text1"/>
          <w:szCs w:val="20"/>
          <w:highlight w:val="none"/>
          <w14:textFill>
            <w14:solidFill>
              <w14:schemeClr w14:val="tx1"/>
            </w14:solidFill>
          </w14:textFill>
        </w:rPr>
        <w:t>将野外采集的GPS轨迹及照片导入电脑，运用GPicSync软件将航迹文件中各个记录点的时间信息与照片中exif信息中的时间信息进行匹配，当某个记录点的时间与某张照片中的时间匹配时（匹配的精度可以任意设置，软件默认300秒），即认为航迹文件中这个点的坐标即为照片拍摄地点的坐标，并将这个坐标写入照片的exif信息中并形成kml格式文件。最后可在ArcGIS及Googleearth中调取相应生态考察点照片并结合卫片判读考察点生态现状，同时也为土地利用、水土流失、植被类型等生态图件的编绘提供依据并校正相应图件。</w:t>
      </w:r>
    </w:p>
    <w:p>
      <w:pPr>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w:t>
      </w:r>
      <w:r>
        <w:rPr>
          <w:rFonts w:hint="eastAsia"/>
          <w:b/>
          <w:bCs/>
          <w:color w:val="000000" w:themeColor="text1"/>
          <w:highlight w:val="none"/>
          <w14:textFill>
            <w14:solidFill>
              <w14:schemeClr w14:val="tx1"/>
            </w14:solidFill>
          </w14:textFill>
        </w:rPr>
        <w:t>3</w:t>
      </w:r>
      <w:r>
        <w:rPr>
          <w:b/>
          <w:bCs/>
          <w:color w:val="000000" w:themeColor="text1"/>
          <w:highlight w:val="none"/>
          <w14:textFill>
            <w14:solidFill>
              <w14:schemeClr w14:val="tx1"/>
            </w14:solidFill>
          </w14:textFill>
        </w:rPr>
        <w:t>）GPS地面类型及植被调查取样</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GPS样点是卫星遥感影像判读各种景观类型的基础，根据室内判读的植被与土地利用类型图，现场核实判读的正误率，并对每个GPS取样点作如下记录：</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1）GPS读出测点的海拔值和经纬度；</w:t>
      </w:r>
    </w:p>
    <w:p>
      <w:pPr>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2）记录样点植被类型，以群系或群丛为单位，同时记录样点坡向、坡度；</w:t>
      </w:r>
    </w:p>
    <w:p>
      <w:pPr>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3）记录样点优势植物以及观察动物活动的情况；</w:t>
      </w:r>
    </w:p>
    <w:p>
      <w:pPr>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4）拍摄典型植被外貌与结构特征。</w:t>
      </w:r>
    </w:p>
    <w:p>
      <w:pPr>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w:t>
      </w:r>
      <w:r>
        <w:rPr>
          <w:rFonts w:hint="eastAsia"/>
          <w:b/>
          <w:bCs/>
          <w:color w:val="000000" w:themeColor="text1"/>
          <w:highlight w:val="none"/>
          <w14:textFill>
            <w14:solidFill>
              <w14:schemeClr w14:val="tx1"/>
            </w14:solidFill>
          </w14:textFill>
        </w:rPr>
        <w:t>4</w:t>
      </w:r>
      <w:r>
        <w:rPr>
          <w:b/>
          <w:bCs/>
          <w:color w:val="000000" w:themeColor="text1"/>
          <w:highlight w:val="none"/>
          <w14:textFill>
            <w14:solidFill>
              <w14:schemeClr w14:val="tx1"/>
            </w14:solidFill>
          </w14:textFill>
        </w:rPr>
        <w:t>）陆生植被调查</w:t>
      </w:r>
    </w:p>
    <w:p>
      <w:pPr>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在调查过程中，确定评价范围内的植物种类及资源状况、经济植物种类及资源状况、珍稀濒危植物的种类及生存状况等。实地调查采取路线调查与重点调查相结合的方法，对于没有原生植被的区域采取路线调查，在项目占地范围以及植被状况良好的区域实行重点调查；重点调查采取样方调查方法，记录评价范围内的常见植物种类，同时记录坡向、坡度、土壤、岩石类型等环境特征，拍摄典型植被外貌与结构特征；对保护植物、古树名木调查采取现场调查和民间查访相结合的方法进行；对有疑问的植物和珍稀濒危植物采集凭证标本并拍摄照片。</w:t>
      </w:r>
    </w:p>
    <w:p>
      <w:pPr>
        <w:spacing w:line="480" w:lineRule="exact"/>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样方布点原则：</w:t>
      </w:r>
    </w:p>
    <w:p>
      <w:pPr>
        <w:spacing w:line="480" w:lineRule="exact"/>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植被调查取样的目的是要通过样地的研究准确地推测评价范围植被的总体情况，所选取的样地要具有代表性，能通过尽可能少的抽样获得较为准确的评价范围内植被总体的特征。按照如下原则：</w:t>
      </w:r>
      <w:r>
        <w:rPr>
          <w:bCs/>
          <w:color w:val="000000" w:themeColor="text1"/>
          <w:szCs w:val="24"/>
          <w:highlight w:val="none"/>
          <w14:textFill>
            <w14:solidFill>
              <w14:schemeClr w14:val="tx1"/>
            </w14:solidFill>
          </w14:textFill>
        </w:rPr>
        <w:fldChar w:fldCharType="begin"/>
      </w:r>
      <w:r>
        <w:rPr>
          <w:bCs/>
          <w:color w:val="000000" w:themeColor="text1"/>
          <w:szCs w:val="24"/>
          <w:highlight w:val="none"/>
          <w14:textFill>
            <w14:solidFill>
              <w14:schemeClr w14:val="tx1"/>
            </w14:solidFill>
          </w14:textFill>
        </w:rPr>
        <w:instrText xml:space="preserve"> = 1 \* GB3 </w:instrText>
      </w:r>
      <w:r>
        <w:rPr>
          <w:bCs/>
          <w:color w:val="000000" w:themeColor="text1"/>
          <w:szCs w:val="24"/>
          <w:highlight w:val="none"/>
          <w14:textFill>
            <w14:solidFill>
              <w14:schemeClr w14:val="tx1"/>
            </w14:solidFill>
          </w14:textFill>
        </w:rPr>
        <w:fldChar w:fldCharType="separate"/>
      </w:r>
      <w:r>
        <w:rPr>
          <w:rFonts w:hint="eastAsia"/>
          <w:bCs/>
          <w:color w:val="000000" w:themeColor="text1"/>
          <w:szCs w:val="24"/>
          <w:highlight w:val="none"/>
          <w14:textFill>
            <w14:solidFill>
              <w14:schemeClr w14:val="tx1"/>
            </w14:solidFill>
          </w14:textFill>
        </w:rPr>
        <w:t>①</w:t>
      </w:r>
      <w:r>
        <w:rPr>
          <w:bCs/>
          <w:color w:val="000000" w:themeColor="text1"/>
          <w:szCs w:val="24"/>
          <w:highlight w:val="none"/>
          <w14:textFill>
            <w14:solidFill>
              <w14:schemeClr w14:val="tx1"/>
            </w14:solidFill>
          </w14:textFill>
        </w:rPr>
        <w:fldChar w:fldCharType="end"/>
      </w:r>
      <w:r>
        <w:rPr>
          <w:bCs/>
          <w:color w:val="000000" w:themeColor="text1"/>
          <w:szCs w:val="24"/>
          <w:highlight w:val="none"/>
          <w14:textFill>
            <w14:solidFill>
              <w14:schemeClr w14:val="tx1"/>
            </w14:solidFill>
          </w14:textFill>
        </w:rPr>
        <w:t>尽量在对生态影响较大区域内设置样地，并考虑评价范围内布点的均匀性、不同植被类型的全面性等特点；②样方设置避免对同一种植被类型进行重复设点，特别是对植物变化较大的地段进行增加设点。</w:t>
      </w:r>
    </w:p>
    <w:p>
      <w:pPr>
        <w:spacing w:line="480" w:lineRule="exact"/>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样方调查方法：</w:t>
      </w:r>
    </w:p>
    <w:p>
      <w:pPr>
        <w:spacing w:line="480" w:lineRule="exact"/>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根据评价范围内不同植被类型设置调查样地，并对典型样地进行拍照，对评价范围植被类型、</w:t>
      </w:r>
      <w:r>
        <w:rPr>
          <w:rFonts w:hint="eastAsia"/>
          <w:bCs/>
          <w:color w:val="000000" w:themeColor="text1"/>
          <w:szCs w:val="24"/>
          <w:highlight w:val="none"/>
          <w14:textFill>
            <w14:solidFill>
              <w14:schemeClr w14:val="tx1"/>
            </w14:solidFill>
          </w14:textFill>
        </w:rPr>
        <w:t>森林</w:t>
      </w:r>
      <w:r>
        <w:rPr>
          <w:bCs/>
          <w:color w:val="000000" w:themeColor="text1"/>
          <w:szCs w:val="24"/>
          <w:highlight w:val="none"/>
          <w14:textFill>
            <w14:solidFill>
              <w14:schemeClr w14:val="tx1"/>
            </w14:solidFill>
          </w14:textFill>
        </w:rPr>
        <w:t>生态环境、野生动植物资源进行较为详细的勘察。</w:t>
      </w:r>
    </w:p>
    <w:p>
      <w:pPr>
        <w:spacing w:line="480" w:lineRule="exact"/>
        <w:ind w:firstLine="480"/>
        <w:rPr>
          <w:color w:val="000000" w:themeColor="text1"/>
          <w:szCs w:val="24"/>
          <w:highlight w:val="none"/>
          <w14:textFill>
            <w14:solidFill>
              <w14:schemeClr w14:val="tx1"/>
            </w14:solidFill>
          </w14:textFill>
        </w:rPr>
      </w:pPr>
      <w:r>
        <w:rPr>
          <w:rFonts w:cs="Times New Roman"/>
          <w:bCs/>
          <w:color w:val="000000" w:themeColor="text1"/>
          <w:szCs w:val="24"/>
          <w:highlight w:val="none"/>
          <w:lang w:val="zh-CN"/>
          <w14:textFill>
            <w14:solidFill>
              <w14:schemeClr w14:val="tx1"/>
            </w14:solidFill>
          </w14:textFill>
        </w:rPr>
        <w:t>乔木林样方面积为</w:t>
      </w:r>
      <w:r>
        <w:rPr>
          <w:rFonts w:cs="Times New Roman"/>
          <w:bCs/>
          <w:color w:val="000000" w:themeColor="text1"/>
          <w:szCs w:val="24"/>
          <w:highlight w:val="none"/>
          <w14:textFill>
            <w14:solidFill>
              <w14:schemeClr w14:val="tx1"/>
            </w14:solidFill>
          </w14:textFill>
        </w:rPr>
        <w:t>20</w:t>
      </w:r>
      <w:r>
        <w:rPr>
          <w:rFonts w:cs="Times New Roman"/>
          <w:bCs/>
          <w:color w:val="000000" w:themeColor="text1"/>
          <w:szCs w:val="24"/>
          <w:highlight w:val="none"/>
          <w:lang w:val="zh-CN"/>
          <w14:textFill>
            <w14:solidFill>
              <w14:schemeClr w14:val="tx1"/>
            </w14:solidFill>
          </w14:textFill>
        </w:rPr>
        <w:t>×</w:t>
      </w:r>
      <w:r>
        <w:rPr>
          <w:rFonts w:cs="Times New Roman"/>
          <w:bCs/>
          <w:color w:val="000000" w:themeColor="text1"/>
          <w:szCs w:val="24"/>
          <w:highlight w:val="none"/>
          <w14:textFill>
            <w14:solidFill>
              <w14:schemeClr w14:val="tx1"/>
            </w14:solidFill>
          </w14:textFill>
        </w:rPr>
        <w:t>20</w:t>
      </w:r>
      <w:r>
        <w:rPr>
          <w:rFonts w:cs="Times New Roman"/>
          <w:bCs/>
          <w:color w:val="000000" w:themeColor="text1"/>
          <w:szCs w:val="24"/>
          <w:highlight w:val="none"/>
          <w:lang w:val="zh-CN"/>
          <w14:textFill>
            <w14:solidFill>
              <w14:schemeClr w14:val="tx1"/>
            </w14:solidFill>
          </w14:textFill>
        </w:rPr>
        <w:t>m，灌</w:t>
      </w:r>
      <w:r>
        <w:rPr>
          <w:rFonts w:cs="Times New Roman"/>
          <w:bCs/>
          <w:color w:val="000000" w:themeColor="text1"/>
          <w:szCs w:val="24"/>
          <w:highlight w:val="none"/>
          <w14:textFill>
            <w14:solidFill>
              <w14:schemeClr w14:val="tx1"/>
            </w14:solidFill>
          </w14:textFill>
        </w:rPr>
        <w:t>草</w:t>
      </w:r>
      <w:r>
        <w:rPr>
          <w:rFonts w:cs="Times New Roman"/>
          <w:bCs/>
          <w:color w:val="000000" w:themeColor="text1"/>
          <w:szCs w:val="24"/>
          <w:highlight w:val="none"/>
          <w:lang w:val="zh-CN"/>
          <w14:textFill>
            <w14:solidFill>
              <w14:schemeClr w14:val="tx1"/>
            </w14:solidFill>
          </w14:textFill>
        </w:rPr>
        <w:t>丛样方为</w:t>
      </w:r>
      <w:r>
        <w:rPr>
          <w:rFonts w:cs="Times New Roman"/>
          <w:bCs/>
          <w:color w:val="000000" w:themeColor="text1"/>
          <w:szCs w:val="24"/>
          <w:highlight w:val="none"/>
          <w14:textFill>
            <w14:solidFill>
              <w14:schemeClr w14:val="tx1"/>
            </w14:solidFill>
          </w14:textFill>
        </w:rPr>
        <w:t>5</w:t>
      </w:r>
      <w:r>
        <w:rPr>
          <w:rFonts w:cs="Times New Roman"/>
          <w:bCs/>
          <w:color w:val="000000" w:themeColor="text1"/>
          <w:szCs w:val="24"/>
          <w:highlight w:val="none"/>
          <w:lang w:val="zh-CN"/>
          <w14:textFill>
            <w14:solidFill>
              <w14:schemeClr w14:val="tx1"/>
            </w14:solidFill>
          </w14:textFill>
        </w:rPr>
        <w:t>×</w:t>
      </w:r>
      <w:r>
        <w:rPr>
          <w:rFonts w:cs="Times New Roman"/>
          <w:bCs/>
          <w:color w:val="000000" w:themeColor="text1"/>
          <w:szCs w:val="24"/>
          <w:highlight w:val="none"/>
          <w14:textFill>
            <w14:solidFill>
              <w14:schemeClr w14:val="tx1"/>
            </w14:solidFill>
          </w14:textFill>
        </w:rPr>
        <w:t>5</w:t>
      </w:r>
      <w:r>
        <w:rPr>
          <w:rFonts w:cs="Times New Roman"/>
          <w:bCs/>
          <w:color w:val="000000" w:themeColor="text1"/>
          <w:szCs w:val="24"/>
          <w:highlight w:val="none"/>
          <w:lang w:val="zh-CN"/>
          <w14:textFill>
            <w14:solidFill>
              <w14:schemeClr w14:val="tx1"/>
            </w14:solidFill>
          </w14:textFill>
        </w:rPr>
        <w:t>m，</w:t>
      </w:r>
      <w:r>
        <w:rPr>
          <w:rFonts w:cs="Times New Roman"/>
          <w:bCs/>
          <w:color w:val="000000" w:themeColor="text1"/>
          <w:szCs w:val="24"/>
          <w:highlight w:val="none"/>
          <w14:textFill>
            <w14:solidFill>
              <w14:schemeClr w14:val="tx1"/>
            </w14:solidFill>
          </w14:textFill>
        </w:rPr>
        <w:t>草丛</w:t>
      </w:r>
      <w:r>
        <w:rPr>
          <w:rFonts w:cs="Times New Roman"/>
          <w:bCs/>
          <w:color w:val="000000" w:themeColor="text1"/>
          <w:szCs w:val="24"/>
          <w:highlight w:val="none"/>
          <w:lang w:val="zh-CN"/>
          <w14:textFill>
            <w14:solidFill>
              <w14:schemeClr w14:val="tx1"/>
            </w14:solidFill>
          </w14:textFill>
        </w:rPr>
        <w:t>样方</w:t>
      </w:r>
      <w:r>
        <w:rPr>
          <w:rFonts w:cs="Times New Roman"/>
          <w:bCs/>
          <w:color w:val="000000" w:themeColor="text1"/>
          <w:szCs w:val="24"/>
          <w:highlight w:val="none"/>
          <w14:textFill>
            <w14:solidFill>
              <w14:schemeClr w14:val="tx1"/>
            </w14:solidFill>
          </w14:textFill>
        </w:rPr>
        <w:t>设置为1×1m，</w:t>
      </w:r>
      <w:r>
        <w:rPr>
          <w:rFonts w:cs="Times New Roman"/>
          <w:bCs/>
          <w:color w:val="000000" w:themeColor="text1"/>
          <w:szCs w:val="24"/>
          <w:highlight w:val="none"/>
          <w:lang w:val="zh-CN"/>
          <w14:textFill>
            <w14:solidFill>
              <w14:schemeClr w14:val="tx1"/>
            </w14:solidFill>
          </w14:textFill>
        </w:rPr>
        <w:t>根据实际情况可以略有改变。乔木林</w:t>
      </w:r>
      <w:r>
        <w:rPr>
          <w:rFonts w:cs="Times New Roman"/>
          <w:bCs/>
          <w:color w:val="000000" w:themeColor="text1"/>
          <w:szCs w:val="24"/>
          <w:highlight w:val="none"/>
          <w14:textFill>
            <w14:solidFill>
              <w14:schemeClr w14:val="tx1"/>
            </w14:solidFill>
          </w14:textFill>
        </w:rPr>
        <w:t>对乔木层进行全面调查，再设置小样方调查灌木层和草本层；灌草丛和草丛对样地内植物进行全面调查。本次调查根据群系分布特点共设置植被群落样地5个，每个样地设置样方3个，总共15个样方，涵盖乔灌草多种地类，样地布点情况</w:t>
      </w:r>
      <w:r>
        <w:rPr>
          <w:rFonts w:cs="Times New Roman"/>
          <w:bCs/>
          <w:color w:val="000000" w:themeColor="text1"/>
          <w:szCs w:val="24"/>
          <w:highlight w:val="none"/>
          <w:lang w:val="zh-CN"/>
          <w14:textFill>
            <w14:solidFill>
              <w14:schemeClr w14:val="tx1"/>
            </w14:solidFill>
          </w14:textFill>
        </w:rPr>
        <w:t>详见</w:t>
      </w:r>
      <w:r>
        <w:rPr>
          <w:bCs/>
          <w:color w:val="000000" w:themeColor="text1"/>
          <w:szCs w:val="24"/>
          <w:highlight w:val="none"/>
          <w:lang w:val="zh-CN"/>
          <w14:textFill>
            <w14:solidFill>
              <w14:schemeClr w14:val="tx1"/>
            </w14:solidFill>
          </w14:textFill>
        </w:rPr>
        <w:t>表</w:t>
      </w:r>
      <w:r>
        <w:rPr>
          <w:bCs/>
          <w:color w:val="000000" w:themeColor="text1"/>
          <w:szCs w:val="24"/>
          <w:highlight w:val="none"/>
          <w14:textFill>
            <w14:solidFill>
              <w14:schemeClr w14:val="tx1"/>
            </w14:solidFill>
          </w14:textFill>
        </w:rPr>
        <w:t>4.3-2</w:t>
      </w:r>
      <w:r>
        <w:rPr>
          <w:color w:val="000000" w:themeColor="text1"/>
          <w:szCs w:val="24"/>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项目评价范围内植被群系样方调查点分布情况</w:t>
      </w:r>
    </w:p>
    <w:tbl>
      <w:tblPr>
        <w:tblStyle w:val="379"/>
        <w:tblW w:w="872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46"/>
        <w:gridCol w:w="1134"/>
        <w:gridCol w:w="1843"/>
        <w:gridCol w:w="1701"/>
        <w:gridCol w:w="1134"/>
        <w:gridCol w:w="1417"/>
        <w:gridCol w:w="65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3" w:hRule="atLeast"/>
          <w:tblHeader/>
          <w:jc w:val="center"/>
        </w:trPr>
        <w:tc>
          <w:tcPr>
            <w:tcW w:w="846" w:type="dxa"/>
            <w:tcBorders>
              <w:top w:val="single" w:color="000000" w:sz="2" w:space="0"/>
              <w:bottom w:val="single" w:color="000000" w:sz="2" w:space="0"/>
            </w:tcBorders>
            <w:textDirection w:val="tbRlV"/>
            <w:vAlign w:val="center"/>
          </w:tcPr>
          <w:p>
            <w:pPr>
              <w:snapToGrid/>
              <w:spacing w:line="240" w:lineRule="auto"/>
              <w:ind w:firstLine="0" w:firstLineChars="0"/>
              <w:jc w:val="center"/>
              <w:textAlignment w:val="baseline"/>
              <w:rPr>
                <w:rFonts w:cs="Times New Roman"/>
                <w:b/>
                <w:color w:val="000000" w:themeColor="text1"/>
                <w:kern w:val="0"/>
                <w:sz w:val="21"/>
                <w:szCs w:val="21"/>
                <w:highlight w:val="none"/>
                <w:lang w:eastAsia="en-US"/>
                <w14:textFill>
                  <w14:solidFill>
                    <w14:schemeClr w14:val="tx1"/>
                  </w14:solidFill>
                </w14:textFill>
              </w:rPr>
            </w:pPr>
            <w:r>
              <w:rPr>
                <w:rFonts w:cs="Times New Roman"/>
                <w:b/>
                <w:color w:val="000000" w:themeColor="text1"/>
                <w:kern w:val="0"/>
                <w:sz w:val="21"/>
                <w:szCs w:val="21"/>
                <w:highlight w:val="none"/>
                <w:lang w:eastAsia="en-US"/>
                <w14:textFill>
                  <w14:solidFill>
                    <w14:schemeClr w14:val="tx1"/>
                  </w14:solidFill>
                </w14:textFill>
              </w:rPr>
              <w:t>序号</w:t>
            </w:r>
          </w:p>
        </w:tc>
        <w:tc>
          <w:tcPr>
            <w:tcW w:w="1134"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
                <w:color w:val="000000" w:themeColor="text1"/>
                <w:kern w:val="0"/>
                <w:sz w:val="21"/>
                <w:szCs w:val="21"/>
                <w:highlight w:val="none"/>
                <w:lang w:eastAsia="en-US"/>
                <w14:textFill>
                  <w14:solidFill>
                    <w14:schemeClr w14:val="tx1"/>
                  </w14:solidFill>
                </w14:textFill>
              </w:rPr>
            </w:pPr>
            <w:r>
              <w:rPr>
                <w:rFonts w:cs="Times New Roman"/>
                <w:b/>
                <w:color w:val="000000" w:themeColor="text1"/>
                <w:kern w:val="0"/>
                <w:sz w:val="21"/>
                <w:szCs w:val="21"/>
                <w:highlight w:val="none"/>
                <w:lang w:eastAsia="en-US"/>
                <w14:textFill>
                  <w14:solidFill>
                    <w14:schemeClr w14:val="tx1"/>
                  </w14:solidFill>
                </w14:textFill>
              </w:rPr>
              <w:t>样方面积</w:t>
            </w:r>
          </w:p>
        </w:tc>
        <w:tc>
          <w:tcPr>
            <w:tcW w:w="1843"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
                <w:color w:val="000000" w:themeColor="text1"/>
                <w:kern w:val="0"/>
                <w:sz w:val="21"/>
                <w:szCs w:val="21"/>
                <w:highlight w:val="none"/>
                <w:lang w:eastAsia="en-US"/>
                <w14:textFill>
                  <w14:solidFill>
                    <w14:schemeClr w14:val="tx1"/>
                  </w14:solidFill>
                </w14:textFill>
              </w:rPr>
            </w:pPr>
            <w:r>
              <w:rPr>
                <w:rFonts w:cs="Times New Roman"/>
                <w:b/>
                <w:color w:val="000000" w:themeColor="text1"/>
                <w:kern w:val="0"/>
                <w:sz w:val="21"/>
                <w:szCs w:val="21"/>
                <w:highlight w:val="none"/>
                <w:lang w:eastAsia="en-US"/>
                <w14:textFill>
                  <w14:solidFill>
                    <w14:schemeClr w14:val="tx1"/>
                  </w14:solidFill>
                </w14:textFill>
              </w:rPr>
              <w:t>坐标</w:t>
            </w:r>
          </w:p>
        </w:tc>
        <w:tc>
          <w:tcPr>
            <w:tcW w:w="1701"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
                <w:color w:val="000000" w:themeColor="text1"/>
                <w:kern w:val="0"/>
                <w:sz w:val="21"/>
                <w:szCs w:val="21"/>
                <w:highlight w:val="none"/>
                <w:lang w:eastAsia="en-US"/>
                <w14:textFill>
                  <w14:solidFill>
                    <w14:schemeClr w14:val="tx1"/>
                  </w14:solidFill>
                </w14:textFill>
              </w:rPr>
            </w:pPr>
            <w:r>
              <w:rPr>
                <w:rFonts w:cs="Times New Roman"/>
                <w:b/>
                <w:color w:val="000000" w:themeColor="text1"/>
                <w:kern w:val="0"/>
                <w:sz w:val="21"/>
                <w:szCs w:val="21"/>
                <w:highlight w:val="none"/>
                <w:lang w:eastAsia="en-US"/>
                <w14:textFill>
                  <w14:solidFill>
                    <w14:schemeClr w14:val="tx1"/>
                  </w14:solidFill>
                </w14:textFill>
              </w:rPr>
              <w:t>群系名称</w:t>
            </w:r>
          </w:p>
        </w:tc>
        <w:tc>
          <w:tcPr>
            <w:tcW w:w="1134"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
                <w:color w:val="000000" w:themeColor="text1"/>
                <w:kern w:val="0"/>
                <w:sz w:val="21"/>
                <w:szCs w:val="21"/>
                <w:highlight w:val="none"/>
                <w:lang w:eastAsia="en-US"/>
                <w14:textFill>
                  <w14:solidFill>
                    <w14:schemeClr w14:val="tx1"/>
                  </w14:solidFill>
                </w14:textFill>
              </w:rPr>
            </w:pPr>
            <w:r>
              <w:rPr>
                <w:rFonts w:cs="Times New Roman"/>
                <w:b/>
                <w:color w:val="000000" w:themeColor="text1"/>
                <w:kern w:val="0"/>
                <w:sz w:val="21"/>
                <w:szCs w:val="21"/>
                <w:highlight w:val="none"/>
                <w:lang w:eastAsia="en-US"/>
                <w14:textFill>
                  <w14:solidFill>
                    <w14:schemeClr w14:val="tx1"/>
                  </w14:solidFill>
                </w14:textFill>
              </w:rPr>
              <w:t>关键种、建群种</w:t>
            </w:r>
          </w:p>
        </w:tc>
        <w:tc>
          <w:tcPr>
            <w:tcW w:w="1417"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
                <w:color w:val="000000" w:themeColor="text1"/>
                <w:kern w:val="0"/>
                <w:sz w:val="21"/>
                <w:szCs w:val="21"/>
                <w:highlight w:val="none"/>
                <w:lang w:eastAsia="en-US"/>
                <w14:textFill>
                  <w14:solidFill>
                    <w14:schemeClr w14:val="tx1"/>
                  </w14:solidFill>
                </w14:textFill>
              </w:rPr>
            </w:pPr>
            <w:r>
              <w:rPr>
                <w:rFonts w:cs="Times New Roman"/>
                <w:b/>
                <w:color w:val="000000" w:themeColor="text1"/>
                <w:kern w:val="0"/>
                <w:sz w:val="21"/>
                <w:szCs w:val="21"/>
                <w:highlight w:val="none"/>
                <w:lang w:eastAsia="en-US"/>
                <w14:textFill>
                  <w14:solidFill>
                    <w14:schemeClr w14:val="tx1"/>
                  </w14:solidFill>
                </w14:textFill>
              </w:rPr>
              <w:t>优势种</w:t>
            </w:r>
          </w:p>
        </w:tc>
        <w:tc>
          <w:tcPr>
            <w:tcW w:w="65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
                <w:color w:val="000000" w:themeColor="text1"/>
                <w:kern w:val="0"/>
                <w:sz w:val="21"/>
                <w:szCs w:val="21"/>
                <w:highlight w:val="none"/>
                <w:lang w:eastAsia="en-US"/>
                <w14:textFill>
                  <w14:solidFill>
                    <w14:schemeClr w14:val="tx1"/>
                  </w14:solidFill>
                </w14:textFill>
              </w:rPr>
            </w:pPr>
            <w:r>
              <w:rPr>
                <w:rFonts w:cs="Times New Roman"/>
                <w:b/>
                <w:color w:val="000000" w:themeColor="text1"/>
                <w:kern w:val="0"/>
                <w:sz w:val="21"/>
                <w:szCs w:val="21"/>
                <w:highlight w:val="none"/>
                <w:lang w:eastAsia="en-US"/>
                <w14:textFill>
                  <w14:solidFill>
                    <w14:schemeClr w14:val="tx1"/>
                  </w14:solidFill>
                </w14:textFill>
              </w:rPr>
              <w:t>海拔m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4" w:hRule="atLeast"/>
          <w:jc w:val="center"/>
        </w:trPr>
        <w:tc>
          <w:tcPr>
            <w:tcW w:w="846"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样地1</w:t>
            </w:r>
          </w:p>
        </w:tc>
        <w:tc>
          <w:tcPr>
            <w:tcW w:w="1134"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20m×20m</w:t>
            </w:r>
          </w:p>
        </w:tc>
        <w:tc>
          <w:tcPr>
            <w:tcW w:w="1843"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107.6047,31.3330</w:t>
            </w:r>
          </w:p>
        </w:tc>
        <w:tc>
          <w:tcPr>
            <w:tcW w:w="1701"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马尾松群系</w:t>
            </w:r>
          </w:p>
        </w:tc>
        <w:tc>
          <w:tcPr>
            <w:tcW w:w="1134"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马尾松</w:t>
            </w:r>
          </w:p>
        </w:tc>
        <w:tc>
          <w:tcPr>
            <w:tcW w:w="1417"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马尾松</w:t>
            </w:r>
          </w:p>
        </w:tc>
        <w:tc>
          <w:tcPr>
            <w:tcW w:w="65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450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5" w:hRule="atLeast"/>
          <w:jc w:val="center"/>
        </w:trPr>
        <w:tc>
          <w:tcPr>
            <w:tcW w:w="846"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样地2</w:t>
            </w:r>
          </w:p>
        </w:tc>
        <w:tc>
          <w:tcPr>
            <w:tcW w:w="1134"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20m×20m</w:t>
            </w:r>
          </w:p>
        </w:tc>
        <w:tc>
          <w:tcPr>
            <w:tcW w:w="1843"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107.6007,31.3337</w:t>
            </w:r>
          </w:p>
        </w:tc>
        <w:tc>
          <w:tcPr>
            <w:tcW w:w="1701"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马尾松群系</w:t>
            </w:r>
          </w:p>
        </w:tc>
        <w:tc>
          <w:tcPr>
            <w:tcW w:w="1134"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马尾松</w:t>
            </w:r>
          </w:p>
        </w:tc>
        <w:tc>
          <w:tcPr>
            <w:tcW w:w="1417"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马尾松</w:t>
            </w:r>
          </w:p>
        </w:tc>
        <w:tc>
          <w:tcPr>
            <w:tcW w:w="65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520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4" w:hRule="atLeast"/>
          <w:jc w:val="center"/>
        </w:trPr>
        <w:tc>
          <w:tcPr>
            <w:tcW w:w="846"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样地3</w:t>
            </w:r>
          </w:p>
        </w:tc>
        <w:tc>
          <w:tcPr>
            <w:tcW w:w="1134"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20m×20m</w:t>
            </w:r>
          </w:p>
        </w:tc>
        <w:tc>
          <w:tcPr>
            <w:tcW w:w="1843"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107.5716,31.3412</w:t>
            </w:r>
          </w:p>
        </w:tc>
        <w:tc>
          <w:tcPr>
            <w:tcW w:w="1701"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马尾松群系</w:t>
            </w:r>
          </w:p>
        </w:tc>
        <w:tc>
          <w:tcPr>
            <w:tcW w:w="1134"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马尾松</w:t>
            </w:r>
          </w:p>
        </w:tc>
        <w:tc>
          <w:tcPr>
            <w:tcW w:w="1417"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马尾松</w:t>
            </w:r>
          </w:p>
        </w:tc>
        <w:tc>
          <w:tcPr>
            <w:tcW w:w="65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612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8" w:hRule="atLeast"/>
          <w:jc w:val="center"/>
        </w:trPr>
        <w:tc>
          <w:tcPr>
            <w:tcW w:w="846"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样地4</w:t>
            </w:r>
          </w:p>
        </w:tc>
        <w:tc>
          <w:tcPr>
            <w:tcW w:w="1134"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20m×20m</w:t>
            </w:r>
          </w:p>
        </w:tc>
        <w:tc>
          <w:tcPr>
            <w:tcW w:w="1843"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107.5733,31.3414</w:t>
            </w:r>
          </w:p>
        </w:tc>
        <w:tc>
          <w:tcPr>
            <w:tcW w:w="1701"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麻栎、青冈群系</w:t>
            </w:r>
          </w:p>
        </w:tc>
        <w:tc>
          <w:tcPr>
            <w:tcW w:w="1134"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麻栎</w:t>
            </w:r>
          </w:p>
        </w:tc>
        <w:tc>
          <w:tcPr>
            <w:tcW w:w="1417"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麻栎、青冈</w:t>
            </w:r>
          </w:p>
        </w:tc>
        <w:tc>
          <w:tcPr>
            <w:tcW w:w="65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601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8" w:hRule="atLeast"/>
          <w:jc w:val="center"/>
        </w:trPr>
        <w:tc>
          <w:tcPr>
            <w:tcW w:w="846"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样地5</w:t>
            </w:r>
          </w:p>
        </w:tc>
        <w:tc>
          <w:tcPr>
            <w:tcW w:w="1134"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20m×20m</w:t>
            </w:r>
          </w:p>
        </w:tc>
        <w:tc>
          <w:tcPr>
            <w:tcW w:w="1843"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107.5860,31.3373</w:t>
            </w:r>
          </w:p>
        </w:tc>
        <w:tc>
          <w:tcPr>
            <w:tcW w:w="1701"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麻栎、青冈群系</w:t>
            </w:r>
          </w:p>
        </w:tc>
        <w:tc>
          <w:tcPr>
            <w:tcW w:w="1134"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麻栎</w:t>
            </w:r>
          </w:p>
        </w:tc>
        <w:tc>
          <w:tcPr>
            <w:tcW w:w="1417"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麻栎、青冈</w:t>
            </w:r>
          </w:p>
        </w:tc>
        <w:tc>
          <w:tcPr>
            <w:tcW w:w="65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401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8" w:hRule="atLeast"/>
          <w:jc w:val="center"/>
        </w:trPr>
        <w:tc>
          <w:tcPr>
            <w:tcW w:w="846"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样地6</w:t>
            </w:r>
          </w:p>
        </w:tc>
        <w:tc>
          <w:tcPr>
            <w:tcW w:w="1134"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20m×20m</w:t>
            </w:r>
          </w:p>
        </w:tc>
        <w:tc>
          <w:tcPr>
            <w:tcW w:w="1843"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107.5932,31.3362</w:t>
            </w:r>
          </w:p>
        </w:tc>
        <w:tc>
          <w:tcPr>
            <w:tcW w:w="1701"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麻栎、青冈群系</w:t>
            </w:r>
          </w:p>
        </w:tc>
        <w:tc>
          <w:tcPr>
            <w:tcW w:w="1134"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麻栎</w:t>
            </w:r>
          </w:p>
        </w:tc>
        <w:tc>
          <w:tcPr>
            <w:tcW w:w="1417"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麻栎、青冈</w:t>
            </w:r>
          </w:p>
        </w:tc>
        <w:tc>
          <w:tcPr>
            <w:tcW w:w="65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449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0" w:hRule="atLeast"/>
          <w:jc w:val="center"/>
        </w:trPr>
        <w:tc>
          <w:tcPr>
            <w:tcW w:w="846"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样地7</w:t>
            </w:r>
          </w:p>
        </w:tc>
        <w:tc>
          <w:tcPr>
            <w:tcW w:w="1134"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5m×5m</w:t>
            </w:r>
          </w:p>
        </w:tc>
        <w:tc>
          <w:tcPr>
            <w:tcW w:w="1843"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107.5173,31.3600</w:t>
            </w:r>
          </w:p>
        </w:tc>
        <w:tc>
          <w:tcPr>
            <w:tcW w:w="1701"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野桐、盐肤木</w:t>
            </w:r>
            <w:r>
              <w:rPr>
                <w:rFonts w:hint="eastAsia" w:cs="Times New Roman"/>
                <w:bCs/>
                <w:color w:val="000000" w:themeColor="text1"/>
                <w:kern w:val="0"/>
                <w:sz w:val="21"/>
                <w:szCs w:val="21"/>
                <w:highlight w:val="none"/>
                <w:lang w:eastAsia="en-US"/>
                <w14:textFill>
                  <w14:solidFill>
                    <w14:schemeClr w14:val="tx1"/>
                  </w14:solidFill>
                </w14:textFill>
              </w:rPr>
              <w:t>灌丛</w:t>
            </w:r>
          </w:p>
        </w:tc>
        <w:tc>
          <w:tcPr>
            <w:tcW w:w="1134"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野桐</w:t>
            </w:r>
          </w:p>
        </w:tc>
        <w:tc>
          <w:tcPr>
            <w:tcW w:w="1417"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野桐、盐肤木</w:t>
            </w:r>
          </w:p>
        </w:tc>
        <w:tc>
          <w:tcPr>
            <w:tcW w:w="65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365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0" w:hRule="atLeast"/>
          <w:jc w:val="center"/>
        </w:trPr>
        <w:tc>
          <w:tcPr>
            <w:tcW w:w="846"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样地8</w:t>
            </w:r>
          </w:p>
        </w:tc>
        <w:tc>
          <w:tcPr>
            <w:tcW w:w="1134"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5m×5m</w:t>
            </w:r>
          </w:p>
        </w:tc>
        <w:tc>
          <w:tcPr>
            <w:tcW w:w="1843"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107.531331.3582</w:t>
            </w:r>
          </w:p>
        </w:tc>
        <w:tc>
          <w:tcPr>
            <w:tcW w:w="1701"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野桐、盐肤木</w:t>
            </w:r>
            <w:r>
              <w:rPr>
                <w:rFonts w:hint="eastAsia" w:cs="Times New Roman"/>
                <w:bCs/>
                <w:color w:val="000000" w:themeColor="text1"/>
                <w:kern w:val="0"/>
                <w:sz w:val="21"/>
                <w:szCs w:val="21"/>
                <w:highlight w:val="none"/>
                <w:lang w:eastAsia="en-US"/>
                <w14:textFill>
                  <w14:solidFill>
                    <w14:schemeClr w14:val="tx1"/>
                  </w14:solidFill>
                </w14:textFill>
              </w:rPr>
              <w:t>灌丛</w:t>
            </w:r>
          </w:p>
        </w:tc>
        <w:tc>
          <w:tcPr>
            <w:tcW w:w="1134"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野桐</w:t>
            </w:r>
          </w:p>
        </w:tc>
        <w:tc>
          <w:tcPr>
            <w:tcW w:w="1417"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野桐、盐肤木</w:t>
            </w:r>
          </w:p>
        </w:tc>
        <w:tc>
          <w:tcPr>
            <w:tcW w:w="65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434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0" w:hRule="atLeast"/>
          <w:jc w:val="center"/>
        </w:trPr>
        <w:tc>
          <w:tcPr>
            <w:tcW w:w="846"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样地9</w:t>
            </w:r>
          </w:p>
        </w:tc>
        <w:tc>
          <w:tcPr>
            <w:tcW w:w="1134"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5m×5m</w:t>
            </w:r>
          </w:p>
        </w:tc>
        <w:tc>
          <w:tcPr>
            <w:tcW w:w="1843"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107.5731,31.3435</w:t>
            </w:r>
          </w:p>
        </w:tc>
        <w:tc>
          <w:tcPr>
            <w:tcW w:w="1701"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野桐、盐肤木</w:t>
            </w:r>
            <w:r>
              <w:rPr>
                <w:rFonts w:hint="eastAsia" w:cs="Times New Roman"/>
                <w:bCs/>
                <w:color w:val="000000" w:themeColor="text1"/>
                <w:kern w:val="0"/>
                <w:sz w:val="21"/>
                <w:szCs w:val="21"/>
                <w:highlight w:val="none"/>
                <w:lang w:eastAsia="en-US"/>
                <w14:textFill>
                  <w14:solidFill>
                    <w14:schemeClr w14:val="tx1"/>
                  </w14:solidFill>
                </w14:textFill>
              </w:rPr>
              <w:t>灌丛</w:t>
            </w:r>
          </w:p>
        </w:tc>
        <w:tc>
          <w:tcPr>
            <w:tcW w:w="1134"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野桐</w:t>
            </w:r>
          </w:p>
        </w:tc>
        <w:tc>
          <w:tcPr>
            <w:tcW w:w="1417"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野桐、盐肤木</w:t>
            </w:r>
          </w:p>
        </w:tc>
        <w:tc>
          <w:tcPr>
            <w:tcW w:w="65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643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0" w:hRule="atLeast"/>
          <w:jc w:val="center"/>
        </w:trPr>
        <w:tc>
          <w:tcPr>
            <w:tcW w:w="846"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样地10</w:t>
            </w:r>
          </w:p>
        </w:tc>
        <w:tc>
          <w:tcPr>
            <w:tcW w:w="1134"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5m×5m</w:t>
            </w:r>
          </w:p>
        </w:tc>
        <w:tc>
          <w:tcPr>
            <w:tcW w:w="1843"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107.5834,31.3375</w:t>
            </w:r>
          </w:p>
        </w:tc>
        <w:tc>
          <w:tcPr>
            <w:tcW w:w="1701"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zh-CN"/>
                <w14:textFill>
                  <w14:solidFill>
                    <w14:schemeClr w14:val="tx1"/>
                  </w14:solidFill>
                </w14:textFill>
              </w:rPr>
            </w:pPr>
            <w:r>
              <w:rPr>
                <w:rFonts w:cs="Times New Roman"/>
                <w:bCs/>
                <w:color w:val="000000" w:themeColor="text1"/>
                <w:kern w:val="0"/>
                <w:sz w:val="21"/>
                <w:szCs w:val="21"/>
                <w:highlight w:val="none"/>
                <w:lang w:eastAsia="zh-CN"/>
                <w14:textFill>
                  <w14:solidFill>
                    <w14:schemeClr w14:val="tx1"/>
                  </w14:solidFill>
                </w14:textFill>
              </w:rPr>
              <w:t>马桑+黄荆+火棘+荚蒾灌丛群系</w:t>
            </w:r>
          </w:p>
        </w:tc>
        <w:tc>
          <w:tcPr>
            <w:tcW w:w="1134"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马桑</w:t>
            </w:r>
          </w:p>
        </w:tc>
        <w:tc>
          <w:tcPr>
            <w:tcW w:w="1417"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黄荆、火棘、荚蒾</w:t>
            </w:r>
          </w:p>
        </w:tc>
        <w:tc>
          <w:tcPr>
            <w:tcW w:w="65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362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0" w:hRule="atLeast"/>
          <w:jc w:val="center"/>
        </w:trPr>
        <w:tc>
          <w:tcPr>
            <w:tcW w:w="846"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样地11</w:t>
            </w:r>
          </w:p>
        </w:tc>
        <w:tc>
          <w:tcPr>
            <w:tcW w:w="1134"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5m×5m</w:t>
            </w:r>
          </w:p>
        </w:tc>
        <w:tc>
          <w:tcPr>
            <w:tcW w:w="1843"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107.6024,31.3310</w:t>
            </w:r>
          </w:p>
        </w:tc>
        <w:tc>
          <w:tcPr>
            <w:tcW w:w="1701"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zh-CN"/>
                <w14:textFill>
                  <w14:solidFill>
                    <w14:schemeClr w14:val="tx1"/>
                  </w14:solidFill>
                </w14:textFill>
              </w:rPr>
            </w:pPr>
            <w:r>
              <w:rPr>
                <w:rFonts w:cs="Times New Roman"/>
                <w:bCs/>
                <w:color w:val="000000" w:themeColor="text1"/>
                <w:spacing w:val="15"/>
                <w:sz w:val="21"/>
                <w:szCs w:val="21"/>
                <w:highlight w:val="none"/>
                <w:lang w:eastAsia="zh-CN"/>
                <w14:textFill>
                  <w14:solidFill>
                    <w14:schemeClr w14:val="tx1"/>
                  </w14:solidFill>
                </w14:textFill>
              </w:rPr>
              <w:t>马桑+黄荆+火棘+荚蒾灌丛群系</w:t>
            </w:r>
          </w:p>
        </w:tc>
        <w:tc>
          <w:tcPr>
            <w:tcW w:w="1134"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spacing w:val="15"/>
                <w:sz w:val="21"/>
                <w:szCs w:val="21"/>
                <w:highlight w:val="none"/>
                <w:lang w:eastAsia="en-US"/>
                <w14:textFill>
                  <w14:solidFill>
                    <w14:schemeClr w14:val="tx1"/>
                  </w14:solidFill>
                </w14:textFill>
              </w:rPr>
              <w:t>马桑</w:t>
            </w:r>
          </w:p>
        </w:tc>
        <w:tc>
          <w:tcPr>
            <w:tcW w:w="1417"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spacing w:val="15"/>
                <w:sz w:val="21"/>
                <w:szCs w:val="21"/>
                <w:highlight w:val="none"/>
                <w:lang w:eastAsia="en-US"/>
                <w14:textFill>
                  <w14:solidFill>
                    <w14:schemeClr w14:val="tx1"/>
                  </w14:solidFill>
                </w14:textFill>
              </w:rPr>
              <w:t>黄荆、火棘、荚蒾</w:t>
            </w:r>
          </w:p>
        </w:tc>
        <w:tc>
          <w:tcPr>
            <w:tcW w:w="65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490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0" w:hRule="atLeast"/>
          <w:jc w:val="center"/>
        </w:trPr>
        <w:tc>
          <w:tcPr>
            <w:tcW w:w="846"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样地12</w:t>
            </w:r>
          </w:p>
        </w:tc>
        <w:tc>
          <w:tcPr>
            <w:tcW w:w="1134"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5m×5m</w:t>
            </w:r>
          </w:p>
        </w:tc>
        <w:tc>
          <w:tcPr>
            <w:tcW w:w="1843"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107.5538,31.3438</w:t>
            </w:r>
          </w:p>
        </w:tc>
        <w:tc>
          <w:tcPr>
            <w:tcW w:w="1701"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zh-CN"/>
                <w14:textFill>
                  <w14:solidFill>
                    <w14:schemeClr w14:val="tx1"/>
                  </w14:solidFill>
                </w14:textFill>
              </w:rPr>
            </w:pPr>
            <w:r>
              <w:rPr>
                <w:rFonts w:cs="Times New Roman"/>
                <w:bCs/>
                <w:color w:val="000000" w:themeColor="text1"/>
                <w:spacing w:val="15"/>
                <w:sz w:val="21"/>
                <w:szCs w:val="21"/>
                <w:highlight w:val="none"/>
                <w:lang w:eastAsia="zh-CN"/>
                <w14:textFill>
                  <w14:solidFill>
                    <w14:schemeClr w14:val="tx1"/>
                  </w14:solidFill>
                </w14:textFill>
              </w:rPr>
              <w:t>马桑+黄荆+火棘+荚蒾灌丛群系</w:t>
            </w:r>
          </w:p>
        </w:tc>
        <w:tc>
          <w:tcPr>
            <w:tcW w:w="1134"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spacing w:val="15"/>
                <w:sz w:val="21"/>
                <w:szCs w:val="21"/>
                <w:highlight w:val="none"/>
                <w:lang w:eastAsia="en-US"/>
                <w14:textFill>
                  <w14:solidFill>
                    <w14:schemeClr w14:val="tx1"/>
                  </w14:solidFill>
                </w14:textFill>
              </w:rPr>
              <w:t>马桑</w:t>
            </w:r>
          </w:p>
        </w:tc>
        <w:tc>
          <w:tcPr>
            <w:tcW w:w="1417"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spacing w:val="15"/>
                <w:sz w:val="21"/>
                <w:szCs w:val="21"/>
                <w:highlight w:val="none"/>
                <w:lang w:eastAsia="en-US"/>
                <w14:textFill>
                  <w14:solidFill>
                    <w14:schemeClr w14:val="tx1"/>
                  </w14:solidFill>
                </w14:textFill>
              </w:rPr>
              <w:t>黄荆、火棘、荚蒾</w:t>
            </w:r>
          </w:p>
        </w:tc>
        <w:tc>
          <w:tcPr>
            <w:tcW w:w="65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440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0" w:hRule="atLeast"/>
          <w:jc w:val="center"/>
        </w:trPr>
        <w:tc>
          <w:tcPr>
            <w:tcW w:w="846"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样地13</w:t>
            </w:r>
          </w:p>
        </w:tc>
        <w:tc>
          <w:tcPr>
            <w:tcW w:w="1134"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1</w:t>
            </w:r>
            <w:r>
              <w:rPr>
                <w:rFonts w:cs="Times New Roman"/>
                <w:bCs/>
                <w:color w:val="000000" w:themeColor="text1"/>
                <w:kern w:val="0"/>
                <w:sz w:val="21"/>
                <w:szCs w:val="21"/>
                <w:highlight w:val="none"/>
                <w:lang w:val="zh-CN" w:eastAsia="en-US"/>
                <w14:textFill>
                  <w14:solidFill>
                    <w14:schemeClr w14:val="tx1"/>
                  </w14:solidFill>
                </w14:textFill>
              </w:rPr>
              <w:t>m</w:t>
            </w:r>
            <w:r>
              <w:rPr>
                <w:rFonts w:cs="Times New Roman"/>
                <w:bCs/>
                <w:color w:val="000000" w:themeColor="text1"/>
                <w:kern w:val="0"/>
                <w:sz w:val="21"/>
                <w:szCs w:val="21"/>
                <w:highlight w:val="none"/>
                <w:lang w:eastAsia="en-US"/>
                <w14:textFill>
                  <w14:solidFill>
                    <w14:schemeClr w14:val="tx1"/>
                  </w14:solidFill>
                </w14:textFill>
              </w:rPr>
              <w:t>×1m</w:t>
            </w:r>
          </w:p>
        </w:tc>
        <w:tc>
          <w:tcPr>
            <w:tcW w:w="1843"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107.5325,31.3542</w:t>
            </w:r>
          </w:p>
        </w:tc>
        <w:tc>
          <w:tcPr>
            <w:tcW w:w="1701"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芒、白茅草丛群系</w:t>
            </w:r>
          </w:p>
        </w:tc>
        <w:tc>
          <w:tcPr>
            <w:tcW w:w="1134"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芒</w:t>
            </w:r>
          </w:p>
        </w:tc>
        <w:tc>
          <w:tcPr>
            <w:tcW w:w="1417"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芒、白茅、五节芒</w:t>
            </w:r>
          </w:p>
        </w:tc>
        <w:tc>
          <w:tcPr>
            <w:tcW w:w="65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425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0" w:hRule="atLeast"/>
          <w:jc w:val="center"/>
        </w:trPr>
        <w:tc>
          <w:tcPr>
            <w:tcW w:w="846"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样地14</w:t>
            </w:r>
          </w:p>
        </w:tc>
        <w:tc>
          <w:tcPr>
            <w:tcW w:w="1134"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1</w:t>
            </w:r>
            <w:r>
              <w:rPr>
                <w:rFonts w:cs="Times New Roman"/>
                <w:bCs/>
                <w:color w:val="000000" w:themeColor="text1"/>
                <w:kern w:val="0"/>
                <w:sz w:val="21"/>
                <w:szCs w:val="21"/>
                <w:highlight w:val="none"/>
                <w:lang w:val="zh-CN" w:eastAsia="en-US"/>
                <w14:textFill>
                  <w14:solidFill>
                    <w14:schemeClr w14:val="tx1"/>
                  </w14:solidFill>
                </w14:textFill>
              </w:rPr>
              <w:t>m</w:t>
            </w:r>
            <w:r>
              <w:rPr>
                <w:rFonts w:cs="Times New Roman"/>
                <w:bCs/>
                <w:color w:val="000000" w:themeColor="text1"/>
                <w:kern w:val="0"/>
                <w:sz w:val="21"/>
                <w:szCs w:val="21"/>
                <w:highlight w:val="none"/>
                <w:lang w:eastAsia="en-US"/>
                <w14:textFill>
                  <w14:solidFill>
                    <w14:schemeClr w14:val="tx1"/>
                  </w14:solidFill>
                </w14:textFill>
              </w:rPr>
              <w:t>×1m</w:t>
            </w:r>
          </w:p>
        </w:tc>
        <w:tc>
          <w:tcPr>
            <w:tcW w:w="1843"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107.5415,31.3471</w:t>
            </w:r>
          </w:p>
        </w:tc>
        <w:tc>
          <w:tcPr>
            <w:tcW w:w="1701"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芒、白茅草丛群系</w:t>
            </w:r>
          </w:p>
        </w:tc>
        <w:tc>
          <w:tcPr>
            <w:tcW w:w="1134"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芒</w:t>
            </w:r>
          </w:p>
        </w:tc>
        <w:tc>
          <w:tcPr>
            <w:tcW w:w="1417"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芒、白茅、五节芒</w:t>
            </w:r>
          </w:p>
        </w:tc>
        <w:tc>
          <w:tcPr>
            <w:tcW w:w="65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364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0" w:hRule="atLeast"/>
          <w:jc w:val="center"/>
        </w:trPr>
        <w:tc>
          <w:tcPr>
            <w:tcW w:w="846"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样地15</w:t>
            </w:r>
          </w:p>
        </w:tc>
        <w:tc>
          <w:tcPr>
            <w:tcW w:w="1134"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1</w:t>
            </w:r>
            <w:r>
              <w:rPr>
                <w:rFonts w:cs="Times New Roman"/>
                <w:bCs/>
                <w:color w:val="000000" w:themeColor="text1"/>
                <w:kern w:val="0"/>
                <w:sz w:val="21"/>
                <w:szCs w:val="21"/>
                <w:highlight w:val="none"/>
                <w:lang w:val="zh-CN" w:eastAsia="en-US"/>
                <w14:textFill>
                  <w14:solidFill>
                    <w14:schemeClr w14:val="tx1"/>
                  </w14:solidFill>
                </w14:textFill>
              </w:rPr>
              <w:t>m</w:t>
            </w:r>
            <w:r>
              <w:rPr>
                <w:rFonts w:cs="Times New Roman"/>
                <w:bCs/>
                <w:color w:val="000000" w:themeColor="text1"/>
                <w:kern w:val="0"/>
                <w:sz w:val="21"/>
                <w:szCs w:val="21"/>
                <w:highlight w:val="none"/>
                <w:lang w:eastAsia="en-US"/>
                <w14:textFill>
                  <w14:solidFill>
                    <w14:schemeClr w14:val="tx1"/>
                  </w14:solidFill>
                </w14:textFill>
              </w:rPr>
              <w:t>×1m</w:t>
            </w:r>
          </w:p>
        </w:tc>
        <w:tc>
          <w:tcPr>
            <w:tcW w:w="1843"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107.6049,31.3319</w:t>
            </w:r>
          </w:p>
        </w:tc>
        <w:tc>
          <w:tcPr>
            <w:tcW w:w="1701"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芒、白茅草丛群系</w:t>
            </w:r>
          </w:p>
        </w:tc>
        <w:tc>
          <w:tcPr>
            <w:tcW w:w="1134"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芒</w:t>
            </w:r>
          </w:p>
        </w:tc>
        <w:tc>
          <w:tcPr>
            <w:tcW w:w="1417"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芒、白茅、五节芒</w:t>
            </w:r>
          </w:p>
        </w:tc>
        <w:tc>
          <w:tcPr>
            <w:tcW w:w="65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462</w:t>
            </w:r>
          </w:p>
        </w:tc>
      </w:tr>
    </w:tbl>
    <w:p>
      <w:pPr>
        <w:spacing w:before="120" w:beforeLines="50"/>
        <w:ind w:firstLine="482"/>
        <w:rPr>
          <w:b/>
          <w:bCs/>
          <w:color w:val="000000" w:themeColor="text1"/>
          <w:szCs w:val="24"/>
          <w:highlight w:val="none"/>
          <w14:textFill>
            <w14:solidFill>
              <w14:schemeClr w14:val="tx1"/>
            </w14:solidFill>
          </w14:textFill>
        </w:rPr>
      </w:pPr>
      <w:r>
        <w:rPr>
          <w:b/>
          <w:bCs/>
          <w:color w:val="000000" w:themeColor="text1"/>
          <w:szCs w:val="24"/>
          <w:highlight w:val="none"/>
          <w14:textFill>
            <w14:solidFill>
              <w14:schemeClr w14:val="tx1"/>
            </w14:solidFill>
          </w14:textFill>
        </w:rPr>
        <w:t>（5）景观生态和生态系统类型调查</w:t>
      </w:r>
    </w:p>
    <w:p>
      <w:pPr>
        <w:ind w:firstLine="480"/>
        <w:rPr>
          <w:color w:val="000000" w:themeColor="text1"/>
          <w:highlight w:val="none"/>
          <w14:textFill>
            <w14:solidFill>
              <w14:schemeClr w14:val="tx1"/>
            </w14:solidFill>
          </w14:textFill>
        </w:rPr>
      </w:pPr>
      <w:r>
        <w:rPr>
          <w:bCs/>
          <w:color w:val="000000" w:themeColor="text1"/>
          <w:szCs w:val="24"/>
          <w:highlight w:val="none"/>
          <w14:textFill>
            <w14:solidFill>
              <w14:schemeClr w14:val="tx1"/>
            </w14:solidFill>
          </w14:textFill>
        </w:rPr>
        <w:t>以能够获得的近期卫星影像图为工作用图，采用路线调查法和主要景观地段重点观测相结合，区划记录评价范围不同自然景观类型、范围、特征及生态系统类型，以此分析生态系统服务功能</w:t>
      </w:r>
      <w:r>
        <w:rPr>
          <w:color w:val="000000" w:themeColor="text1"/>
          <w:highlight w:val="none"/>
          <w14:textFill>
            <w14:solidFill>
              <w14:schemeClr w14:val="tx1"/>
            </w14:solidFill>
          </w14:textFill>
        </w:rPr>
        <w:t>。</w:t>
      </w:r>
    </w:p>
    <w:p>
      <w:pPr>
        <w:ind w:firstLine="482"/>
        <w:rPr>
          <w:b/>
          <w:bCs/>
          <w:color w:val="000000" w:themeColor="text1"/>
          <w:szCs w:val="24"/>
          <w:highlight w:val="none"/>
          <w14:textFill>
            <w14:solidFill>
              <w14:schemeClr w14:val="tx1"/>
            </w14:solidFill>
          </w14:textFill>
        </w:rPr>
      </w:pPr>
      <w:r>
        <w:rPr>
          <w:b/>
          <w:bCs/>
          <w:color w:val="000000" w:themeColor="text1"/>
          <w:szCs w:val="24"/>
          <w:highlight w:val="none"/>
          <w14:textFill>
            <w14:solidFill>
              <w14:schemeClr w14:val="tx1"/>
            </w14:solidFill>
          </w14:textFill>
        </w:rPr>
        <w:t>（6）陆生野生动物调查</w:t>
      </w:r>
    </w:p>
    <w:bookmarkEnd w:id="244"/>
    <w:bookmarkEnd w:id="247"/>
    <w:p>
      <w:pPr>
        <w:pStyle w:val="380"/>
        <w:spacing w:line="360" w:lineRule="auto"/>
        <w:ind w:firstLine="480" w:firstLineChars="200"/>
        <w:rPr>
          <w:bCs/>
          <w:color w:val="000000" w:themeColor="text1"/>
          <w:sz w:val="24"/>
          <w:szCs w:val="24"/>
          <w:highlight w:val="none"/>
          <w14:textFill>
            <w14:solidFill>
              <w14:schemeClr w14:val="tx1"/>
            </w14:solidFill>
          </w14:textFill>
        </w:rPr>
      </w:pPr>
      <w:r>
        <w:rPr>
          <w:bCs/>
          <w:color w:val="000000" w:themeColor="text1"/>
          <w:sz w:val="24"/>
          <w:szCs w:val="24"/>
          <w:highlight w:val="none"/>
          <w14:textFill>
            <w14:solidFill>
              <w14:schemeClr w14:val="tx1"/>
            </w14:solidFill>
          </w14:textFill>
        </w:rPr>
        <w:t>野生动物调查采用野外实地调查、访问、查阅相关文献资料等三种方式进行，记录到种。</w:t>
      </w:r>
    </w:p>
    <w:p>
      <w:pPr>
        <w:pStyle w:val="380"/>
        <w:spacing w:line="360" w:lineRule="auto"/>
        <w:ind w:firstLine="480" w:firstLineChars="200"/>
        <w:rPr>
          <w:bCs/>
          <w:color w:val="000000" w:themeColor="text1"/>
          <w:sz w:val="24"/>
          <w:szCs w:val="24"/>
          <w:highlight w:val="none"/>
          <w14:textFill>
            <w14:solidFill>
              <w14:schemeClr w14:val="tx1"/>
            </w14:solidFill>
          </w14:textFill>
        </w:rPr>
      </w:pPr>
      <w:r>
        <w:rPr>
          <w:bCs/>
          <w:color w:val="000000" w:themeColor="text1"/>
          <w:sz w:val="24"/>
          <w:szCs w:val="24"/>
          <w:highlight w:val="none"/>
          <w14:textFill>
            <w14:solidFill>
              <w14:schemeClr w14:val="tx1"/>
            </w14:solidFill>
          </w14:textFill>
        </w:rPr>
        <w:t>资料检索法：主要收集、查阅项目区域相关科学研究和野外调查资料</w:t>
      </w:r>
      <w:r>
        <w:rPr>
          <w:rFonts w:hint="eastAsia"/>
          <w:bCs/>
          <w:color w:val="000000" w:themeColor="text1"/>
          <w:sz w:val="24"/>
          <w:szCs w:val="24"/>
          <w:highlight w:val="none"/>
          <w14:textFill>
            <w14:solidFill>
              <w14:schemeClr w14:val="tx1"/>
            </w14:solidFill>
          </w14:textFill>
        </w:rPr>
        <w:t>以及其他</w:t>
      </w:r>
      <w:r>
        <w:rPr>
          <w:bCs/>
          <w:color w:val="000000" w:themeColor="text1"/>
          <w:sz w:val="24"/>
          <w:szCs w:val="24"/>
          <w:highlight w:val="none"/>
          <w14:textFill>
            <w14:solidFill>
              <w14:schemeClr w14:val="tx1"/>
            </w14:solidFill>
          </w14:textFill>
        </w:rPr>
        <w:t>专家、学者发表的涉及项目区域的学术论文。应用这些文献资料时，尤其是在动物物种多样性方面，属当时调查获得的资料，直接引用或应用；属查阅资料获得的信息，如</w:t>
      </w:r>
      <w:r>
        <w:rPr>
          <w:rFonts w:hint="eastAsia"/>
          <w:bCs/>
          <w:color w:val="000000" w:themeColor="text1"/>
          <w:sz w:val="24"/>
          <w:szCs w:val="24"/>
          <w:highlight w:val="none"/>
          <w14:textFill>
            <w14:solidFill>
              <w14:schemeClr w14:val="tx1"/>
            </w14:solidFill>
          </w14:textFill>
        </w:rPr>
        <w:t>有其他</w:t>
      </w:r>
      <w:r>
        <w:rPr>
          <w:bCs/>
          <w:color w:val="000000" w:themeColor="text1"/>
          <w:sz w:val="24"/>
          <w:szCs w:val="24"/>
          <w:highlight w:val="none"/>
          <w14:textFill>
            <w14:solidFill>
              <w14:schemeClr w14:val="tx1"/>
            </w14:solidFill>
          </w14:textFill>
        </w:rPr>
        <w:t>文献资料佐证的也应用，否则，不应用。</w:t>
      </w:r>
    </w:p>
    <w:p>
      <w:pPr>
        <w:pStyle w:val="380"/>
        <w:spacing w:line="360" w:lineRule="auto"/>
        <w:rPr>
          <w:bCs/>
          <w:color w:val="000000" w:themeColor="text1"/>
          <w:sz w:val="24"/>
          <w:szCs w:val="24"/>
          <w:highlight w:val="none"/>
          <w14:textFill>
            <w14:solidFill>
              <w14:schemeClr w14:val="tx1"/>
            </w14:solidFill>
          </w14:textFill>
        </w:rPr>
      </w:pPr>
      <w:r>
        <w:rPr>
          <w:bCs/>
          <w:color w:val="000000" w:themeColor="text1"/>
          <w:sz w:val="24"/>
          <w:szCs w:val="24"/>
          <w:highlight w:val="none"/>
          <w14:textFill>
            <w14:solidFill>
              <w14:schemeClr w14:val="tx1"/>
            </w14:solidFill>
          </w14:textFill>
        </w:rPr>
        <w:t>访谈法：通过对当地林业及野生动物保护工作者、有野外经验的农民等进行访问和调查，与当地林业部门和林场的管理人员的有关同志进行交谈，了解当地动物的种类分布、数量情况。访谈时，先让访谈对象列举在当地见过哪些动物，再请其初步描述动物的形态特征和生活习性，最后提供动物图片供其辨认以确定具体种类。访谈时，调查人员避免诱导性提问，尽可能获得客观信息。调查人员对访谈对象提供的信息进行综合分析，确定物种的有无情况。访谈法可以快速了解野生动物在调查范围内的种类、分布情况及大致数量等信息，是对野外调查的重要补充，有利于了解整个评价区的动物资源状况。</w:t>
      </w:r>
    </w:p>
    <w:p>
      <w:pPr>
        <w:pStyle w:val="380"/>
        <w:spacing w:line="360" w:lineRule="auto"/>
        <w:ind w:firstLine="480" w:firstLineChars="200"/>
        <w:rPr>
          <w:bCs/>
          <w:color w:val="000000" w:themeColor="text1"/>
          <w:sz w:val="24"/>
          <w:szCs w:val="24"/>
          <w:highlight w:val="none"/>
          <w14:textFill>
            <w14:solidFill>
              <w14:schemeClr w14:val="tx1"/>
            </w14:solidFill>
          </w14:textFill>
        </w:rPr>
      </w:pPr>
      <w:r>
        <w:rPr>
          <w:bCs/>
          <w:color w:val="000000" w:themeColor="text1"/>
          <w:sz w:val="24"/>
          <w:szCs w:val="24"/>
          <w:highlight w:val="none"/>
          <w14:textFill>
            <w14:solidFill>
              <w14:schemeClr w14:val="tx1"/>
            </w14:solidFill>
          </w14:textFill>
        </w:rPr>
        <w:t>野外实地调查方法：主要为样线法，辅以样方法进行，具体如下：</w:t>
      </w:r>
    </w:p>
    <w:p>
      <w:pPr>
        <w:pStyle w:val="380"/>
        <w:spacing w:line="360" w:lineRule="auto"/>
        <w:ind w:firstLine="480" w:firstLineChars="200"/>
        <w:rPr>
          <w:bCs/>
          <w:color w:val="000000" w:themeColor="text1"/>
          <w:sz w:val="24"/>
          <w:szCs w:val="24"/>
          <w:highlight w:val="none"/>
          <w14:textFill>
            <w14:solidFill>
              <w14:schemeClr w14:val="tx1"/>
            </w14:solidFill>
          </w14:textFill>
        </w:rPr>
      </w:pPr>
      <w:r>
        <w:rPr>
          <w:bCs/>
          <w:color w:val="000000" w:themeColor="text1"/>
          <w:sz w:val="24"/>
          <w:szCs w:val="24"/>
          <w:highlight w:val="none"/>
          <w14:textFill>
            <w14:solidFill>
              <w14:schemeClr w14:val="tx1"/>
            </w14:solidFill>
          </w14:textFill>
        </w:rPr>
        <w:t>1）兽类</w:t>
      </w:r>
    </w:p>
    <w:p>
      <w:pPr>
        <w:pStyle w:val="380"/>
        <w:spacing w:line="360" w:lineRule="auto"/>
        <w:ind w:firstLine="480" w:firstLineChars="200"/>
        <w:rPr>
          <w:bCs/>
          <w:color w:val="000000" w:themeColor="text1"/>
          <w:sz w:val="24"/>
          <w:szCs w:val="24"/>
          <w:highlight w:val="none"/>
          <w14:textFill>
            <w14:solidFill>
              <w14:schemeClr w14:val="tx1"/>
            </w14:solidFill>
          </w14:textFill>
        </w:rPr>
      </w:pPr>
      <w:r>
        <w:rPr>
          <w:bCs/>
          <w:color w:val="000000" w:themeColor="text1"/>
          <w:sz w:val="24"/>
          <w:szCs w:val="24"/>
          <w:highlight w:val="none"/>
          <w14:textFill>
            <w14:solidFill>
              <w14:schemeClr w14:val="tx1"/>
            </w14:solidFill>
          </w14:textFill>
        </w:rPr>
        <w:t>在评价区内采用样线法进行调查，现场记录遇见的动物，并对粪便、毛发、脚印</w:t>
      </w:r>
      <w:r>
        <w:rPr>
          <w:rFonts w:hint="eastAsia"/>
          <w:bCs/>
          <w:color w:val="000000" w:themeColor="text1"/>
          <w:sz w:val="24"/>
          <w:szCs w:val="24"/>
          <w:highlight w:val="none"/>
          <w14:textFill>
            <w14:solidFill>
              <w14:schemeClr w14:val="tx1"/>
            </w14:solidFill>
          </w14:textFill>
        </w:rPr>
        <w:t>和其他</w:t>
      </w:r>
      <w:r>
        <w:rPr>
          <w:bCs/>
          <w:color w:val="000000" w:themeColor="text1"/>
          <w:sz w:val="24"/>
          <w:szCs w:val="24"/>
          <w:highlight w:val="none"/>
          <w14:textFill>
            <w14:solidFill>
              <w14:schemeClr w14:val="tx1"/>
            </w14:solidFill>
          </w14:textFill>
        </w:rPr>
        <w:t>痕迹进行采样及识别。小型兽类调查采用设置样方法，并在样方内用铗日法进行调查；调查主要哺乳动物的种类时，则以现地调查结合座谈访问为主，并参考《四川兽类原色图鉴》进行确认，同时结合文献资料进行整理和分析。</w:t>
      </w:r>
    </w:p>
    <w:p>
      <w:pPr>
        <w:pStyle w:val="380"/>
        <w:spacing w:line="360" w:lineRule="auto"/>
        <w:ind w:firstLine="480" w:firstLineChars="200"/>
        <w:rPr>
          <w:bCs/>
          <w:color w:val="000000" w:themeColor="text1"/>
          <w:sz w:val="24"/>
          <w:szCs w:val="24"/>
          <w:highlight w:val="none"/>
          <w14:textFill>
            <w14:solidFill>
              <w14:schemeClr w14:val="tx1"/>
            </w14:solidFill>
          </w14:textFill>
        </w:rPr>
      </w:pPr>
      <w:r>
        <w:rPr>
          <w:bCs/>
          <w:color w:val="000000" w:themeColor="text1"/>
          <w:sz w:val="24"/>
          <w:szCs w:val="24"/>
          <w:highlight w:val="none"/>
          <w14:textFill>
            <w14:solidFill>
              <w14:schemeClr w14:val="tx1"/>
            </w14:solidFill>
          </w14:textFill>
        </w:rPr>
        <w:t>2）鸟类</w:t>
      </w:r>
    </w:p>
    <w:p>
      <w:pPr>
        <w:pStyle w:val="380"/>
        <w:spacing w:line="360" w:lineRule="auto"/>
        <w:ind w:firstLine="480" w:firstLineChars="200"/>
        <w:rPr>
          <w:bCs/>
          <w:color w:val="000000" w:themeColor="text1"/>
          <w:sz w:val="24"/>
          <w:szCs w:val="24"/>
          <w:highlight w:val="none"/>
          <w14:textFill>
            <w14:solidFill>
              <w14:schemeClr w14:val="tx1"/>
            </w14:solidFill>
          </w14:textFill>
        </w:rPr>
      </w:pPr>
      <w:r>
        <w:rPr>
          <w:bCs/>
          <w:color w:val="000000" w:themeColor="text1"/>
          <w:sz w:val="24"/>
          <w:szCs w:val="24"/>
          <w:highlight w:val="none"/>
          <w14:textFill>
            <w14:solidFill>
              <w14:schemeClr w14:val="tx1"/>
            </w14:solidFill>
          </w14:textFill>
        </w:rPr>
        <w:t>在评价区内用样线法统计调查鸟类鸣声、羽毛和个体等</w:t>
      </w:r>
      <w:r>
        <w:rPr>
          <w:rFonts w:hint="eastAsia"/>
          <w:bCs/>
          <w:color w:val="000000" w:themeColor="text1"/>
          <w:sz w:val="24"/>
          <w:szCs w:val="24"/>
          <w:highlight w:val="none"/>
          <w14:textFill>
            <w14:solidFill>
              <w14:schemeClr w14:val="tx1"/>
            </w14:solidFill>
          </w14:textFill>
        </w:rPr>
        <w:t>形迹</w:t>
      </w:r>
      <w:r>
        <w:rPr>
          <w:bCs/>
          <w:color w:val="000000" w:themeColor="text1"/>
          <w:sz w:val="24"/>
          <w:szCs w:val="24"/>
          <w:highlight w:val="none"/>
          <w14:textFill>
            <w14:solidFill>
              <w14:schemeClr w14:val="tx1"/>
            </w14:solidFill>
          </w14:textFill>
        </w:rPr>
        <w:t>，同时结合文献资料确定其种类组成及其种群数量。此外对珍稀鸟类或大型鸟类则进行访问调查，并参考《四川鸟类原色图鉴》进行确认，同时结合文献资料进行整理和分析。</w:t>
      </w:r>
    </w:p>
    <w:p>
      <w:pPr>
        <w:pStyle w:val="380"/>
        <w:spacing w:line="360" w:lineRule="auto"/>
        <w:ind w:firstLine="480" w:firstLineChars="200"/>
        <w:rPr>
          <w:bCs/>
          <w:color w:val="000000" w:themeColor="text1"/>
          <w:sz w:val="24"/>
          <w:szCs w:val="24"/>
          <w:highlight w:val="none"/>
          <w14:textFill>
            <w14:solidFill>
              <w14:schemeClr w14:val="tx1"/>
            </w14:solidFill>
          </w14:textFill>
        </w:rPr>
      </w:pPr>
      <w:r>
        <w:rPr>
          <w:bCs/>
          <w:color w:val="000000" w:themeColor="text1"/>
          <w:sz w:val="24"/>
          <w:szCs w:val="24"/>
          <w:highlight w:val="none"/>
          <w14:textFill>
            <w14:solidFill>
              <w14:schemeClr w14:val="tx1"/>
            </w14:solidFill>
          </w14:textFill>
        </w:rPr>
        <w:t>3）两栖、爬行类</w:t>
      </w:r>
    </w:p>
    <w:p>
      <w:pPr>
        <w:pStyle w:val="380"/>
        <w:spacing w:line="360" w:lineRule="auto"/>
        <w:rPr>
          <w:bCs/>
          <w:color w:val="000000" w:themeColor="text1"/>
          <w:sz w:val="24"/>
          <w:szCs w:val="24"/>
          <w:highlight w:val="none"/>
          <w14:textFill>
            <w14:solidFill>
              <w14:schemeClr w14:val="tx1"/>
            </w14:solidFill>
          </w14:textFill>
        </w:rPr>
      </w:pPr>
      <w:r>
        <w:rPr>
          <w:bCs/>
          <w:color w:val="000000" w:themeColor="text1"/>
          <w:sz w:val="24"/>
          <w:szCs w:val="24"/>
          <w:highlight w:val="none"/>
          <w14:textFill>
            <w14:solidFill>
              <w14:schemeClr w14:val="tx1"/>
            </w14:solidFill>
          </w14:textFill>
        </w:rPr>
        <w:t>两栖、爬行动物行动慢，活动范围小，对水环境的依赖性强，采用沿评价区附近溪河布设样线，辅以足够数量的样方于傍晚进行调查，依据看到的动物实体或痕迹并结合访问、文献资料进行分析整理，并参考《四川两栖类原色图鉴</w:t>
      </w:r>
      <w:r>
        <w:rPr>
          <w:rFonts w:hint="eastAsia"/>
          <w:bCs/>
          <w:color w:val="000000" w:themeColor="text1"/>
          <w:sz w:val="24"/>
          <w:szCs w:val="24"/>
          <w:highlight w:val="none"/>
          <w14:textFill>
            <w14:solidFill>
              <w14:schemeClr w14:val="tx1"/>
            </w14:solidFill>
          </w14:textFill>
        </w:rPr>
        <w:t>》《</w:t>
      </w:r>
      <w:r>
        <w:rPr>
          <w:bCs/>
          <w:color w:val="000000" w:themeColor="text1"/>
          <w:sz w:val="24"/>
          <w:szCs w:val="24"/>
          <w:highlight w:val="none"/>
          <w14:textFill>
            <w14:solidFill>
              <w14:schemeClr w14:val="tx1"/>
            </w14:solidFill>
          </w14:textFill>
        </w:rPr>
        <w:t>四川爬行类动物原色图鉴》确定其种类。</w:t>
      </w:r>
    </w:p>
    <w:p>
      <w:pPr>
        <w:pStyle w:val="380"/>
        <w:spacing w:line="360" w:lineRule="auto"/>
        <w:ind w:firstLine="480" w:firstLineChars="200"/>
        <w:rPr>
          <w:bCs/>
          <w:color w:val="000000" w:themeColor="text1"/>
          <w:sz w:val="24"/>
          <w:szCs w:val="24"/>
          <w:highlight w:val="none"/>
          <w14:textFill>
            <w14:solidFill>
              <w14:schemeClr w14:val="tx1"/>
            </w14:solidFill>
          </w14:textFill>
        </w:rPr>
      </w:pPr>
      <w:r>
        <w:rPr>
          <w:bCs/>
          <w:color w:val="000000" w:themeColor="text1"/>
          <w:sz w:val="24"/>
          <w:szCs w:val="24"/>
          <w:highlight w:val="none"/>
          <w14:textFill>
            <w14:solidFill>
              <w14:schemeClr w14:val="tx1"/>
            </w14:solidFill>
          </w14:textFill>
        </w:rPr>
        <w:t>综合实地调查、访问调查和资料查阅，通过分析归纳和总结，得出项目区及其周边地区动物物种、种群数量和分布资料，为评价和保护提供科学依据。</w:t>
      </w:r>
    </w:p>
    <w:p>
      <w:pPr>
        <w:ind w:firstLine="480"/>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3、水生生物资源调查方法</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根据生态导则（HJ 19—2022）</w:t>
      </w:r>
      <w:r>
        <w:rPr>
          <w:rFonts w:cs="Times New Roman"/>
          <w:bCs/>
          <w:color w:val="000000" w:themeColor="text1"/>
          <w:szCs w:val="24"/>
          <w:highlight w:val="none"/>
          <w14:textFill>
            <w14:solidFill>
              <w14:schemeClr w14:val="tx1"/>
            </w14:solidFill>
          </w14:textFill>
        </w:rPr>
        <w:t>7.3.6</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三级评价现状调查以收集有效资料为主，可开展必要的遥感调查或现场校核。</w:t>
      </w:r>
      <w:r>
        <w:rPr>
          <w:rFonts w:hint="eastAsia" w:cs="Times New Roman"/>
          <w:bCs/>
          <w:color w:val="000000" w:themeColor="text1"/>
          <w:szCs w:val="24"/>
          <w:highlight w:val="none"/>
          <w14:textFill>
            <w14:solidFill>
              <w14:schemeClr w14:val="tx1"/>
            </w14:solidFill>
          </w14:textFill>
        </w:rPr>
        <w:t>本项目主要参考《G542 改建工程巴河特大桥对巴河、蹬子河大桥对蹬子河流域水生生物多样性影响评价报告</w:t>
      </w:r>
      <w:r>
        <w:rPr>
          <w:rFonts w:hint="eastAsia" w:cs="Times New Roman"/>
          <w:bCs/>
          <w:color w:val="000000" w:themeColor="text1"/>
          <w:szCs w:val="24"/>
          <w:highlight w:val="none"/>
          <w:lang w:eastAsia="zh-CN"/>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达州市高家坝大桥建设项目对州河流域水生生物多样性影响专题评价报告》等项目周边相关水生生态论证结果，并结合现场采访当地居民了解鱼类分布种类相关情况。</w:t>
      </w:r>
    </w:p>
    <w:p>
      <w:pPr>
        <w:ind w:firstLine="480"/>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4</w:t>
      </w:r>
      <w:r>
        <w:rPr>
          <w:rFonts w:cs="Times New Roman"/>
          <w:bCs/>
          <w:color w:val="000000" w:themeColor="text1"/>
          <w:highlight w:val="none"/>
          <w14:textFill>
            <w14:solidFill>
              <w14:schemeClr w14:val="tx1"/>
            </w14:solidFill>
          </w14:textFill>
        </w:rPr>
        <w:t>、生态制图</w:t>
      </w:r>
    </w:p>
    <w:p>
      <w:pPr>
        <w:pStyle w:val="380"/>
        <w:spacing w:line="360" w:lineRule="auto"/>
        <w:ind w:firstLine="480" w:firstLineChars="200"/>
        <w:rPr>
          <w:bCs/>
          <w:color w:val="000000" w:themeColor="text1"/>
          <w:sz w:val="24"/>
          <w:szCs w:val="24"/>
          <w:highlight w:val="none"/>
          <w14:textFill>
            <w14:solidFill>
              <w14:schemeClr w14:val="tx1"/>
            </w14:solidFill>
          </w14:textFill>
        </w:rPr>
      </w:pPr>
      <w:r>
        <w:rPr>
          <w:bCs/>
          <w:color w:val="000000" w:themeColor="text1"/>
          <w:sz w:val="24"/>
          <w:szCs w:val="24"/>
          <w:highlight w:val="none"/>
          <w14:textFill>
            <w14:solidFill>
              <w14:schemeClr w14:val="tx1"/>
            </w14:solidFill>
          </w14:textFill>
        </w:rPr>
        <w:t>在现场调查和群系样地调查的基础上，采用GPS、RS和GIS相结合的空间信息技术，进行地面类型的数字化判读，统计评价范围内各植被类型、面积、土地利用现状类型及数量。完成数字化的植被类型图和土地利用现状图及土壤侵蚀图，进行景观质量和生态环境质量的定性和定量评价。</w:t>
      </w:r>
    </w:p>
    <w:p>
      <w:pPr>
        <w:ind w:firstLine="480"/>
        <w:rPr>
          <w:color w:val="000000" w:themeColor="text1"/>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次研究选用国产资源卫星zy-3卫片，融合后地面精度为2.1m，采用地表植被特征的“近红外、红外、绿”三个波段，其中植被影响主要反映为红色。植被类型不同，色彩和色调都发生相应变化，因此可区分出植被亚型以上的植被类型以及农田、居民用地等地面类型。同时也参考了美国wordview卫片作为参考，分辨率1.24米能较好地满足调查需求，但是，植被类型的确定需结合不同植被类型分布的生态学特征，不能单纯依靠色彩进行划分，对监督分类产生的植被初图，结合路线调查记录和等高线、坡度、坡向等信息，对植被图进行目视解译校正，得到符合精度的植被图。在植被图的基础上，进一步合并有关地面类型，得到土地利用类型图</w:t>
      </w:r>
      <w:r>
        <w:rPr>
          <w:color w:val="000000" w:themeColor="text1"/>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（1）评价范围植被资源现状</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评价范围内植被概况见表4.3-3及《附图评价区植被类型图》。</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评价范围内主要植被类型面积统计表</w:t>
      </w:r>
    </w:p>
    <w:tbl>
      <w:tblPr>
        <w:tblStyle w:val="379"/>
        <w:tblW w:w="51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84"/>
        <w:gridCol w:w="854"/>
        <w:gridCol w:w="934"/>
        <w:gridCol w:w="1345"/>
        <w:gridCol w:w="1940"/>
        <w:gridCol w:w="1464"/>
        <w:gridCol w:w="13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2" w:hRule="atLeast"/>
          <w:jc w:val="center"/>
        </w:trPr>
        <w:tc>
          <w:tcPr>
            <w:tcW w:w="399" w:type="pct"/>
            <w:vAlign w:val="center"/>
          </w:tcPr>
          <w:p>
            <w:pPr>
              <w:adjustRightInd/>
              <w:snapToGrid/>
              <w:spacing w:before="51" w:line="214" w:lineRule="auto"/>
              <w:ind w:firstLine="0" w:firstLineChars="0"/>
              <w:jc w:val="center"/>
              <w:rPr>
                <w:rFonts w:cs="Times New Roman"/>
                <w:b/>
                <w:color w:val="000000" w:themeColor="text1"/>
                <w:spacing w:val="-4"/>
                <w:sz w:val="21"/>
                <w:szCs w:val="21"/>
                <w:highlight w:val="none"/>
                <w:lang w:eastAsia="en-US"/>
                <w14:textFill>
                  <w14:solidFill>
                    <w14:schemeClr w14:val="tx1"/>
                  </w14:solidFill>
                </w14:textFill>
              </w:rPr>
            </w:pPr>
            <w:r>
              <w:rPr>
                <w:rFonts w:cs="Times New Roman"/>
                <w:b/>
                <w:color w:val="000000" w:themeColor="text1"/>
                <w:spacing w:val="-4"/>
                <w:sz w:val="21"/>
                <w:szCs w:val="21"/>
                <w:highlight w:val="none"/>
                <w:lang w:eastAsia="en-US"/>
                <w14:textFill>
                  <w14:solidFill>
                    <w14:schemeClr w14:val="tx1"/>
                  </w14:solidFill>
                </w14:textFill>
              </w:rPr>
              <w:t>植被型组</w:t>
            </w:r>
          </w:p>
        </w:tc>
        <w:tc>
          <w:tcPr>
            <w:tcW w:w="498" w:type="pct"/>
            <w:vAlign w:val="center"/>
          </w:tcPr>
          <w:p>
            <w:pPr>
              <w:adjustRightInd/>
              <w:snapToGrid/>
              <w:spacing w:before="51" w:line="214" w:lineRule="auto"/>
              <w:ind w:firstLine="0" w:firstLineChars="0"/>
              <w:jc w:val="center"/>
              <w:rPr>
                <w:rFonts w:cs="Times New Roman"/>
                <w:b/>
                <w:color w:val="000000" w:themeColor="text1"/>
                <w:spacing w:val="-4"/>
                <w:sz w:val="21"/>
                <w:szCs w:val="21"/>
                <w:highlight w:val="none"/>
                <w:lang w:eastAsia="en-US"/>
                <w14:textFill>
                  <w14:solidFill>
                    <w14:schemeClr w14:val="tx1"/>
                  </w14:solidFill>
                </w14:textFill>
              </w:rPr>
            </w:pPr>
            <w:r>
              <w:rPr>
                <w:rFonts w:cs="Times New Roman"/>
                <w:b/>
                <w:color w:val="000000" w:themeColor="text1"/>
                <w:spacing w:val="-4"/>
                <w:sz w:val="21"/>
                <w:szCs w:val="21"/>
                <w:highlight w:val="none"/>
                <w:lang w:eastAsia="en-US"/>
                <w14:textFill>
                  <w14:solidFill>
                    <w14:schemeClr w14:val="tx1"/>
                  </w14:solidFill>
                </w14:textFill>
              </w:rPr>
              <w:t>植被型</w:t>
            </w:r>
          </w:p>
        </w:tc>
        <w:tc>
          <w:tcPr>
            <w:tcW w:w="545" w:type="pct"/>
            <w:vAlign w:val="center"/>
          </w:tcPr>
          <w:p>
            <w:pPr>
              <w:adjustRightInd/>
              <w:snapToGrid/>
              <w:spacing w:before="51" w:line="214" w:lineRule="auto"/>
              <w:ind w:firstLine="0" w:firstLineChars="0"/>
              <w:jc w:val="center"/>
              <w:rPr>
                <w:rFonts w:cs="Times New Roman"/>
                <w:b/>
                <w:color w:val="000000" w:themeColor="text1"/>
                <w:spacing w:val="-4"/>
                <w:sz w:val="21"/>
                <w:szCs w:val="21"/>
                <w:highlight w:val="none"/>
                <w:lang w:eastAsia="en-US"/>
                <w14:textFill>
                  <w14:solidFill>
                    <w14:schemeClr w14:val="tx1"/>
                  </w14:solidFill>
                </w14:textFill>
              </w:rPr>
            </w:pPr>
            <w:r>
              <w:rPr>
                <w:rFonts w:cs="Times New Roman"/>
                <w:b/>
                <w:color w:val="000000" w:themeColor="text1"/>
                <w:spacing w:val="-4"/>
                <w:sz w:val="21"/>
                <w:szCs w:val="21"/>
                <w:highlight w:val="none"/>
                <w:lang w:eastAsia="en-US"/>
                <w14:textFill>
                  <w14:solidFill>
                    <w14:schemeClr w14:val="tx1"/>
                  </w14:solidFill>
                </w14:textFill>
              </w:rPr>
              <w:t>植被亚型</w:t>
            </w:r>
          </w:p>
        </w:tc>
        <w:tc>
          <w:tcPr>
            <w:tcW w:w="785" w:type="pct"/>
            <w:vAlign w:val="center"/>
          </w:tcPr>
          <w:p>
            <w:pPr>
              <w:adjustRightInd/>
              <w:snapToGrid/>
              <w:spacing w:before="51" w:line="214" w:lineRule="auto"/>
              <w:ind w:firstLine="0" w:firstLineChars="0"/>
              <w:jc w:val="center"/>
              <w:rPr>
                <w:rFonts w:cs="Times New Roman"/>
                <w:b/>
                <w:color w:val="000000" w:themeColor="text1"/>
                <w:spacing w:val="-3"/>
                <w:sz w:val="21"/>
                <w:szCs w:val="21"/>
                <w:highlight w:val="none"/>
                <w:lang w:eastAsia="en-US"/>
                <w14:textFill>
                  <w14:solidFill>
                    <w14:schemeClr w14:val="tx1"/>
                  </w14:solidFill>
                </w14:textFill>
              </w:rPr>
            </w:pPr>
            <w:r>
              <w:rPr>
                <w:rFonts w:cs="Times New Roman"/>
                <w:b/>
                <w:color w:val="000000" w:themeColor="text1"/>
                <w:spacing w:val="-3"/>
                <w:sz w:val="21"/>
                <w:szCs w:val="21"/>
                <w:highlight w:val="none"/>
                <w:lang w:eastAsia="en-US"/>
                <w14:textFill>
                  <w14:solidFill>
                    <w14:schemeClr w14:val="tx1"/>
                  </w14:solidFill>
                </w14:textFill>
              </w:rPr>
              <w:t>群系组</w:t>
            </w:r>
          </w:p>
        </w:tc>
        <w:tc>
          <w:tcPr>
            <w:tcW w:w="1132" w:type="pct"/>
            <w:vAlign w:val="center"/>
          </w:tcPr>
          <w:p>
            <w:pPr>
              <w:adjustRightInd/>
              <w:snapToGrid/>
              <w:spacing w:before="51" w:line="214" w:lineRule="auto"/>
              <w:ind w:firstLine="0" w:firstLineChars="0"/>
              <w:jc w:val="center"/>
              <w:rPr>
                <w:rFonts w:cs="Times New Roman"/>
                <w:b/>
                <w:color w:val="000000" w:themeColor="text1"/>
                <w:sz w:val="21"/>
                <w:szCs w:val="21"/>
                <w:highlight w:val="none"/>
                <w:lang w:eastAsia="en-US"/>
                <w14:textFill>
                  <w14:solidFill>
                    <w14:schemeClr w14:val="tx1"/>
                  </w14:solidFill>
                </w14:textFill>
              </w:rPr>
            </w:pPr>
            <w:r>
              <w:rPr>
                <w:rFonts w:cs="Times New Roman"/>
                <w:b/>
                <w:color w:val="000000" w:themeColor="text1"/>
                <w:spacing w:val="-3"/>
                <w:sz w:val="21"/>
                <w:szCs w:val="21"/>
                <w:highlight w:val="none"/>
                <w:lang w:eastAsia="en-US"/>
                <w14:textFill>
                  <w14:solidFill>
                    <w14:schemeClr w14:val="tx1"/>
                  </w14:solidFill>
                </w14:textFill>
              </w:rPr>
              <w:t>群</w:t>
            </w:r>
            <w:r>
              <w:rPr>
                <w:rFonts w:cs="Times New Roman"/>
                <w:b/>
                <w:color w:val="000000" w:themeColor="text1"/>
                <w:spacing w:val="-2"/>
                <w:sz w:val="21"/>
                <w:szCs w:val="21"/>
                <w:highlight w:val="none"/>
                <w:lang w:eastAsia="en-US"/>
                <w14:textFill>
                  <w14:solidFill>
                    <w14:schemeClr w14:val="tx1"/>
                  </w14:solidFill>
                </w14:textFill>
              </w:rPr>
              <w:t>系</w:t>
            </w:r>
          </w:p>
        </w:tc>
        <w:tc>
          <w:tcPr>
            <w:tcW w:w="854" w:type="pct"/>
            <w:vAlign w:val="center"/>
          </w:tcPr>
          <w:p>
            <w:pPr>
              <w:adjustRightInd/>
              <w:snapToGrid/>
              <w:spacing w:line="240" w:lineRule="auto"/>
              <w:ind w:firstLine="0" w:firstLineChars="0"/>
              <w:jc w:val="center"/>
              <w:rPr>
                <w:rFonts w:cs="Times New Roman"/>
                <w:b/>
                <w:color w:val="000000" w:themeColor="text1"/>
                <w:spacing w:val="-2"/>
                <w:sz w:val="21"/>
                <w:szCs w:val="21"/>
                <w:highlight w:val="none"/>
                <w:lang w:eastAsia="en-US"/>
                <w14:textFill>
                  <w14:solidFill>
                    <w14:schemeClr w14:val="tx1"/>
                  </w14:solidFill>
                </w14:textFill>
              </w:rPr>
            </w:pPr>
            <w:r>
              <w:rPr>
                <w:rFonts w:cs="Times New Roman"/>
                <w:b/>
                <w:color w:val="000000" w:themeColor="text1"/>
                <w:sz w:val="21"/>
                <w:szCs w:val="21"/>
                <w:highlight w:val="none"/>
                <w:lang w:eastAsia="en-US"/>
                <w14:textFill>
                  <w14:solidFill>
                    <w14:schemeClr w14:val="tx1"/>
                  </w14:solidFill>
                </w14:textFill>
              </w:rPr>
              <w:t>面积</w:t>
            </w:r>
            <w:r>
              <w:rPr>
                <w:rFonts w:hint="eastAsia" w:cs="Times New Roman"/>
                <w:b/>
                <w:color w:val="000000" w:themeColor="text1"/>
                <w:sz w:val="21"/>
                <w:szCs w:val="21"/>
                <w:highlight w:val="none"/>
                <w:lang w:eastAsia="en-US"/>
                <w14:textFill>
                  <w14:solidFill>
                    <w14:schemeClr w14:val="tx1"/>
                  </w14:solidFill>
                </w14:textFill>
              </w:rPr>
              <w:t>（</w:t>
            </w:r>
            <w:r>
              <w:rPr>
                <w:rFonts w:cs="Times New Roman"/>
                <w:b/>
                <w:color w:val="000000" w:themeColor="text1"/>
                <w:sz w:val="21"/>
                <w:szCs w:val="21"/>
                <w:highlight w:val="none"/>
                <w:lang w:eastAsia="en-US"/>
                <w14:textFill>
                  <w14:solidFill>
                    <w14:schemeClr w14:val="tx1"/>
                  </w14:solidFill>
                </w14:textFill>
              </w:rPr>
              <w:t>hm²</w:t>
            </w:r>
            <w:r>
              <w:rPr>
                <w:rFonts w:hint="eastAsia" w:cs="Times New Roman"/>
                <w:b/>
                <w:color w:val="000000" w:themeColor="text1"/>
                <w:sz w:val="21"/>
                <w:szCs w:val="21"/>
                <w:highlight w:val="none"/>
                <w:lang w:eastAsia="en-US"/>
                <w14:textFill>
                  <w14:solidFill>
                    <w14:schemeClr w14:val="tx1"/>
                  </w14:solidFill>
                </w14:textFill>
              </w:rPr>
              <w:t>）</w:t>
            </w:r>
          </w:p>
        </w:tc>
        <w:tc>
          <w:tcPr>
            <w:tcW w:w="788" w:type="pct"/>
            <w:vAlign w:val="center"/>
          </w:tcPr>
          <w:p>
            <w:pPr>
              <w:adjustRightInd/>
              <w:snapToGrid/>
              <w:spacing w:line="240" w:lineRule="auto"/>
              <w:ind w:firstLine="0" w:firstLineChars="0"/>
              <w:jc w:val="center"/>
              <w:rPr>
                <w:rFonts w:cs="Times New Roman"/>
                <w:b/>
                <w:color w:val="000000" w:themeColor="text1"/>
                <w:spacing w:val="-2"/>
                <w:sz w:val="21"/>
                <w:szCs w:val="21"/>
                <w:highlight w:val="none"/>
                <w:lang w:eastAsia="en-US"/>
                <w14:textFill>
                  <w14:solidFill>
                    <w14:schemeClr w14:val="tx1"/>
                  </w14:solidFill>
                </w14:textFill>
              </w:rPr>
            </w:pPr>
            <w:r>
              <w:rPr>
                <w:rFonts w:cs="Times New Roman"/>
                <w:b/>
                <w:color w:val="000000" w:themeColor="text1"/>
                <w:sz w:val="21"/>
                <w:szCs w:val="21"/>
                <w:highlight w:val="none"/>
                <w:lang w:eastAsia="en-US"/>
                <w14:textFill>
                  <w14:solidFill>
                    <w14:schemeClr w14:val="tx1"/>
                  </w14:solidFill>
                </w14:textFill>
              </w:rPr>
              <w:t>比例</w:t>
            </w:r>
            <w:r>
              <w:rPr>
                <w:rFonts w:hint="eastAsia" w:cs="Times New Roman"/>
                <w:b/>
                <w:color w:val="000000" w:themeColor="text1"/>
                <w:sz w:val="21"/>
                <w:szCs w:val="21"/>
                <w:highlight w:val="none"/>
                <w:lang w:eastAsia="en-US"/>
                <w14:textFill>
                  <w14:solidFill>
                    <w14:schemeClr w14:val="tx1"/>
                  </w14:solidFill>
                </w14:textFill>
              </w:rPr>
              <w:t>（</w:t>
            </w:r>
            <w:r>
              <w:rPr>
                <w:rFonts w:cs="Times New Roman"/>
                <w:b/>
                <w:color w:val="000000" w:themeColor="text1"/>
                <w:sz w:val="21"/>
                <w:szCs w:val="21"/>
                <w:highlight w:val="none"/>
                <w:lang w:eastAsia="en-US"/>
                <w14:textFill>
                  <w14:solidFill>
                    <w14:schemeClr w14:val="tx1"/>
                  </w14:solidFill>
                </w14:textFill>
              </w:rPr>
              <w:t>%</w:t>
            </w:r>
            <w:r>
              <w:rPr>
                <w:rFonts w:hint="eastAsia" w:cs="Times New Roman"/>
                <w:b/>
                <w:color w:val="000000" w:themeColor="text1"/>
                <w:sz w:val="21"/>
                <w:szCs w:val="21"/>
                <w:highlight w:val="none"/>
                <w:lang w:eastAsia="en-US"/>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1" w:hRule="atLeast"/>
          <w:jc w:val="center"/>
        </w:trPr>
        <w:tc>
          <w:tcPr>
            <w:tcW w:w="399" w:type="pct"/>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针叶林</w:t>
            </w:r>
          </w:p>
        </w:tc>
        <w:tc>
          <w:tcPr>
            <w:tcW w:w="498" w:type="pct"/>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暖性针叶林</w:t>
            </w:r>
          </w:p>
        </w:tc>
        <w:tc>
          <w:tcPr>
            <w:tcW w:w="545" w:type="pct"/>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12"/>
                <w:sz w:val="21"/>
                <w:szCs w:val="21"/>
                <w:highlight w:val="none"/>
                <w:lang w:eastAsia="en-US"/>
                <w14:textFill>
                  <w14:solidFill>
                    <w14:schemeClr w14:val="tx1"/>
                  </w14:solidFill>
                </w14:textFill>
              </w:rPr>
              <w:t>暖性常绿</w:t>
            </w:r>
            <w:r>
              <w:rPr>
                <w:rFonts w:cs="Times New Roman"/>
                <w:bCs/>
                <w:color w:val="000000" w:themeColor="text1"/>
                <w:spacing w:val="-4"/>
                <w:sz w:val="21"/>
                <w:szCs w:val="21"/>
                <w:highlight w:val="none"/>
                <w:lang w:eastAsia="en-US"/>
                <w14:textFill>
                  <w14:solidFill>
                    <w14:schemeClr w14:val="tx1"/>
                  </w14:solidFill>
                </w14:textFill>
              </w:rPr>
              <w:t>针叶林</w:t>
            </w:r>
          </w:p>
        </w:tc>
        <w:tc>
          <w:tcPr>
            <w:tcW w:w="785" w:type="pct"/>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eastAsia="en-US" w:bidi="ar"/>
                <w14:textFill>
                  <w14:solidFill>
                    <w14:schemeClr w14:val="tx1"/>
                  </w14:solidFill>
                </w14:textFill>
              </w:rPr>
            </w:pPr>
            <w:r>
              <w:rPr>
                <w:rFonts w:cs="Times New Roman"/>
                <w:bCs/>
                <w:color w:val="000000" w:themeColor="text1"/>
                <w:kern w:val="0"/>
                <w:sz w:val="21"/>
                <w:szCs w:val="21"/>
                <w:highlight w:val="none"/>
                <w:lang w:eastAsia="en-US" w:bidi="ar"/>
                <w14:textFill>
                  <w14:solidFill>
                    <w14:schemeClr w14:val="tx1"/>
                  </w14:solidFill>
                </w14:textFill>
              </w:rPr>
              <w:t>暖性松林</w:t>
            </w:r>
          </w:p>
        </w:tc>
        <w:tc>
          <w:tcPr>
            <w:tcW w:w="1132" w:type="pct"/>
            <w:vAlign w:val="center"/>
          </w:tcPr>
          <w:p>
            <w:pPr>
              <w:widowControl/>
              <w:adjustRightInd/>
              <w:snapToGrid/>
              <w:spacing w:line="240" w:lineRule="auto"/>
              <w:ind w:firstLine="0" w:firstLineChars="0"/>
              <w:jc w:val="center"/>
              <w:textAlignment w:val="bottom"/>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bidi="ar"/>
                <w14:textFill>
                  <w14:solidFill>
                    <w14:schemeClr w14:val="tx1"/>
                  </w14:solidFill>
                </w14:textFill>
              </w:rPr>
              <w:t>马尾松</w:t>
            </w:r>
            <w:r>
              <w:rPr>
                <w:rFonts w:cs="Times New Roman"/>
                <w:bCs/>
                <w:color w:val="000000" w:themeColor="text1"/>
                <w:spacing w:val="-3"/>
                <w:sz w:val="21"/>
                <w:szCs w:val="21"/>
                <w:highlight w:val="none"/>
                <w:lang w:eastAsia="en-US"/>
                <w14:textFill>
                  <w14:solidFill>
                    <w14:schemeClr w14:val="tx1"/>
                  </w14:solidFill>
                </w14:textFill>
              </w:rPr>
              <w:t>群</w:t>
            </w:r>
            <w:r>
              <w:rPr>
                <w:rFonts w:cs="Times New Roman"/>
                <w:bCs/>
                <w:color w:val="000000" w:themeColor="text1"/>
                <w:spacing w:val="-2"/>
                <w:sz w:val="21"/>
                <w:szCs w:val="21"/>
                <w:highlight w:val="none"/>
                <w:lang w:eastAsia="en-US"/>
                <w14:textFill>
                  <w14:solidFill>
                    <w14:schemeClr w14:val="tx1"/>
                  </w14:solidFill>
                </w14:textFill>
              </w:rPr>
              <w:t>系</w:t>
            </w:r>
          </w:p>
        </w:tc>
        <w:tc>
          <w:tcPr>
            <w:tcW w:w="854" w:type="pct"/>
            <w:vAlign w:val="center"/>
          </w:tcPr>
          <w:p>
            <w:pPr>
              <w:widowControl/>
              <w:adjustRightInd/>
              <w:snapToGrid/>
              <w:spacing w:line="240" w:lineRule="auto"/>
              <w:ind w:firstLine="0" w:firstLineChars="0"/>
              <w:jc w:val="center"/>
              <w:textAlignment w:val="bottom"/>
              <w:rPr>
                <w:rFonts w:cs="Times New Roman"/>
                <w:bCs/>
                <w:color w:val="000000" w:themeColor="text1"/>
                <w:sz w:val="21"/>
                <w:szCs w:val="21"/>
                <w:highlight w:val="none"/>
                <w:lang w:eastAsia="en-US"/>
                <w14:textFill>
                  <w14:solidFill>
                    <w14:schemeClr w14:val="tx1"/>
                  </w14:solidFill>
                </w14:textFill>
              </w:rPr>
            </w:pPr>
            <w:r>
              <w:rPr>
                <w:rFonts w:cs="Times New Roman"/>
                <w:bCs/>
                <w:color w:val="000000" w:themeColor="text1"/>
                <w:sz w:val="21"/>
                <w:szCs w:val="21"/>
                <w:highlight w:val="none"/>
                <w:lang w:eastAsia="en-US"/>
                <w14:textFill>
                  <w14:solidFill>
                    <w14:schemeClr w14:val="tx1"/>
                  </w14:solidFill>
                </w14:textFill>
              </w:rPr>
              <w:t>195.55</w:t>
            </w:r>
          </w:p>
        </w:tc>
        <w:tc>
          <w:tcPr>
            <w:tcW w:w="788" w:type="pct"/>
            <w:vAlign w:val="center"/>
          </w:tcPr>
          <w:p>
            <w:pPr>
              <w:widowControl/>
              <w:adjustRightInd/>
              <w:snapToGrid/>
              <w:spacing w:line="240" w:lineRule="auto"/>
              <w:ind w:firstLine="0" w:firstLineChars="0"/>
              <w:jc w:val="center"/>
              <w:textAlignment w:val="bottom"/>
              <w:rPr>
                <w:rFonts w:cs="Times New Roman"/>
                <w:bCs/>
                <w:color w:val="000000" w:themeColor="text1"/>
                <w:sz w:val="21"/>
                <w:szCs w:val="21"/>
                <w:highlight w:val="none"/>
                <w:lang w:eastAsia="en-US"/>
                <w14:textFill>
                  <w14:solidFill>
                    <w14:schemeClr w14:val="tx1"/>
                  </w14:solidFill>
                </w14:textFill>
              </w:rPr>
            </w:pPr>
            <w:r>
              <w:rPr>
                <w:rFonts w:cs="Times New Roman"/>
                <w:bCs/>
                <w:color w:val="000000" w:themeColor="text1"/>
                <w:sz w:val="21"/>
                <w:szCs w:val="21"/>
                <w:highlight w:val="none"/>
                <w:lang w:eastAsia="en-US"/>
                <w14:textFill>
                  <w14:solidFill>
                    <w14:schemeClr w14:val="tx1"/>
                  </w14:solidFill>
                </w14:textFill>
              </w:rPr>
              <w:t xml:space="preserve">30.89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9" w:hRule="atLeast"/>
          <w:jc w:val="center"/>
        </w:trPr>
        <w:tc>
          <w:tcPr>
            <w:tcW w:w="399" w:type="pct"/>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阔叶林</w:t>
            </w:r>
          </w:p>
        </w:tc>
        <w:tc>
          <w:tcPr>
            <w:tcW w:w="498" w:type="pct"/>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落叶阔叶林</w:t>
            </w:r>
          </w:p>
        </w:tc>
        <w:tc>
          <w:tcPr>
            <w:tcW w:w="545" w:type="pct"/>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典型落叶阔叶林</w:t>
            </w:r>
          </w:p>
        </w:tc>
        <w:tc>
          <w:tcPr>
            <w:tcW w:w="785" w:type="pct"/>
            <w:vAlign w:val="center"/>
          </w:tcPr>
          <w:p>
            <w:pPr>
              <w:widowControl/>
              <w:adjustRightInd/>
              <w:snapToGrid/>
              <w:spacing w:line="240" w:lineRule="auto"/>
              <w:ind w:firstLine="0" w:firstLineChars="0"/>
              <w:jc w:val="center"/>
              <w:textAlignment w:val="bottom"/>
              <w:rPr>
                <w:rFonts w:cs="Times New Roman"/>
                <w:bCs/>
                <w:color w:val="000000" w:themeColor="text1"/>
                <w:spacing w:val="15"/>
                <w:sz w:val="21"/>
                <w:szCs w:val="21"/>
                <w:highlight w:val="none"/>
                <w:lang w:eastAsia="en-US"/>
                <w14:textFill>
                  <w14:solidFill>
                    <w14:schemeClr w14:val="tx1"/>
                  </w14:solidFill>
                </w14:textFill>
              </w:rPr>
            </w:pPr>
            <w:r>
              <w:rPr>
                <w:rFonts w:cs="Times New Roman"/>
                <w:bCs/>
                <w:color w:val="000000" w:themeColor="text1"/>
                <w:spacing w:val="15"/>
                <w:sz w:val="21"/>
                <w:szCs w:val="21"/>
                <w:highlight w:val="none"/>
                <w:lang w:eastAsia="en-US"/>
                <w14:textFill>
                  <w14:solidFill>
                    <w14:schemeClr w14:val="tx1"/>
                  </w14:solidFill>
                </w14:textFill>
              </w:rPr>
              <w:t>栎林</w:t>
            </w:r>
          </w:p>
        </w:tc>
        <w:tc>
          <w:tcPr>
            <w:tcW w:w="1132" w:type="pct"/>
            <w:vAlign w:val="center"/>
          </w:tcPr>
          <w:p>
            <w:pPr>
              <w:widowControl/>
              <w:adjustRightInd/>
              <w:snapToGrid/>
              <w:spacing w:line="240" w:lineRule="auto"/>
              <w:ind w:firstLine="0" w:firstLineChars="0"/>
              <w:jc w:val="center"/>
              <w:textAlignment w:val="bottom"/>
              <w:rPr>
                <w:rFonts w:cs="Times New Roman"/>
                <w:bCs/>
                <w:color w:val="000000" w:themeColor="text1"/>
                <w:spacing w:val="15"/>
                <w:sz w:val="21"/>
                <w:szCs w:val="21"/>
                <w:highlight w:val="none"/>
                <w:lang w:eastAsia="en-US"/>
                <w14:textFill>
                  <w14:solidFill>
                    <w14:schemeClr w14:val="tx1"/>
                  </w14:solidFill>
                </w14:textFill>
              </w:rPr>
            </w:pPr>
            <w:r>
              <w:rPr>
                <w:rFonts w:cs="Times New Roman"/>
                <w:bCs/>
                <w:color w:val="000000" w:themeColor="text1"/>
                <w:spacing w:val="15"/>
                <w:sz w:val="21"/>
                <w:szCs w:val="21"/>
                <w:highlight w:val="none"/>
                <w:lang w:eastAsia="en-US"/>
                <w14:textFill>
                  <w14:solidFill>
                    <w14:schemeClr w14:val="tx1"/>
                  </w14:solidFill>
                </w14:textFill>
              </w:rPr>
              <w:t>麻栎+青冈群系</w:t>
            </w:r>
          </w:p>
        </w:tc>
        <w:tc>
          <w:tcPr>
            <w:tcW w:w="854" w:type="pct"/>
            <w:vAlign w:val="center"/>
          </w:tcPr>
          <w:p>
            <w:pPr>
              <w:widowControl/>
              <w:adjustRightInd/>
              <w:snapToGrid/>
              <w:spacing w:line="240" w:lineRule="auto"/>
              <w:ind w:firstLine="0" w:firstLineChars="0"/>
              <w:jc w:val="center"/>
              <w:textAlignment w:val="bottom"/>
              <w:rPr>
                <w:rFonts w:cs="Times New Roman"/>
                <w:bCs/>
                <w:color w:val="000000" w:themeColor="text1"/>
                <w:sz w:val="21"/>
                <w:szCs w:val="21"/>
                <w:highlight w:val="none"/>
                <w:lang w:eastAsia="en-US"/>
                <w14:textFill>
                  <w14:solidFill>
                    <w14:schemeClr w14:val="tx1"/>
                  </w14:solidFill>
                </w14:textFill>
              </w:rPr>
            </w:pPr>
            <w:r>
              <w:rPr>
                <w:rFonts w:cs="Times New Roman"/>
                <w:bCs/>
                <w:color w:val="000000" w:themeColor="text1"/>
                <w:sz w:val="21"/>
                <w:szCs w:val="21"/>
                <w:highlight w:val="none"/>
                <w:lang w:eastAsia="en-US"/>
                <w14:textFill>
                  <w14:solidFill>
                    <w14:schemeClr w14:val="tx1"/>
                  </w14:solidFill>
                </w14:textFill>
              </w:rPr>
              <w:t>68.19</w:t>
            </w:r>
          </w:p>
        </w:tc>
        <w:tc>
          <w:tcPr>
            <w:tcW w:w="788" w:type="pct"/>
            <w:vAlign w:val="center"/>
          </w:tcPr>
          <w:p>
            <w:pPr>
              <w:widowControl/>
              <w:adjustRightInd/>
              <w:snapToGrid/>
              <w:spacing w:line="240" w:lineRule="auto"/>
              <w:ind w:firstLine="0" w:firstLineChars="0"/>
              <w:jc w:val="center"/>
              <w:textAlignment w:val="bottom"/>
              <w:rPr>
                <w:rFonts w:cs="Times New Roman"/>
                <w:bCs/>
                <w:color w:val="000000" w:themeColor="text1"/>
                <w:sz w:val="21"/>
                <w:szCs w:val="21"/>
                <w:highlight w:val="none"/>
                <w:lang w:eastAsia="en-US"/>
                <w14:textFill>
                  <w14:solidFill>
                    <w14:schemeClr w14:val="tx1"/>
                  </w14:solidFill>
                </w14:textFill>
              </w:rPr>
            </w:pPr>
            <w:r>
              <w:rPr>
                <w:rFonts w:cs="Times New Roman"/>
                <w:bCs/>
                <w:color w:val="000000" w:themeColor="text1"/>
                <w:sz w:val="21"/>
                <w:szCs w:val="21"/>
                <w:highlight w:val="none"/>
                <w:lang w:eastAsia="en-US"/>
                <w14:textFill>
                  <w14:solidFill>
                    <w14:schemeClr w14:val="tx1"/>
                  </w14:solidFill>
                </w14:textFill>
              </w:rPr>
              <w:t xml:space="preserve">10.77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399" w:type="pct"/>
            <w:vMerge w:val="restart"/>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灌丛和灌 草丛</w:t>
            </w:r>
          </w:p>
        </w:tc>
        <w:tc>
          <w:tcPr>
            <w:tcW w:w="498" w:type="pct"/>
            <w:vMerge w:val="restart"/>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落叶阔叶灌丛</w:t>
            </w:r>
          </w:p>
        </w:tc>
        <w:tc>
          <w:tcPr>
            <w:tcW w:w="545" w:type="pct"/>
            <w:vMerge w:val="restart"/>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暖性落叶阔叶灌丛</w:t>
            </w:r>
          </w:p>
        </w:tc>
        <w:tc>
          <w:tcPr>
            <w:tcW w:w="785" w:type="pct"/>
            <w:vMerge w:val="restart"/>
            <w:vAlign w:val="center"/>
          </w:tcPr>
          <w:p>
            <w:pPr>
              <w:widowControl/>
              <w:adjustRightInd/>
              <w:snapToGrid/>
              <w:spacing w:line="240" w:lineRule="auto"/>
              <w:ind w:firstLine="0" w:firstLineChars="0"/>
              <w:jc w:val="center"/>
              <w:textAlignment w:val="bottom"/>
              <w:rPr>
                <w:rFonts w:cs="Times New Roman"/>
                <w:bCs/>
                <w:color w:val="000000" w:themeColor="text1"/>
                <w:spacing w:val="15"/>
                <w:sz w:val="21"/>
                <w:szCs w:val="21"/>
                <w:highlight w:val="none"/>
                <w:lang w:eastAsia="zh-CN"/>
                <w14:textFill>
                  <w14:solidFill>
                    <w14:schemeClr w14:val="tx1"/>
                  </w14:solidFill>
                </w14:textFill>
              </w:rPr>
            </w:pPr>
            <w:r>
              <w:rPr>
                <w:rFonts w:cs="Times New Roman"/>
                <w:bCs/>
                <w:color w:val="000000" w:themeColor="text1"/>
                <w:spacing w:val="15"/>
                <w:sz w:val="21"/>
                <w:szCs w:val="21"/>
                <w:highlight w:val="none"/>
                <w:lang w:eastAsia="zh-CN"/>
                <w14:textFill>
                  <w14:solidFill>
                    <w14:schemeClr w14:val="tx1"/>
                  </w14:solidFill>
                </w14:textFill>
              </w:rPr>
              <w:t>低山丘陵落叶阔叶灌丛</w:t>
            </w:r>
          </w:p>
        </w:tc>
        <w:tc>
          <w:tcPr>
            <w:tcW w:w="1132" w:type="pct"/>
            <w:vAlign w:val="center"/>
          </w:tcPr>
          <w:p>
            <w:pPr>
              <w:widowControl/>
              <w:adjustRightInd/>
              <w:snapToGrid/>
              <w:spacing w:line="240" w:lineRule="auto"/>
              <w:ind w:firstLine="0" w:firstLineChars="0"/>
              <w:jc w:val="center"/>
              <w:textAlignment w:val="bottom"/>
              <w:rPr>
                <w:rFonts w:cs="Times New Roman"/>
                <w:bCs/>
                <w:color w:val="000000" w:themeColor="text1"/>
                <w:spacing w:val="15"/>
                <w:sz w:val="21"/>
                <w:szCs w:val="21"/>
                <w:highlight w:val="none"/>
                <w:lang w:eastAsia="en-US"/>
                <w14:textFill>
                  <w14:solidFill>
                    <w14:schemeClr w14:val="tx1"/>
                  </w14:solidFill>
                </w14:textFill>
              </w:rPr>
            </w:pPr>
            <w:r>
              <w:rPr>
                <w:rFonts w:cs="Times New Roman"/>
                <w:bCs/>
                <w:color w:val="000000" w:themeColor="text1"/>
                <w:spacing w:val="15"/>
                <w:sz w:val="21"/>
                <w:szCs w:val="21"/>
                <w:highlight w:val="none"/>
                <w:lang w:eastAsia="en-US"/>
                <w14:textFill>
                  <w14:solidFill>
                    <w14:schemeClr w14:val="tx1"/>
                  </w14:solidFill>
                </w14:textFill>
              </w:rPr>
              <w:t>野桐+盐肤木</w:t>
            </w:r>
            <w:r>
              <w:rPr>
                <w:rFonts w:hint="eastAsia" w:cs="Times New Roman"/>
                <w:bCs/>
                <w:color w:val="000000" w:themeColor="text1"/>
                <w:spacing w:val="15"/>
                <w:sz w:val="21"/>
                <w:szCs w:val="21"/>
                <w:highlight w:val="none"/>
                <w:lang w:eastAsia="en-US"/>
                <w14:textFill>
                  <w14:solidFill>
                    <w14:schemeClr w14:val="tx1"/>
                  </w14:solidFill>
                </w14:textFill>
              </w:rPr>
              <w:t>灌丛</w:t>
            </w:r>
          </w:p>
        </w:tc>
        <w:tc>
          <w:tcPr>
            <w:tcW w:w="854" w:type="pct"/>
            <w:vMerge w:val="restart"/>
            <w:vAlign w:val="center"/>
          </w:tcPr>
          <w:p>
            <w:pPr>
              <w:widowControl/>
              <w:adjustRightInd/>
              <w:snapToGrid/>
              <w:spacing w:line="240" w:lineRule="auto"/>
              <w:ind w:firstLine="0" w:firstLineChars="0"/>
              <w:jc w:val="center"/>
              <w:textAlignment w:val="bottom"/>
              <w:rPr>
                <w:rFonts w:cs="Times New Roman"/>
                <w:bCs/>
                <w:color w:val="000000" w:themeColor="text1"/>
                <w:sz w:val="21"/>
                <w:szCs w:val="21"/>
                <w:highlight w:val="none"/>
                <w:lang w:eastAsia="en-US"/>
                <w14:textFill>
                  <w14:solidFill>
                    <w14:schemeClr w14:val="tx1"/>
                  </w14:solidFill>
                </w14:textFill>
              </w:rPr>
            </w:pPr>
            <w:r>
              <w:rPr>
                <w:rFonts w:cs="Times New Roman"/>
                <w:bCs/>
                <w:color w:val="000000" w:themeColor="text1"/>
                <w:sz w:val="21"/>
                <w:szCs w:val="21"/>
                <w:highlight w:val="none"/>
                <w:lang w:eastAsia="en-US"/>
                <w14:textFill>
                  <w14:solidFill>
                    <w14:schemeClr w14:val="tx1"/>
                  </w14:solidFill>
                </w14:textFill>
              </w:rPr>
              <w:t>36.49</w:t>
            </w:r>
          </w:p>
        </w:tc>
        <w:tc>
          <w:tcPr>
            <w:tcW w:w="788" w:type="pct"/>
            <w:vMerge w:val="restart"/>
            <w:vAlign w:val="center"/>
          </w:tcPr>
          <w:p>
            <w:pPr>
              <w:widowControl/>
              <w:adjustRightInd/>
              <w:snapToGrid/>
              <w:spacing w:line="240" w:lineRule="auto"/>
              <w:ind w:firstLine="0" w:firstLineChars="0"/>
              <w:jc w:val="center"/>
              <w:textAlignment w:val="bottom"/>
              <w:rPr>
                <w:rFonts w:cs="Times New Roman"/>
                <w:bCs/>
                <w:color w:val="000000" w:themeColor="text1"/>
                <w:sz w:val="21"/>
                <w:szCs w:val="21"/>
                <w:highlight w:val="none"/>
                <w:lang w:eastAsia="en-US"/>
                <w14:textFill>
                  <w14:solidFill>
                    <w14:schemeClr w14:val="tx1"/>
                  </w14:solidFill>
                </w14:textFill>
              </w:rPr>
            </w:pPr>
            <w:r>
              <w:rPr>
                <w:rFonts w:cs="Times New Roman"/>
                <w:bCs/>
                <w:color w:val="000000" w:themeColor="text1"/>
                <w:sz w:val="21"/>
                <w:szCs w:val="21"/>
                <w:highlight w:val="none"/>
                <w:lang w:eastAsia="en-US"/>
                <w14:textFill>
                  <w14:solidFill>
                    <w14:schemeClr w14:val="tx1"/>
                  </w14:solidFill>
                </w14:textFill>
              </w:rPr>
              <w:t xml:space="preserve">5.76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399" w:type="pct"/>
            <w:vMerge w:val="continue"/>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p>
        </w:tc>
        <w:tc>
          <w:tcPr>
            <w:tcW w:w="498" w:type="pct"/>
            <w:vMerge w:val="continue"/>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p>
        </w:tc>
        <w:tc>
          <w:tcPr>
            <w:tcW w:w="545" w:type="pct"/>
            <w:vMerge w:val="continue"/>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p>
        </w:tc>
        <w:tc>
          <w:tcPr>
            <w:tcW w:w="785" w:type="pct"/>
            <w:vMerge w:val="continue"/>
            <w:vAlign w:val="center"/>
          </w:tcPr>
          <w:p>
            <w:pPr>
              <w:widowControl/>
              <w:adjustRightInd/>
              <w:snapToGrid/>
              <w:spacing w:line="240" w:lineRule="auto"/>
              <w:ind w:firstLine="0" w:firstLineChars="0"/>
              <w:jc w:val="center"/>
              <w:textAlignment w:val="bottom"/>
              <w:rPr>
                <w:rFonts w:cs="Times New Roman"/>
                <w:bCs/>
                <w:color w:val="000000" w:themeColor="text1"/>
                <w:spacing w:val="15"/>
                <w:sz w:val="21"/>
                <w:szCs w:val="21"/>
                <w:highlight w:val="none"/>
                <w:lang w:eastAsia="en-US"/>
                <w14:textFill>
                  <w14:solidFill>
                    <w14:schemeClr w14:val="tx1"/>
                  </w14:solidFill>
                </w14:textFill>
              </w:rPr>
            </w:pPr>
          </w:p>
        </w:tc>
        <w:tc>
          <w:tcPr>
            <w:tcW w:w="1132" w:type="pct"/>
            <w:vAlign w:val="center"/>
          </w:tcPr>
          <w:p>
            <w:pPr>
              <w:widowControl/>
              <w:adjustRightInd/>
              <w:snapToGrid/>
              <w:spacing w:line="240" w:lineRule="auto"/>
              <w:ind w:firstLine="0" w:firstLineChars="0"/>
              <w:jc w:val="center"/>
              <w:textAlignment w:val="bottom"/>
              <w:rPr>
                <w:rFonts w:cs="Times New Roman"/>
                <w:bCs/>
                <w:color w:val="000000" w:themeColor="text1"/>
                <w:spacing w:val="15"/>
                <w:sz w:val="21"/>
                <w:szCs w:val="21"/>
                <w:highlight w:val="none"/>
                <w:lang w:eastAsia="zh-CN"/>
                <w14:textFill>
                  <w14:solidFill>
                    <w14:schemeClr w14:val="tx1"/>
                  </w14:solidFill>
                </w14:textFill>
              </w:rPr>
            </w:pPr>
            <w:r>
              <w:rPr>
                <w:rFonts w:cs="Times New Roman"/>
                <w:bCs/>
                <w:color w:val="000000" w:themeColor="text1"/>
                <w:spacing w:val="15"/>
                <w:sz w:val="21"/>
                <w:szCs w:val="21"/>
                <w:highlight w:val="none"/>
                <w:lang w:eastAsia="zh-CN"/>
                <w14:textFill>
                  <w14:solidFill>
                    <w14:schemeClr w14:val="tx1"/>
                  </w14:solidFill>
                </w14:textFill>
              </w:rPr>
              <w:t>马桑+黄荆+火棘+荚蒾灌丛群系</w:t>
            </w:r>
          </w:p>
        </w:tc>
        <w:tc>
          <w:tcPr>
            <w:tcW w:w="854" w:type="pct"/>
            <w:vMerge w:val="continue"/>
            <w:vAlign w:val="center"/>
          </w:tcPr>
          <w:p>
            <w:pPr>
              <w:widowControl/>
              <w:adjustRightInd/>
              <w:snapToGrid/>
              <w:spacing w:line="240" w:lineRule="auto"/>
              <w:ind w:firstLine="0" w:firstLineChars="0"/>
              <w:jc w:val="center"/>
              <w:textAlignment w:val="bottom"/>
              <w:rPr>
                <w:rFonts w:cs="Times New Roman"/>
                <w:bCs/>
                <w:color w:val="000000" w:themeColor="text1"/>
                <w:sz w:val="21"/>
                <w:szCs w:val="21"/>
                <w:highlight w:val="none"/>
                <w:lang w:eastAsia="zh-CN"/>
                <w14:textFill>
                  <w14:solidFill>
                    <w14:schemeClr w14:val="tx1"/>
                  </w14:solidFill>
                </w14:textFill>
              </w:rPr>
            </w:pPr>
          </w:p>
        </w:tc>
        <w:tc>
          <w:tcPr>
            <w:tcW w:w="788" w:type="pct"/>
            <w:vMerge w:val="continue"/>
            <w:vAlign w:val="center"/>
          </w:tcPr>
          <w:p>
            <w:pPr>
              <w:widowControl/>
              <w:adjustRightInd/>
              <w:snapToGrid/>
              <w:spacing w:line="240" w:lineRule="auto"/>
              <w:ind w:firstLine="0" w:firstLineChars="0"/>
              <w:jc w:val="center"/>
              <w:textAlignment w:val="bottom"/>
              <w:rPr>
                <w:rFonts w:cs="Times New Roman"/>
                <w:bCs/>
                <w:color w:val="000000" w:themeColor="text1"/>
                <w:sz w:val="21"/>
                <w:szCs w:val="21"/>
                <w:highlight w:val="none"/>
                <w:lang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0" w:hRule="atLeast"/>
          <w:jc w:val="center"/>
        </w:trPr>
        <w:tc>
          <w:tcPr>
            <w:tcW w:w="399" w:type="pct"/>
            <w:vMerge w:val="continue"/>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zh-CN"/>
                <w14:textFill>
                  <w14:solidFill>
                    <w14:schemeClr w14:val="tx1"/>
                  </w14:solidFill>
                </w14:textFill>
              </w:rPr>
            </w:pPr>
          </w:p>
        </w:tc>
        <w:tc>
          <w:tcPr>
            <w:tcW w:w="498" w:type="pct"/>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灌草丛</w:t>
            </w:r>
          </w:p>
        </w:tc>
        <w:tc>
          <w:tcPr>
            <w:tcW w:w="545" w:type="pct"/>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暖热性灌草丛</w:t>
            </w:r>
          </w:p>
        </w:tc>
        <w:tc>
          <w:tcPr>
            <w:tcW w:w="785" w:type="pct"/>
            <w:vAlign w:val="center"/>
          </w:tcPr>
          <w:p>
            <w:pPr>
              <w:widowControl/>
              <w:adjustRightInd/>
              <w:snapToGrid/>
              <w:spacing w:line="240" w:lineRule="auto"/>
              <w:ind w:firstLine="0" w:firstLineChars="0"/>
              <w:jc w:val="center"/>
              <w:textAlignment w:val="bottom"/>
              <w:rPr>
                <w:rFonts w:cs="Times New Roman"/>
                <w:bCs/>
                <w:color w:val="000000" w:themeColor="text1"/>
                <w:spacing w:val="15"/>
                <w:sz w:val="21"/>
                <w:szCs w:val="21"/>
                <w:highlight w:val="none"/>
                <w:lang w:eastAsia="en-US"/>
                <w14:textFill>
                  <w14:solidFill>
                    <w14:schemeClr w14:val="tx1"/>
                  </w14:solidFill>
                </w14:textFill>
              </w:rPr>
            </w:pPr>
            <w:r>
              <w:rPr>
                <w:rFonts w:cs="Times New Roman"/>
                <w:bCs/>
                <w:color w:val="000000" w:themeColor="text1"/>
                <w:spacing w:val="15"/>
                <w:sz w:val="21"/>
                <w:szCs w:val="21"/>
                <w:highlight w:val="none"/>
                <w:lang w:eastAsia="en-US"/>
                <w14:textFill>
                  <w14:solidFill>
                    <w14:schemeClr w14:val="tx1"/>
                  </w14:solidFill>
                </w14:textFill>
              </w:rPr>
              <w:t>禾草灌草丛</w:t>
            </w:r>
          </w:p>
        </w:tc>
        <w:tc>
          <w:tcPr>
            <w:tcW w:w="1132" w:type="pct"/>
            <w:vAlign w:val="center"/>
          </w:tcPr>
          <w:p>
            <w:pPr>
              <w:widowControl/>
              <w:adjustRightInd/>
              <w:snapToGrid/>
              <w:spacing w:line="240" w:lineRule="auto"/>
              <w:ind w:firstLine="0" w:firstLineChars="0"/>
              <w:jc w:val="center"/>
              <w:textAlignment w:val="bottom"/>
              <w:rPr>
                <w:rFonts w:cs="Times New Roman"/>
                <w:bCs/>
                <w:color w:val="000000" w:themeColor="text1"/>
                <w:spacing w:val="15"/>
                <w:sz w:val="21"/>
                <w:szCs w:val="21"/>
                <w:highlight w:val="none"/>
                <w:lang w:eastAsia="en-US"/>
                <w14:textFill>
                  <w14:solidFill>
                    <w14:schemeClr w14:val="tx1"/>
                  </w14:solidFill>
                </w14:textFill>
              </w:rPr>
            </w:pPr>
            <w:r>
              <w:rPr>
                <w:rFonts w:cs="Times New Roman"/>
                <w:bCs/>
                <w:color w:val="000000" w:themeColor="text1"/>
                <w:spacing w:val="15"/>
                <w:sz w:val="21"/>
                <w:szCs w:val="21"/>
                <w:highlight w:val="none"/>
                <w:lang w:eastAsia="en-US"/>
                <w14:textFill>
                  <w14:solidFill>
                    <w14:schemeClr w14:val="tx1"/>
                  </w14:solidFill>
                </w14:textFill>
              </w:rPr>
              <w:t>芒+白茅草丛群系</w:t>
            </w:r>
          </w:p>
        </w:tc>
        <w:tc>
          <w:tcPr>
            <w:tcW w:w="854" w:type="pct"/>
            <w:vAlign w:val="center"/>
          </w:tcPr>
          <w:p>
            <w:pPr>
              <w:widowControl/>
              <w:adjustRightInd/>
              <w:snapToGrid/>
              <w:spacing w:line="240" w:lineRule="auto"/>
              <w:ind w:firstLine="0" w:firstLineChars="0"/>
              <w:jc w:val="center"/>
              <w:textAlignment w:val="bottom"/>
              <w:rPr>
                <w:rFonts w:cs="Times New Roman"/>
                <w:bCs/>
                <w:color w:val="000000" w:themeColor="text1"/>
                <w:sz w:val="21"/>
                <w:szCs w:val="21"/>
                <w:highlight w:val="none"/>
                <w:lang w:eastAsia="en-US"/>
                <w14:textFill>
                  <w14:solidFill>
                    <w14:schemeClr w14:val="tx1"/>
                  </w14:solidFill>
                </w14:textFill>
              </w:rPr>
            </w:pPr>
            <w:r>
              <w:rPr>
                <w:rFonts w:cs="Times New Roman"/>
                <w:bCs/>
                <w:color w:val="000000" w:themeColor="text1"/>
                <w:sz w:val="21"/>
                <w:szCs w:val="21"/>
                <w:highlight w:val="none"/>
                <w:lang w:eastAsia="en-US"/>
                <w14:textFill>
                  <w14:solidFill>
                    <w14:schemeClr w14:val="tx1"/>
                  </w14:solidFill>
                </w14:textFill>
              </w:rPr>
              <w:t>13.72</w:t>
            </w:r>
          </w:p>
        </w:tc>
        <w:tc>
          <w:tcPr>
            <w:tcW w:w="788" w:type="pct"/>
            <w:vAlign w:val="center"/>
          </w:tcPr>
          <w:p>
            <w:pPr>
              <w:widowControl/>
              <w:adjustRightInd/>
              <w:snapToGrid/>
              <w:spacing w:line="240" w:lineRule="auto"/>
              <w:ind w:firstLine="0" w:firstLineChars="0"/>
              <w:jc w:val="center"/>
              <w:textAlignment w:val="bottom"/>
              <w:rPr>
                <w:rFonts w:cs="Times New Roman"/>
                <w:bCs/>
                <w:color w:val="000000" w:themeColor="text1"/>
                <w:sz w:val="21"/>
                <w:szCs w:val="21"/>
                <w:highlight w:val="none"/>
                <w:lang w:eastAsia="en-US"/>
                <w14:textFill>
                  <w14:solidFill>
                    <w14:schemeClr w14:val="tx1"/>
                  </w14:solidFill>
                </w14:textFill>
              </w:rPr>
            </w:pPr>
            <w:r>
              <w:rPr>
                <w:rFonts w:cs="Times New Roman"/>
                <w:bCs/>
                <w:color w:val="000000" w:themeColor="text1"/>
                <w:sz w:val="21"/>
                <w:szCs w:val="21"/>
                <w:highlight w:val="none"/>
                <w:lang w:eastAsia="en-US"/>
                <w14:textFill>
                  <w14:solidFill>
                    <w14:schemeClr w14:val="tx1"/>
                  </w14:solidFill>
                </w14:textFill>
              </w:rPr>
              <w:t xml:space="preserve">2.17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4" w:hRule="atLeast"/>
          <w:jc w:val="center"/>
        </w:trPr>
        <w:tc>
          <w:tcPr>
            <w:tcW w:w="3358" w:type="pct"/>
            <w:gridSpan w:val="5"/>
            <w:vAlign w:val="center"/>
          </w:tcPr>
          <w:p>
            <w:pPr>
              <w:widowControl/>
              <w:adjustRightInd/>
              <w:snapToGrid/>
              <w:spacing w:line="240" w:lineRule="auto"/>
              <w:ind w:firstLine="0" w:firstLineChars="0"/>
              <w:jc w:val="center"/>
              <w:textAlignment w:val="bottom"/>
              <w:rPr>
                <w:rFonts w:cs="Times New Roman"/>
                <w:bCs/>
                <w:color w:val="000000" w:themeColor="text1"/>
                <w:spacing w:val="15"/>
                <w:sz w:val="21"/>
                <w:szCs w:val="21"/>
                <w:highlight w:val="none"/>
                <w:lang w:eastAsia="zh-CN"/>
                <w14:textFill>
                  <w14:solidFill>
                    <w14:schemeClr w14:val="tx1"/>
                  </w14:solidFill>
                </w14:textFill>
              </w:rPr>
            </w:pPr>
            <w:r>
              <w:rPr>
                <w:rFonts w:cs="Times New Roman"/>
                <w:bCs/>
                <w:color w:val="000000" w:themeColor="text1"/>
                <w:sz w:val="21"/>
                <w:szCs w:val="21"/>
                <w:highlight w:val="none"/>
                <w:lang w:eastAsia="zh-CN"/>
                <w14:textFill>
                  <w14:solidFill>
                    <w14:schemeClr w14:val="tx1"/>
                  </w14:solidFill>
                </w14:textFill>
              </w:rPr>
              <w:t>水稻为主的水田作物植被</w:t>
            </w:r>
          </w:p>
        </w:tc>
        <w:tc>
          <w:tcPr>
            <w:tcW w:w="854" w:type="pct"/>
            <w:vAlign w:val="center"/>
          </w:tcPr>
          <w:p>
            <w:pPr>
              <w:widowControl/>
              <w:adjustRightInd/>
              <w:snapToGrid/>
              <w:spacing w:line="240" w:lineRule="auto"/>
              <w:ind w:firstLine="0" w:firstLineChars="0"/>
              <w:jc w:val="center"/>
              <w:textAlignment w:val="bottom"/>
              <w:rPr>
                <w:rFonts w:cs="Times New Roman"/>
                <w:bCs/>
                <w:color w:val="000000" w:themeColor="text1"/>
                <w:sz w:val="21"/>
                <w:szCs w:val="21"/>
                <w:highlight w:val="none"/>
                <w:lang w:eastAsia="en-US"/>
                <w14:textFill>
                  <w14:solidFill>
                    <w14:schemeClr w14:val="tx1"/>
                  </w14:solidFill>
                </w14:textFill>
              </w:rPr>
            </w:pPr>
            <w:r>
              <w:rPr>
                <w:rFonts w:cs="Times New Roman"/>
                <w:bCs/>
                <w:color w:val="000000" w:themeColor="text1"/>
                <w:sz w:val="21"/>
                <w:szCs w:val="21"/>
                <w:highlight w:val="none"/>
                <w:lang w:eastAsia="en-US"/>
                <w14:textFill>
                  <w14:solidFill>
                    <w14:schemeClr w14:val="tx1"/>
                  </w14:solidFill>
                </w14:textFill>
              </w:rPr>
              <w:t>143.34</w:t>
            </w:r>
          </w:p>
        </w:tc>
        <w:tc>
          <w:tcPr>
            <w:tcW w:w="788" w:type="pct"/>
            <w:vAlign w:val="center"/>
          </w:tcPr>
          <w:p>
            <w:pPr>
              <w:widowControl/>
              <w:adjustRightInd/>
              <w:snapToGrid/>
              <w:spacing w:line="240" w:lineRule="auto"/>
              <w:ind w:firstLine="0" w:firstLineChars="0"/>
              <w:jc w:val="center"/>
              <w:textAlignment w:val="bottom"/>
              <w:rPr>
                <w:rFonts w:cs="Times New Roman"/>
                <w:bCs/>
                <w:color w:val="000000" w:themeColor="text1"/>
                <w:sz w:val="21"/>
                <w:szCs w:val="21"/>
                <w:highlight w:val="none"/>
                <w:lang w:eastAsia="en-US"/>
                <w14:textFill>
                  <w14:solidFill>
                    <w14:schemeClr w14:val="tx1"/>
                  </w14:solidFill>
                </w14:textFill>
              </w:rPr>
            </w:pPr>
            <w:r>
              <w:rPr>
                <w:rFonts w:cs="Times New Roman"/>
                <w:bCs/>
                <w:color w:val="000000" w:themeColor="text1"/>
                <w:sz w:val="21"/>
                <w:szCs w:val="21"/>
                <w:highlight w:val="none"/>
                <w:lang w:eastAsia="en-US"/>
                <w14:textFill>
                  <w14:solidFill>
                    <w14:schemeClr w14:val="tx1"/>
                  </w14:solidFill>
                </w14:textFill>
              </w:rPr>
              <w:t xml:space="preserve">22.64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4" w:hRule="atLeast"/>
          <w:jc w:val="center"/>
        </w:trPr>
        <w:tc>
          <w:tcPr>
            <w:tcW w:w="3358" w:type="pct"/>
            <w:gridSpan w:val="5"/>
            <w:vAlign w:val="center"/>
          </w:tcPr>
          <w:p>
            <w:pPr>
              <w:widowControl/>
              <w:adjustRightInd/>
              <w:snapToGrid/>
              <w:spacing w:line="240" w:lineRule="auto"/>
              <w:ind w:firstLine="0" w:firstLineChars="0"/>
              <w:jc w:val="center"/>
              <w:textAlignment w:val="bottom"/>
              <w:rPr>
                <w:rFonts w:cs="Times New Roman"/>
                <w:bCs/>
                <w:color w:val="000000" w:themeColor="text1"/>
                <w:spacing w:val="15"/>
                <w:sz w:val="21"/>
                <w:szCs w:val="21"/>
                <w:highlight w:val="none"/>
                <w:lang w:eastAsia="zh-CN"/>
                <w14:textFill>
                  <w14:solidFill>
                    <w14:schemeClr w14:val="tx1"/>
                  </w14:solidFill>
                </w14:textFill>
              </w:rPr>
            </w:pPr>
            <w:r>
              <w:rPr>
                <w:rFonts w:cs="Times New Roman"/>
                <w:bCs/>
                <w:color w:val="000000" w:themeColor="text1"/>
                <w:sz w:val="21"/>
                <w:szCs w:val="21"/>
                <w:highlight w:val="none"/>
                <w:lang w:eastAsia="zh-CN"/>
                <w14:textFill>
                  <w14:solidFill>
                    <w14:schemeClr w14:val="tx1"/>
                  </w14:solidFill>
                </w14:textFill>
              </w:rPr>
              <w:t>玉米、红苕、棉花、花生、小麦、马铃薯、豌豆为主的旱地作物植被</w:t>
            </w:r>
          </w:p>
        </w:tc>
        <w:tc>
          <w:tcPr>
            <w:tcW w:w="854" w:type="pct"/>
            <w:vAlign w:val="center"/>
          </w:tcPr>
          <w:p>
            <w:pPr>
              <w:widowControl/>
              <w:adjustRightInd/>
              <w:snapToGrid/>
              <w:spacing w:line="240" w:lineRule="auto"/>
              <w:ind w:firstLine="0" w:firstLineChars="0"/>
              <w:jc w:val="center"/>
              <w:textAlignment w:val="bottom"/>
              <w:rPr>
                <w:rFonts w:cs="Times New Roman"/>
                <w:bCs/>
                <w:color w:val="000000" w:themeColor="text1"/>
                <w:sz w:val="21"/>
                <w:szCs w:val="21"/>
                <w:highlight w:val="none"/>
                <w:lang w:eastAsia="en-US"/>
                <w14:textFill>
                  <w14:solidFill>
                    <w14:schemeClr w14:val="tx1"/>
                  </w14:solidFill>
                </w14:textFill>
              </w:rPr>
            </w:pPr>
            <w:r>
              <w:rPr>
                <w:rFonts w:cs="Times New Roman"/>
                <w:bCs/>
                <w:color w:val="000000" w:themeColor="text1"/>
                <w:sz w:val="21"/>
                <w:szCs w:val="21"/>
                <w:highlight w:val="none"/>
                <w:lang w:eastAsia="en-US"/>
                <w14:textFill>
                  <w14:solidFill>
                    <w14:schemeClr w14:val="tx1"/>
                  </w14:solidFill>
                </w14:textFill>
              </w:rPr>
              <w:t>115.88</w:t>
            </w:r>
          </w:p>
        </w:tc>
        <w:tc>
          <w:tcPr>
            <w:tcW w:w="788" w:type="pct"/>
            <w:vAlign w:val="center"/>
          </w:tcPr>
          <w:p>
            <w:pPr>
              <w:widowControl/>
              <w:adjustRightInd/>
              <w:snapToGrid/>
              <w:spacing w:line="240" w:lineRule="auto"/>
              <w:ind w:firstLine="0" w:firstLineChars="0"/>
              <w:jc w:val="center"/>
              <w:textAlignment w:val="bottom"/>
              <w:rPr>
                <w:rFonts w:cs="Times New Roman"/>
                <w:bCs/>
                <w:color w:val="000000" w:themeColor="text1"/>
                <w:sz w:val="21"/>
                <w:szCs w:val="21"/>
                <w:highlight w:val="none"/>
                <w:lang w:eastAsia="en-US"/>
                <w14:textFill>
                  <w14:solidFill>
                    <w14:schemeClr w14:val="tx1"/>
                  </w14:solidFill>
                </w14:textFill>
              </w:rPr>
            </w:pPr>
            <w:r>
              <w:rPr>
                <w:rFonts w:cs="Times New Roman"/>
                <w:bCs/>
                <w:color w:val="000000" w:themeColor="text1"/>
                <w:sz w:val="21"/>
                <w:szCs w:val="21"/>
                <w:highlight w:val="none"/>
                <w:lang w:eastAsia="en-US"/>
                <w14:textFill>
                  <w14:solidFill>
                    <w14:schemeClr w14:val="tx1"/>
                  </w14:solidFill>
                </w14:textFill>
              </w:rPr>
              <w:t xml:space="preserve">18.30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4" w:hRule="atLeast"/>
          <w:jc w:val="center"/>
        </w:trPr>
        <w:tc>
          <w:tcPr>
            <w:tcW w:w="3358" w:type="pct"/>
            <w:gridSpan w:val="5"/>
            <w:vAlign w:val="center"/>
          </w:tcPr>
          <w:p>
            <w:pPr>
              <w:widowControl/>
              <w:adjustRightInd/>
              <w:snapToGrid/>
              <w:spacing w:line="240" w:lineRule="auto"/>
              <w:ind w:firstLine="0" w:firstLineChars="0"/>
              <w:jc w:val="center"/>
              <w:textAlignment w:val="bottom"/>
              <w:rPr>
                <w:rFonts w:cs="Times New Roman"/>
                <w:bCs/>
                <w:color w:val="000000" w:themeColor="text1"/>
                <w:sz w:val="21"/>
                <w:szCs w:val="21"/>
                <w:highlight w:val="none"/>
                <w:lang w:eastAsia="en-US"/>
                <w14:textFill>
                  <w14:solidFill>
                    <w14:schemeClr w14:val="tx1"/>
                  </w14:solidFill>
                </w14:textFill>
              </w:rPr>
            </w:pPr>
            <w:r>
              <w:rPr>
                <w:rFonts w:cs="Times New Roman"/>
                <w:bCs/>
                <w:color w:val="000000" w:themeColor="text1"/>
                <w:sz w:val="21"/>
                <w:szCs w:val="21"/>
                <w:highlight w:val="none"/>
                <w:lang w:eastAsia="en-US"/>
                <w14:textFill>
                  <w14:solidFill>
                    <w14:schemeClr w14:val="tx1"/>
                  </w14:solidFill>
                </w14:textFill>
              </w:rPr>
              <w:t>水域</w:t>
            </w:r>
          </w:p>
        </w:tc>
        <w:tc>
          <w:tcPr>
            <w:tcW w:w="854" w:type="pct"/>
            <w:vAlign w:val="center"/>
          </w:tcPr>
          <w:p>
            <w:pPr>
              <w:widowControl/>
              <w:adjustRightInd/>
              <w:snapToGrid/>
              <w:spacing w:line="240" w:lineRule="auto"/>
              <w:ind w:firstLine="0" w:firstLineChars="0"/>
              <w:jc w:val="center"/>
              <w:textAlignment w:val="bottom"/>
              <w:rPr>
                <w:rFonts w:cs="Times New Roman"/>
                <w:bCs/>
                <w:color w:val="000000" w:themeColor="text1"/>
                <w:sz w:val="21"/>
                <w:szCs w:val="21"/>
                <w:highlight w:val="none"/>
                <w:lang w:eastAsia="en-US"/>
                <w14:textFill>
                  <w14:solidFill>
                    <w14:schemeClr w14:val="tx1"/>
                  </w14:solidFill>
                </w14:textFill>
              </w:rPr>
            </w:pPr>
            <w:r>
              <w:rPr>
                <w:rFonts w:cs="Times New Roman"/>
                <w:bCs/>
                <w:color w:val="000000" w:themeColor="text1"/>
                <w:sz w:val="21"/>
                <w:szCs w:val="21"/>
                <w:highlight w:val="none"/>
                <w:lang w:eastAsia="en-US"/>
                <w14:textFill>
                  <w14:solidFill>
                    <w14:schemeClr w14:val="tx1"/>
                  </w14:solidFill>
                </w14:textFill>
              </w:rPr>
              <w:t>10.67</w:t>
            </w:r>
          </w:p>
        </w:tc>
        <w:tc>
          <w:tcPr>
            <w:tcW w:w="788" w:type="pct"/>
            <w:vAlign w:val="center"/>
          </w:tcPr>
          <w:p>
            <w:pPr>
              <w:widowControl/>
              <w:adjustRightInd/>
              <w:snapToGrid/>
              <w:spacing w:line="240" w:lineRule="auto"/>
              <w:ind w:firstLine="0" w:firstLineChars="0"/>
              <w:jc w:val="center"/>
              <w:textAlignment w:val="bottom"/>
              <w:rPr>
                <w:rFonts w:cs="Times New Roman"/>
                <w:bCs/>
                <w:color w:val="000000" w:themeColor="text1"/>
                <w:sz w:val="21"/>
                <w:szCs w:val="21"/>
                <w:highlight w:val="none"/>
                <w:lang w:eastAsia="en-US"/>
                <w14:textFill>
                  <w14:solidFill>
                    <w14:schemeClr w14:val="tx1"/>
                  </w14:solidFill>
                </w14:textFill>
              </w:rPr>
            </w:pPr>
            <w:r>
              <w:rPr>
                <w:rFonts w:cs="Times New Roman"/>
                <w:bCs/>
                <w:color w:val="000000" w:themeColor="text1"/>
                <w:sz w:val="21"/>
                <w:szCs w:val="21"/>
                <w:highlight w:val="none"/>
                <w:lang w:eastAsia="en-US"/>
                <w14:textFill>
                  <w14:solidFill>
                    <w14:schemeClr w14:val="tx1"/>
                  </w14:solidFill>
                </w14:textFill>
              </w:rPr>
              <w:t xml:space="preserve">1.69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4" w:hRule="atLeast"/>
          <w:jc w:val="center"/>
        </w:trPr>
        <w:tc>
          <w:tcPr>
            <w:tcW w:w="3358" w:type="pct"/>
            <w:gridSpan w:val="5"/>
            <w:vAlign w:val="center"/>
          </w:tcPr>
          <w:p>
            <w:pPr>
              <w:widowControl/>
              <w:adjustRightInd/>
              <w:snapToGrid/>
              <w:spacing w:line="240" w:lineRule="auto"/>
              <w:ind w:firstLine="0" w:firstLineChars="0"/>
              <w:jc w:val="center"/>
              <w:textAlignment w:val="bottom"/>
              <w:rPr>
                <w:rFonts w:cs="Times New Roman"/>
                <w:bCs/>
                <w:color w:val="000000" w:themeColor="text1"/>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bidi="ar"/>
                <w14:textFill>
                  <w14:solidFill>
                    <w14:schemeClr w14:val="tx1"/>
                  </w14:solidFill>
                </w14:textFill>
              </w:rPr>
              <w:t>无植被</w:t>
            </w:r>
          </w:p>
        </w:tc>
        <w:tc>
          <w:tcPr>
            <w:tcW w:w="854" w:type="pct"/>
            <w:vAlign w:val="center"/>
          </w:tcPr>
          <w:p>
            <w:pPr>
              <w:widowControl/>
              <w:adjustRightInd/>
              <w:snapToGrid/>
              <w:spacing w:line="240" w:lineRule="auto"/>
              <w:ind w:firstLine="0" w:firstLineChars="0"/>
              <w:jc w:val="center"/>
              <w:textAlignment w:val="bottom"/>
              <w:rPr>
                <w:rFonts w:cs="Times New Roman"/>
                <w:bCs/>
                <w:color w:val="000000" w:themeColor="text1"/>
                <w:sz w:val="21"/>
                <w:szCs w:val="21"/>
                <w:highlight w:val="none"/>
                <w:lang w:eastAsia="en-US"/>
                <w14:textFill>
                  <w14:solidFill>
                    <w14:schemeClr w14:val="tx1"/>
                  </w14:solidFill>
                </w14:textFill>
              </w:rPr>
            </w:pPr>
            <w:r>
              <w:rPr>
                <w:rFonts w:cs="Times New Roman"/>
                <w:bCs/>
                <w:color w:val="000000" w:themeColor="text1"/>
                <w:sz w:val="21"/>
                <w:szCs w:val="21"/>
                <w:highlight w:val="none"/>
                <w:lang w:eastAsia="en-US"/>
                <w14:textFill>
                  <w14:solidFill>
                    <w14:schemeClr w14:val="tx1"/>
                  </w14:solidFill>
                </w14:textFill>
              </w:rPr>
              <w:t>49.22</w:t>
            </w:r>
          </w:p>
        </w:tc>
        <w:tc>
          <w:tcPr>
            <w:tcW w:w="788" w:type="pct"/>
            <w:vAlign w:val="center"/>
          </w:tcPr>
          <w:p>
            <w:pPr>
              <w:widowControl/>
              <w:adjustRightInd/>
              <w:snapToGrid/>
              <w:spacing w:line="240" w:lineRule="auto"/>
              <w:ind w:firstLine="0" w:firstLineChars="0"/>
              <w:jc w:val="center"/>
              <w:textAlignment w:val="bottom"/>
              <w:rPr>
                <w:rFonts w:cs="Times New Roman"/>
                <w:bCs/>
                <w:color w:val="000000" w:themeColor="text1"/>
                <w:sz w:val="21"/>
                <w:szCs w:val="21"/>
                <w:highlight w:val="none"/>
                <w:lang w:eastAsia="en-US"/>
                <w14:textFill>
                  <w14:solidFill>
                    <w14:schemeClr w14:val="tx1"/>
                  </w14:solidFill>
                </w14:textFill>
              </w:rPr>
            </w:pPr>
            <w:r>
              <w:rPr>
                <w:rFonts w:cs="Times New Roman"/>
                <w:bCs/>
                <w:color w:val="000000" w:themeColor="text1"/>
                <w:sz w:val="21"/>
                <w:szCs w:val="21"/>
                <w:highlight w:val="none"/>
                <w:lang w:eastAsia="en-US"/>
                <w14:textFill>
                  <w14:solidFill>
                    <w14:schemeClr w14:val="tx1"/>
                  </w14:solidFill>
                </w14:textFill>
              </w:rPr>
              <w:t xml:space="preserve">7.78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4" w:hRule="atLeast"/>
          <w:jc w:val="center"/>
        </w:trPr>
        <w:tc>
          <w:tcPr>
            <w:tcW w:w="3358" w:type="pct"/>
            <w:gridSpan w:val="5"/>
            <w:vAlign w:val="center"/>
          </w:tcPr>
          <w:p>
            <w:pPr>
              <w:widowControl/>
              <w:adjustRightInd/>
              <w:snapToGrid/>
              <w:spacing w:line="240" w:lineRule="auto"/>
              <w:ind w:firstLine="0" w:firstLineChars="0"/>
              <w:jc w:val="center"/>
              <w:textAlignment w:val="center"/>
              <w:rPr>
                <w:rFonts w:cs="Times New Roman"/>
                <w:bCs/>
                <w:color w:val="000000" w:themeColor="text1"/>
                <w:sz w:val="21"/>
                <w:szCs w:val="21"/>
                <w:highlight w:val="none"/>
                <w:lang w:eastAsia="en-US"/>
                <w14:textFill>
                  <w14:solidFill>
                    <w14:schemeClr w14:val="tx1"/>
                  </w14:solidFill>
                </w14:textFill>
              </w:rPr>
            </w:pPr>
            <w:r>
              <w:rPr>
                <w:rFonts w:cs="Times New Roman"/>
                <w:bCs/>
                <w:color w:val="000000" w:themeColor="text1"/>
                <w:kern w:val="0"/>
                <w:sz w:val="22"/>
                <w:highlight w:val="none"/>
                <w:lang w:eastAsia="en-US" w:bidi="ar"/>
                <w14:textFill>
                  <w14:solidFill>
                    <w14:schemeClr w14:val="tx1"/>
                  </w14:solidFill>
                </w14:textFill>
              </w:rPr>
              <w:t>合计</w:t>
            </w:r>
          </w:p>
        </w:tc>
        <w:tc>
          <w:tcPr>
            <w:tcW w:w="854" w:type="pct"/>
            <w:vAlign w:val="center"/>
          </w:tcPr>
          <w:p>
            <w:pPr>
              <w:widowControl/>
              <w:adjustRightInd/>
              <w:snapToGrid/>
              <w:spacing w:line="240" w:lineRule="auto"/>
              <w:ind w:firstLine="0" w:firstLineChars="0"/>
              <w:jc w:val="center"/>
              <w:textAlignment w:val="bottom"/>
              <w:rPr>
                <w:rFonts w:cs="Times New Roman"/>
                <w:bCs/>
                <w:color w:val="000000" w:themeColor="text1"/>
                <w:sz w:val="21"/>
                <w:szCs w:val="21"/>
                <w:highlight w:val="none"/>
                <w:lang w:eastAsia="en-US"/>
                <w14:textFill>
                  <w14:solidFill>
                    <w14:schemeClr w14:val="tx1"/>
                  </w14:solidFill>
                </w14:textFill>
              </w:rPr>
            </w:pPr>
            <w:r>
              <w:rPr>
                <w:rFonts w:cs="Times New Roman"/>
                <w:bCs/>
                <w:color w:val="000000" w:themeColor="text1"/>
                <w:sz w:val="21"/>
                <w:szCs w:val="21"/>
                <w:highlight w:val="none"/>
                <w:lang w:eastAsia="en-US"/>
                <w14:textFill>
                  <w14:solidFill>
                    <w14:schemeClr w14:val="tx1"/>
                  </w14:solidFill>
                </w14:textFill>
              </w:rPr>
              <w:t xml:space="preserve">633.06 </w:t>
            </w:r>
          </w:p>
        </w:tc>
        <w:tc>
          <w:tcPr>
            <w:tcW w:w="788" w:type="pct"/>
            <w:vAlign w:val="center"/>
          </w:tcPr>
          <w:p>
            <w:pPr>
              <w:widowControl/>
              <w:adjustRightInd/>
              <w:snapToGrid/>
              <w:spacing w:line="240" w:lineRule="auto"/>
              <w:ind w:firstLine="0" w:firstLineChars="0"/>
              <w:jc w:val="center"/>
              <w:textAlignment w:val="bottom"/>
              <w:rPr>
                <w:rFonts w:cs="Times New Roman"/>
                <w:bCs/>
                <w:color w:val="000000" w:themeColor="text1"/>
                <w:sz w:val="21"/>
                <w:szCs w:val="21"/>
                <w:highlight w:val="none"/>
                <w:lang w:eastAsia="en-US"/>
                <w14:textFill>
                  <w14:solidFill>
                    <w14:schemeClr w14:val="tx1"/>
                  </w14:solidFill>
                </w14:textFill>
              </w:rPr>
            </w:pPr>
            <w:r>
              <w:rPr>
                <w:rFonts w:cs="Times New Roman"/>
                <w:bCs/>
                <w:color w:val="000000" w:themeColor="text1"/>
                <w:sz w:val="21"/>
                <w:szCs w:val="21"/>
                <w:highlight w:val="none"/>
                <w:lang w:eastAsia="en-US"/>
                <w14:textFill>
                  <w14:solidFill>
                    <w14:schemeClr w14:val="tx1"/>
                  </w14:solidFill>
                </w14:textFill>
              </w:rPr>
              <w:t xml:space="preserve">100.00 </w:t>
            </w:r>
          </w:p>
        </w:tc>
      </w:tr>
    </w:tbl>
    <w:p>
      <w:pPr>
        <w:spacing w:before="120" w:beforeLines="50"/>
        <w:ind w:firstLine="480"/>
        <w:rPr>
          <w:color w:val="000000" w:themeColor="text1"/>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由表4.3-3可看出，本次评价范围内以马尾松群系占比最大，占评价面积的30.89%，其次为水稻为主的水田作物植被，占评价面积的22.64 %，玉米、红苕、棉花、花生、小麦、马铃薯、豌豆为主的旱地作物植被，占评价面积的18.30%，麻栎+青冈群系，占评价面积的10.77%，其他植被类型所占比例均低于10%，综上，本项目评价范围植被类型主要以针叶林、水田、旱地植被占优</w:t>
      </w:r>
      <w:r>
        <w:rPr>
          <w:color w:val="000000" w:themeColor="text1"/>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（2）评价范围土地利用现状</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评价范围内土地利用概况见表4.3-4及《附图评价区土地利用现状图》。</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本次评价范围内土地利用现状情况</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30"/>
        <w:gridCol w:w="2577"/>
        <w:gridCol w:w="26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53"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土地利用类型</w:t>
            </w:r>
          </w:p>
        </w:tc>
        <w:tc>
          <w:tcPr>
            <w:tcW w:w="1511"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面积</w:t>
            </w:r>
            <w:r>
              <w:rPr>
                <w:rFonts w:hint="eastAsia"/>
                <w:b/>
                <w:bCs/>
                <w:color w:val="000000" w:themeColor="text1"/>
                <w:highlight w:val="none"/>
                <w14:textFill>
                  <w14:solidFill>
                    <w14:schemeClr w14:val="tx1"/>
                  </w14:solidFill>
                </w14:textFill>
              </w:rPr>
              <w:t>（</w:t>
            </w:r>
            <w:r>
              <w:rPr>
                <w:b/>
                <w:bCs/>
                <w:color w:val="000000" w:themeColor="text1"/>
                <w:highlight w:val="none"/>
                <w14:textFill>
                  <w14:solidFill>
                    <w14:schemeClr w14:val="tx1"/>
                  </w14:solidFill>
                </w14:textFill>
              </w:rPr>
              <w:t>hm</w:t>
            </w:r>
            <w:r>
              <w:rPr>
                <w:b/>
                <w:bCs/>
                <w:color w:val="000000" w:themeColor="text1"/>
                <w:highlight w:val="none"/>
                <w:vertAlign w:val="superscript"/>
                <w14:textFill>
                  <w14:solidFill>
                    <w14:schemeClr w14:val="tx1"/>
                  </w14:solidFill>
                </w14:textFill>
              </w:rPr>
              <w:t>2</w:t>
            </w:r>
            <w:r>
              <w:rPr>
                <w:rFonts w:hint="eastAsia"/>
                <w:b/>
                <w:bCs/>
                <w:color w:val="000000" w:themeColor="text1"/>
                <w:highlight w:val="none"/>
                <w:vertAlign w:val="superscript"/>
                <w14:textFill>
                  <w14:solidFill>
                    <w14:schemeClr w14:val="tx1"/>
                  </w14:solidFill>
                </w14:textFill>
              </w:rPr>
              <w:t>）</w:t>
            </w:r>
          </w:p>
        </w:tc>
        <w:tc>
          <w:tcPr>
            <w:tcW w:w="1536"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百分比</w:t>
            </w:r>
            <w:r>
              <w:rPr>
                <w:rFonts w:hint="eastAsia"/>
                <w:b/>
                <w:bCs/>
                <w:color w:val="000000" w:themeColor="text1"/>
                <w:highlight w:val="none"/>
                <w14:textFill>
                  <w14:solidFill>
                    <w14:schemeClr w14:val="tx1"/>
                  </w14:solidFill>
                </w14:textFill>
              </w:rPr>
              <w:t>（</w:t>
            </w:r>
            <w:r>
              <w:rPr>
                <w:b/>
                <w:bCs/>
                <w:color w:val="000000" w:themeColor="text1"/>
                <w:highlight w:val="none"/>
                <w14:textFill>
                  <w14:solidFill>
                    <w14:schemeClr w14:val="tx1"/>
                  </w14:solidFill>
                </w14:textFill>
              </w:rPr>
              <w:t>%</w:t>
            </w:r>
            <w:r>
              <w:rPr>
                <w:rFonts w:hint="eastAsia"/>
                <w:b/>
                <w:bCs/>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53"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水田</w:t>
            </w:r>
          </w:p>
        </w:tc>
        <w:tc>
          <w:tcPr>
            <w:tcW w:w="1511"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143.34 </w:t>
            </w:r>
          </w:p>
        </w:tc>
        <w:tc>
          <w:tcPr>
            <w:tcW w:w="153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22.64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53"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旱地</w:t>
            </w:r>
          </w:p>
        </w:tc>
        <w:tc>
          <w:tcPr>
            <w:tcW w:w="1511"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115.88 </w:t>
            </w:r>
          </w:p>
        </w:tc>
        <w:tc>
          <w:tcPr>
            <w:tcW w:w="153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18.30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53"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乔木林地</w:t>
            </w:r>
          </w:p>
        </w:tc>
        <w:tc>
          <w:tcPr>
            <w:tcW w:w="1511"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263.73 </w:t>
            </w:r>
          </w:p>
        </w:tc>
        <w:tc>
          <w:tcPr>
            <w:tcW w:w="153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41.66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53"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灌木林地</w:t>
            </w:r>
          </w:p>
        </w:tc>
        <w:tc>
          <w:tcPr>
            <w:tcW w:w="1511"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36.49 </w:t>
            </w:r>
          </w:p>
        </w:tc>
        <w:tc>
          <w:tcPr>
            <w:tcW w:w="153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5.76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53"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其他草地</w:t>
            </w:r>
          </w:p>
        </w:tc>
        <w:tc>
          <w:tcPr>
            <w:tcW w:w="1511"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13.72 </w:t>
            </w:r>
          </w:p>
        </w:tc>
        <w:tc>
          <w:tcPr>
            <w:tcW w:w="153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2.17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53"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农村宅基地</w:t>
            </w:r>
          </w:p>
        </w:tc>
        <w:tc>
          <w:tcPr>
            <w:tcW w:w="1511"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27.01 </w:t>
            </w:r>
          </w:p>
        </w:tc>
        <w:tc>
          <w:tcPr>
            <w:tcW w:w="153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4.27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53"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公路用地</w:t>
            </w:r>
          </w:p>
        </w:tc>
        <w:tc>
          <w:tcPr>
            <w:tcW w:w="1511"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2.65 </w:t>
            </w:r>
          </w:p>
        </w:tc>
        <w:tc>
          <w:tcPr>
            <w:tcW w:w="153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0.42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53"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农村道路</w:t>
            </w:r>
          </w:p>
        </w:tc>
        <w:tc>
          <w:tcPr>
            <w:tcW w:w="1511"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10.80 </w:t>
            </w:r>
          </w:p>
        </w:tc>
        <w:tc>
          <w:tcPr>
            <w:tcW w:w="153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1.71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53"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工业用地</w:t>
            </w:r>
          </w:p>
        </w:tc>
        <w:tc>
          <w:tcPr>
            <w:tcW w:w="1511"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8.77 </w:t>
            </w:r>
          </w:p>
        </w:tc>
        <w:tc>
          <w:tcPr>
            <w:tcW w:w="153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1.38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53"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河流水面</w:t>
            </w:r>
          </w:p>
        </w:tc>
        <w:tc>
          <w:tcPr>
            <w:tcW w:w="1511"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2.43 </w:t>
            </w:r>
          </w:p>
        </w:tc>
        <w:tc>
          <w:tcPr>
            <w:tcW w:w="153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0.38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53"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坑塘水面</w:t>
            </w:r>
          </w:p>
        </w:tc>
        <w:tc>
          <w:tcPr>
            <w:tcW w:w="1511"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8.24 </w:t>
            </w:r>
          </w:p>
        </w:tc>
        <w:tc>
          <w:tcPr>
            <w:tcW w:w="153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1.30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53"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合计</w:t>
            </w:r>
          </w:p>
        </w:tc>
        <w:tc>
          <w:tcPr>
            <w:tcW w:w="1511"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633.06 </w:t>
            </w:r>
          </w:p>
        </w:tc>
        <w:tc>
          <w:tcPr>
            <w:tcW w:w="153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100.00 </w:t>
            </w:r>
          </w:p>
        </w:tc>
      </w:tr>
    </w:tbl>
    <w:p>
      <w:pPr>
        <w:spacing w:before="120" w:beforeLines="50"/>
        <w:ind w:firstLine="480"/>
        <w:rPr>
          <w:color w:val="000000" w:themeColor="text1"/>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由表4.3-4看出，本次评价范围内乔木林地</w:t>
      </w:r>
      <w:r>
        <w:rPr>
          <w:rFonts w:cs="Times New Roman"/>
          <w:bCs/>
          <w:color w:val="000000" w:themeColor="text1"/>
          <w:kern w:val="0"/>
          <w:szCs w:val="24"/>
          <w:highlight w:val="none"/>
          <w:lang w:bidi="ar"/>
          <w14:textFill>
            <w14:solidFill>
              <w14:schemeClr w14:val="tx1"/>
            </w14:solidFill>
          </w14:textFill>
        </w:rPr>
        <w:t>263.73</w:t>
      </w:r>
      <w:r>
        <w:rPr>
          <w:rFonts w:cs="Times New Roman"/>
          <w:bCs/>
          <w:color w:val="000000" w:themeColor="text1"/>
          <w:szCs w:val="24"/>
          <w:highlight w:val="none"/>
          <w14:textFill>
            <w14:solidFill>
              <w14:schemeClr w14:val="tx1"/>
            </w14:solidFill>
          </w14:textFill>
        </w:rPr>
        <w:t>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，占评价范围的</w:t>
      </w:r>
      <w:r>
        <w:rPr>
          <w:rFonts w:cs="Times New Roman"/>
          <w:bCs/>
          <w:color w:val="000000" w:themeColor="text1"/>
          <w:kern w:val="0"/>
          <w:szCs w:val="24"/>
          <w:highlight w:val="none"/>
          <w:lang w:bidi="ar"/>
          <w14:textFill>
            <w14:solidFill>
              <w14:schemeClr w14:val="tx1"/>
            </w14:solidFill>
          </w14:textFill>
        </w:rPr>
        <w:t>41.66</w:t>
      </w:r>
      <w:r>
        <w:rPr>
          <w:rFonts w:cs="Times New Roman"/>
          <w:bCs/>
          <w:color w:val="000000" w:themeColor="text1"/>
          <w:szCs w:val="24"/>
          <w:highlight w:val="none"/>
          <w14:textFill>
            <w14:solidFill>
              <w14:schemeClr w14:val="tx1"/>
            </w14:solidFill>
          </w14:textFill>
        </w:rPr>
        <w:t>%，旱地</w:t>
      </w:r>
      <w:r>
        <w:rPr>
          <w:rFonts w:cs="Times New Roman"/>
          <w:bCs/>
          <w:color w:val="000000" w:themeColor="text1"/>
          <w:kern w:val="0"/>
          <w:szCs w:val="24"/>
          <w:highlight w:val="none"/>
          <w:lang w:bidi="ar"/>
          <w14:textFill>
            <w14:solidFill>
              <w14:schemeClr w14:val="tx1"/>
            </w14:solidFill>
          </w14:textFill>
        </w:rPr>
        <w:t>115.88</w:t>
      </w:r>
      <w:r>
        <w:rPr>
          <w:rFonts w:cs="Times New Roman"/>
          <w:bCs/>
          <w:color w:val="000000" w:themeColor="text1"/>
          <w:szCs w:val="24"/>
          <w:highlight w:val="none"/>
          <w14:textFill>
            <w14:solidFill>
              <w14:schemeClr w14:val="tx1"/>
            </w14:solidFill>
          </w14:textFill>
        </w:rPr>
        <w:t>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，占评价范围的</w:t>
      </w:r>
      <w:r>
        <w:rPr>
          <w:rFonts w:cs="Times New Roman"/>
          <w:bCs/>
          <w:color w:val="000000" w:themeColor="text1"/>
          <w:kern w:val="0"/>
          <w:szCs w:val="24"/>
          <w:highlight w:val="none"/>
          <w:lang w:bidi="ar"/>
          <w14:textFill>
            <w14:solidFill>
              <w14:schemeClr w14:val="tx1"/>
            </w14:solidFill>
          </w14:textFill>
        </w:rPr>
        <w:t>18.30</w:t>
      </w:r>
      <w:r>
        <w:rPr>
          <w:rFonts w:cs="Times New Roman"/>
          <w:bCs/>
          <w:color w:val="000000" w:themeColor="text1"/>
          <w:szCs w:val="24"/>
          <w:highlight w:val="none"/>
          <w14:textFill>
            <w14:solidFill>
              <w14:schemeClr w14:val="tx1"/>
            </w14:solidFill>
          </w14:textFill>
        </w:rPr>
        <w:t>%，水田</w:t>
      </w:r>
      <w:r>
        <w:rPr>
          <w:rFonts w:cs="Times New Roman"/>
          <w:bCs/>
          <w:color w:val="000000" w:themeColor="text1"/>
          <w:kern w:val="0"/>
          <w:szCs w:val="24"/>
          <w:highlight w:val="none"/>
          <w:lang w:bidi="ar"/>
          <w14:textFill>
            <w14:solidFill>
              <w14:schemeClr w14:val="tx1"/>
            </w14:solidFill>
          </w14:textFill>
        </w:rPr>
        <w:t>143.34</w:t>
      </w:r>
      <w:r>
        <w:rPr>
          <w:rFonts w:cs="Times New Roman"/>
          <w:bCs/>
          <w:color w:val="000000" w:themeColor="text1"/>
          <w:szCs w:val="24"/>
          <w:highlight w:val="none"/>
          <w14:textFill>
            <w14:solidFill>
              <w14:schemeClr w14:val="tx1"/>
            </w14:solidFill>
          </w14:textFill>
        </w:rPr>
        <w:t>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，占评价范围的</w:t>
      </w:r>
      <w:r>
        <w:rPr>
          <w:rFonts w:cs="Times New Roman"/>
          <w:bCs/>
          <w:color w:val="000000" w:themeColor="text1"/>
          <w:kern w:val="0"/>
          <w:szCs w:val="24"/>
          <w:highlight w:val="none"/>
          <w:lang w:bidi="ar"/>
          <w14:textFill>
            <w14:solidFill>
              <w14:schemeClr w14:val="tx1"/>
            </w14:solidFill>
          </w14:textFill>
        </w:rPr>
        <w:t>22.64</w:t>
      </w:r>
      <w:r>
        <w:rPr>
          <w:rFonts w:cs="Times New Roman"/>
          <w:bCs/>
          <w:color w:val="000000" w:themeColor="text1"/>
          <w:szCs w:val="24"/>
          <w:highlight w:val="none"/>
          <w14:textFill>
            <w14:solidFill>
              <w14:schemeClr w14:val="tx1"/>
            </w14:solidFill>
          </w14:textFill>
        </w:rPr>
        <w:t>%，其余地类均低于10%。综上，本次评价范围内土地类型以乔木林地和水田、旱地为主</w:t>
      </w:r>
      <w:r>
        <w:rPr>
          <w:color w:val="000000" w:themeColor="text1"/>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（3）植被覆盖度分布特征</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植被覆盖度分析采用基于NDVI的像元二分模型法反演植被覆盖度。根据象元二分模型原理，可以将每个象元的NDVI值表示为植被覆盖部分和无植被覆盖部分组成的形式，用公式可表示为：</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NDVI=NDVIveg×fc+NDVIsoil×（1-fc）（a）</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式中：NDVIveg代表完全由植被覆盖的象元的NDVI值；NDVIsoil代表完全无植被覆盖的象元NDVI值；fc代表植被覆盖度。</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公式（a）经变换即可得到植被覆盖度的计算公式：</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fc=（NDVI-NDVIsoil）/（NDVIveg-NDVIsoil）（b）</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公式（b），利用ERDASIMAGINE中的Modeler模块建模编写程序来计算覆盖度，得到了评价区的植被覆盖度图。根据遥感解译结果，参照《生态环境状况评价技术规范》（HJ192-2015，2015-03-13）、《土壤侵蚀分类分级标准》（SL190-2007，2008-01-04），评价区植被覆盖度划分为高覆盖度（&gt;70%）、中高覆盖度（50%～70%）、中覆盖度（30%～50%）、中低覆盖度（10%-30%）、极低覆盖度（&lt;10%）五个级别</w:t>
      </w:r>
      <w:bookmarkStart w:id="248" w:name="_Toc25682918"/>
      <w:r>
        <w:rPr>
          <w:color w:val="000000" w:themeColor="text1"/>
          <w:highlight w:val="none"/>
          <w14:textFill>
            <w14:solidFill>
              <w14:schemeClr w14:val="tx1"/>
            </w14:solidFill>
          </w14:textFill>
        </w:rPr>
        <w:t>，植被覆盖度分布特征及解译结果</w:t>
      </w:r>
      <w:bookmarkEnd w:id="248"/>
      <w:r>
        <w:rPr>
          <w:color w:val="000000" w:themeColor="text1"/>
          <w:highlight w:val="none"/>
          <w14:textFill>
            <w14:solidFill>
              <w14:schemeClr w14:val="tx1"/>
            </w14:solidFill>
          </w14:textFill>
        </w:rPr>
        <w:t>见下表。</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植被覆盖度分布面积统计表</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41"/>
        <w:gridCol w:w="3502"/>
        <w:gridCol w:w="18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1842" w:type="pct"/>
            <w:vMerge w:val="restart"/>
            <w:shd w:val="clear" w:color="auto" w:fill="auto"/>
            <w:noWrap/>
            <w:vAlign w:val="center"/>
          </w:tcPr>
          <w:p>
            <w:pPr>
              <w:spacing w:line="260" w:lineRule="exact"/>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植被覆盖度类型</w:t>
            </w:r>
          </w:p>
        </w:tc>
        <w:tc>
          <w:tcPr>
            <w:tcW w:w="3158" w:type="pct"/>
            <w:gridSpan w:val="2"/>
            <w:shd w:val="clear" w:color="000000" w:fill="FFFFFF"/>
            <w:noWrap/>
            <w:vAlign w:val="center"/>
          </w:tcPr>
          <w:p>
            <w:pPr>
              <w:spacing w:line="260" w:lineRule="exact"/>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评价区范围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1842" w:type="pct"/>
            <w:vMerge w:val="continue"/>
            <w:shd w:val="clear" w:color="auto" w:fill="auto"/>
            <w:vAlign w:val="center"/>
          </w:tcPr>
          <w:p>
            <w:pPr>
              <w:spacing w:line="260" w:lineRule="exact"/>
              <w:ind w:firstLine="0" w:firstLineChars="0"/>
              <w:jc w:val="center"/>
              <w:rPr>
                <w:rFonts w:cs="Times New Roman"/>
                <w:b/>
                <w:color w:val="000000" w:themeColor="text1"/>
                <w:sz w:val="21"/>
                <w:szCs w:val="21"/>
                <w:highlight w:val="none"/>
                <w14:textFill>
                  <w14:solidFill>
                    <w14:schemeClr w14:val="tx1"/>
                  </w14:solidFill>
                </w14:textFill>
              </w:rPr>
            </w:pPr>
          </w:p>
        </w:tc>
        <w:tc>
          <w:tcPr>
            <w:tcW w:w="2054" w:type="pct"/>
            <w:shd w:val="clear" w:color="000000" w:fill="FFFFFF"/>
            <w:noWrap/>
            <w:vAlign w:val="center"/>
          </w:tcPr>
          <w:p>
            <w:pPr>
              <w:spacing w:line="260" w:lineRule="exact"/>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面积（hm</w:t>
            </w:r>
            <w:r>
              <w:rPr>
                <w:rFonts w:cs="Times New Roman"/>
                <w:b/>
                <w:color w:val="000000" w:themeColor="text1"/>
                <w:sz w:val="21"/>
                <w:szCs w:val="21"/>
                <w:highlight w:val="none"/>
                <w:vertAlign w:val="superscript"/>
                <w14:textFill>
                  <w14:solidFill>
                    <w14:schemeClr w14:val="tx1"/>
                  </w14:solidFill>
                </w14:textFill>
              </w:rPr>
              <w:t>2</w:t>
            </w:r>
            <w:r>
              <w:rPr>
                <w:rFonts w:cs="Times New Roman"/>
                <w:b/>
                <w:color w:val="000000" w:themeColor="text1"/>
                <w:sz w:val="21"/>
                <w:szCs w:val="21"/>
                <w:highlight w:val="none"/>
                <w14:textFill>
                  <w14:solidFill>
                    <w14:schemeClr w14:val="tx1"/>
                  </w14:solidFill>
                </w14:textFill>
              </w:rPr>
              <w:t>）</w:t>
            </w:r>
          </w:p>
        </w:tc>
        <w:tc>
          <w:tcPr>
            <w:tcW w:w="1104" w:type="pct"/>
            <w:shd w:val="clear" w:color="000000" w:fill="FFFFFF"/>
            <w:noWrap/>
            <w:vAlign w:val="center"/>
          </w:tcPr>
          <w:p>
            <w:pPr>
              <w:spacing w:line="260" w:lineRule="exact"/>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占比（%）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1842" w:type="pct"/>
            <w:shd w:val="clear" w:color="auto" w:fill="FFFFFF"/>
            <w:noWrap/>
            <w:vAlign w:val="center"/>
          </w:tcPr>
          <w:p>
            <w:pPr>
              <w:spacing w:line="260" w:lineRule="exact"/>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极低覆盖度&lt;10%</w:t>
            </w:r>
          </w:p>
        </w:tc>
        <w:tc>
          <w:tcPr>
            <w:tcW w:w="2054" w:type="pct"/>
            <w:shd w:val="clear" w:color="auto" w:fill="FFFFFF"/>
            <w:noWrap/>
            <w:vAlign w:val="center"/>
          </w:tcPr>
          <w:p>
            <w:pPr>
              <w:spacing w:line="260" w:lineRule="exact"/>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59.90</w:t>
            </w:r>
          </w:p>
        </w:tc>
        <w:tc>
          <w:tcPr>
            <w:tcW w:w="1104" w:type="pct"/>
            <w:shd w:val="clear" w:color="auto" w:fill="FFFFFF"/>
            <w:noWrap/>
            <w:vAlign w:val="center"/>
          </w:tcPr>
          <w:p>
            <w:pPr>
              <w:spacing w:line="260" w:lineRule="exact"/>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9.46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1842" w:type="pct"/>
            <w:shd w:val="clear" w:color="auto" w:fill="FFFFFF"/>
            <w:noWrap/>
            <w:vAlign w:val="center"/>
          </w:tcPr>
          <w:p>
            <w:pPr>
              <w:spacing w:line="260" w:lineRule="exact"/>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中低覆盖度10%-30%</w:t>
            </w:r>
          </w:p>
        </w:tc>
        <w:tc>
          <w:tcPr>
            <w:tcW w:w="2054" w:type="pct"/>
            <w:shd w:val="clear" w:color="auto" w:fill="FFFFFF"/>
            <w:noWrap/>
            <w:vAlign w:val="center"/>
          </w:tcPr>
          <w:p>
            <w:pPr>
              <w:spacing w:line="260" w:lineRule="exact"/>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13.72</w:t>
            </w:r>
          </w:p>
        </w:tc>
        <w:tc>
          <w:tcPr>
            <w:tcW w:w="1104" w:type="pct"/>
            <w:shd w:val="clear" w:color="auto" w:fill="FFFFFF"/>
            <w:noWrap/>
            <w:vAlign w:val="center"/>
          </w:tcPr>
          <w:p>
            <w:pPr>
              <w:spacing w:line="260" w:lineRule="exact"/>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2.17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1842" w:type="pct"/>
            <w:shd w:val="clear" w:color="auto" w:fill="FFFFFF"/>
            <w:noWrap/>
            <w:vAlign w:val="center"/>
          </w:tcPr>
          <w:p>
            <w:pPr>
              <w:spacing w:line="260" w:lineRule="exact"/>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中覆盖度30%-50%</w:t>
            </w:r>
          </w:p>
        </w:tc>
        <w:tc>
          <w:tcPr>
            <w:tcW w:w="2054" w:type="pct"/>
            <w:shd w:val="clear" w:color="auto" w:fill="FFFFFF"/>
            <w:noWrap/>
            <w:vAlign w:val="center"/>
          </w:tcPr>
          <w:p>
            <w:pPr>
              <w:spacing w:line="260" w:lineRule="exact"/>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259.22</w:t>
            </w:r>
          </w:p>
        </w:tc>
        <w:tc>
          <w:tcPr>
            <w:tcW w:w="1104" w:type="pct"/>
            <w:shd w:val="clear" w:color="auto" w:fill="FFFFFF"/>
            <w:noWrap/>
            <w:vAlign w:val="center"/>
          </w:tcPr>
          <w:p>
            <w:pPr>
              <w:spacing w:line="260" w:lineRule="exact"/>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40.95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1842" w:type="pct"/>
            <w:shd w:val="clear" w:color="auto" w:fill="FFFFFF"/>
            <w:noWrap/>
            <w:vAlign w:val="center"/>
          </w:tcPr>
          <w:p>
            <w:pPr>
              <w:spacing w:line="260" w:lineRule="exact"/>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中高覆盖度50%-70%</w:t>
            </w:r>
          </w:p>
        </w:tc>
        <w:tc>
          <w:tcPr>
            <w:tcW w:w="2054" w:type="pct"/>
            <w:shd w:val="clear" w:color="auto" w:fill="FFFFFF"/>
            <w:noWrap/>
            <w:vAlign w:val="center"/>
          </w:tcPr>
          <w:p>
            <w:pPr>
              <w:spacing w:line="260" w:lineRule="exact"/>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36.49</w:t>
            </w:r>
          </w:p>
        </w:tc>
        <w:tc>
          <w:tcPr>
            <w:tcW w:w="1104" w:type="pct"/>
            <w:shd w:val="clear" w:color="auto" w:fill="FFFFFF"/>
            <w:noWrap/>
            <w:vAlign w:val="center"/>
          </w:tcPr>
          <w:p>
            <w:pPr>
              <w:spacing w:line="260" w:lineRule="exact"/>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5.76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1842" w:type="pct"/>
            <w:shd w:val="clear" w:color="auto" w:fill="FFFFFF"/>
            <w:noWrap/>
            <w:vAlign w:val="center"/>
          </w:tcPr>
          <w:p>
            <w:pPr>
              <w:spacing w:line="260" w:lineRule="exact"/>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高覆盖度&gt;70%</w:t>
            </w:r>
          </w:p>
        </w:tc>
        <w:tc>
          <w:tcPr>
            <w:tcW w:w="2054" w:type="pct"/>
            <w:shd w:val="clear" w:color="auto" w:fill="FFFFFF"/>
            <w:noWrap/>
            <w:vAlign w:val="center"/>
          </w:tcPr>
          <w:p>
            <w:pPr>
              <w:spacing w:line="260" w:lineRule="exact"/>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263.73</w:t>
            </w:r>
          </w:p>
        </w:tc>
        <w:tc>
          <w:tcPr>
            <w:tcW w:w="1104" w:type="pct"/>
            <w:shd w:val="clear" w:color="auto" w:fill="FFFFFF"/>
            <w:noWrap/>
            <w:vAlign w:val="center"/>
          </w:tcPr>
          <w:p>
            <w:pPr>
              <w:spacing w:line="260" w:lineRule="exact"/>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41.66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1842" w:type="pct"/>
            <w:shd w:val="clear" w:color="auto" w:fill="FFFFFF"/>
            <w:noWrap/>
            <w:vAlign w:val="center"/>
          </w:tcPr>
          <w:p>
            <w:pPr>
              <w:spacing w:line="260" w:lineRule="exact"/>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合计</w:t>
            </w:r>
          </w:p>
        </w:tc>
        <w:tc>
          <w:tcPr>
            <w:tcW w:w="2054" w:type="pct"/>
            <w:shd w:val="clear" w:color="auto" w:fill="FFFFFF"/>
            <w:noWrap/>
            <w:vAlign w:val="center"/>
          </w:tcPr>
          <w:p>
            <w:pPr>
              <w:spacing w:line="260" w:lineRule="exact"/>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633.06</w:t>
            </w:r>
          </w:p>
        </w:tc>
        <w:tc>
          <w:tcPr>
            <w:tcW w:w="1104" w:type="pct"/>
            <w:shd w:val="clear" w:color="auto" w:fill="FFFFFF"/>
            <w:noWrap/>
            <w:vAlign w:val="center"/>
          </w:tcPr>
          <w:p>
            <w:pPr>
              <w:spacing w:line="260" w:lineRule="exact"/>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100.00</w:t>
            </w:r>
          </w:p>
        </w:tc>
      </w:tr>
    </w:tbl>
    <w:p>
      <w:pPr>
        <w:spacing w:before="120" w:beforeLines="50"/>
        <w:ind w:firstLine="480"/>
        <w:rPr>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项目区属中亚热带湿润季风气候区，植被区划处于亚热带常绿阔叶林区域，水热条件较好，植被总体覆盖度较高。从解译结果看，评价区范围内，高覆盖度植被主要分布在针叶林及阔叶林区，群落多为乔灌草三层，综合覆盖度较高；中高覆盖度植被主要为稀疏乔木林及灌丛植被分布区，群落结构多为灌草两层；中覆盖度多为草丛植被分布区</w:t>
      </w:r>
      <w:r>
        <w:rPr>
          <w:color w:val="000000" w:themeColor="text1"/>
          <w:highlight w:val="none"/>
          <w14:textFill>
            <w14:solidFill>
              <w14:schemeClr w14:val="tx1"/>
            </w14:solidFill>
          </w14:textFill>
        </w:rPr>
        <w:t>。</w:t>
      </w:r>
    </w:p>
    <w:p>
      <w:pPr>
        <w:pStyle w:val="5"/>
        <w:spacing w:before="120"/>
        <w:ind w:firstLine="480"/>
        <w:rPr>
          <w:b/>
          <w:color w:val="000000" w:themeColor="text1"/>
          <w:highlight w:val="none"/>
          <w:lang w:eastAsia="zh-CN"/>
          <w14:textFill>
            <w14:solidFill>
              <w14:schemeClr w14:val="tx1"/>
            </w14:solidFill>
          </w14:textFill>
        </w:rPr>
      </w:pPr>
      <w:bookmarkStart w:id="249" w:name="_Toc120173137"/>
      <w:bookmarkStart w:id="250" w:name="_Toc280781527"/>
      <w:r>
        <w:rPr>
          <w:color w:val="000000" w:themeColor="text1"/>
          <w:highlight w:val="none"/>
          <w:lang w:eastAsia="zh-CN"/>
          <w14:textFill>
            <w14:solidFill>
              <w14:schemeClr w14:val="tx1"/>
            </w14:solidFill>
          </w14:textFill>
        </w:rPr>
        <w:t>项目区域植被概况</w:t>
      </w:r>
    </w:p>
    <w:p>
      <w:pPr>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（1）区系分布</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评价范围位于四川省达州市宣汉县。根据《四川植被》中关于四川省内植被区划的描述，项目所在区域属IA3</w:t>
      </w:r>
      <w:r>
        <w:rPr>
          <w:rFonts w:hint="eastAsia" w:cs="Times New Roman"/>
          <w:bCs/>
          <w:color w:val="000000" w:themeColor="text1"/>
          <w:highlight w:val="none"/>
          <w14:textFill>
            <w14:solidFill>
              <w14:schemeClr w14:val="tx1"/>
            </w14:solidFill>
          </w14:textFill>
        </w:rPr>
        <w:t>（</w:t>
      </w:r>
      <w:r>
        <w:rPr>
          <w:rFonts w:cs="Times New Roman"/>
          <w:bCs/>
          <w:color w:val="000000" w:themeColor="text1"/>
          <w:highlight w:val="none"/>
          <w14:textFill>
            <w14:solidFill>
              <w14:schemeClr w14:val="tx1"/>
            </w14:solidFill>
          </w14:textFill>
        </w:rPr>
        <w:t>6</w:t>
      </w:r>
      <w:r>
        <w:rPr>
          <w:rFonts w:hint="eastAsia" w:cs="Times New Roman"/>
          <w:bCs/>
          <w:color w:val="000000" w:themeColor="text1"/>
          <w:highlight w:val="none"/>
          <w14:textFill>
            <w14:solidFill>
              <w14:schemeClr w14:val="tx1"/>
            </w14:solidFill>
          </w14:textFill>
        </w:rPr>
        <w:t>）</w:t>
      </w:r>
      <w:r>
        <w:rPr>
          <w:rFonts w:cs="Times New Roman"/>
          <w:bCs/>
          <w:color w:val="000000" w:themeColor="text1"/>
          <w:highlight w:val="none"/>
          <w14:textFill>
            <w14:solidFill>
              <w14:schemeClr w14:val="tx1"/>
            </w14:solidFill>
          </w14:textFill>
        </w:rPr>
        <w:t>川北深丘植被小区。</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该小区位于盆地中部北侧，是</w:t>
      </w:r>
      <w:r>
        <w:rPr>
          <w:rFonts w:hint="eastAsia" w:cs="Times New Roman"/>
          <w:bCs/>
          <w:color w:val="000000" w:themeColor="text1"/>
          <w:highlight w:val="none"/>
          <w:lang w:eastAsia="zh-CN"/>
          <w14:textFill>
            <w14:solidFill>
              <w14:schemeClr w14:val="tx1"/>
            </w14:solidFill>
          </w14:textFill>
        </w:rPr>
        <w:t>**</w:t>
      </w:r>
      <w:r>
        <w:rPr>
          <w:rFonts w:cs="Times New Roman"/>
          <w:bCs/>
          <w:color w:val="000000" w:themeColor="text1"/>
          <w:highlight w:val="none"/>
          <w14:textFill>
            <w14:solidFill>
              <w14:schemeClr w14:val="tx1"/>
            </w14:solidFill>
          </w14:textFill>
        </w:rPr>
        <w:t>地区向盆地内部方山丘陵过渡的地带，境内主要属单斜丘陵，</w:t>
      </w:r>
      <w:r>
        <w:rPr>
          <w:rFonts w:hint="eastAsia" w:cs="Times New Roman"/>
          <w:bCs/>
          <w:color w:val="000000" w:themeColor="text1"/>
          <w:highlight w:val="none"/>
          <w14:textFill>
            <w14:solidFill>
              <w14:schemeClr w14:val="tx1"/>
            </w14:solidFill>
          </w14:textFill>
        </w:rPr>
        <w:t>海拔</w:t>
      </w:r>
      <w:r>
        <w:rPr>
          <w:rFonts w:cs="Times New Roman"/>
          <w:bCs/>
          <w:color w:val="000000" w:themeColor="text1"/>
          <w:highlight w:val="none"/>
          <w14:textFill>
            <w14:solidFill>
              <w14:schemeClr w14:val="tx1"/>
            </w14:solidFill>
          </w14:textFill>
        </w:rPr>
        <w:t>一般为800m，相对高度100</w:t>
      </w:r>
      <w:r>
        <w:rPr>
          <w:rFonts w:hint="eastAsia" w:cs="Times New Roman"/>
          <w:bCs/>
          <w:color w:val="000000" w:themeColor="text1"/>
          <w:highlight w:val="none"/>
          <w14:textFill>
            <w14:solidFill>
              <w14:schemeClr w14:val="tx1"/>
            </w14:solidFill>
          </w14:textFill>
        </w:rPr>
        <w:t>～</w:t>
      </w:r>
      <w:r>
        <w:rPr>
          <w:rFonts w:cs="Times New Roman"/>
          <w:bCs/>
          <w:color w:val="000000" w:themeColor="text1"/>
          <w:highlight w:val="none"/>
          <w14:textFill>
            <w14:solidFill>
              <w14:schemeClr w14:val="tx1"/>
            </w14:solidFill>
          </w14:textFill>
        </w:rPr>
        <w:t>200m，地层多属白垩纪紫色砂岩与页岩互层，在此母质上发育的为紫色土，海拔1000m以上地区以黄壤为主。年平均温16~17℃，1月平均温5~6℃，比川中方山丘陵区气温低，而年温差较大。年降水量在1000毫米以上，比川中方山丘陵区多，但季节分配不均匀，雾日较少，无霜期约为290天，有春早</w:t>
      </w:r>
      <w:r>
        <w:rPr>
          <w:rFonts w:hint="eastAsia" w:cs="Times New Roman"/>
          <w:bCs/>
          <w:color w:val="000000" w:themeColor="text1"/>
          <w:highlight w:val="none"/>
          <w14:textFill>
            <w14:solidFill>
              <w14:schemeClr w14:val="tx1"/>
            </w14:solidFill>
          </w14:textFill>
        </w:rPr>
        <w:t>秋分</w:t>
      </w:r>
      <w:r>
        <w:rPr>
          <w:rFonts w:cs="Times New Roman"/>
          <w:bCs/>
          <w:color w:val="000000" w:themeColor="text1"/>
          <w:highlight w:val="none"/>
          <w14:textFill>
            <w14:solidFill>
              <w14:schemeClr w14:val="tx1"/>
            </w14:solidFill>
          </w14:textFill>
        </w:rPr>
        <w:t>、日照时数较多的特点。</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自然植被主要为马尾松林、柏木林、栎类灌丛、亚热带草丛及其各种过渡类型。在个别海拔1200m左右的地方有石栎林、刺叶栎林、青㭎林。马尾松林多分布在深丘顶部砂页岩发育的黄壤地段上，灌木有米饭花、映山红、米碎花、铁仔，而在干燥生境下，则以映山红、火棘、栎类为主。柏木林多分布在深丘下部的紫色页岩地段上，形成疏林，混有化香、黄连木、油桐。栎类灌丛多分布</w:t>
      </w:r>
      <w:r>
        <w:rPr>
          <w:rFonts w:hint="eastAsia" w:cs="Times New Roman"/>
          <w:bCs/>
          <w:color w:val="000000" w:themeColor="text1"/>
          <w:highlight w:val="none"/>
          <w14:textFill>
            <w14:solidFill>
              <w14:schemeClr w14:val="tx1"/>
            </w14:solidFill>
          </w14:textFill>
        </w:rPr>
        <w:t>在山顶</w:t>
      </w:r>
      <w:r>
        <w:rPr>
          <w:rFonts w:cs="Times New Roman"/>
          <w:bCs/>
          <w:color w:val="000000" w:themeColor="text1"/>
          <w:highlight w:val="none"/>
          <w14:textFill>
            <w14:solidFill>
              <w14:schemeClr w14:val="tx1"/>
            </w14:solidFill>
          </w14:textFill>
        </w:rPr>
        <w:t>，由麻栎、青冈、栓皮栎、烟管荚蓬、火棘、蔷薇、盐肤木、映山红、铁仔、毛黄栌组成，为马尾松林和落叶栎林砍伐后形成的灌丛类型。柏木林再度砍伐后形成以黄茅、白茅、香茅为主的亚热带草丛，并散生着黄荆、牡荆、马桑、铁仔、短柄枹栎等植物。另外，本小区各地还有黑壳楠、红果钓樟、云南樟、宜昌润楠、山合欢、灯台树等植物。</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栽培植被中大春作物本田以中稻为主，早地以玉米、红苕、棉花、花生、小麦、马铃薯、豌豆为主，小春作物以小麦、豌豆为主，深丘上部种有马铃薯，多为一年二熟类型。由于地势较高，雨量分配不均匀，伏旱严重，农业布局必须因地制宜。有水利保证的田应栽水稻，主攻中稻，没有水利保证的田，种植旱粮，实行小麦、玉米、红苕连续套种。这样可以提高复种指数，做到高产稳产。在“以粮为纲，全面发展”方针指导下，要因地制宜地发展棉花、花生等经济作物。经济林水中梨、核桃产量大、质量好、栽培历史长，如苍溪雪梨和薄壳核桃都很著名，宜于大量发展。另外桑、油桐也是本小区重要经济林木，发展潜力很大。丘陵荒山要开展植树造林，种植黄荆、马桑、紫穗槐、马尾松、柏木等，增加植被覆盖率。</w:t>
      </w:r>
    </w:p>
    <w:p>
      <w:pPr>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（2）维管束植物组成情况</w:t>
      </w:r>
    </w:p>
    <w:p>
      <w:pPr>
        <w:ind w:firstLine="480"/>
        <w:rPr>
          <w:color w:val="000000" w:themeColor="text1"/>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评价区共有维管束植物有39目，82科，184属，244种：其中蕨类植物共有12科14属20种，占总科数的14.63%，总属数的7.61%，总种数的8.20%；裸子植物3科4属4种，占评价区总科数的3.66%，总属数的2.17%，总种数的1.64%；被子植物物种数最多，共有67科166属220种，占评价区总科数的81.71%，总属数的90.22%，总种数的90.98%</w:t>
      </w:r>
      <w:r>
        <w:rPr>
          <w:rFonts w:cs="Times New Roman"/>
          <w:bCs/>
          <w:color w:val="000000" w:themeColor="text1"/>
          <w:highlight w:val="none"/>
          <w14:textFill>
            <w14:solidFill>
              <w14:schemeClr w14:val="tx1"/>
            </w14:solidFill>
          </w14:textFill>
        </w:rPr>
        <w:t>。项目区域维管植物科属种情况如下表</w:t>
      </w:r>
      <w:r>
        <w:rPr>
          <w:color w:val="000000" w:themeColor="text1"/>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评价范围维管植物科属种统计表</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1"/>
        <w:gridCol w:w="1305"/>
        <w:gridCol w:w="814"/>
        <w:gridCol w:w="1467"/>
        <w:gridCol w:w="810"/>
        <w:gridCol w:w="1393"/>
        <w:gridCol w:w="774"/>
        <w:gridCol w:w="12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7" w:hRule="atLeast"/>
          <w:tblHeader/>
          <w:jc w:val="center"/>
        </w:trPr>
        <w:tc>
          <w:tcPr>
            <w:tcW w:w="1211" w:type="pct"/>
            <w:gridSpan w:val="2"/>
            <w:tcBorders>
              <w:tl2br w:val="nil"/>
              <w:tr2bl w:val="nil"/>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门类</w:t>
            </w:r>
          </w:p>
        </w:tc>
        <w:tc>
          <w:tcPr>
            <w:tcW w:w="477" w:type="pct"/>
            <w:tcBorders>
              <w:tl2br w:val="nil"/>
              <w:tr2bl w:val="nil"/>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科数</w:t>
            </w:r>
          </w:p>
        </w:tc>
        <w:tc>
          <w:tcPr>
            <w:tcW w:w="860" w:type="pct"/>
            <w:tcBorders>
              <w:tl2br w:val="nil"/>
              <w:tr2bl w:val="nil"/>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所占</w:t>
            </w:r>
            <w:r>
              <w:rPr>
                <w:b/>
                <w:bCs/>
                <w:color w:val="000000" w:themeColor="text1"/>
                <w:spacing w:val="8"/>
                <w:highlight w:val="none"/>
                <w14:textFill>
                  <w14:solidFill>
                    <w14:schemeClr w14:val="tx1"/>
                  </w14:solidFill>
                </w14:textFill>
              </w:rPr>
              <w:t>比例</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w:t>
            </w:r>
            <w:r>
              <w:rPr>
                <w:b/>
                <w:bCs/>
                <w:color w:val="000000" w:themeColor="text1"/>
                <w:spacing w:val="1"/>
                <w:highlight w:val="none"/>
                <w14:textFill>
                  <w14:solidFill>
                    <w14:schemeClr w14:val="tx1"/>
                  </w14:solidFill>
                </w14:textFill>
              </w:rPr>
              <w:t>）</w:t>
            </w:r>
          </w:p>
        </w:tc>
        <w:tc>
          <w:tcPr>
            <w:tcW w:w="475" w:type="pct"/>
            <w:tcBorders>
              <w:tl2br w:val="nil"/>
              <w:tr2bl w:val="nil"/>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属数</w:t>
            </w:r>
          </w:p>
        </w:tc>
        <w:tc>
          <w:tcPr>
            <w:tcW w:w="817" w:type="pct"/>
            <w:tcBorders>
              <w:tl2br w:val="nil"/>
              <w:tr2bl w:val="nil"/>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所占</w:t>
            </w:r>
            <w:r>
              <w:rPr>
                <w:b/>
                <w:bCs/>
                <w:color w:val="000000" w:themeColor="text1"/>
                <w:spacing w:val="8"/>
                <w:highlight w:val="none"/>
                <w14:textFill>
                  <w14:solidFill>
                    <w14:schemeClr w14:val="tx1"/>
                  </w14:solidFill>
                </w14:textFill>
              </w:rPr>
              <w:t>比例</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w:t>
            </w:r>
            <w:r>
              <w:rPr>
                <w:b/>
                <w:bCs/>
                <w:color w:val="000000" w:themeColor="text1"/>
                <w:spacing w:val="1"/>
                <w:highlight w:val="none"/>
                <w14:textFill>
                  <w14:solidFill>
                    <w14:schemeClr w14:val="tx1"/>
                  </w14:solidFill>
                </w14:textFill>
              </w:rPr>
              <w:t>）</w:t>
            </w:r>
          </w:p>
        </w:tc>
        <w:tc>
          <w:tcPr>
            <w:tcW w:w="454" w:type="pct"/>
            <w:tcBorders>
              <w:tl2br w:val="nil"/>
              <w:tr2bl w:val="nil"/>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种数</w:t>
            </w:r>
          </w:p>
        </w:tc>
        <w:tc>
          <w:tcPr>
            <w:tcW w:w="705" w:type="pct"/>
            <w:tcBorders>
              <w:tl2br w:val="nil"/>
              <w:tr2bl w:val="nil"/>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所占</w:t>
            </w:r>
            <w:r>
              <w:rPr>
                <w:b/>
                <w:bCs/>
                <w:color w:val="000000" w:themeColor="text1"/>
                <w:spacing w:val="8"/>
                <w:highlight w:val="none"/>
                <w14:textFill>
                  <w14:solidFill>
                    <w14:schemeClr w14:val="tx1"/>
                  </w14:solidFill>
                </w14:textFill>
              </w:rPr>
              <w:t>比例</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w:t>
            </w:r>
            <w:r>
              <w:rPr>
                <w:b/>
                <w:bCs/>
                <w:color w:val="000000" w:themeColor="text1"/>
                <w:spacing w:val="-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jc w:val="center"/>
        </w:trPr>
        <w:tc>
          <w:tcPr>
            <w:tcW w:w="1211" w:type="pct"/>
            <w:gridSpan w:val="2"/>
            <w:tcBorders>
              <w:tl2br w:val="nil"/>
              <w:tr2bl w:val="nil"/>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蕨类</w:t>
            </w:r>
            <w:r>
              <w:rPr>
                <w:color w:val="000000" w:themeColor="text1"/>
                <w:spacing w:val="8"/>
                <w:highlight w:val="none"/>
                <w14:textFill>
                  <w14:solidFill>
                    <w14:schemeClr w14:val="tx1"/>
                  </w14:solidFill>
                </w14:textFill>
              </w:rPr>
              <w:t>植物</w:t>
            </w:r>
          </w:p>
        </w:tc>
        <w:tc>
          <w:tcPr>
            <w:tcW w:w="477" w:type="pct"/>
            <w:tcBorders>
              <w:tl2br w:val="nil"/>
              <w:tr2bl w:val="nil"/>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w:t>
            </w:r>
          </w:p>
        </w:tc>
        <w:tc>
          <w:tcPr>
            <w:tcW w:w="860" w:type="pct"/>
            <w:tcBorders>
              <w:tl2br w:val="nil"/>
              <w:tr2bl w:val="nil"/>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14.63 </w:t>
            </w:r>
          </w:p>
        </w:tc>
        <w:tc>
          <w:tcPr>
            <w:tcW w:w="475" w:type="pct"/>
            <w:tcBorders>
              <w:tl2br w:val="nil"/>
              <w:tr2bl w:val="nil"/>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14</w:t>
            </w:r>
          </w:p>
        </w:tc>
        <w:tc>
          <w:tcPr>
            <w:tcW w:w="817" w:type="pct"/>
            <w:tcBorders>
              <w:tl2br w:val="nil"/>
              <w:tr2bl w:val="nil"/>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7.61 </w:t>
            </w:r>
          </w:p>
        </w:tc>
        <w:tc>
          <w:tcPr>
            <w:tcW w:w="454" w:type="pct"/>
            <w:tcBorders>
              <w:tl2br w:val="nil"/>
              <w:tr2bl w:val="nil"/>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w:t>
            </w:r>
          </w:p>
        </w:tc>
        <w:tc>
          <w:tcPr>
            <w:tcW w:w="705" w:type="pct"/>
            <w:tcBorders>
              <w:tl2br w:val="nil"/>
              <w:tr2bl w:val="nil"/>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8.20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446" w:type="pct"/>
            <w:vMerge w:val="restart"/>
            <w:tcBorders>
              <w:tl2br w:val="nil"/>
              <w:tr2bl w:val="nil"/>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种子</w:t>
            </w:r>
          </w:p>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植</w:t>
            </w:r>
            <w:r>
              <w:rPr>
                <w:color w:val="000000" w:themeColor="text1"/>
                <w:spacing w:val="5"/>
                <w:highlight w:val="none"/>
                <w14:textFill>
                  <w14:solidFill>
                    <w14:schemeClr w14:val="tx1"/>
                  </w14:solidFill>
                </w14:textFill>
              </w:rPr>
              <w:t>物</w:t>
            </w:r>
          </w:p>
        </w:tc>
        <w:tc>
          <w:tcPr>
            <w:tcW w:w="765" w:type="pct"/>
            <w:tcBorders>
              <w:tl2br w:val="nil"/>
              <w:tr2bl w:val="nil"/>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裸子</w:t>
            </w:r>
            <w:r>
              <w:rPr>
                <w:color w:val="000000" w:themeColor="text1"/>
                <w:spacing w:val="8"/>
                <w:highlight w:val="none"/>
                <w14:textFill>
                  <w14:solidFill>
                    <w14:schemeClr w14:val="tx1"/>
                  </w14:solidFill>
                </w14:textFill>
              </w:rPr>
              <w:t>植物</w:t>
            </w:r>
          </w:p>
        </w:tc>
        <w:tc>
          <w:tcPr>
            <w:tcW w:w="477" w:type="pct"/>
            <w:tcBorders>
              <w:tl2br w:val="nil"/>
              <w:tr2bl w:val="nil"/>
            </w:tcBorders>
            <w:vAlign w:val="center"/>
          </w:tcPr>
          <w:p>
            <w:pPr>
              <w:pStyle w:val="118"/>
              <w:rPr>
                <w:color w:val="000000" w:themeColor="text1"/>
                <w:spacing w:val="8"/>
                <w:highlight w:val="none"/>
                <w14:textFill>
                  <w14:solidFill>
                    <w14:schemeClr w14:val="tx1"/>
                  </w14:solidFill>
                </w14:textFill>
              </w:rPr>
            </w:pPr>
            <w:r>
              <w:rPr>
                <w:color w:val="000000" w:themeColor="text1"/>
                <w:highlight w:val="none"/>
                <w:lang w:bidi="ar"/>
                <w14:textFill>
                  <w14:solidFill>
                    <w14:schemeClr w14:val="tx1"/>
                  </w14:solidFill>
                </w14:textFill>
              </w:rPr>
              <w:t>3</w:t>
            </w:r>
          </w:p>
        </w:tc>
        <w:tc>
          <w:tcPr>
            <w:tcW w:w="860" w:type="pct"/>
            <w:tcBorders>
              <w:tl2br w:val="nil"/>
              <w:tr2bl w:val="nil"/>
            </w:tcBorders>
            <w:vAlign w:val="center"/>
          </w:tcPr>
          <w:p>
            <w:pPr>
              <w:pStyle w:val="118"/>
              <w:rPr>
                <w:color w:val="000000" w:themeColor="text1"/>
                <w:spacing w:val="8"/>
                <w:highlight w:val="none"/>
                <w14:textFill>
                  <w14:solidFill>
                    <w14:schemeClr w14:val="tx1"/>
                  </w14:solidFill>
                </w14:textFill>
              </w:rPr>
            </w:pPr>
            <w:r>
              <w:rPr>
                <w:color w:val="000000" w:themeColor="text1"/>
                <w:highlight w:val="none"/>
                <w:lang w:bidi="ar"/>
                <w14:textFill>
                  <w14:solidFill>
                    <w14:schemeClr w14:val="tx1"/>
                  </w14:solidFill>
                </w14:textFill>
              </w:rPr>
              <w:t xml:space="preserve">3.66 </w:t>
            </w:r>
          </w:p>
        </w:tc>
        <w:tc>
          <w:tcPr>
            <w:tcW w:w="475" w:type="pct"/>
            <w:tcBorders>
              <w:tl2br w:val="nil"/>
              <w:tr2bl w:val="nil"/>
            </w:tcBorders>
            <w:vAlign w:val="center"/>
          </w:tcPr>
          <w:p>
            <w:pPr>
              <w:pStyle w:val="118"/>
              <w:rPr>
                <w:color w:val="000000" w:themeColor="text1"/>
                <w:spacing w:val="8"/>
                <w:highlight w:val="none"/>
                <w14:textFill>
                  <w14:solidFill>
                    <w14:schemeClr w14:val="tx1"/>
                  </w14:solidFill>
                </w14:textFill>
              </w:rPr>
            </w:pPr>
            <w:r>
              <w:rPr>
                <w:color w:val="000000" w:themeColor="text1"/>
                <w:highlight w:val="none"/>
                <w:lang w:bidi="ar"/>
                <w14:textFill>
                  <w14:solidFill>
                    <w14:schemeClr w14:val="tx1"/>
                  </w14:solidFill>
                </w14:textFill>
              </w:rPr>
              <w:t>4</w:t>
            </w:r>
          </w:p>
        </w:tc>
        <w:tc>
          <w:tcPr>
            <w:tcW w:w="817" w:type="pct"/>
            <w:tcBorders>
              <w:tl2br w:val="nil"/>
              <w:tr2bl w:val="nil"/>
            </w:tcBorders>
            <w:vAlign w:val="center"/>
          </w:tcPr>
          <w:p>
            <w:pPr>
              <w:pStyle w:val="118"/>
              <w:rPr>
                <w:color w:val="000000" w:themeColor="text1"/>
                <w:spacing w:val="8"/>
                <w:highlight w:val="none"/>
                <w14:textFill>
                  <w14:solidFill>
                    <w14:schemeClr w14:val="tx1"/>
                  </w14:solidFill>
                </w14:textFill>
              </w:rPr>
            </w:pPr>
            <w:r>
              <w:rPr>
                <w:color w:val="000000" w:themeColor="text1"/>
                <w:highlight w:val="none"/>
                <w:lang w:bidi="ar"/>
                <w14:textFill>
                  <w14:solidFill>
                    <w14:schemeClr w14:val="tx1"/>
                  </w14:solidFill>
                </w14:textFill>
              </w:rPr>
              <w:t xml:space="preserve">2.17 </w:t>
            </w:r>
          </w:p>
        </w:tc>
        <w:tc>
          <w:tcPr>
            <w:tcW w:w="454" w:type="pct"/>
            <w:tcBorders>
              <w:tl2br w:val="nil"/>
              <w:tr2bl w:val="nil"/>
            </w:tcBorders>
            <w:vAlign w:val="center"/>
          </w:tcPr>
          <w:p>
            <w:pPr>
              <w:pStyle w:val="118"/>
              <w:rPr>
                <w:color w:val="000000" w:themeColor="text1"/>
                <w:spacing w:val="8"/>
                <w:highlight w:val="none"/>
                <w14:textFill>
                  <w14:solidFill>
                    <w14:schemeClr w14:val="tx1"/>
                  </w14:solidFill>
                </w14:textFill>
              </w:rPr>
            </w:pPr>
            <w:r>
              <w:rPr>
                <w:color w:val="000000" w:themeColor="text1"/>
                <w:highlight w:val="none"/>
                <w:lang w:bidi="ar"/>
                <w14:textFill>
                  <w14:solidFill>
                    <w14:schemeClr w14:val="tx1"/>
                  </w14:solidFill>
                </w14:textFill>
              </w:rPr>
              <w:t>4</w:t>
            </w:r>
          </w:p>
        </w:tc>
        <w:tc>
          <w:tcPr>
            <w:tcW w:w="705" w:type="pct"/>
            <w:tcBorders>
              <w:tl2br w:val="nil"/>
              <w:tr2bl w:val="nil"/>
            </w:tcBorders>
            <w:vAlign w:val="center"/>
          </w:tcPr>
          <w:p>
            <w:pPr>
              <w:pStyle w:val="118"/>
              <w:rPr>
                <w:color w:val="000000" w:themeColor="text1"/>
                <w:spacing w:val="8"/>
                <w:highlight w:val="none"/>
                <w14:textFill>
                  <w14:solidFill>
                    <w14:schemeClr w14:val="tx1"/>
                  </w14:solidFill>
                </w14:textFill>
              </w:rPr>
            </w:pPr>
            <w:r>
              <w:rPr>
                <w:color w:val="000000" w:themeColor="text1"/>
                <w:highlight w:val="none"/>
                <w:lang w:bidi="ar"/>
                <w14:textFill>
                  <w14:solidFill>
                    <w14:schemeClr w14:val="tx1"/>
                  </w14:solidFill>
                </w14:textFill>
              </w:rPr>
              <w:t xml:space="preserve">1.64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446" w:type="pct"/>
            <w:vMerge w:val="continue"/>
            <w:tcBorders>
              <w:tl2br w:val="nil"/>
              <w:tr2bl w:val="nil"/>
            </w:tcBorders>
            <w:vAlign w:val="center"/>
          </w:tcPr>
          <w:p>
            <w:pPr>
              <w:pStyle w:val="118"/>
              <w:rPr>
                <w:color w:val="000000" w:themeColor="text1"/>
                <w:highlight w:val="none"/>
                <w14:textFill>
                  <w14:solidFill>
                    <w14:schemeClr w14:val="tx1"/>
                  </w14:solidFill>
                </w14:textFill>
              </w:rPr>
            </w:pPr>
          </w:p>
        </w:tc>
        <w:tc>
          <w:tcPr>
            <w:tcW w:w="765" w:type="pct"/>
            <w:tcBorders>
              <w:tl2br w:val="nil"/>
              <w:tr2bl w:val="nil"/>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被子</w:t>
            </w:r>
            <w:r>
              <w:rPr>
                <w:color w:val="000000" w:themeColor="text1"/>
                <w:spacing w:val="8"/>
                <w:highlight w:val="none"/>
                <w14:textFill>
                  <w14:solidFill>
                    <w14:schemeClr w14:val="tx1"/>
                  </w14:solidFill>
                </w14:textFill>
              </w:rPr>
              <w:t>植物</w:t>
            </w:r>
          </w:p>
        </w:tc>
        <w:tc>
          <w:tcPr>
            <w:tcW w:w="477" w:type="pct"/>
            <w:tcBorders>
              <w:tl2br w:val="nil"/>
              <w:tr2bl w:val="nil"/>
            </w:tcBorders>
            <w:vAlign w:val="center"/>
          </w:tcPr>
          <w:p>
            <w:pPr>
              <w:pStyle w:val="118"/>
              <w:rPr>
                <w:color w:val="000000" w:themeColor="text1"/>
                <w:spacing w:val="8"/>
                <w:highlight w:val="none"/>
                <w14:textFill>
                  <w14:solidFill>
                    <w14:schemeClr w14:val="tx1"/>
                  </w14:solidFill>
                </w14:textFill>
              </w:rPr>
            </w:pPr>
            <w:r>
              <w:rPr>
                <w:color w:val="000000" w:themeColor="text1"/>
                <w:highlight w:val="none"/>
                <w:lang w:bidi="ar"/>
                <w14:textFill>
                  <w14:solidFill>
                    <w14:schemeClr w14:val="tx1"/>
                  </w14:solidFill>
                </w14:textFill>
              </w:rPr>
              <w:t>67</w:t>
            </w:r>
          </w:p>
        </w:tc>
        <w:tc>
          <w:tcPr>
            <w:tcW w:w="860" w:type="pct"/>
            <w:tcBorders>
              <w:tl2br w:val="nil"/>
              <w:tr2bl w:val="nil"/>
            </w:tcBorders>
            <w:vAlign w:val="center"/>
          </w:tcPr>
          <w:p>
            <w:pPr>
              <w:pStyle w:val="118"/>
              <w:rPr>
                <w:color w:val="000000" w:themeColor="text1"/>
                <w:spacing w:val="8"/>
                <w:highlight w:val="none"/>
                <w14:textFill>
                  <w14:solidFill>
                    <w14:schemeClr w14:val="tx1"/>
                  </w14:solidFill>
                </w14:textFill>
              </w:rPr>
            </w:pPr>
            <w:r>
              <w:rPr>
                <w:color w:val="000000" w:themeColor="text1"/>
                <w:highlight w:val="none"/>
                <w:lang w:bidi="ar"/>
                <w14:textFill>
                  <w14:solidFill>
                    <w14:schemeClr w14:val="tx1"/>
                  </w14:solidFill>
                </w14:textFill>
              </w:rPr>
              <w:t xml:space="preserve">81.71 </w:t>
            </w:r>
          </w:p>
        </w:tc>
        <w:tc>
          <w:tcPr>
            <w:tcW w:w="475" w:type="pct"/>
            <w:tcBorders>
              <w:tl2br w:val="nil"/>
              <w:tr2bl w:val="nil"/>
            </w:tcBorders>
            <w:vAlign w:val="center"/>
          </w:tcPr>
          <w:p>
            <w:pPr>
              <w:pStyle w:val="118"/>
              <w:rPr>
                <w:color w:val="000000" w:themeColor="text1"/>
                <w:spacing w:val="8"/>
                <w:highlight w:val="none"/>
                <w14:textFill>
                  <w14:solidFill>
                    <w14:schemeClr w14:val="tx1"/>
                  </w14:solidFill>
                </w14:textFill>
              </w:rPr>
            </w:pPr>
            <w:r>
              <w:rPr>
                <w:color w:val="000000" w:themeColor="text1"/>
                <w:highlight w:val="none"/>
                <w:lang w:bidi="ar"/>
                <w14:textFill>
                  <w14:solidFill>
                    <w14:schemeClr w14:val="tx1"/>
                  </w14:solidFill>
                </w14:textFill>
              </w:rPr>
              <w:t>166</w:t>
            </w:r>
          </w:p>
        </w:tc>
        <w:tc>
          <w:tcPr>
            <w:tcW w:w="817" w:type="pct"/>
            <w:tcBorders>
              <w:tl2br w:val="nil"/>
              <w:tr2bl w:val="nil"/>
            </w:tcBorders>
            <w:vAlign w:val="center"/>
          </w:tcPr>
          <w:p>
            <w:pPr>
              <w:pStyle w:val="118"/>
              <w:rPr>
                <w:color w:val="000000" w:themeColor="text1"/>
                <w:spacing w:val="8"/>
                <w:highlight w:val="none"/>
                <w14:textFill>
                  <w14:solidFill>
                    <w14:schemeClr w14:val="tx1"/>
                  </w14:solidFill>
                </w14:textFill>
              </w:rPr>
            </w:pPr>
            <w:r>
              <w:rPr>
                <w:color w:val="000000" w:themeColor="text1"/>
                <w:highlight w:val="none"/>
                <w:lang w:bidi="ar"/>
                <w14:textFill>
                  <w14:solidFill>
                    <w14:schemeClr w14:val="tx1"/>
                  </w14:solidFill>
                </w14:textFill>
              </w:rPr>
              <w:t xml:space="preserve">90.22 </w:t>
            </w:r>
          </w:p>
        </w:tc>
        <w:tc>
          <w:tcPr>
            <w:tcW w:w="454" w:type="pct"/>
            <w:tcBorders>
              <w:tl2br w:val="nil"/>
              <w:tr2bl w:val="nil"/>
            </w:tcBorders>
            <w:vAlign w:val="center"/>
          </w:tcPr>
          <w:p>
            <w:pPr>
              <w:pStyle w:val="118"/>
              <w:rPr>
                <w:color w:val="000000" w:themeColor="text1"/>
                <w:spacing w:val="8"/>
                <w:highlight w:val="none"/>
                <w14:textFill>
                  <w14:solidFill>
                    <w14:schemeClr w14:val="tx1"/>
                  </w14:solidFill>
                </w14:textFill>
              </w:rPr>
            </w:pPr>
            <w:r>
              <w:rPr>
                <w:color w:val="000000" w:themeColor="text1"/>
                <w:highlight w:val="none"/>
                <w:lang w:bidi="ar"/>
                <w14:textFill>
                  <w14:solidFill>
                    <w14:schemeClr w14:val="tx1"/>
                  </w14:solidFill>
                </w14:textFill>
              </w:rPr>
              <w:t>222</w:t>
            </w:r>
          </w:p>
        </w:tc>
        <w:tc>
          <w:tcPr>
            <w:tcW w:w="705" w:type="pct"/>
            <w:tcBorders>
              <w:tl2br w:val="nil"/>
              <w:tr2bl w:val="nil"/>
            </w:tcBorders>
            <w:vAlign w:val="center"/>
          </w:tcPr>
          <w:p>
            <w:pPr>
              <w:pStyle w:val="118"/>
              <w:rPr>
                <w:color w:val="000000" w:themeColor="text1"/>
                <w:spacing w:val="8"/>
                <w:highlight w:val="none"/>
                <w14:textFill>
                  <w14:solidFill>
                    <w14:schemeClr w14:val="tx1"/>
                  </w14:solidFill>
                </w14:textFill>
              </w:rPr>
            </w:pPr>
            <w:r>
              <w:rPr>
                <w:color w:val="000000" w:themeColor="text1"/>
                <w:highlight w:val="none"/>
                <w:lang w:bidi="ar"/>
                <w14:textFill>
                  <w14:solidFill>
                    <w14:schemeClr w14:val="tx1"/>
                  </w14:solidFill>
                </w14:textFill>
              </w:rPr>
              <w:t xml:space="preserve">90.98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211" w:type="pct"/>
            <w:gridSpan w:val="2"/>
            <w:tcBorders>
              <w:tl2br w:val="nil"/>
              <w:tr2bl w:val="nil"/>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lang w:bidi="ar"/>
                <w14:textFill>
                  <w14:solidFill>
                    <w14:schemeClr w14:val="tx1"/>
                  </w14:solidFill>
                </w14:textFill>
              </w:rPr>
              <w:t>合计</w:t>
            </w:r>
          </w:p>
        </w:tc>
        <w:tc>
          <w:tcPr>
            <w:tcW w:w="477" w:type="pct"/>
            <w:tcBorders>
              <w:tl2br w:val="nil"/>
              <w:tr2bl w:val="nil"/>
            </w:tcBorders>
            <w:vAlign w:val="center"/>
          </w:tcPr>
          <w:p>
            <w:pPr>
              <w:pStyle w:val="118"/>
              <w:rPr>
                <w:color w:val="000000" w:themeColor="text1"/>
                <w:spacing w:val="8"/>
                <w:highlight w:val="none"/>
                <w14:textFill>
                  <w14:solidFill>
                    <w14:schemeClr w14:val="tx1"/>
                  </w14:solidFill>
                </w14:textFill>
              </w:rPr>
            </w:pPr>
            <w:r>
              <w:rPr>
                <w:color w:val="000000" w:themeColor="text1"/>
                <w:highlight w:val="none"/>
                <w:lang w:bidi="ar"/>
                <w14:textFill>
                  <w14:solidFill>
                    <w14:schemeClr w14:val="tx1"/>
                  </w14:solidFill>
                </w14:textFill>
              </w:rPr>
              <w:t>82</w:t>
            </w:r>
          </w:p>
        </w:tc>
        <w:tc>
          <w:tcPr>
            <w:tcW w:w="860" w:type="pct"/>
            <w:tcBorders>
              <w:tl2br w:val="nil"/>
              <w:tr2bl w:val="nil"/>
            </w:tcBorders>
            <w:vAlign w:val="center"/>
          </w:tcPr>
          <w:p>
            <w:pPr>
              <w:pStyle w:val="118"/>
              <w:rPr>
                <w:color w:val="000000" w:themeColor="text1"/>
                <w:spacing w:val="8"/>
                <w:highlight w:val="none"/>
                <w14:textFill>
                  <w14:solidFill>
                    <w14:schemeClr w14:val="tx1"/>
                  </w14:solidFill>
                </w14:textFill>
              </w:rPr>
            </w:pPr>
            <w:r>
              <w:rPr>
                <w:color w:val="000000" w:themeColor="text1"/>
                <w:highlight w:val="none"/>
                <w:lang w:bidi="ar"/>
                <w14:textFill>
                  <w14:solidFill>
                    <w14:schemeClr w14:val="tx1"/>
                  </w14:solidFill>
                </w14:textFill>
              </w:rPr>
              <w:t xml:space="preserve">100.00 </w:t>
            </w:r>
          </w:p>
        </w:tc>
        <w:tc>
          <w:tcPr>
            <w:tcW w:w="475" w:type="pct"/>
            <w:tcBorders>
              <w:tl2br w:val="nil"/>
              <w:tr2bl w:val="nil"/>
            </w:tcBorders>
            <w:vAlign w:val="center"/>
          </w:tcPr>
          <w:p>
            <w:pPr>
              <w:pStyle w:val="118"/>
              <w:rPr>
                <w:color w:val="000000" w:themeColor="text1"/>
                <w:spacing w:val="8"/>
                <w:highlight w:val="none"/>
                <w14:textFill>
                  <w14:solidFill>
                    <w14:schemeClr w14:val="tx1"/>
                  </w14:solidFill>
                </w14:textFill>
              </w:rPr>
            </w:pPr>
            <w:r>
              <w:rPr>
                <w:color w:val="000000" w:themeColor="text1"/>
                <w:highlight w:val="none"/>
                <w:lang w:bidi="ar"/>
                <w14:textFill>
                  <w14:solidFill>
                    <w14:schemeClr w14:val="tx1"/>
                  </w14:solidFill>
                </w14:textFill>
              </w:rPr>
              <w:t>184</w:t>
            </w:r>
          </w:p>
        </w:tc>
        <w:tc>
          <w:tcPr>
            <w:tcW w:w="817" w:type="pct"/>
            <w:tcBorders>
              <w:tl2br w:val="nil"/>
              <w:tr2bl w:val="nil"/>
            </w:tcBorders>
            <w:vAlign w:val="center"/>
          </w:tcPr>
          <w:p>
            <w:pPr>
              <w:pStyle w:val="118"/>
              <w:rPr>
                <w:color w:val="000000" w:themeColor="text1"/>
                <w:spacing w:val="8"/>
                <w:highlight w:val="none"/>
                <w14:textFill>
                  <w14:solidFill>
                    <w14:schemeClr w14:val="tx1"/>
                  </w14:solidFill>
                </w14:textFill>
              </w:rPr>
            </w:pPr>
            <w:r>
              <w:rPr>
                <w:color w:val="000000" w:themeColor="text1"/>
                <w:highlight w:val="none"/>
                <w:lang w:bidi="ar"/>
                <w14:textFill>
                  <w14:solidFill>
                    <w14:schemeClr w14:val="tx1"/>
                  </w14:solidFill>
                </w14:textFill>
              </w:rPr>
              <w:t xml:space="preserve">100.00 </w:t>
            </w:r>
          </w:p>
        </w:tc>
        <w:tc>
          <w:tcPr>
            <w:tcW w:w="454" w:type="pct"/>
            <w:tcBorders>
              <w:tl2br w:val="nil"/>
              <w:tr2bl w:val="nil"/>
            </w:tcBorders>
            <w:vAlign w:val="center"/>
          </w:tcPr>
          <w:p>
            <w:pPr>
              <w:pStyle w:val="118"/>
              <w:rPr>
                <w:color w:val="000000" w:themeColor="text1"/>
                <w:spacing w:val="8"/>
                <w:highlight w:val="none"/>
                <w14:textFill>
                  <w14:solidFill>
                    <w14:schemeClr w14:val="tx1"/>
                  </w14:solidFill>
                </w14:textFill>
              </w:rPr>
            </w:pPr>
            <w:r>
              <w:rPr>
                <w:color w:val="000000" w:themeColor="text1"/>
                <w:highlight w:val="none"/>
                <w:lang w:bidi="ar"/>
                <w14:textFill>
                  <w14:solidFill>
                    <w14:schemeClr w14:val="tx1"/>
                  </w14:solidFill>
                </w14:textFill>
              </w:rPr>
              <w:t>244</w:t>
            </w:r>
          </w:p>
        </w:tc>
        <w:tc>
          <w:tcPr>
            <w:tcW w:w="705" w:type="pct"/>
            <w:tcBorders>
              <w:tl2br w:val="nil"/>
              <w:tr2bl w:val="nil"/>
            </w:tcBorders>
            <w:vAlign w:val="center"/>
          </w:tcPr>
          <w:p>
            <w:pPr>
              <w:pStyle w:val="118"/>
              <w:rPr>
                <w:color w:val="000000" w:themeColor="text1"/>
                <w:spacing w:val="8"/>
                <w:highlight w:val="none"/>
                <w14:textFill>
                  <w14:solidFill>
                    <w14:schemeClr w14:val="tx1"/>
                  </w14:solidFill>
                </w14:textFill>
              </w:rPr>
            </w:pPr>
            <w:r>
              <w:rPr>
                <w:color w:val="000000" w:themeColor="text1"/>
                <w:highlight w:val="none"/>
                <w:lang w:bidi="ar"/>
                <w14:textFill>
                  <w14:solidFill>
                    <w14:schemeClr w14:val="tx1"/>
                  </w14:solidFill>
                </w14:textFill>
              </w:rPr>
              <w:t xml:space="preserve">100.00 </w:t>
            </w:r>
          </w:p>
        </w:tc>
      </w:tr>
    </w:tbl>
    <w:p>
      <w:pPr>
        <w:spacing w:before="120" w:beforeLines="50"/>
        <w:ind w:firstLine="510"/>
        <w:rPr>
          <w:rFonts w:cs="Times New Roman"/>
          <w:bCs/>
          <w:color w:val="000000" w:themeColor="text1"/>
          <w:spacing w:val="-5"/>
          <w:sz w:val="27"/>
          <w:szCs w:val="27"/>
          <w:highlight w:val="none"/>
          <w14:textFill>
            <w14:solidFill>
              <w14:schemeClr w14:val="tx1"/>
            </w14:solidFill>
          </w14:textFill>
        </w:rPr>
      </w:pPr>
      <w:r>
        <w:rPr>
          <w:rFonts w:cs="Times New Roman"/>
          <w:bCs/>
          <w:color w:val="000000" w:themeColor="text1"/>
          <w:spacing w:val="15"/>
          <w:szCs w:val="24"/>
          <w:highlight w:val="none"/>
          <w14:textFill>
            <w14:solidFill>
              <w14:schemeClr w14:val="tx1"/>
            </w14:solidFill>
          </w14:textFill>
        </w:rPr>
        <w:t>项目区域</w:t>
      </w:r>
      <w:r>
        <w:rPr>
          <w:rFonts w:cs="Times New Roman"/>
          <w:bCs/>
          <w:color w:val="000000" w:themeColor="text1"/>
          <w:szCs w:val="24"/>
          <w:highlight w:val="none"/>
          <w14:textFill>
            <w14:solidFill>
              <w14:schemeClr w14:val="tx1"/>
            </w14:solidFill>
          </w14:textFill>
        </w:rPr>
        <w:t>维管</w:t>
      </w:r>
      <w:r>
        <w:rPr>
          <w:rFonts w:cs="Times New Roman"/>
          <w:bCs/>
          <w:color w:val="000000" w:themeColor="text1"/>
          <w:spacing w:val="15"/>
          <w:szCs w:val="24"/>
          <w:highlight w:val="none"/>
          <w14:textFill>
            <w14:solidFill>
              <w14:schemeClr w14:val="tx1"/>
            </w14:solidFill>
          </w14:textFill>
        </w:rPr>
        <w:t>植物</w:t>
      </w:r>
      <w:r>
        <w:rPr>
          <w:rFonts w:cs="Times New Roman"/>
          <w:bCs/>
          <w:color w:val="000000" w:themeColor="text1"/>
          <w:szCs w:val="24"/>
          <w:highlight w:val="none"/>
          <w14:textFill>
            <w14:solidFill>
              <w14:schemeClr w14:val="tx1"/>
            </w14:solidFill>
          </w14:textFill>
        </w:rPr>
        <w:t>组成以被子植物为优势，分别占项目区域维管植物科属种总数的81.71%、90.22%和90.98%。常见的优势物种有马尾松</w:t>
      </w:r>
      <w:r>
        <w:rPr>
          <w:rFonts w:cs="Times New Roman"/>
          <w:bCs/>
          <w:i/>
          <w:iCs/>
          <w:color w:val="000000" w:themeColor="text1"/>
          <w:szCs w:val="24"/>
          <w:highlight w:val="none"/>
          <w14:textFill>
            <w14:solidFill>
              <w14:schemeClr w14:val="tx1"/>
            </w14:solidFill>
          </w14:textFill>
        </w:rPr>
        <w:t>P.massoniana</w:t>
      </w:r>
      <w:r>
        <w:rPr>
          <w:rFonts w:cs="Times New Roman"/>
          <w:bCs/>
          <w:color w:val="000000" w:themeColor="text1"/>
          <w:szCs w:val="24"/>
          <w:highlight w:val="none"/>
          <w14:textFill>
            <w14:solidFill>
              <w14:schemeClr w14:val="tx1"/>
            </w14:solidFill>
          </w14:textFill>
        </w:rPr>
        <w:t>、杉木</w:t>
      </w:r>
      <w:r>
        <w:rPr>
          <w:rFonts w:cs="Times New Roman"/>
          <w:bCs/>
          <w:color w:val="000000" w:themeColor="text1"/>
          <w:highlight w:val="none"/>
          <w14:textFill>
            <w14:solidFill>
              <w14:schemeClr w14:val="tx1"/>
            </w14:solidFill>
          </w14:textFill>
        </w:rPr>
        <w:t xml:space="preserve">Cunninghamia </w:t>
      </w:r>
      <w:r>
        <w:rPr>
          <w:rFonts w:cs="Times New Roman"/>
          <w:bCs/>
          <w:i/>
          <w:iCs/>
          <w:color w:val="000000" w:themeColor="text1"/>
          <w:szCs w:val="24"/>
          <w:highlight w:val="none"/>
          <w14:textFill>
            <w14:solidFill>
              <w14:schemeClr w14:val="tx1"/>
            </w14:solidFill>
          </w14:textFill>
        </w:rPr>
        <w:t>lanceolata</w:t>
      </w:r>
      <w:r>
        <w:rPr>
          <w:rFonts w:cs="Times New Roman"/>
          <w:bCs/>
          <w:color w:val="000000" w:themeColor="text1"/>
          <w:szCs w:val="24"/>
          <w:highlight w:val="none"/>
          <w14:textFill>
            <w14:solidFill>
              <w14:schemeClr w14:val="tx1"/>
            </w14:solidFill>
          </w14:textFill>
        </w:rPr>
        <w:t xml:space="preserve"> </w:t>
      </w:r>
      <w:r>
        <w:rPr>
          <w:rFonts w:cs="Times New Roman"/>
          <w:bCs/>
          <w:i/>
          <w:iCs/>
          <w:color w:val="000000" w:themeColor="text1"/>
          <w:spacing w:val="-2"/>
          <w:sz w:val="25"/>
          <w:szCs w:val="25"/>
          <w:highlight w:val="none"/>
          <w14:textFill>
            <w14:solidFill>
              <w14:schemeClr w14:val="tx1"/>
            </w14:solidFill>
          </w14:textFill>
        </w:rPr>
        <w:t>(</w:t>
      </w:r>
      <w:r>
        <w:rPr>
          <w:rFonts w:cs="Times New Roman"/>
          <w:bCs/>
          <w:i/>
          <w:iCs/>
          <w:color w:val="000000" w:themeColor="text1"/>
          <w:spacing w:val="-2"/>
          <w:szCs w:val="24"/>
          <w:highlight w:val="none"/>
          <w14:textFill>
            <w14:solidFill>
              <w14:schemeClr w14:val="tx1"/>
            </w14:solidFill>
          </w14:textFill>
        </w:rPr>
        <w:t>Lamb.</w:t>
      </w:r>
      <w:r>
        <w:rPr>
          <w:rFonts w:cs="Times New Roman"/>
          <w:bCs/>
          <w:i/>
          <w:iCs/>
          <w:color w:val="000000" w:themeColor="text1"/>
          <w:spacing w:val="-2"/>
          <w:sz w:val="25"/>
          <w:szCs w:val="25"/>
          <w:highlight w:val="none"/>
          <w14:textFill>
            <w14:solidFill>
              <w14:schemeClr w14:val="tx1"/>
            </w14:solidFill>
          </w14:textFill>
        </w:rPr>
        <w:t>)</w:t>
      </w:r>
      <w:r>
        <w:rPr>
          <w:rFonts w:cs="Times New Roman"/>
          <w:bCs/>
          <w:i/>
          <w:iCs/>
          <w:color w:val="000000" w:themeColor="text1"/>
          <w:spacing w:val="-2"/>
          <w:szCs w:val="24"/>
          <w:highlight w:val="none"/>
          <w14:textFill>
            <w14:solidFill>
              <w14:schemeClr w14:val="tx1"/>
            </w14:solidFill>
          </w14:textFill>
        </w:rPr>
        <w:t>Hook</w:t>
      </w:r>
      <w:r>
        <w:rPr>
          <w:rFonts w:hint="eastAsia" w:cs="Times New Roman"/>
          <w:bCs/>
          <w:i/>
          <w:iCs/>
          <w:color w:val="000000" w:themeColor="text1"/>
          <w:spacing w:val="-2"/>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柏木</w:t>
      </w:r>
      <w:r>
        <w:rPr>
          <w:rFonts w:cs="Times New Roman"/>
          <w:bCs/>
          <w:i/>
          <w:iCs/>
          <w:color w:val="000000" w:themeColor="text1"/>
          <w:spacing w:val="-2"/>
          <w:szCs w:val="24"/>
          <w:highlight w:val="none"/>
          <w14:textFill>
            <w14:solidFill>
              <w14:schemeClr w14:val="tx1"/>
            </w14:solidFill>
          </w14:textFill>
        </w:rPr>
        <w:t>Cupressu</w:t>
      </w:r>
      <w:r>
        <w:rPr>
          <w:rFonts w:cs="Times New Roman"/>
          <w:bCs/>
          <w:i/>
          <w:iCs/>
          <w:color w:val="000000" w:themeColor="text1"/>
          <w:spacing w:val="-1"/>
          <w:szCs w:val="24"/>
          <w:highlight w:val="none"/>
          <w14:textFill>
            <w14:solidFill>
              <w14:schemeClr w14:val="tx1"/>
            </w14:solidFill>
          </w14:textFill>
        </w:rPr>
        <w:t>s</w:t>
      </w:r>
      <w:r>
        <w:rPr>
          <w:rFonts w:cs="Times New Roman"/>
          <w:bCs/>
          <w:color w:val="000000" w:themeColor="text1"/>
          <w:spacing w:val="-2"/>
          <w:szCs w:val="24"/>
          <w:highlight w:val="none"/>
          <w14:textFill>
            <w14:solidFill>
              <w14:schemeClr w14:val="tx1"/>
            </w14:solidFill>
          </w14:textFill>
        </w:rPr>
        <w:t xml:space="preserve"> </w:t>
      </w:r>
      <w:r>
        <w:rPr>
          <w:rFonts w:cs="Times New Roman"/>
          <w:bCs/>
          <w:i/>
          <w:iCs/>
          <w:color w:val="000000" w:themeColor="text1"/>
          <w:spacing w:val="-1"/>
          <w:szCs w:val="24"/>
          <w:highlight w:val="none"/>
          <w14:textFill>
            <w14:solidFill>
              <w14:schemeClr w14:val="tx1"/>
            </w14:solidFill>
          </w14:textFill>
        </w:rPr>
        <w:t>funebris</w:t>
      </w:r>
      <w:r>
        <w:rPr>
          <w:rFonts w:cs="Times New Roman"/>
          <w:bCs/>
          <w:color w:val="000000" w:themeColor="text1"/>
          <w:spacing w:val="-2"/>
          <w:szCs w:val="24"/>
          <w:highlight w:val="none"/>
          <w14:textFill>
            <w14:solidFill>
              <w14:schemeClr w14:val="tx1"/>
            </w14:solidFill>
          </w14:textFill>
        </w:rPr>
        <w:t xml:space="preserve"> </w:t>
      </w:r>
      <w:r>
        <w:rPr>
          <w:rFonts w:cs="Times New Roman"/>
          <w:bCs/>
          <w:i/>
          <w:iCs/>
          <w:color w:val="000000" w:themeColor="text1"/>
          <w:spacing w:val="-1"/>
          <w:szCs w:val="24"/>
          <w:highlight w:val="none"/>
          <w14:textFill>
            <w14:solidFill>
              <w14:schemeClr w14:val="tx1"/>
            </w14:solidFill>
          </w14:textFill>
        </w:rPr>
        <w:t>Endl</w:t>
      </w:r>
      <w:r>
        <w:rPr>
          <w:rFonts w:hint="eastAsia" w:cs="Times New Roman"/>
          <w:bCs/>
          <w:i/>
          <w:iCs/>
          <w:color w:val="000000" w:themeColor="text1"/>
          <w:spacing w:val="-1"/>
          <w:szCs w:val="24"/>
          <w:highlight w:val="none"/>
          <w14:textFill>
            <w14:solidFill>
              <w14:schemeClr w14:val="tx1"/>
            </w14:solidFill>
          </w14:textFill>
        </w:rPr>
        <w:t>.</w:t>
      </w:r>
      <w:r>
        <w:rPr>
          <w:rFonts w:cs="Times New Roman"/>
          <w:bCs/>
          <w:color w:val="000000" w:themeColor="text1"/>
          <w:spacing w:val="-5"/>
          <w:szCs w:val="24"/>
          <w:highlight w:val="none"/>
          <w14:textFill>
            <w14:solidFill>
              <w14:schemeClr w14:val="tx1"/>
            </w14:solidFill>
          </w14:textFill>
        </w:rPr>
        <w:t>蔷薇</w:t>
      </w:r>
      <w:r>
        <w:rPr>
          <w:rFonts w:cs="Times New Roman"/>
          <w:bCs/>
          <w:i/>
          <w:iCs/>
          <w:color w:val="000000" w:themeColor="text1"/>
          <w:spacing w:val="-5"/>
          <w:szCs w:val="24"/>
          <w:highlight w:val="none"/>
          <w14:textFill>
            <w14:solidFill>
              <w14:schemeClr w14:val="tx1"/>
            </w14:solidFill>
          </w14:textFill>
        </w:rPr>
        <w:t>Rosa</w:t>
      </w:r>
      <w:r>
        <w:rPr>
          <w:rFonts w:cs="Times New Roman"/>
          <w:bCs/>
          <w:color w:val="000000" w:themeColor="text1"/>
          <w:spacing w:val="-5"/>
          <w:szCs w:val="24"/>
          <w:highlight w:val="none"/>
          <w14:textFill>
            <w14:solidFill>
              <w14:schemeClr w14:val="tx1"/>
            </w14:solidFill>
          </w14:textFill>
        </w:rPr>
        <w:t xml:space="preserve"> </w:t>
      </w:r>
      <w:r>
        <w:rPr>
          <w:rFonts w:cs="Times New Roman"/>
          <w:bCs/>
          <w:i/>
          <w:iCs/>
          <w:color w:val="000000" w:themeColor="text1"/>
          <w:spacing w:val="-5"/>
          <w:szCs w:val="24"/>
          <w:highlight w:val="none"/>
          <w14:textFill>
            <w14:solidFill>
              <w14:schemeClr w14:val="tx1"/>
            </w14:solidFill>
          </w14:textFill>
        </w:rPr>
        <w:t>sp</w:t>
      </w:r>
      <w:r>
        <w:rPr>
          <w:rFonts w:hint="eastAsia" w:cs="Times New Roman"/>
          <w:bCs/>
          <w:i/>
          <w:iCs/>
          <w:color w:val="000000" w:themeColor="text1"/>
          <w:spacing w:val="-5"/>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白茅</w:t>
      </w:r>
      <w:r>
        <w:rPr>
          <w:rFonts w:cs="Times New Roman"/>
          <w:bCs/>
          <w:i/>
          <w:iCs/>
          <w:color w:val="000000" w:themeColor="text1"/>
          <w:spacing w:val="-5"/>
          <w:szCs w:val="24"/>
          <w:highlight w:val="none"/>
          <w14:textFill>
            <w14:solidFill>
              <w14:schemeClr w14:val="tx1"/>
            </w14:solidFill>
          </w14:textFill>
        </w:rPr>
        <w:t>mperata</w:t>
      </w:r>
      <w:r>
        <w:rPr>
          <w:rFonts w:cs="Times New Roman"/>
          <w:bCs/>
          <w:color w:val="000000" w:themeColor="text1"/>
          <w:spacing w:val="-5"/>
          <w:szCs w:val="24"/>
          <w:highlight w:val="none"/>
          <w14:textFill>
            <w14:solidFill>
              <w14:schemeClr w14:val="tx1"/>
            </w14:solidFill>
          </w14:textFill>
        </w:rPr>
        <w:t xml:space="preserve"> </w:t>
      </w:r>
      <w:r>
        <w:rPr>
          <w:rFonts w:cs="Times New Roman"/>
          <w:bCs/>
          <w:i/>
          <w:iCs/>
          <w:color w:val="000000" w:themeColor="text1"/>
          <w:spacing w:val="-5"/>
          <w:szCs w:val="24"/>
          <w:highlight w:val="none"/>
          <w14:textFill>
            <w14:solidFill>
              <w14:schemeClr w14:val="tx1"/>
            </w14:solidFill>
          </w14:textFill>
        </w:rPr>
        <w:t>cylindri</w:t>
      </w:r>
      <w:r>
        <w:rPr>
          <w:rFonts w:cs="Times New Roman"/>
          <w:bCs/>
          <w:i/>
          <w:iCs/>
          <w:color w:val="000000" w:themeColor="text1"/>
          <w:spacing w:val="-4"/>
          <w:szCs w:val="24"/>
          <w:highlight w:val="none"/>
          <w14:textFill>
            <w14:solidFill>
              <w14:schemeClr w14:val="tx1"/>
            </w14:solidFill>
          </w14:textFill>
        </w:rPr>
        <w:t>c</w:t>
      </w:r>
      <w:r>
        <w:rPr>
          <w:rFonts w:cs="Times New Roman"/>
          <w:bCs/>
          <w:color w:val="000000" w:themeColor="text1"/>
          <w:spacing w:val="-5"/>
          <w:szCs w:val="24"/>
          <w:highlight w:val="none"/>
          <w14:textFill>
            <w14:solidFill>
              <w14:schemeClr w14:val="tx1"/>
            </w14:solidFill>
          </w14:textFill>
        </w:rPr>
        <w:t>等</w:t>
      </w:r>
      <w:r>
        <w:rPr>
          <w:rFonts w:cs="Times New Roman"/>
          <w:bCs/>
          <w:color w:val="000000" w:themeColor="text1"/>
          <w:spacing w:val="-5"/>
          <w:sz w:val="27"/>
          <w:szCs w:val="27"/>
          <w:highlight w:val="none"/>
          <w14:textFill>
            <w14:solidFill>
              <w14:schemeClr w14:val="tx1"/>
            </w14:solidFill>
          </w14:textFill>
        </w:rPr>
        <w:t>。</w:t>
      </w:r>
    </w:p>
    <w:p>
      <w:pPr>
        <w:ind w:firstLine="490"/>
        <w:rPr>
          <w:rFonts w:cs="Times New Roman"/>
          <w:bCs/>
          <w:color w:val="000000" w:themeColor="text1"/>
          <w:spacing w:val="5"/>
          <w:szCs w:val="24"/>
          <w:highlight w:val="none"/>
          <w14:textFill>
            <w14:solidFill>
              <w14:schemeClr w14:val="tx1"/>
            </w14:solidFill>
          </w14:textFill>
        </w:rPr>
      </w:pPr>
      <w:r>
        <w:rPr>
          <w:rFonts w:cs="Times New Roman"/>
          <w:bCs/>
          <w:color w:val="000000" w:themeColor="text1"/>
          <w:spacing w:val="5"/>
          <w:szCs w:val="24"/>
          <w:highlight w:val="none"/>
          <w14:textFill>
            <w14:solidFill>
              <w14:schemeClr w14:val="tx1"/>
            </w14:solidFill>
          </w14:textFill>
        </w:rPr>
        <w:t>（</w:t>
      </w:r>
      <w:r>
        <w:rPr>
          <w:rFonts w:hint="eastAsia" w:cs="Times New Roman"/>
          <w:bCs/>
          <w:color w:val="000000" w:themeColor="text1"/>
          <w:spacing w:val="5"/>
          <w:szCs w:val="24"/>
          <w:highlight w:val="none"/>
          <w14:textFill>
            <w14:solidFill>
              <w14:schemeClr w14:val="tx1"/>
            </w14:solidFill>
          </w14:textFill>
        </w:rPr>
        <w:t>3</w:t>
      </w:r>
      <w:r>
        <w:rPr>
          <w:rFonts w:cs="Times New Roman"/>
          <w:bCs/>
          <w:color w:val="000000" w:themeColor="text1"/>
          <w:spacing w:val="5"/>
          <w:szCs w:val="24"/>
          <w:highlight w:val="none"/>
          <w14:textFill>
            <w14:solidFill>
              <w14:schemeClr w14:val="tx1"/>
            </w14:solidFill>
          </w14:textFill>
        </w:rPr>
        <w:t>）存在的主要生态问题</w:t>
      </w:r>
    </w:p>
    <w:p>
      <w:pPr>
        <w:ind w:firstLine="490"/>
        <w:rPr>
          <w:color w:val="000000" w:themeColor="text1"/>
          <w:highlight w:val="none"/>
          <w14:textFill>
            <w14:solidFill>
              <w14:schemeClr w14:val="tx1"/>
            </w14:solidFill>
          </w14:textFill>
        </w:rPr>
      </w:pPr>
      <w:r>
        <w:rPr>
          <w:rFonts w:cs="Times New Roman"/>
          <w:bCs/>
          <w:color w:val="000000" w:themeColor="text1"/>
          <w:spacing w:val="5"/>
          <w:szCs w:val="24"/>
          <w:highlight w:val="none"/>
          <w14:textFill>
            <w14:solidFill>
              <w14:schemeClr w14:val="tx1"/>
            </w14:solidFill>
          </w14:textFill>
        </w:rPr>
        <w:t>项目所在区域现有植被以次生性森林为主。过去由于人们对生态效益认识不足，在经济建设过程中对阔叶林资源进行掠夺式的开发利用，经历上50年代“大跃进”式的毁林开荒，以及80年代初期的“分林到户”而引发的乱砍滥伐，宣汉县境内天然阔叶林资源遭到严重破坏，许多天然阔叶林由于强度砍伐目前只留下灌草丛，有的甚至已退化成坡耕地，虽然目前经过退耕还林封山育林，</w:t>
      </w:r>
      <w:r>
        <w:rPr>
          <w:rFonts w:hint="eastAsia" w:cs="Times New Roman"/>
          <w:bCs/>
          <w:color w:val="000000" w:themeColor="text1"/>
          <w:spacing w:val="5"/>
          <w:szCs w:val="24"/>
          <w:highlight w:val="none"/>
          <w14:textFill>
            <w14:solidFill>
              <w14:schemeClr w14:val="tx1"/>
            </w14:solidFill>
          </w14:textFill>
        </w:rPr>
        <w:t>不少</w:t>
      </w:r>
      <w:r>
        <w:rPr>
          <w:rFonts w:cs="Times New Roman"/>
          <w:bCs/>
          <w:color w:val="000000" w:themeColor="text1"/>
          <w:spacing w:val="5"/>
          <w:szCs w:val="24"/>
          <w:highlight w:val="none"/>
          <w14:textFill>
            <w14:solidFill>
              <w14:schemeClr w14:val="tx1"/>
            </w14:solidFill>
          </w14:textFill>
        </w:rPr>
        <w:t>区域已经变为乔木林，但多为次生人工幼林，生态效益不高。项目区域周边人口较多，日益增长的人口压力将对山地森林生态系统及其物种资源构成极大的威胁。一旦遭受破坏，极容易引起水土流失，造成生态环境的恶化。生态系统要想恢复到破坏前的状态，至少也要几十年，乃至上百年的时间。若不采取措施，及时保护，若干年后，将不复存在。由此可见，评价范围的森林生态系统和物种资源是非常脆弱的</w:t>
      </w:r>
      <w:r>
        <w:rPr>
          <w:rFonts w:hint="eastAsia" w:cs="Times New Roman"/>
          <w:bCs/>
          <w:color w:val="000000" w:themeColor="text1"/>
          <w:spacing w:val="5"/>
          <w:szCs w:val="24"/>
          <w:highlight w:val="none"/>
          <w14:textFill>
            <w14:solidFill>
              <w14:schemeClr w14:val="tx1"/>
            </w14:solidFill>
          </w14:textFill>
        </w:rPr>
        <w:t>。</w:t>
      </w:r>
    </w:p>
    <w:p>
      <w:pPr>
        <w:pStyle w:val="5"/>
        <w:spacing w:before="12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项目区域植被概况</w:t>
      </w:r>
      <w:bookmarkEnd w:id="249"/>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1、评价范围内植被概况</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现场调查情况，评价区地带性植物为亚热带常绿阔叶林，植被覆盖度较高，亚热带针叶林、阔叶林植被，亚热带灌丛、热性草丛植被较常见，有明显的热带特征，评价区内天然植被和人工栽植植被均广泛分布。</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植物群落结构及演替规律</w:t>
      </w:r>
    </w:p>
    <w:p>
      <w:pPr>
        <w:ind w:firstLine="480"/>
        <w:rPr>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评价区植物群落主要为乔木、灌木、草本为主的结构特征，其中乔木群落结构多为乔灌草三层植被，灌木群落结构多为灌草双层植被，草本群落则多为草丛单层植被。群落自然演替规律总体呈现草本-灌丛-乔木方向演替。同时，随着近年退耕还林等人为活动影响，还存在草本-园地、草本-乔木、灌丛-乔木、旱地-园地、旱地-乔木等结构演替，总之，项目区植物群落总体朝向生物多样性更加复杂、生产力和生物量更加丰富、生态系统结构更加稳定的方向演变</w:t>
      </w:r>
      <w:r>
        <w:rPr>
          <w:color w:val="000000" w:themeColor="text1"/>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3、评价范围内维管束植物组成</w:t>
      </w:r>
    </w:p>
    <w:p>
      <w:pPr>
        <w:ind w:firstLine="494"/>
        <w:rPr>
          <w:color w:val="000000" w:themeColor="text1"/>
          <w:highlight w:val="none"/>
          <w14:textFill>
            <w14:solidFill>
              <w14:schemeClr w14:val="tx1"/>
            </w14:solidFill>
          </w14:textFill>
        </w:rPr>
      </w:pPr>
      <w:r>
        <w:rPr>
          <w:rFonts w:cs="Times New Roman"/>
          <w:bCs/>
          <w:color w:val="000000" w:themeColor="text1"/>
          <w:spacing w:val="7"/>
          <w:szCs w:val="24"/>
          <w:highlight w:val="none"/>
          <w14:textFill>
            <w14:solidFill>
              <w14:schemeClr w14:val="tx1"/>
            </w14:solidFill>
          </w14:textFill>
        </w:rPr>
        <w:t>评价区共有维管束植物有35目，</w:t>
      </w:r>
      <w:r>
        <w:rPr>
          <w:rFonts w:cs="Times New Roman"/>
          <w:bCs/>
          <w:color w:val="000000" w:themeColor="text1"/>
          <w:spacing w:val="4"/>
          <w:szCs w:val="24"/>
          <w:highlight w:val="none"/>
          <w14:textFill>
            <w14:solidFill>
              <w14:schemeClr w14:val="tx1"/>
            </w14:solidFill>
          </w14:textFill>
        </w:rPr>
        <w:t>78</w:t>
      </w:r>
      <w:r>
        <w:rPr>
          <w:rFonts w:cs="Times New Roman"/>
          <w:bCs/>
          <w:color w:val="000000" w:themeColor="text1"/>
          <w:spacing w:val="7"/>
          <w:szCs w:val="24"/>
          <w:highlight w:val="none"/>
          <w14:textFill>
            <w14:solidFill>
              <w14:schemeClr w14:val="tx1"/>
            </w14:solidFill>
          </w14:textFill>
        </w:rPr>
        <w:t>科，</w:t>
      </w:r>
      <w:r>
        <w:rPr>
          <w:rFonts w:cs="Times New Roman"/>
          <w:bCs/>
          <w:color w:val="000000" w:themeColor="text1"/>
          <w:spacing w:val="4"/>
          <w:szCs w:val="24"/>
          <w:highlight w:val="none"/>
          <w14:textFill>
            <w14:solidFill>
              <w14:schemeClr w14:val="tx1"/>
            </w14:solidFill>
          </w14:textFill>
        </w:rPr>
        <w:t>170</w:t>
      </w:r>
      <w:r>
        <w:rPr>
          <w:rFonts w:cs="Times New Roman"/>
          <w:bCs/>
          <w:color w:val="000000" w:themeColor="text1"/>
          <w:spacing w:val="7"/>
          <w:szCs w:val="24"/>
          <w:highlight w:val="none"/>
          <w14:textFill>
            <w14:solidFill>
              <w14:schemeClr w14:val="tx1"/>
            </w14:solidFill>
          </w14:textFill>
        </w:rPr>
        <w:t>属，</w:t>
      </w:r>
      <w:r>
        <w:rPr>
          <w:rFonts w:cs="Times New Roman"/>
          <w:bCs/>
          <w:color w:val="000000" w:themeColor="text1"/>
          <w:spacing w:val="4"/>
          <w:szCs w:val="24"/>
          <w:highlight w:val="none"/>
          <w14:textFill>
            <w14:solidFill>
              <w14:schemeClr w14:val="tx1"/>
            </w14:solidFill>
          </w14:textFill>
        </w:rPr>
        <w:t>231</w:t>
      </w:r>
      <w:r>
        <w:rPr>
          <w:rFonts w:cs="Times New Roman"/>
          <w:bCs/>
          <w:color w:val="000000" w:themeColor="text1"/>
          <w:spacing w:val="7"/>
          <w:szCs w:val="24"/>
          <w:highlight w:val="none"/>
          <w14:textFill>
            <w14:solidFill>
              <w14:schemeClr w14:val="tx1"/>
            </w14:solidFill>
          </w14:textFill>
        </w:rPr>
        <w:t>种：其中蕨类植物共有</w:t>
      </w:r>
      <w:r>
        <w:rPr>
          <w:rFonts w:cs="Times New Roman"/>
          <w:bCs/>
          <w:color w:val="000000" w:themeColor="text1"/>
          <w:spacing w:val="3"/>
          <w:szCs w:val="24"/>
          <w:highlight w:val="none"/>
          <w14:textFill>
            <w14:solidFill>
              <w14:schemeClr w14:val="tx1"/>
            </w14:solidFill>
          </w14:textFill>
        </w:rPr>
        <w:t>12</w:t>
      </w:r>
      <w:r>
        <w:rPr>
          <w:rFonts w:cs="Times New Roman"/>
          <w:bCs/>
          <w:color w:val="000000" w:themeColor="text1"/>
          <w:spacing w:val="6"/>
          <w:szCs w:val="24"/>
          <w:highlight w:val="none"/>
          <w14:textFill>
            <w14:solidFill>
              <w14:schemeClr w14:val="tx1"/>
            </w14:solidFill>
          </w14:textFill>
        </w:rPr>
        <w:t>科</w:t>
      </w:r>
      <w:r>
        <w:rPr>
          <w:rFonts w:cs="Times New Roman"/>
          <w:bCs/>
          <w:color w:val="000000" w:themeColor="text1"/>
          <w:spacing w:val="3"/>
          <w:szCs w:val="24"/>
          <w:highlight w:val="none"/>
          <w14:textFill>
            <w14:solidFill>
              <w14:schemeClr w14:val="tx1"/>
            </w14:solidFill>
          </w14:textFill>
        </w:rPr>
        <w:t>14</w:t>
      </w:r>
      <w:r>
        <w:rPr>
          <w:rFonts w:cs="Times New Roman"/>
          <w:bCs/>
          <w:color w:val="000000" w:themeColor="text1"/>
          <w:spacing w:val="6"/>
          <w:szCs w:val="24"/>
          <w:highlight w:val="none"/>
          <w14:textFill>
            <w14:solidFill>
              <w14:schemeClr w14:val="tx1"/>
            </w14:solidFill>
          </w14:textFill>
        </w:rPr>
        <w:t>属</w:t>
      </w:r>
      <w:r>
        <w:rPr>
          <w:rFonts w:cs="Times New Roman"/>
          <w:bCs/>
          <w:color w:val="000000" w:themeColor="text1"/>
          <w:szCs w:val="24"/>
          <w:highlight w:val="none"/>
          <w14:textFill>
            <w14:solidFill>
              <w14:schemeClr w14:val="tx1"/>
            </w14:solidFill>
          </w14:textFill>
        </w:rPr>
        <w:t>20种</w:t>
      </w:r>
      <w:r>
        <w:rPr>
          <w:rFonts w:cs="Times New Roman"/>
          <w:bCs/>
          <w:color w:val="000000" w:themeColor="text1"/>
          <w:spacing w:val="-59"/>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占总科数的15.38%</w:t>
      </w:r>
      <w:r>
        <w:rPr>
          <w:rFonts w:cs="Times New Roman"/>
          <w:bCs/>
          <w:color w:val="000000" w:themeColor="text1"/>
          <w:spacing w:val="-59"/>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总属数的8.24%</w:t>
      </w:r>
      <w:r>
        <w:rPr>
          <w:rFonts w:cs="Times New Roman"/>
          <w:bCs/>
          <w:color w:val="000000" w:themeColor="text1"/>
          <w:spacing w:val="-59"/>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总种数的8.66%</w:t>
      </w:r>
      <w:r>
        <w:rPr>
          <w:rFonts w:cs="Times New Roman"/>
          <w:bCs/>
          <w:color w:val="000000" w:themeColor="text1"/>
          <w:spacing w:val="-59"/>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裸子植3科4属4种</w:t>
      </w:r>
      <w:r>
        <w:rPr>
          <w:rFonts w:cs="Times New Roman"/>
          <w:bCs/>
          <w:color w:val="000000" w:themeColor="text1"/>
          <w:spacing w:val="-59"/>
          <w:szCs w:val="24"/>
          <w:highlight w:val="none"/>
          <w14:textFill>
            <w14:solidFill>
              <w14:schemeClr w14:val="tx1"/>
            </w14:solidFill>
          </w14:textFill>
        </w:rPr>
        <w:t>，</w:t>
      </w:r>
      <w:r>
        <w:rPr>
          <w:rFonts w:cs="Times New Roman"/>
          <w:bCs/>
          <w:color w:val="000000" w:themeColor="text1"/>
          <w:spacing w:val="1"/>
          <w:szCs w:val="24"/>
          <w:highlight w:val="none"/>
          <w14:textFill>
            <w14:solidFill>
              <w14:schemeClr w14:val="tx1"/>
            </w14:solidFill>
          </w14:textFill>
        </w:rPr>
        <w:t>占评价区总科数的3.85%，总属数的2.35%，总种数的1.73%；被子植物</w:t>
      </w:r>
      <w:r>
        <w:rPr>
          <w:rFonts w:cs="Times New Roman"/>
          <w:bCs/>
          <w:color w:val="000000" w:themeColor="text1"/>
          <w:szCs w:val="24"/>
          <w:highlight w:val="none"/>
          <w14:textFill>
            <w14:solidFill>
              <w14:schemeClr w14:val="tx1"/>
            </w14:solidFill>
          </w14:textFill>
        </w:rPr>
        <w:t>物种数最多</w:t>
      </w:r>
      <w:r>
        <w:rPr>
          <w:rFonts w:cs="Times New Roman"/>
          <w:bCs/>
          <w:color w:val="000000" w:themeColor="text1"/>
          <w:spacing w:val="-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共有63科152属207种，占评价区总科数的80.77%，总属数的89.41%，总种数的89.61%</w:t>
      </w:r>
      <w:r>
        <w:rPr>
          <w:rFonts w:cs="Times New Roman"/>
          <w:bCs/>
          <w:color w:val="000000" w:themeColor="text1"/>
          <w:spacing w:val="-3"/>
          <w:szCs w:val="24"/>
          <w:highlight w:val="none"/>
          <w14:textFill>
            <w14:solidFill>
              <w14:schemeClr w14:val="tx1"/>
            </w14:solidFill>
          </w14:textFill>
        </w:rPr>
        <w:t>。具体名录见附表1</w:t>
      </w:r>
      <w:r>
        <w:rPr>
          <w:color w:val="000000" w:themeColor="text1"/>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4、项目评价范围内主要植被类型</w:t>
      </w:r>
    </w:p>
    <w:p>
      <w:pPr>
        <w:ind w:firstLine="480"/>
        <w:rPr>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采用实地踏勘和样方调查相结合的方法对评价范围内植被进行实地调查，结合卫星影像解译成果，参考现有的资料和文献，根据各类群落的特征，按照吴征镒等《中国植物志</w:t>
      </w:r>
      <w:r>
        <w:rPr>
          <w:rFonts w:hint="eastAsia" w:cs="Times New Roman"/>
          <w:bCs/>
          <w:color w:val="000000" w:themeColor="text1"/>
          <w:highlight w:val="none"/>
          <w14:textFill>
            <w14:solidFill>
              <w14:schemeClr w14:val="tx1"/>
            </w14:solidFill>
          </w14:textFill>
        </w:rPr>
        <w:t>》《</w:t>
      </w:r>
      <w:r>
        <w:rPr>
          <w:rFonts w:cs="Times New Roman"/>
          <w:bCs/>
          <w:color w:val="000000" w:themeColor="text1"/>
          <w:highlight w:val="none"/>
          <w14:textFill>
            <w14:solidFill>
              <w14:schemeClr w14:val="tx1"/>
            </w14:solidFill>
          </w14:textFill>
        </w:rPr>
        <w:t>四川植物志》中对四川的自然、人工植被的分类系统，划分出评价范围内不同的植被类型，形成植被分类系统。评价区自然植被涉及3种植被型组，4种植被型和5种群系，自然植被分类见</w:t>
      </w:r>
      <w:r>
        <w:rPr>
          <w:color w:val="000000" w:themeColor="text1"/>
          <w:highlight w:val="none"/>
          <w14:textFill>
            <w14:solidFill>
              <w14:schemeClr w14:val="tx1"/>
            </w14:solidFill>
          </w14:textFill>
        </w:rPr>
        <w:t>表4.3-</w:t>
      </w:r>
      <w:r>
        <w:rPr>
          <w:rFonts w:hint="eastAsia"/>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工程评价区自然植被分类系统</w:t>
      </w:r>
    </w:p>
    <w:tbl>
      <w:tblPr>
        <w:tblStyle w:val="37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46"/>
        <w:gridCol w:w="641"/>
        <w:gridCol w:w="1053"/>
        <w:gridCol w:w="2070"/>
        <w:gridCol w:w="1810"/>
        <w:gridCol w:w="1100"/>
        <w:gridCol w:w="12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2" w:hRule="atLeast"/>
          <w:jc w:val="center"/>
        </w:trPr>
        <w:tc>
          <w:tcPr>
            <w:tcW w:w="268" w:type="pct"/>
            <w:vMerge w:val="restart"/>
            <w:vAlign w:val="center"/>
          </w:tcPr>
          <w:p>
            <w:pPr>
              <w:adjustRightInd/>
              <w:snapToGrid/>
              <w:spacing w:before="51" w:line="214" w:lineRule="auto"/>
              <w:ind w:firstLine="0" w:firstLineChars="0"/>
              <w:jc w:val="center"/>
              <w:rPr>
                <w:rFonts w:cs="Times New Roman"/>
                <w:b/>
                <w:color w:val="000000" w:themeColor="text1"/>
                <w:spacing w:val="-4"/>
                <w:sz w:val="21"/>
                <w:szCs w:val="21"/>
                <w:highlight w:val="none"/>
                <w:lang w:eastAsia="en-US"/>
                <w14:textFill>
                  <w14:solidFill>
                    <w14:schemeClr w14:val="tx1"/>
                  </w14:solidFill>
                </w14:textFill>
              </w:rPr>
            </w:pPr>
            <w:r>
              <w:rPr>
                <w:rFonts w:cs="Times New Roman"/>
                <w:b/>
                <w:color w:val="000000" w:themeColor="text1"/>
                <w:spacing w:val="-4"/>
                <w:sz w:val="21"/>
                <w:szCs w:val="21"/>
                <w:highlight w:val="none"/>
                <w:lang w:eastAsia="en-US"/>
                <w14:textFill>
                  <w14:solidFill>
                    <w14:schemeClr w14:val="tx1"/>
                  </w14:solidFill>
                </w14:textFill>
              </w:rPr>
              <w:t>植被型组</w:t>
            </w:r>
          </w:p>
        </w:tc>
        <w:tc>
          <w:tcPr>
            <w:tcW w:w="385" w:type="pct"/>
            <w:vMerge w:val="restart"/>
            <w:vAlign w:val="center"/>
          </w:tcPr>
          <w:p>
            <w:pPr>
              <w:adjustRightInd/>
              <w:snapToGrid/>
              <w:spacing w:before="51" w:line="214" w:lineRule="auto"/>
              <w:ind w:firstLine="0" w:firstLineChars="0"/>
              <w:jc w:val="center"/>
              <w:rPr>
                <w:rFonts w:cs="Times New Roman"/>
                <w:b/>
                <w:color w:val="000000" w:themeColor="text1"/>
                <w:spacing w:val="-4"/>
                <w:sz w:val="21"/>
                <w:szCs w:val="21"/>
                <w:highlight w:val="none"/>
                <w:lang w:eastAsia="en-US"/>
                <w14:textFill>
                  <w14:solidFill>
                    <w14:schemeClr w14:val="tx1"/>
                  </w14:solidFill>
                </w14:textFill>
              </w:rPr>
            </w:pPr>
            <w:r>
              <w:rPr>
                <w:rFonts w:cs="Times New Roman"/>
                <w:b/>
                <w:color w:val="000000" w:themeColor="text1"/>
                <w:spacing w:val="-4"/>
                <w:sz w:val="21"/>
                <w:szCs w:val="21"/>
                <w:highlight w:val="none"/>
                <w:lang w:eastAsia="en-US"/>
                <w14:textFill>
                  <w14:solidFill>
                    <w14:schemeClr w14:val="tx1"/>
                  </w14:solidFill>
                </w14:textFill>
              </w:rPr>
              <w:t>植被型</w:t>
            </w:r>
          </w:p>
        </w:tc>
        <w:tc>
          <w:tcPr>
            <w:tcW w:w="633" w:type="pct"/>
            <w:vMerge w:val="restart"/>
            <w:vAlign w:val="center"/>
          </w:tcPr>
          <w:p>
            <w:pPr>
              <w:adjustRightInd/>
              <w:snapToGrid/>
              <w:spacing w:before="51" w:line="214" w:lineRule="auto"/>
              <w:ind w:firstLine="0" w:firstLineChars="0"/>
              <w:jc w:val="center"/>
              <w:rPr>
                <w:rFonts w:cs="Times New Roman"/>
                <w:b/>
                <w:color w:val="000000" w:themeColor="text1"/>
                <w:spacing w:val="-4"/>
                <w:sz w:val="21"/>
                <w:szCs w:val="21"/>
                <w:highlight w:val="none"/>
                <w:lang w:eastAsia="en-US"/>
                <w14:textFill>
                  <w14:solidFill>
                    <w14:schemeClr w14:val="tx1"/>
                  </w14:solidFill>
                </w14:textFill>
              </w:rPr>
            </w:pPr>
            <w:r>
              <w:rPr>
                <w:rFonts w:cs="Times New Roman"/>
                <w:b/>
                <w:color w:val="000000" w:themeColor="text1"/>
                <w:spacing w:val="-4"/>
                <w:sz w:val="21"/>
                <w:szCs w:val="21"/>
                <w:highlight w:val="none"/>
                <w:lang w:eastAsia="en-US"/>
                <w14:textFill>
                  <w14:solidFill>
                    <w14:schemeClr w14:val="tx1"/>
                  </w14:solidFill>
                </w14:textFill>
              </w:rPr>
              <w:t>植被亚型</w:t>
            </w:r>
          </w:p>
        </w:tc>
        <w:tc>
          <w:tcPr>
            <w:tcW w:w="1244" w:type="pct"/>
            <w:vMerge w:val="restart"/>
            <w:vAlign w:val="center"/>
          </w:tcPr>
          <w:p>
            <w:pPr>
              <w:adjustRightInd/>
              <w:snapToGrid/>
              <w:spacing w:before="51" w:line="214" w:lineRule="auto"/>
              <w:ind w:firstLine="0" w:firstLineChars="0"/>
              <w:jc w:val="center"/>
              <w:rPr>
                <w:rFonts w:cs="Times New Roman"/>
                <w:b/>
                <w:color w:val="000000" w:themeColor="text1"/>
                <w:sz w:val="21"/>
                <w:szCs w:val="21"/>
                <w:highlight w:val="none"/>
                <w:lang w:eastAsia="en-US"/>
                <w14:textFill>
                  <w14:solidFill>
                    <w14:schemeClr w14:val="tx1"/>
                  </w14:solidFill>
                </w14:textFill>
              </w:rPr>
            </w:pPr>
            <w:r>
              <w:rPr>
                <w:rFonts w:cs="Times New Roman"/>
                <w:b/>
                <w:color w:val="000000" w:themeColor="text1"/>
                <w:spacing w:val="-3"/>
                <w:sz w:val="21"/>
                <w:szCs w:val="21"/>
                <w:highlight w:val="none"/>
                <w:lang w:eastAsia="en-US"/>
                <w14:textFill>
                  <w14:solidFill>
                    <w14:schemeClr w14:val="tx1"/>
                  </w14:solidFill>
                </w14:textFill>
              </w:rPr>
              <w:t>群</w:t>
            </w:r>
            <w:r>
              <w:rPr>
                <w:rFonts w:cs="Times New Roman"/>
                <w:b/>
                <w:color w:val="000000" w:themeColor="text1"/>
                <w:spacing w:val="-2"/>
                <w:sz w:val="21"/>
                <w:szCs w:val="21"/>
                <w:highlight w:val="none"/>
                <w:lang w:eastAsia="en-US"/>
                <w14:textFill>
                  <w14:solidFill>
                    <w14:schemeClr w14:val="tx1"/>
                  </w14:solidFill>
                </w14:textFill>
              </w:rPr>
              <w:t>系</w:t>
            </w:r>
          </w:p>
        </w:tc>
        <w:tc>
          <w:tcPr>
            <w:tcW w:w="1088" w:type="pct"/>
            <w:vMerge w:val="restart"/>
            <w:vAlign w:val="center"/>
          </w:tcPr>
          <w:p>
            <w:pPr>
              <w:adjustRightInd/>
              <w:snapToGrid/>
              <w:spacing w:before="53" w:line="217" w:lineRule="auto"/>
              <w:ind w:firstLine="0" w:firstLineChars="0"/>
              <w:jc w:val="center"/>
              <w:rPr>
                <w:rFonts w:cs="Times New Roman"/>
                <w:b/>
                <w:color w:val="000000" w:themeColor="text1"/>
                <w:sz w:val="21"/>
                <w:szCs w:val="21"/>
                <w:highlight w:val="none"/>
                <w:lang w:eastAsia="en-US"/>
                <w14:textFill>
                  <w14:solidFill>
                    <w14:schemeClr w14:val="tx1"/>
                  </w14:solidFill>
                </w14:textFill>
              </w:rPr>
            </w:pPr>
            <w:r>
              <w:rPr>
                <w:rFonts w:cs="Times New Roman"/>
                <w:b/>
                <w:color w:val="000000" w:themeColor="text1"/>
                <w:spacing w:val="-2"/>
                <w:sz w:val="21"/>
                <w:szCs w:val="21"/>
                <w:highlight w:val="none"/>
                <w:lang w:eastAsia="en-US"/>
                <w14:textFill>
                  <w14:solidFill>
                    <w14:schemeClr w14:val="tx1"/>
                  </w14:solidFill>
                </w14:textFill>
              </w:rPr>
              <w:t>分布区域</w:t>
            </w:r>
          </w:p>
        </w:tc>
        <w:tc>
          <w:tcPr>
            <w:tcW w:w="1382" w:type="pct"/>
            <w:gridSpan w:val="2"/>
            <w:vAlign w:val="center"/>
          </w:tcPr>
          <w:p>
            <w:pPr>
              <w:adjustRightInd/>
              <w:snapToGrid/>
              <w:spacing w:line="240" w:lineRule="auto"/>
              <w:ind w:firstLine="0" w:firstLineChars="0"/>
              <w:jc w:val="center"/>
              <w:rPr>
                <w:rFonts w:cs="Times New Roman"/>
                <w:b/>
                <w:color w:val="000000" w:themeColor="text1"/>
                <w:spacing w:val="-2"/>
                <w:sz w:val="21"/>
                <w:szCs w:val="21"/>
                <w:highlight w:val="none"/>
                <w:lang w:eastAsia="en-US"/>
                <w14:textFill>
                  <w14:solidFill>
                    <w14:schemeClr w14:val="tx1"/>
                  </w14:solidFill>
                </w14:textFill>
              </w:rPr>
            </w:pPr>
            <w:r>
              <w:rPr>
                <w:rFonts w:cs="Times New Roman"/>
                <w:b/>
                <w:color w:val="000000" w:themeColor="text1"/>
                <w:sz w:val="21"/>
                <w:szCs w:val="21"/>
                <w:highlight w:val="none"/>
                <w:lang w:eastAsia="en-US"/>
                <w14:textFill>
                  <w14:solidFill>
                    <w14:schemeClr w14:val="tx1"/>
                  </w14:solidFill>
                </w14:textFill>
              </w:rPr>
              <w:t>项目占用情况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2" w:hRule="atLeast"/>
          <w:jc w:val="center"/>
        </w:trPr>
        <w:tc>
          <w:tcPr>
            <w:tcW w:w="268" w:type="pct"/>
            <w:vMerge w:val="continue"/>
            <w:vAlign w:val="center"/>
          </w:tcPr>
          <w:p>
            <w:pPr>
              <w:adjustRightInd/>
              <w:snapToGrid/>
              <w:spacing w:before="53" w:line="217" w:lineRule="auto"/>
              <w:ind w:left="1176" w:firstLine="0" w:firstLineChars="0"/>
              <w:rPr>
                <w:rFonts w:cs="Times New Roman"/>
                <w:b/>
                <w:color w:val="000000" w:themeColor="text1"/>
                <w:sz w:val="21"/>
                <w:szCs w:val="21"/>
                <w:highlight w:val="none"/>
                <w:lang w:eastAsia="en-US"/>
                <w14:textFill>
                  <w14:solidFill>
                    <w14:schemeClr w14:val="tx1"/>
                  </w14:solidFill>
                </w14:textFill>
              </w:rPr>
            </w:pPr>
          </w:p>
        </w:tc>
        <w:tc>
          <w:tcPr>
            <w:tcW w:w="385" w:type="pct"/>
            <w:vMerge w:val="continue"/>
            <w:vAlign w:val="center"/>
          </w:tcPr>
          <w:p>
            <w:pPr>
              <w:adjustRightInd/>
              <w:snapToGrid/>
              <w:spacing w:before="53" w:line="217" w:lineRule="auto"/>
              <w:ind w:left="1176" w:firstLine="0" w:firstLineChars="0"/>
              <w:rPr>
                <w:rFonts w:cs="Times New Roman"/>
                <w:b/>
                <w:color w:val="000000" w:themeColor="text1"/>
                <w:sz w:val="21"/>
                <w:szCs w:val="21"/>
                <w:highlight w:val="none"/>
                <w:lang w:eastAsia="en-US"/>
                <w14:textFill>
                  <w14:solidFill>
                    <w14:schemeClr w14:val="tx1"/>
                  </w14:solidFill>
                </w14:textFill>
              </w:rPr>
            </w:pPr>
          </w:p>
        </w:tc>
        <w:tc>
          <w:tcPr>
            <w:tcW w:w="633" w:type="pct"/>
            <w:vMerge w:val="continue"/>
            <w:vAlign w:val="center"/>
          </w:tcPr>
          <w:p>
            <w:pPr>
              <w:adjustRightInd/>
              <w:snapToGrid/>
              <w:spacing w:before="53" w:line="217" w:lineRule="auto"/>
              <w:ind w:left="1176" w:firstLine="0" w:firstLineChars="0"/>
              <w:rPr>
                <w:rFonts w:cs="Times New Roman"/>
                <w:b/>
                <w:color w:val="000000" w:themeColor="text1"/>
                <w:sz w:val="21"/>
                <w:szCs w:val="21"/>
                <w:highlight w:val="none"/>
                <w:lang w:eastAsia="en-US"/>
                <w14:textFill>
                  <w14:solidFill>
                    <w14:schemeClr w14:val="tx1"/>
                  </w14:solidFill>
                </w14:textFill>
              </w:rPr>
            </w:pPr>
          </w:p>
        </w:tc>
        <w:tc>
          <w:tcPr>
            <w:tcW w:w="1244" w:type="pct"/>
            <w:vMerge w:val="continue"/>
            <w:vAlign w:val="center"/>
          </w:tcPr>
          <w:p>
            <w:pPr>
              <w:adjustRightInd/>
              <w:snapToGrid/>
              <w:spacing w:before="53" w:line="217" w:lineRule="auto"/>
              <w:ind w:left="1176" w:firstLine="0" w:firstLineChars="0"/>
              <w:rPr>
                <w:rFonts w:cs="Times New Roman"/>
                <w:b/>
                <w:color w:val="000000" w:themeColor="text1"/>
                <w:sz w:val="21"/>
                <w:szCs w:val="21"/>
                <w:highlight w:val="none"/>
                <w:lang w:eastAsia="en-US"/>
                <w14:textFill>
                  <w14:solidFill>
                    <w14:schemeClr w14:val="tx1"/>
                  </w14:solidFill>
                </w14:textFill>
              </w:rPr>
            </w:pPr>
          </w:p>
        </w:tc>
        <w:tc>
          <w:tcPr>
            <w:tcW w:w="1088" w:type="pct"/>
            <w:vMerge w:val="continue"/>
            <w:vAlign w:val="center"/>
          </w:tcPr>
          <w:p>
            <w:pPr>
              <w:adjustRightInd/>
              <w:snapToGrid/>
              <w:spacing w:before="53" w:line="217" w:lineRule="auto"/>
              <w:ind w:left="1176" w:firstLine="0" w:firstLineChars="0"/>
              <w:rPr>
                <w:rFonts w:cs="Times New Roman"/>
                <w:b/>
                <w:color w:val="000000" w:themeColor="text1"/>
                <w:sz w:val="21"/>
                <w:szCs w:val="21"/>
                <w:highlight w:val="none"/>
                <w:lang w:eastAsia="en-US"/>
                <w14:textFill>
                  <w14:solidFill>
                    <w14:schemeClr w14:val="tx1"/>
                  </w14:solidFill>
                </w14:textFill>
              </w:rPr>
            </w:pPr>
          </w:p>
        </w:tc>
        <w:tc>
          <w:tcPr>
            <w:tcW w:w="661" w:type="pct"/>
            <w:vAlign w:val="center"/>
          </w:tcPr>
          <w:p>
            <w:pPr>
              <w:adjustRightInd/>
              <w:snapToGrid/>
              <w:spacing w:line="240" w:lineRule="auto"/>
              <w:ind w:firstLine="0" w:firstLineChars="0"/>
              <w:jc w:val="center"/>
              <w:rPr>
                <w:rFonts w:cs="Times New Roman"/>
                <w:b/>
                <w:color w:val="000000" w:themeColor="text1"/>
                <w:spacing w:val="-2"/>
                <w:sz w:val="21"/>
                <w:szCs w:val="21"/>
                <w:highlight w:val="none"/>
                <w:lang w:eastAsia="en-US"/>
                <w14:textFill>
                  <w14:solidFill>
                    <w14:schemeClr w14:val="tx1"/>
                  </w14:solidFill>
                </w14:textFill>
              </w:rPr>
            </w:pPr>
            <w:r>
              <w:rPr>
                <w:rFonts w:cs="Times New Roman"/>
                <w:b/>
                <w:color w:val="000000" w:themeColor="text1"/>
                <w:sz w:val="21"/>
                <w:szCs w:val="21"/>
                <w:highlight w:val="none"/>
                <w:lang w:eastAsia="en-US"/>
                <w14:textFill>
                  <w14:solidFill>
                    <w14:schemeClr w14:val="tx1"/>
                  </w14:solidFill>
                </w14:textFill>
              </w:rPr>
              <w:t>面积</w:t>
            </w:r>
            <w:r>
              <w:rPr>
                <w:rFonts w:hint="eastAsia" w:cs="Times New Roman"/>
                <w:b/>
                <w:color w:val="000000" w:themeColor="text1"/>
                <w:sz w:val="21"/>
                <w:szCs w:val="21"/>
                <w:highlight w:val="none"/>
                <w:lang w:eastAsia="en-US"/>
                <w14:textFill>
                  <w14:solidFill>
                    <w14:schemeClr w14:val="tx1"/>
                  </w14:solidFill>
                </w14:textFill>
              </w:rPr>
              <w:t>（</w:t>
            </w:r>
            <w:r>
              <w:rPr>
                <w:rFonts w:cs="Times New Roman"/>
                <w:b/>
                <w:color w:val="000000" w:themeColor="text1"/>
                <w:sz w:val="21"/>
                <w:szCs w:val="21"/>
                <w:highlight w:val="none"/>
                <w:lang w:eastAsia="en-US"/>
                <w14:textFill>
                  <w14:solidFill>
                    <w14:schemeClr w14:val="tx1"/>
                  </w14:solidFill>
                </w14:textFill>
              </w:rPr>
              <w:t>hm²</w:t>
            </w:r>
            <w:r>
              <w:rPr>
                <w:rFonts w:hint="eastAsia" w:cs="Times New Roman"/>
                <w:b/>
                <w:color w:val="000000" w:themeColor="text1"/>
                <w:sz w:val="21"/>
                <w:szCs w:val="21"/>
                <w:highlight w:val="none"/>
                <w:lang w:eastAsia="en-US"/>
                <w14:textFill>
                  <w14:solidFill>
                    <w14:schemeClr w14:val="tx1"/>
                  </w14:solidFill>
                </w14:textFill>
              </w:rPr>
              <w:t>）</w:t>
            </w:r>
          </w:p>
        </w:tc>
        <w:tc>
          <w:tcPr>
            <w:tcW w:w="721" w:type="pct"/>
            <w:vAlign w:val="center"/>
          </w:tcPr>
          <w:p>
            <w:pPr>
              <w:adjustRightInd/>
              <w:snapToGrid/>
              <w:spacing w:line="240" w:lineRule="auto"/>
              <w:ind w:firstLine="0" w:firstLineChars="0"/>
              <w:jc w:val="center"/>
              <w:rPr>
                <w:rFonts w:cs="Times New Roman"/>
                <w:b/>
                <w:color w:val="000000" w:themeColor="text1"/>
                <w:spacing w:val="-2"/>
                <w:sz w:val="21"/>
                <w:szCs w:val="21"/>
                <w:highlight w:val="none"/>
                <w:lang w:eastAsia="en-US"/>
                <w14:textFill>
                  <w14:solidFill>
                    <w14:schemeClr w14:val="tx1"/>
                  </w14:solidFill>
                </w14:textFill>
              </w:rPr>
            </w:pPr>
            <w:r>
              <w:rPr>
                <w:rFonts w:cs="Times New Roman"/>
                <w:b/>
                <w:color w:val="000000" w:themeColor="text1"/>
                <w:sz w:val="21"/>
                <w:szCs w:val="21"/>
                <w:highlight w:val="none"/>
                <w:lang w:eastAsia="en-US"/>
                <w14:textFill>
                  <w14:solidFill>
                    <w14:schemeClr w14:val="tx1"/>
                  </w14:solidFill>
                </w14:textFill>
              </w:rPr>
              <w:t>比例</w:t>
            </w:r>
            <w:r>
              <w:rPr>
                <w:rFonts w:hint="eastAsia" w:cs="Times New Roman"/>
                <w:b/>
                <w:color w:val="000000" w:themeColor="text1"/>
                <w:sz w:val="21"/>
                <w:szCs w:val="21"/>
                <w:highlight w:val="none"/>
                <w:lang w:eastAsia="en-US"/>
                <w14:textFill>
                  <w14:solidFill>
                    <w14:schemeClr w14:val="tx1"/>
                  </w14:solidFill>
                </w14:textFill>
              </w:rPr>
              <w:t>（</w:t>
            </w:r>
            <w:r>
              <w:rPr>
                <w:rFonts w:cs="Times New Roman"/>
                <w:b/>
                <w:color w:val="000000" w:themeColor="text1"/>
                <w:sz w:val="21"/>
                <w:szCs w:val="21"/>
                <w:highlight w:val="none"/>
                <w:lang w:eastAsia="en-US"/>
                <w14:textFill>
                  <w14:solidFill>
                    <w14:schemeClr w14:val="tx1"/>
                  </w14:solidFill>
                </w14:textFill>
              </w:rPr>
              <w:t>%</w:t>
            </w:r>
            <w:r>
              <w:rPr>
                <w:rFonts w:hint="eastAsia" w:cs="Times New Roman"/>
                <w:b/>
                <w:color w:val="000000" w:themeColor="text1"/>
                <w:sz w:val="21"/>
                <w:szCs w:val="21"/>
                <w:highlight w:val="none"/>
                <w:lang w:eastAsia="en-US"/>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1" w:hRule="atLeast"/>
          <w:jc w:val="center"/>
        </w:trPr>
        <w:tc>
          <w:tcPr>
            <w:tcW w:w="268" w:type="pct"/>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针叶林</w:t>
            </w:r>
          </w:p>
        </w:tc>
        <w:tc>
          <w:tcPr>
            <w:tcW w:w="385" w:type="pct"/>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暖性针叶林</w:t>
            </w:r>
          </w:p>
        </w:tc>
        <w:tc>
          <w:tcPr>
            <w:tcW w:w="633" w:type="pct"/>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12"/>
                <w:sz w:val="21"/>
                <w:szCs w:val="21"/>
                <w:highlight w:val="none"/>
                <w:lang w:eastAsia="en-US"/>
                <w14:textFill>
                  <w14:solidFill>
                    <w14:schemeClr w14:val="tx1"/>
                  </w14:solidFill>
                </w14:textFill>
              </w:rPr>
              <w:t>暖性常绿</w:t>
            </w:r>
            <w:r>
              <w:rPr>
                <w:rFonts w:cs="Times New Roman"/>
                <w:bCs/>
                <w:color w:val="000000" w:themeColor="text1"/>
                <w:spacing w:val="-4"/>
                <w:sz w:val="21"/>
                <w:szCs w:val="21"/>
                <w:highlight w:val="none"/>
                <w:lang w:eastAsia="en-US"/>
                <w14:textFill>
                  <w14:solidFill>
                    <w14:schemeClr w14:val="tx1"/>
                  </w14:solidFill>
                </w14:textFill>
              </w:rPr>
              <w:t>针叶林</w:t>
            </w:r>
          </w:p>
        </w:tc>
        <w:tc>
          <w:tcPr>
            <w:tcW w:w="1244" w:type="pct"/>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马尾松群系</w:t>
            </w:r>
          </w:p>
        </w:tc>
        <w:tc>
          <w:tcPr>
            <w:tcW w:w="1088" w:type="pct"/>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此植被类型广泛分布</w:t>
            </w:r>
          </w:p>
        </w:tc>
        <w:tc>
          <w:tcPr>
            <w:tcW w:w="661" w:type="pct"/>
            <w:vAlign w:val="center"/>
          </w:tcPr>
          <w:p>
            <w:pPr>
              <w:adjustRightInd/>
              <w:snapToGrid/>
              <w:spacing w:before="51" w:line="214" w:lineRule="auto"/>
              <w:ind w:firstLine="0" w:firstLineChars="0"/>
              <w:jc w:val="center"/>
              <w:rPr>
                <w:rFonts w:cs="Times New Roman"/>
                <w:bCs/>
                <w:color w:val="000000" w:themeColor="text1"/>
                <w:spacing w:val="-12"/>
                <w:sz w:val="21"/>
                <w:szCs w:val="21"/>
                <w:highlight w:val="none"/>
                <w:lang w:eastAsia="en-US"/>
                <w14:textFill>
                  <w14:solidFill>
                    <w14:schemeClr w14:val="tx1"/>
                  </w14:solidFill>
                </w14:textFill>
              </w:rPr>
            </w:pPr>
            <w:r>
              <w:rPr>
                <w:rFonts w:hint="eastAsia" w:cs="Times New Roman"/>
                <w:bCs/>
                <w:color w:val="000000" w:themeColor="text1"/>
                <w:spacing w:val="-12"/>
                <w:sz w:val="21"/>
                <w:szCs w:val="21"/>
                <w:highlight w:val="none"/>
                <w:lang w:eastAsia="en-US"/>
                <w14:textFill>
                  <w14:solidFill>
                    <w14:schemeClr w14:val="tx1"/>
                  </w14:solidFill>
                </w14:textFill>
              </w:rPr>
              <w:t>1.7008</w:t>
            </w:r>
          </w:p>
        </w:tc>
        <w:tc>
          <w:tcPr>
            <w:tcW w:w="721" w:type="pct"/>
            <w:vAlign w:val="center"/>
          </w:tcPr>
          <w:p>
            <w:pPr>
              <w:adjustRightInd/>
              <w:snapToGrid/>
              <w:spacing w:before="51" w:line="214" w:lineRule="auto"/>
              <w:ind w:firstLine="0" w:firstLineChars="0"/>
              <w:jc w:val="center"/>
              <w:rPr>
                <w:rFonts w:cs="Times New Roman"/>
                <w:bCs/>
                <w:color w:val="000000" w:themeColor="text1"/>
                <w:spacing w:val="-12"/>
                <w:sz w:val="21"/>
                <w:szCs w:val="21"/>
                <w:highlight w:val="none"/>
                <w:lang w:eastAsia="en-US"/>
                <w14:textFill>
                  <w14:solidFill>
                    <w14:schemeClr w14:val="tx1"/>
                  </w14:solidFill>
                </w14:textFill>
              </w:rPr>
            </w:pPr>
            <w:r>
              <w:rPr>
                <w:rFonts w:cs="Times New Roman"/>
                <w:bCs/>
                <w:color w:val="000000" w:themeColor="text1"/>
                <w:spacing w:val="-12"/>
                <w:sz w:val="21"/>
                <w:szCs w:val="21"/>
                <w:highlight w:val="none"/>
                <w:lang w:eastAsia="en-US"/>
                <w14:textFill>
                  <w14:solidFill>
                    <w14:schemeClr w14:val="tx1"/>
                  </w14:solidFill>
                </w14:textFill>
              </w:rPr>
              <w:t xml:space="preserve">14.63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9" w:hRule="atLeast"/>
          <w:jc w:val="center"/>
        </w:trPr>
        <w:tc>
          <w:tcPr>
            <w:tcW w:w="268" w:type="pct"/>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阔叶林</w:t>
            </w:r>
          </w:p>
        </w:tc>
        <w:tc>
          <w:tcPr>
            <w:tcW w:w="385" w:type="pct"/>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落叶阔叶林</w:t>
            </w:r>
          </w:p>
        </w:tc>
        <w:tc>
          <w:tcPr>
            <w:tcW w:w="633" w:type="pct"/>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典型落叶阔叶林</w:t>
            </w:r>
          </w:p>
        </w:tc>
        <w:tc>
          <w:tcPr>
            <w:tcW w:w="1244" w:type="pct"/>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麻栎+青冈群系</w:t>
            </w:r>
          </w:p>
        </w:tc>
        <w:tc>
          <w:tcPr>
            <w:tcW w:w="1088" w:type="pct"/>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此植被类型广泛分布</w:t>
            </w:r>
          </w:p>
        </w:tc>
        <w:tc>
          <w:tcPr>
            <w:tcW w:w="661" w:type="pct"/>
            <w:vAlign w:val="center"/>
          </w:tcPr>
          <w:p>
            <w:pPr>
              <w:adjustRightInd/>
              <w:snapToGrid/>
              <w:spacing w:before="51" w:line="214" w:lineRule="auto"/>
              <w:ind w:firstLine="0" w:firstLineChars="0"/>
              <w:jc w:val="center"/>
              <w:rPr>
                <w:rFonts w:cs="Times New Roman"/>
                <w:bCs/>
                <w:color w:val="000000" w:themeColor="text1"/>
                <w:spacing w:val="-12"/>
                <w:sz w:val="21"/>
                <w:szCs w:val="21"/>
                <w:highlight w:val="none"/>
                <w:lang w:eastAsia="en-US"/>
                <w14:textFill>
                  <w14:solidFill>
                    <w14:schemeClr w14:val="tx1"/>
                  </w14:solidFill>
                </w14:textFill>
              </w:rPr>
            </w:pPr>
            <w:r>
              <w:rPr>
                <w:rFonts w:hint="eastAsia" w:cs="Times New Roman"/>
                <w:bCs/>
                <w:color w:val="000000" w:themeColor="text1"/>
                <w:spacing w:val="-12"/>
                <w:sz w:val="21"/>
                <w:szCs w:val="21"/>
                <w:highlight w:val="none"/>
                <w:lang w:eastAsia="en-US"/>
                <w14:textFill>
                  <w14:solidFill>
                    <w14:schemeClr w14:val="tx1"/>
                  </w14:solidFill>
                </w14:textFill>
              </w:rPr>
              <w:t>0.8</w:t>
            </w:r>
          </w:p>
        </w:tc>
        <w:tc>
          <w:tcPr>
            <w:tcW w:w="721" w:type="pct"/>
            <w:vAlign w:val="center"/>
          </w:tcPr>
          <w:p>
            <w:pPr>
              <w:adjustRightInd/>
              <w:snapToGrid/>
              <w:spacing w:before="51" w:line="214" w:lineRule="auto"/>
              <w:ind w:firstLine="0" w:firstLineChars="0"/>
              <w:jc w:val="center"/>
              <w:rPr>
                <w:rFonts w:cs="Times New Roman"/>
                <w:bCs/>
                <w:color w:val="000000" w:themeColor="text1"/>
                <w:spacing w:val="-12"/>
                <w:sz w:val="21"/>
                <w:szCs w:val="21"/>
                <w:highlight w:val="none"/>
                <w:lang w:eastAsia="en-US"/>
                <w14:textFill>
                  <w14:solidFill>
                    <w14:schemeClr w14:val="tx1"/>
                  </w14:solidFill>
                </w14:textFill>
              </w:rPr>
            </w:pPr>
            <w:r>
              <w:rPr>
                <w:rFonts w:cs="Times New Roman"/>
                <w:bCs/>
                <w:color w:val="000000" w:themeColor="text1"/>
                <w:spacing w:val="-12"/>
                <w:sz w:val="21"/>
                <w:szCs w:val="21"/>
                <w:highlight w:val="none"/>
                <w:lang w:eastAsia="en-US"/>
                <w14:textFill>
                  <w14:solidFill>
                    <w14:schemeClr w14:val="tx1"/>
                  </w14:solidFill>
                </w14:textFill>
              </w:rPr>
              <w:t xml:space="preserve">6.88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68" w:type="pct"/>
            <w:vMerge w:val="restart"/>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灌丛和灌 草丛</w:t>
            </w:r>
          </w:p>
        </w:tc>
        <w:tc>
          <w:tcPr>
            <w:tcW w:w="385" w:type="pct"/>
            <w:vMerge w:val="restart"/>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落叶阔叶灌丛</w:t>
            </w:r>
          </w:p>
        </w:tc>
        <w:tc>
          <w:tcPr>
            <w:tcW w:w="633" w:type="pct"/>
            <w:vMerge w:val="restart"/>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暖性落叶阔叶灌丛</w:t>
            </w:r>
          </w:p>
        </w:tc>
        <w:tc>
          <w:tcPr>
            <w:tcW w:w="1244" w:type="pct"/>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野桐+盐肤木</w:t>
            </w:r>
            <w:r>
              <w:rPr>
                <w:rFonts w:hint="eastAsia" w:cs="Times New Roman"/>
                <w:bCs/>
                <w:color w:val="000000" w:themeColor="text1"/>
                <w:kern w:val="0"/>
                <w:sz w:val="21"/>
                <w:szCs w:val="21"/>
                <w:highlight w:val="none"/>
                <w:lang w:eastAsia="en-US"/>
                <w14:textFill>
                  <w14:solidFill>
                    <w14:schemeClr w14:val="tx1"/>
                  </w14:solidFill>
                </w14:textFill>
              </w:rPr>
              <w:t>灌丛</w:t>
            </w:r>
          </w:p>
        </w:tc>
        <w:tc>
          <w:tcPr>
            <w:tcW w:w="1088" w:type="pct"/>
            <w:vMerge w:val="restart"/>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zh-CN"/>
                <w14:textFill>
                  <w14:solidFill>
                    <w14:schemeClr w14:val="tx1"/>
                  </w14:solidFill>
                </w14:textFill>
              </w:rPr>
            </w:pPr>
            <w:r>
              <w:rPr>
                <w:rFonts w:cs="Times New Roman"/>
                <w:bCs/>
                <w:color w:val="000000" w:themeColor="text1"/>
                <w:kern w:val="0"/>
                <w:sz w:val="21"/>
                <w:szCs w:val="21"/>
                <w:highlight w:val="none"/>
                <w:lang w:eastAsia="zh-CN"/>
                <w14:textFill>
                  <w14:solidFill>
                    <w14:schemeClr w14:val="tx1"/>
                  </w14:solidFill>
                </w14:textFill>
              </w:rPr>
              <w:t>主要分布在林下、林缘、山脚、路边、农田两旁</w:t>
            </w:r>
          </w:p>
        </w:tc>
        <w:tc>
          <w:tcPr>
            <w:tcW w:w="661" w:type="pct"/>
            <w:vMerge w:val="restart"/>
            <w:vAlign w:val="center"/>
          </w:tcPr>
          <w:p>
            <w:pPr>
              <w:adjustRightInd/>
              <w:snapToGrid/>
              <w:spacing w:before="51" w:line="214" w:lineRule="auto"/>
              <w:ind w:firstLine="0" w:firstLineChars="0"/>
              <w:jc w:val="center"/>
              <w:rPr>
                <w:rFonts w:cs="Times New Roman"/>
                <w:bCs/>
                <w:color w:val="000000" w:themeColor="text1"/>
                <w:spacing w:val="-12"/>
                <w:sz w:val="21"/>
                <w:szCs w:val="21"/>
                <w:highlight w:val="none"/>
                <w:lang w:eastAsia="en-US"/>
                <w14:textFill>
                  <w14:solidFill>
                    <w14:schemeClr w14:val="tx1"/>
                  </w14:solidFill>
                </w14:textFill>
              </w:rPr>
            </w:pPr>
            <w:r>
              <w:rPr>
                <w:rFonts w:cs="Times New Roman"/>
                <w:bCs/>
                <w:color w:val="000000" w:themeColor="text1"/>
                <w:spacing w:val="-12"/>
                <w:sz w:val="21"/>
                <w:szCs w:val="21"/>
                <w:highlight w:val="none"/>
                <w:lang w:eastAsia="en-US"/>
                <w14:textFill>
                  <w14:solidFill>
                    <w14:schemeClr w14:val="tx1"/>
                  </w14:solidFill>
                </w14:textFill>
              </w:rPr>
              <w:t>0.2893</w:t>
            </w:r>
          </w:p>
        </w:tc>
        <w:tc>
          <w:tcPr>
            <w:tcW w:w="721" w:type="pct"/>
            <w:vMerge w:val="restart"/>
            <w:vAlign w:val="center"/>
          </w:tcPr>
          <w:p>
            <w:pPr>
              <w:adjustRightInd/>
              <w:snapToGrid/>
              <w:spacing w:before="51" w:line="214" w:lineRule="auto"/>
              <w:ind w:firstLine="0" w:firstLineChars="0"/>
              <w:jc w:val="center"/>
              <w:rPr>
                <w:rFonts w:cs="Times New Roman"/>
                <w:bCs/>
                <w:color w:val="000000" w:themeColor="text1"/>
                <w:spacing w:val="-12"/>
                <w:sz w:val="21"/>
                <w:szCs w:val="21"/>
                <w:highlight w:val="none"/>
                <w:lang w:eastAsia="en-US"/>
                <w14:textFill>
                  <w14:solidFill>
                    <w14:schemeClr w14:val="tx1"/>
                  </w14:solidFill>
                </w14:textFill>
              </w:rPr>
            </w:pPr>
            <w:r>
              <w:rPr>
                <w:rFonts w:cs="Times New Roman"/>
                <w:bCs/>
                <w:color w:val="000000" w:themeColor="text1"/>
                <w:spacing w:val="-12"/>
                <w:sz w:val="21"/>
                <w:szCs w:val="21"/>
                <w:highlight w:val="none"/>
                <w:lang w:eastAsia="en-US"/>
                <w14:textFill>
                  <w14:solidFill>
                    <w14:schemeClr w14:val="tx1"/>
                  </w14:solidFill>
                </w14:textFill>
              </w:rPr>
              <w:t xml:space="preserve">2.49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68" w:type="pct"/>
            <w:vMerge w:val="continue"/>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p>
        </w:tc>
        <w:tc>
          <w:tcPr>
            <w:tcW w:w="385" w:type="pct"/>
            <w:vMerge w:val="continue"/>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p>
        </w:tc>
        <w:tc>
          <w:tcPr>
            <w:tcW w:w="633" w:type="pct"/>
            <w:vMerge w:val="continue"/>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p>
        </w:tc>
        <w:tc>
          <w:tcPr>
            <w:tcW w:w="1244" w:type="pct"/>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zh-CN"/>
                <w14:textFill>
                  <w14:solidFill>
                    <w14:schemeClr w14:val="tx1"/>
                  </w14:solidFill>
                </w14:textFill>
              </w:rPr>
            </w:pPr>
            <w:r>
              <w:rPr>
                <w:rFonts w:cs="Times New Roman"/>
                <w:bCs/>
                <w:color w:val="000000" w:themeColor="text1"/>
                <w:spacing w:val="15"/>
                <w:sz w:val="21"/>
                <w:szCs w:val="21"/>
                <w:highlight w:val="none"/>
                <w:lang w:eastAsia="zh-CN"/>
                <w14:textFill>
                  <w14:solidFill>
                    <w14:schemeClr w14:val="tx1"/>
                  </w14:solidFill>
                </w14:textFill>
              </w:rPr>
              <w:t>马桑+黄荆+火棘+荚蒾灌丛群系</w:t>
            </w:r>
          </w:p>
        </w:tc>
        <w:tc>
          <w:tcPr>
            <w:tcW w:w="1088" w:type="pct"/>
            <w:vMerge w:val="continue"/>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zh-CN"/>
                <w14:textFill>
                  <w14:solidFill>
                    <w14:schemeClr w14:val="tx1"/>
                  </w14:solidFill>
                </w14:textFill>
              </w:rPr>
            </w:pPr>
          </w:p>
        </w:tc>
        <w:tc>
          <w:tcPr>
            <w:tcW w:w="661" w:type="pct"/>
            <w:vMerge w:val="continue"/>
            <w:vAlign w:val="center"/>
          </w:tcPr>
          <w:p>
            <w:pPr>
              <w:adjustRightInd/>
              <w:snapToGrid/>
              <w:spacing w:before="51" w:line="214" w:lineRule="auto"/>
              <w:ind w:firstLine="0" w:firstLineChars="0"/>
              <w:jc w:val="center"/>
              <w:rPr>
                <w:rFonts w:cs="Times New Roman"/>
                <w:bCs/>
                <w:color w:val="000000" w:themeColor="text1"/>
                <w:spacing w:val="-12"/>
                <w:sz w:val="21"/>
                <w:szCs w:val="21"/>
                <w:highlight w:val="none"/>
                <w:lang w:eastAsia="zh-CN"/>
                <w14:textFill>
                  <w14:solidFill>
                    <w14:schemeClr w14:val="tx1"/>
                  </w14:solidFill>
                </w14:textFill>
              </w:rPr>
            </w:pPr>
          </w:p>
        </w:tc>
        <w:tc>
          <w:tcPr>
            <w:tcW w:w="721" w:type="pct"/>
            <w:vMerge w:val="continue"/>
            <w:vAlign w:val="center"/>
          </w:tcPr>
          <w:p>
            <w:pPr>
              <w:adjustRightInd/>
              <w:snapToGrid/>
              <w:spacing w:before="51" w:line="214" w:lineRule="auto"/>
              <w:ind w:firstLine="0" w:firstLineChars="0"/>
              <w:jc w:val="center"/>
              <w:rPr>
                <w:rFonts w:cs="Times New Roman"/>
                <w:bCs/>
                <w:color w:val="000000" w:themeColor="text1"/>
                <w:spacing w:val="-12"/>
                <w:sz w:val="21"/>
                <w:szCs w:val="21"/>
                <w:highlight w:val="none"/>
                <w:lang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0" w:hRule="atLeast"/>
          <w:jc w:val="center"/>
        </w:trPr>
        <w:tc>
          <w:tcPr>
            <w:tcW w:w="268" w:type="pct"/>
            <w:vMerge w:val="continue"/>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zh-CN"/>
                <w14:textFill>
                  <w14:solidFill>
                    <w14:schemeClr w14:val="tx1"/>
                  </w14:solidFill>
                </w14:textFill>
              </w:rPr>
            </w:pPr>
          </w:p>
        </w:tc>
        <w:tc>
          <w:tcPr>
            <w:tcW w:w="385" w:type="pct"/>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灌草丛</w:t>
            </w:r>
          </w:p>
        </w:tc>
        <w:tc>
          <w:tcPr>
            <w:tcW w:w="633" w:type="pct"/>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暖热性灌草丛</w:t>
            </w:r>
          </w:p>
        </w:tc>
        <w:tc>
          <w:tcPr>
            <w:tcW w:w="1244" w:type="pct"/>
            <w:vAlign w:val="center"/>
          </w:tcPr>
          <w:p>
            <w:pPr>
              <w:snapToGrid/>
              <w:spacing w:line="240" w:lineRule="auto"/>
              <w:ind w:firstLine="0" w:firstLineChars="0"/>
              <w:jc w:val="center"/>
              <w:textAlignment w:val="baseline"/>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芒</w:t>
            </w:r>
            <w:r>
              <w:rPr>
                <w:rFonts w:cs="Times New Roman"/>
                <w:bCs/>
                <w:color w:val="000000" w:themeColor="text1"/>
                <w:spacing w:val="15"/>
                <w:sz w:val="21"/>
                <w:szCs w:val="21"/>
                <w:highlight w:val="none"/>
                <w:lang w:eastAsia="en-US"/>
                <w14:textFill>
                  <w14:solidFill>
                    <w14:schemeClr w14:val="tx1"/>
                  </w14:solidFill>
                </w14:textFill>
              </w:rPr>
              <w:t>+</w:t>
            </w:r>
            <w:r>
              <w:rPr>
                <w:rFonts w:cs="Times New Roman"/>
                <w:bCs/>
                <w:color w:val="000000" w:themeColor="text1"/>
                <w:spacing w:val="-4"/>
                <w:sz w:val="21"/>
                <w:szCs w:val="21"/>
                <w:highlight w:val="none"/>
                <w:lang w:eastAsia="en-US"/>
                <w14:textFill>
                  <w14:solidFill>
                    <w14:schemeClr w14:val="tx1"/>
                  </w14:solidFill>
                </w14:textFill>
              </w:rPr>
              <w:t>白茅草丛</w:t>
            </w:r>
            <w:r>
              <w:rPr>
                <w:rFonts w:cs="Times New Roman"/>
                <w:bCs/>
                <w:color w:val="000000" w:themeColor="text1"/>
                <w:kern w:val="0"/>
                <w:sz w:val="21"/>
                <w:szCs w:val="21"/>
                <w:highlight w:val="none"/>
                <w:lang w:eastAsia="en-US"/>
                <w14:textFill>
                  <w14:solidFill>
                    <w14:schemeClr w14:val="tx1"/>
                  </w14:solidFill>
                </w14:textFill>
              </w:rPr>
              <w:t>群系</w:t>
            </w:r>
          </w:p>
        </w:tc>
        <w:tc>
          <w:tcPr>
            <w:tcW w:w="1088" w:type="pct"/>
            <w:vMerge w:val="continue"/>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p>
        </w:tc>
        <w:tc>
          <w:tcPr>
            <w:tcW w:w="661" w:type="pct"/>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0.2259</w:t>
            </w:r>
          </w:p>
        </w:tc>
        <w:tc>
          <w:tcPr>
            <w:tcW w:w="721" w:type="pct"/>
            <w:vAlign w:val="center"/>
          </w:tcPr>
          <w:p>
            <w:pPr>
              <w:adjustRightInd/>
              <w:snapToGrid/>
              <w:spacing w:before="51" w:line="214" w:lineRule="auto"/>
              <w:ind w:firstLine="0" w:firstLineChars="0"/>
              <w:jc w:val="center"/>
              <w:rPr>
                <w:rFonts w:cs="Times New Roman"/>
                <w:bCs/>
                <w:color w:val="000000" w:themeColor="text1"/>
                <w:spacing w:val="-12"/>
                <w:sz w:val="21"/>
                <w:szCs w:val="21"/>
                <w:highlight w:val="none"/>
                <w:lang w:eastAsia="en-US"/>
                <w14:textFill>
                  <w14:solidFill>
                    <w14:schemeClr w14:val="tx1"/>
                  </w14:solidFill>
                </w14:textFill>
              </w:rPr>
            </w:pPr>
            <w:r>
              <w:rPr>
                <w:rFonts w:cs="Times New Roman"/>
                <w:bCs/>
                <w:color w:val="000000" w:themeColor="text1"/>
                <w:spacing w:val="-12"/>
                <w:sz w:val="21"/>
                <w:szCs w:val="21"/>
                <w:highlight w:val="none"/>
                <w:lang w:eastAsia="en-US"/>
                <w14:textFill>
                  <w14:solidFill>
                    <w14:schemeClr w14:val="tx1"/>
                  </w14:solidFill>
                </w14:textFill>
              </w:rPr>
              <w:t xml:space="preserve">1.94 </w:t>
            </w:r>
          </w:p>
        </w:tc>
      </w:tr>
    </w:tbl>
    <w:p>
      <w:pPr>
        <w:spacing w:before="120" w:beforeLines="5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Ⅰ森林植被</w:t>
      </w:r>
    </w:p>
    <w:p>
      <w:pPr>
        <w:ind w:firstLine="480"/>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①</w:t>
      </w:r>
      <w:r>
        <w:rPr>
          <w:color w:val="000000" w:themeColor="text1"/>
          <w:highlight w:val="none"/>
          <w14:textFill>
            <w14:solidFill>
              <w14:schemeClr w14:val="tx1"/>
            </w14:solidFill>
          </w14:textFill>
        </w:rPr>
        <w:t>马尾松群系</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Form.P.massoniana</w:t>
      </w:r>
      <w:r>
        <w:rPr>
          <w:rFonts w:hint="eastAsia"/>
          <w:color w:val="000000" w:themeColor="text1"/>
          <w:highlight w:val="none"/>
          <w14:textFill>
            <w14:solidFill>
              <w14:schemeClr w14:val="tx1"/>
            </w14:solidFill>
          </w14:textFill>
        </w:rPr>
        <w:t>）</w:t>
      </w:r>
    </w:p>
    <w:p>
      <w:pPr>
        <w:ind w:firstLine="464"/>
        <w:rPr>
          <w:color w:val="000000" w:themeColor="text1"/>
          <w:highlight w:val="none"/>
          <w14:textFill>
            <w14:solidFill>
              <w14:schemeClr w14:val="tx1"/>
            </w14:solidFill>
          </w14:textFill>
        </w:rPr>
      </w:pPr>
      <w:r>
        <w:rPr>
          <w:rFonts w:cs="Times New Roman"/>
          <w:bCs/>
          <w:color w:val="000000" w:themeColor="text1"/>
          <w:spacing w:val="-8"/>
          <w:szCs w:val="24"/>
          <w:highlight w:val="none"/>
          <w14:textFill>
            <w14:solidFill>
              <w14:schemeClr w14:val="tx1"/>
            </w14:solidFill>
          </w14:textFill>
        </w:rPr>
        <w:t>评</w:t>
      </w:r>
      <w:r>
        <w:rPr>
          <w:rFonts w:cs="Times New Roman"/>
          <w:bCs/>
          <w:color w:val="000000" w:themeColor="text1"/>
          <w:spacing w:val="-4"/>
          <w:szCs w:val="24"/>
          <w:highlight w:val="none"/>
          <w14:textFill>
            <w14:solidFill>
              <w14:schemeClr w14:val="tx1"/>
            </w14:solidFill>
          </w14:textFill>
        </w:rPr>
        <w:t>价区的</w:t>
      </w:r>
      <w:r>
        <w:rPr>
          <w:rFonts w:cs="Times New Roman"/>
          <w:bCs/>
          <w:color w:val="000000" w:themeColor="text1"/>
          <w:szCs w:val="24"/>
          <w:highlight w:val="none"/>
          <w14:textFill>
            <w14:solidFill>
              <w14:schemeClr w14:val="tx1"/>
            </w14:solidFill>
          </w14:textFill>
        </w:rPr>
        <w:t>马尾</w:t>
      </w:r>
      <w:r>
        <w:rPr>
          <w:rFonts w:cs="Times New Roman"/>
          <w:bCs/>
          <w:color w:val="000000" w:themeColor="text1"/>
          <w:spacing w:val="-4"/>
          <w:szCs w:val="24"/>
          <w:highlight w:val="none"/>
          <w14:textFill>
            <w14:solidFill>
              <w14:schemeClr w14:val="tx1"/>
            </w14:solidFill>
          </w14:textFill>
        </w:rPr>
        <w:t>松林为人工起源，</w:t>
      </w:r>
      <w:r>
        <w:rPr>
          <w:rFonts w:cs="Times New Roman"/>
          <w:bCs/>
          <w:color w:val="000000" w:themeColor="text1"/>
          <w:szCs w:val="24"/>
          <w:highlight w:val="none"/>
          <w14:textFill>
            <w14:solidFill>
              <w14:schemeClr w14:val="tx1"/>
            </w14:solidFill>
          </w14:textFill>
        </w:rPr>
        <w:t>马尾松是向阳、喜温暖的树种。多分布于酸性土上。</w:t>
      </w:r>
      <w:r>
        <w:rPr>
          <w:rFonts w:cs="Times New Roman"/>
          <w:bCs/>
          <w:color w:val="000000" w:themeColor="text1"/>
          <w:spacing w:val="-8"/>
          <w:szCs w:val="24"/>
          <w:highlight w:val="none"/>
          <w14:textFill>
            <w14:solidFill>
              <w14:schemeClr w14:val="tx1"/>
            </w14:solidFill>
          </w14:textFill>
        </w:rPr>
        <w:t>评</w:t>
      </w:r>
      <w:r>
        <w:rPr>
          <w:rFonts w:cs="Times New Roman"/>
          <w:bCs/>
          <w:color w:val="000000" w:themeColor="text1"/>
          <w:spacing w:val="-4"/>
          <w:szCs w:val="24"/>
          <w:highlight w:val="none"/>
          <w14:textFill>
            <w14:solidFill>
              <w14:schemeClr w14:val="tx1"/>
            </w14:solidFill>
          </w14:textFill>
        </w:rPr>
        <w:t>价区的</w:t>
      </w:r>
      <w:r>
        <w:rPr>
          <w:rFonts w:cs="Times New Roman"/>
          <w:bCs/>
          <w:color w:val="000000" w:themeColor="text1"/>
          <w:szCs w:val="24"/>
          <w:highlight w:val="none"/>
          <w14:textFill>
            <w14:solidFill>
              <w14:schemeClr w14:val="tx1"/>
            </w14:solidFill>
          </w14:textFill>
        </w:rPr>
        <w:t>马尾</w:t>
      </w:r>
      <w:r>
        <w:rPr>
          <w:rFonts w:cs="Times New Roman"/>
          <w:bCs/>
          <w:color w:val="000000" w:themeColor="text1"/>
          <w:spacing w:val="-4"/>
          <w:szCs w:val="24"/>
          <w:highlight w:val="none"/>
          <w14:textFill>
            <w14:solidFill>
              <w14:schemeClr w14:val="tx1"/>
            </w14:solidFill>
          </w14:textFill>
        </w:rPr>
        <w:t>松（</w:t>
      </w:r>
      <w:r>
        <w:rPr>
          <w:rFonts w:cs="Times New Roman"/>
          <w:bCs/>
          <w:i/>
          <w:iCs/>
          <w:color w:val="000000" w:themeColor="text1"/>
          <w:spacing w:val="-4"/>
          <w:szCs w:val="24"/>
          <w:highlight w:val="none"/>
          <w14:textFill>
            <w14:solidFill>
              <w14:schemeClr w14:val="tx1"/>
            </w14:solidFill>
          </w14:textFill>
        </w:rPr>
        <w:t>P.massoniana</w:t>
      </w:r>
      <w:r>
        <w:rPr>
          <w:rFonts w:cs="Times New Roman"/>
          <w:bCs/>
          <w:color w:val="000000" w:themeColor="text1"/>
          <w:spacing w:val="-4"/>
          <w:szCs w:val="24"/>
          <w:highlight w:val="none"/>
          <w14:textFill>
            <w14:solidFill>
              <w14:schemeClr w14:val="tx1"/>
            </w14:solidFill>
          </w14:textFill>
        </w:rPr>
        <w:t>）林为人工起源，</w:t>
      </w:r>
      <w:r>
        <w:rPr>
          <w:rFonts w:cs="Times New Roman"/>
          <w:bCs/>
          <w:color w:val="000000" w:themeColor="text1"/>
          <w:spacing w:val="3"/>
          <w:szCs w:val="24"/>
          <w:highlight w:val="none"/>
          <w14:textFill>
            <w14:solidFill>
              <w14:schemeClr w14:val="tx1"/>
            </w14:solidFill>
          </w14:textFill>
        </w:rPr>
        <w:t>在评价区广泛分布。</w:t>
      </w:r>
      <w:r>
        <w:rPr>
          <w:rFonts w:cs="Times New Roman"/>
          <w:bCs/>
          <w:color w:val="000000" w:themeColor="text1"/>
          <w:szCs w:val="24"/>
          <w:highlight w:val="none"/>
          <w14:textFill>
            <w14:solidFill>
              <w14:schemeClr w14:val="tx1"/>
            </w14:solidFill>
          </w14:textFill>
        </w:rPr>
        <w:t>群落外貌翠绿色，林冠整齐。多为次生林或人工林。除部分幼林外，一般树龄差异大，树龄一般不超过30年。郁闭度0.6~0.8。株高10m</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20m，胸径6cm</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30cm左右</w:t>
      </w:r>
      <w:r>
        <w:rPr>
          <w:rFonts w:cs="Times New Roman"/>
          <w:bCs/>
          <w:color w:val="000000" w:themeColor="text1"/>
          <w:spacing w:val="-10"/>
          <w:szCs w:val="24"/>
          <w:highlight w:val="none"/>
          <w14:textFill>
            <w14:solidFill>
              <w14:schemeClr w14:val="tx1"/>
            </w14:solidFill>
          </w14:textFill>
        </w:rPr>
        <w:t>。主要以马尾松纯林和马尾松、杉木混交林为主。乔灌层次分明，乔木层主要有马尾松、杉木</w:t>
      </w:r>
      <w:r>
        <w:rPr>
          <w:rFonts w:cs="Times New Roman"/>
          <w:bCs/>
          <w:color w:val="000000" w:themeColor="text1"/>
          <w:spacing w:val="-4"/>
          <w:szCs w:val="24"/>
          <w:highlight w:val="none"/>
          <w14:textFill>
            <w14:solidFill>
              <w14:schemeClr w14:val="tx1"/>
            </w14:solidFill>
          </w14:textFill>
        </w:rPr>
        <w:t>、</w:t>
      </w:r>
      <w:r>
        <w:rPr>
          <w:rFonts w:cs="Times New Roman"/>
          <w:bCs/>
          <w:color w:val="000000" w:themeColor="text1"/>
          <w:spacing w:val="-3"/>
          <w:szCs w:val="24"/>
          <w:highlight w:val="none"/>
          <w14:textFill>
            <w14:solidFill>
              <w14:schemeClr w14:val="tx1"/>
            </w14:solidFill>
          </w14:textFill>
        </w:rPr>
        <w:t>枫香、栓皮栎、麻栎等。灌木层种类较多，</w:t>
      </w:r>
      <w:r>
        <w:rPr>
          <w:rFonts w:cs="Times New Roman"/>
          <w:bCs/>
          <w:color w:val="000000" w:themeColor="text1"/>
          <w:spacing w:val="14"/>
          <w:szCs w:val="24"/>
          <w:highlight w:val="none"/>
          <w14:textFill>
            <w14:solidFill>
              <w14:schemeClr w14:val="tx1"/>
            </w14:solidFill>
          </w14:textFill>
        </w:rPr>
        <w:t>常见</w:t>
      </w:r>
      <w:r>
        <w:rPr>
          <w:rFonts w:cs="Times New Roman"/>
          <w:bCs/>
          <w:color w:val="000000" w:themeColor="text1"/>
          <w:spacing w:val="12"/>
          <w:szCs w:val="24"/>
          <w:highlight w:val="none"/>
          <w14:textFill>
            <w14:solidFill>
              <w14:schemeClr w14:val="tx1"/>
            </w14:solidFill>
          </w14:textFill>
        </w:rPr>
        <w:t>为</w:t>
      </w:r>
      <w:r>
        <w:rPr>
          <w:rFonts w:cs="Times New Roman"/>
          <w:bCs/>
          <w:color w:val="000000" w:themeColor="text1"/>
          <w:spacing w:val="7"/>
          <w:szCs w:val="24"/>
          <w:highlight w:val="none"/>
          <w14:textFill>
            <w14:solidFill>
              <w14:schemeClr w14:val="tx1"/>
            </w14:solidFill>
          </w14:textFill>
        </w:rPr>
        <w:t>多种</w:t>
      </w:r>
      <w:r>
        <w:rPr>
          <w:rFonts w:cs="Times New Roman"/>
          <w:bCs/>
          <w:color w:val="000000" w:themeColor="text1"/>
          <w:spacing w:val="-5"/>
          <w:szCs w:val="24"/>
          <w:highlight w:val="none"/>
          <w14:textFill>
            <w14:solidFill>
              <w14:schemeClr w14:val="tx1"/>
            </w14:solidFill>
          </w14:textFill>
        </w:rPr>
        <w:t>米饭花、映山红、米碎花、铁仔、</w:t>
      </w:r>
      <w:r>
        <w:rPr>
          <w:rFonts w:cs="Times New Roman"/>
          <w:bCs/>
          <w:color w:val="000000" w:themeColor="text1"/>
          <w:spacing w:val="7"/>
          <w:szCs w:val="24"/>
          <w:highlight w:val="none"/>
          <w14:textFill>
            <w14:solidFill>
              <w14:schemeClr w14:val="tx1"/>
            </w14:solidFill>
          </w14:textFill>
        </w:rPr>
        <w:t>柃</w:t>
      </w:r>
      <w:r>
        <w:rPr>
          <w:rFonts w:cs="Times New Roman"/>
          <w:bCs/>
          <w:color w:val="000000" w:themeColor="text1"/>
          <w:szCs w:val="24"/>
          <w:highlight w:val="none"/>
          <w14:textFill>
            <w14:solidFill>
              <w14:schemeClr w14:val="tx1"/>
            </w14:solidFill>
          </w14:textFill>
        </w:rPr>
        <w:t>木、杜鹃、鹅掌</w:t>
      </w:r>
      <w:r>
        <w:rPr>
          <w:rFonts w:cs="Times New Roman"/>
          <w:bCs/>
          <w:color w:val="000000" w:themeColor="text1"/>
          <w:spacing w:val="7"/>
          <w:szCs w:val="24"/>
          <w:highlight w:val="none"/>
          <w14:textFill>
            <w14:solidFill>
              <w14:schemeClr w14:val="tx1"/>
            </w14:solidFill>
          </w14:textFill>
        </w:rPr>
        <w:t>柴、山矾</w:t>
      </w:r>
      <w:r>
        <w:rPr>
          <w:rFonts w:hint="eastAsia" w:cs="Times New Roman"/>
          <w:bCs/>
          <w:color w:val="000000" w:themeColor="text1"/>
          <w:spacing w:val="7"/>
          <w:szCs w:val="24"/>
          <w:highlight w:val="none"/>
          <w14:textFill>
            <w14:solidFill>
              <w14:schemeClr w14:val="tx1"/>
            </w14:solidFill>
          </w14:textFill>
        </w:rPr>
        <w:t>（</w:t>
      </w:r>
      <w:r>
        <w:rPr>
          <w:rFonts w:cs="Times New Roman"/>
          <w:bCs/>
          <w:i/>
          <w:iCs/>
          <w:color w:val="000000" w:themeColor="text1"/>
          <w:szCs w:val="24"/>
          <w:highlight w:val="none"/>
          <w14:textFill>
            <w14:solidFill>
              <w14:schemeClr w14:val="tx1"/>
            </w14:solidFill>
          </w14:textFill>
        </w:rPr>
        <w:t>Symplocos</w:t>
      </w:r>
      <w:r>
        <w:rPr>
          <w:rFonts w:cs="Times New Roman"/>
          <w:bCs/>
          <w:color w:val="000000" w:themeColor="text1"/>
          <w:spacing w:val="7"/>
          <w:szCs w:val="24"/>
          <w:highlight w:val="none"/>
          <w14:textFill>
            <w14:solidFill>
              <w14:schemeClr w14:val="tx1"/>
            </w14:solidFill>
          </w14:textFill>
        </w:rPr>
        <w:t xml:space="preserve"> </w:t>
      </w:r>
      <w:r>
        <w:rPr>
          <w:rFonts w:cs="Times New Roman"/>
          <w:bCs/>
          <w:i/>
          <w:iCs/>
          <w:color w:val="000000" w:themeColor="text1"/>
          <w:szCs w:val="24"/>
          <w:highlight w:val="none"/>
          <w14:textFill>
            <w14:solidFill>
              <w14:schemeClr w14:val="tx1"/>
            </w14:solidFill>
          </w14:textFill>
        </w:rPr>
        <w:t>spp</w:t>
      </w:r>
      <w:r>
        <w:rPr>
          <w:rFonts w:cs="Times New Roman"/>
          <w:bCs/>
          <w:i/>
          <w:iCs/>
          <w:color w:val="000000" w:themeColor="text1"/>
          <w:spacing w:val="7"/>
          <w:szCs w:val="24"/>
          <w:highlight w:val="none"/>
          <w14:textFill>
            <w14:solidFill>
              <w14:schemeClr w14:val="tx1"/>
            </w14:solidFill>
          </w14:textFill>
        </w:rPr>
        <w:t>.</w:t>
      </w:r>
      <w:r>
        <w:rPr>
          <w:rFonts w:hint="eastAsia" w:cs="Times New Roman"/>
          <w:bCs/>
          <w:i/>
          <w:iCs/>
          <w:color w:val="000000" w:themeColor="text1"/>
          <w:spacing w:val="7"/>
          <w:szCs w:val="24"/>
          <w:highlight w:val="none"/>
          <w14:textFill>
            <w14:solidFill>
              <w14:schemeClr w14:val="tx1"/>
            </w14:solidFill>
          </w14:textFill>
        </w:rPr>
        <w:t>）</w:t>
      </w:r>
      <w:r>
        <w:rPr>
          <w:rFonts w:cs="Times New Roman"/>
          <w:bCs/>
          <w:color w:val="000000" w:themeColor="text1"/>
          <w:spacing w:val="7"/>
          <w:szCs w:val="24"/>
          <w:highlight w:val="none"/>
          <w14:textFill>
            <w14:solidFill>
              <w14:schemeClr w14:val="tx1"/>
            </w14:solidFill>
          </w14:textFill>
        </w:rPr>
        <w:t>、木莓、川莓、悬钩子</w:t>
      </w:r>
      <w:r>
        <w:rPr>
          <w:rFonts w:hint="eastAsia" w:cs="Times New Roman"/>
          <w:bCs/>
          <w:color w:val="000000" w:themeColor="text1"/>
          <w:spacing w:val="7"/>
          <w:szCs w:val="24"/>
          <w:highlight w:val="none"/>
          <w14:textFill>
            <w14:solidFill>
              <w14:schemeClr w14:val="tx1"/>
            </w14:solidFill>
          </w14:textFill>
        </w:rPr>
        <w:t>（</w:t>
      </w:r>
      <w:r>
        <w:rPr>
          <w:rFonts w:cs="Times New Roman"/>
          <w:bCs/>
          <w:i/>
          <w:iCs/>
          <w:color w:val="000000" w:themeColor="text1"/>
          <w:szCs w:val="24"/>
          <w:highlight w:val="none"/>
          <w14:textFill>
            <w14:solidFill>
              <w14:schemeClr w14:val="tx1"/>
            </w14:solidFill>
          </w14:textFill>
        </w:rPr>
        <w:t>Rubus</w:t>
      </w:r>
      <w:r>
        <w:rPr>
          <w:rFonts w:cs="Times New Roman"/>
          <w:bCs/>
          <w:color w:val="000000" w:themeColor="text1"/>
          <w:spacing w:val="17"/>
          <w:szCs w:val="24"/>
          <w:highlight w:val="none"/>
          <w14:textFill>
            <w14:solidFill>
              <w14:schemeClr w14:val="tx1"/>
            </w14:solidFill>
          </w14:textFill>
        </w:rPr>
        <w:t xml:space="preserve"> </w:t>
      </w:r>
      <w:r>
        <w:rPr>
          <w:rFonts w:cs="Times New Roman"/>
          <w:bCs/>
          <w:i/>
          <w:iCs/>
          <w:color w:val="000000" w:themeColor="text1"/>
          <w:szCs w:val="24"/>
          <w:highlight w:val="none"/>
          <w14:textFill>
            <w14:solidFill>
              <w14:schemeClr w14:val="tx1"/>
            </w14:solidFill>
          </w14:textFill>
        </w:rPr>
        <w:t>spp</w:t>
      </w:r>
      <w:r>
        <w:rPr>
          <w:rFonts w:hint="eastAsia" w:cs="Times New Roman"/>
          <w:bCs/>
          <w:i/>
          <w:iCs/>
          <w:color w:val="000000" w:themeColor="text1"/>
          <w:szCs w:val="24"/>
          <w:highlight w:val="none"/>
          <w14:textFill>
            <w14:solidFill>
              <w14:schemeClr w14:val="tx1"/>
            </w14:solidFill>
          </w14:textFill>
        </w:rPr>
        <w:t>）</w:t>
      </w:r>
      <w:r>
        <w:rPr>
          <w:rFonts w:cs="Times New Roman"/>
          <w:bCs/>
          <w:color w:val="000000" w:themeColor="text1"/>
          <w:spacing w:val="15"/>
          <w:szCs w:val="24"/>
          <w:highlight w:val="none"/>
          <w14:textFill>
            <w14:solidFill>
              <w14:schemeClr w14:val="tx1"/>
            </w14:solidFill>
          </w14:textFill>
        </w:rPr>
        <w:t>、火棘、马桑等。草本层主要有芒萁</w:t>
      </w:r>
      <w:r>
        <w:rPr>
          <w:rFonts w:hint="eastAsia" w:cs="Times New Roman"/>
          <w:bCs/>
          <w:color w:val="000000" w:themeColor="text1"/>
          <w:spacing w:val="15"/>
          <w:szCs w:val="24"/>
          <w:highlight w:val="none"/>
          <w14:textFill>
            <w14:solidFill>
              <w14:schemeClr w14:val="tx1"/>
            </w14:solidFill>
          </w14:textFill>
        </w:rPr>
        <w:t>（</w:t>
      </w:r>
      <w:r>
        <w:rPr>
          <w:rFonts w:cs="Times New Roman"/>
          <w:bCs/>
          <w:i/>
          <w:iCs/>
          <w:color w:val="000000" w:themeColor="text1"/>
          <w:szCs w:val="24"/>
          <w:highlight w:val="none"/>
          <w14:textFill>
            <w14:solidFill>
              <w14:schemeClr w14:val="tx1"/>
            </w14:solidFill>
          </w14:textFill>
        </w:rPr>
        <w:t>Dicranopteris</w:t>
      </w:r>
      <w:r>
        <w:rPr>
          <w:rFonts w:cs="Times New Roman"/>
          <w:bCs/>
          <w:color w:val="000000" w:themeColor="text1"/>
          <w:spacing w:val="15"/>
          <w:szCs w:val="24"/>
          <w:highlight w:val="none"/>
          <w14:textFill>
            <w14:solidFill>
              <w14:schemeClr w14:val="tx1"/>
            </w14:solidFill>
          </w14:textFill>
        </w:rPr>
        <w:t xml:space="preserve"> </w:t>
      </w:r>
      <w:r>
        <w:rPr>
          <w:rFonts w:cs="Times New Roman"/>
          <w:bCs/>
          <w:i/>
          <w:iCs/>
          <w:color w:val="000000" w:themeColor="text1"/>
          <w:szCs w:val="24"/>
          <w:highlight w:val="none"/>
          <w14:textFill>
            <w14:solidFill>
              <w14:schemeClr w14:val="tx1"/>
            </w14:solidFill>
          </w14:textFill>
        </w:rPr>
        <w:t>dichotoma</w:t>
      </w:r>
      <w:r>
        <w:rPr>
          <w:rFonts w:hint="eastAsia" w:cs="Times New Roman"/>
          <w:bCs/>
          <w:i/>
          <w:iCs/>
          <w:color w:val="000000" w:themeColor="text1"/>
          <w:szCs w:val="24"/>
          <w:highlight w:val="none"/>
          <w14:textFill>
            <w14:solidFill>
              <w14:schemeClr w14:val="tx1"/>
            </w14:solidFill>
          </w14:textFill>
        </w:rPr>
        <w:t>）</w:t>
      </w:r>
      <w:r>
        <w:rPr>
          <w:rFonts w:cs="Times New Roman"/>
          <w:bCs/>
          <w:color w:val="000000" w:themeColor="text1"/>
          <w:spacing w:val="15"/>
          <w:szCs w:val="24"/>
          <w:highlight w:val="none"/>
          <w14:textFill>
            <w14:solidFill>
              <w14:schemeClr w14:val="tx1"/>
            </w14:solidFill>
          </w14:textFill>
        </w:rPr>
        <w:t>、</w:t>
      </w:r>
      <w:r>
        <w:rPr>
          <w:rFonts w:cs="Times New Roman"/>
          <w:bCs/>
          <w:color w:val="000000" w:themeColor="text1"/>
          <w:spacing w:val="27"/>
          <w:szCs w:val="24"/>
          <w:highlight w:val="none"/>
          <w14:textFill>
            <w14:solidFill>
              <w14:schemeClr w14:val="tx1"/>
            </w14:solidFill>
          </w14:textFill>
        </w:rPr>
        <w:t>芒</w:t>
      </w:r>
      <w:r>
        <w:rPr>
          <w:rFonts w:cs="Times New Roman"/>
          <w:bCs/>
          <w:color w:val="000000" w:themeColor="text1"/>
          <w:spacing w:val="24"/>
          <w:szCs w:val="24"/>
          <w:highlight w:val="none"/>
          <w14:textFill>
            <w14:solidFill>
              <w14:schemeClr w14:val="tx1"/>
            </w14:solidFill>
          </w14:textFill>
        </w:rPr>
        <w:t>、苔草、麦冬</w:t>
      </w:r>
      <w:r>
        <w:rPr>
          <w:rFonts w:hint="eastAsia" w:cs="Times New Roman"/>
          <w:bCs/>
          <w:color w:val="000000" w:themeColor="text1"/>
          <w:spacing w:val="24"/>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 xml:space="preserve">Ophiopogon </w:t>
      </w:r>
      <w:r>
        <w:rPr>
          <w:rFonts w:cs="Times New Roman"/>
          <w:bCs/>
          <w:i/>
          <w:iCs/>
          <w:color w:val="000000" w:themeColor="text1"/>
          <w:szCs w:val="24"/>
          <w:highlight w:val="none"/>
          <w14:textFill>
            <w14:solidFill>
              <w14:schemeClr w14:val="tx1"/>
            </w14:solidFill>
          </w14:textFill>
        </w:rPr>
        <w:t>japonicus</w:t>
      </w:r>
      <w:r>
        <w:rPr>
          <w:rFonts w:hint="eastAsia" w:cs="Times New Roman"/>
          <w:bCs/>
          <w:i/>
          <w:iCs/>
          <w:color w:val="000000" w:themeColor="text1"/>
          <w:szCs w:val="24"/>
          <w:highlight w:val="none"/>
          <w14:textFill>
            <w14:solidFill>
              <w14:schemeClr w14:val="tx1"/>
            </w14:solidFill>
          </w14:textFill>
        </w:rPr>
        <w:t>）</w:t>
      </w:r>
      <w:r>
        <w:rPr>
          <w:rFonts w:cs="Times New Roman"/>
          <w:bCs/>
          <w:color w:val="000000" w:themeColor="text1"/>
          <w:spacing w:val="24"/>
          <w:szCs w:val="24"/>
          <w:highlight w:val="none"/>
          <w14:textFill>
            <w14:solidFill>
              <w14:schemeClr w14:val="tx1"/>
            </w14:solidFill>
          </w14:textFill>
        </w:rPr>
        <w:t>、翠云草</w:t>
      </w:r>
      <w:r>
        <w:rPr>
          <w:rFonts w:hint="eastAsia" w:cs="Times New Roman"/>
          <w:bCs/>
          <w:color w:val="000000" w:themeColor="text1"/>
          <w:spacing w:val="24"/>
          <w:szCs w:val="24"/>
          <w:highlight w:val="none"/>
          <w14:textFill>
            <w14:solidFill>
              <w14:schemeClr w14:val="tx1"/>
            </w14:solidFill>
          </w14:textFill>
        </w:rPr>
        <w:t>（</w:t>
      </w:r>
      <w:r>
        <w:rPr>
          <w:rFonts w:cs="Times New Roman"/>
          <w:bCs/>
          <w:i/>
          <w:iCs/>
          <w:color w:val="000000" w:themeColor="text1"/>
          <w:szCs w:val="24"/>
          <w:highlight w:val="none"/>
          <w14:textFill>
            <w14:solidFill>
              <w14:schemeClr w14:val="tx1"/>
            </w14:solidFill>
          </w14:textFill>
        </w:rPr>
        <w:t>Selaginella</w:t>
      </w:r>
      <w:r>
        <w:rPr>
          <w:rFonts w:cs="Times New Roman"/>
          <w:bCs/>
          <w:color w:val="000000" w:themeColor="text1"/>
          <w:spacing w:val="24"/>
          <w:szCs w:val="24"/>
          <w:highlight w:val="none"/>
          <w14:textFill>
            <w14:solidFill>
              <w14:schemeClr w14:val="tx1"/>
            </w14:solidFill>
          </w14:textFill>
        </w:rPr>
        <w:t xml:space="preserve"> </w:t>
      </w:r>
      <w:r>
        <w:rPr>
          <w:rFonts w:cs="Times New Roman"/>
          <w:bCs/>
          <w:i/>
          <w:iCs/>
          <w:color w:val="000000" w:themeColor="text1"/>
          <w:szCs w:val="24"/>
          <w:highlight w:val="none"/>
          <w14:textFill>
            <w14:solidFill>
              <w14:schemeClr w14:val="tx1"/>
            </w14:solidFill>
          </w14:textFill>
        </w:rPr>
        <w:t>uncinata</w:t>
      </w:r>
      <w:r>
        <w:rPr>
          <w:rFonts w:hint="eastAsia" w:cs="Times New Roman"/>
          <w:bCs/>
          <w:i/>
          <w:iCs/>
          <w:color w:val="000000" w:themeColor="text1"/>
          <w:szCs w:val="24"/>
          <w:highlight w:val="none"/>
          <w14:textFill>
            <w14:solidFill>
              <w14:schemeClr w14:val="tx1"/>
            </w14:solidFill>
          </w14:textFill>
        </w:rPr>
        <w:t>）</w:t>
      </w:r>
      <w:r>
        <w:rPr>
          <w:rFonts w:cs="Times New Roman"/>
          <w:bCs/>
          <w:color w:val="000000" w:themeColor="text1"/>
          <w:spacing w:val="24"/>
          <w:szCs w:val="24"/>
          <w:highlight w:val="none"/>
          <w14:textFill>
            <w14:solidFill>
              <w14:schemeClr w14:val="tx1"/>
            </w14:solidFill>
          </w14:textFill>
        </w:rPr>
        <w:t>、蒿</w:t>
      </w:r>
      <w:r>
        <w:rPr>
          <w:rFonts w:cs="Times New Roman"/>
          <w:bCs/>
          <w:color w:val="000000" w:themeColor="text1"/>
          <w:spacing w:val="-11"/>
          <w:szCs w:val="24"/>
          <w:highlight w:val="none"/>
          <w14:textFill>
            <w14:solidFill>
              <w14:schemeClr w14:val="tx1"/>
            </w14:solidFill>
          </w14:textFill>
        </w:rPr>
        <w:t>等</w:t>
      </w:r>
      <w:r>
        <w:rPr>
          <w:color w:val="000000" w:themeColor="text1"/>
          <w:highlight w:val="none"/>
          <w14:textFill>
            <w14:solidFill>
              <w14:schemeClr w14:val="tx1"/>
            </w14:solidFill>
          </w14:textFill>
        </w:rPr>
        <w:t>。</w:t>
      </w:r>
    </w:p>
    <w:p>
      <w:pPr>
        <w:ind w:firstLine="480"/>
        <w:jc w:val="left"/>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②</w:t>
      </w:r>
      <w:r>
        <w:rPr>
          <w:rFonts w:cs="Times New Roman"/>
          <w:bCs/>
          <w:color w:val="000000" w:themeColor="text1"/>
          <w:szCs w:val="24"/>
          <w:highlight w:val="none"/>
          <w14:textFill>
            <w14:solidFill>
              <w14:schemeClr w14:val="tx1"/>
            </w14:solidFill>
          </w14:textFill>
        </w:rPr>
        <w:t>麻栎+青冈</w:t>
      </w:r>
      <w:r>
        <w:rPr>
          <w:rFonts w:cs="Times New Roman"/>
          <w:bCs/>
          <w:color w:val="000000" w:themeColor="text1"/>
          <w:spacing w:val="9"/>
          <w:szCs w:val="24"/>
          <w:highlight w:val="none"/>
          <w14:textFill>
            <w14:solidFill>
              <w14:schemeClr w14:val="tx1"/>
            </w14:solidFill>
          </w14:textFill>
        </w:rPr>
        <w:t>群落</w:t>
      </w:r>
      <w:r>
        <w:rPr>
          <w:rFonts w:hint="eastAsia" w:cs="Times New Roman"/>
          <w:bCs/>
          <w:color w:val="000000" w:themeColor="text1"/>
          <w:spacing w:val="9"/>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Form.</w:t>
      </w:r>
      <w:r>
        <w:rPr>
          <w:rFonts w:cs="Times New Roman"/>
          <w:bCs/>
          <w:i/>
          <w:iCs/>
          <w:color w:val="000000" w:themeColor="text1"/>
          <w:szCs w:val="24"/>
          <w:highlight w:val="none"/>
          <w14:textFill>
            <w14:solidFill>
              <w14:schemeClr w14:val="tx1"/>
            </w14:solidFill>
          </w14:textFill>
        </w:rPr>
        <w:t xml:space="preserve">Quercus acutissima </w:t>
      </w:r>
      <w:r>
        <w:rPr>
          <w:rFonts w:cs="Times New Roman"/>
          <w:bCs/>
          <w:color w:val="000000" w:themeColor="text1"/>
          <w:szCs w:val="24"/>
          <w:highlight w:val="none"/>
          <w14:textFill>
            <w14:solidFill>
              <w14:schemeClr w14:val="tx1"/>
            </w14:solidFill>
          </w14:textFill>
        </w:rPr>
        <w:t>Carruth.</w:t>
      </w:r>
      <w:r>
        <w:rPr>
          <w:rFonts w:cs="Times New Roman"/>
          <w:bCs/>
          <w:i/>
          <w:iCs/>
          <w:color w:val="000000" w:themeColor="text1"/>
          <w:szCs w:val="24"/>
          <w:highlight w:val="none"/>
          <w14:textFill>
            <w14:solidFill>
              <w14:schemeClr w14:val="tx1"/>
            </w14:solidFill>
          </w14:textFill>
        </w:rPr>
        <w:t xml:space="preserve">+Quercus variabilis </w:t>
      </w:r>
      <w:r>
        <w:rPr>
          <w:rFonts w:cs="Times New Roman"/>
          <w:bCs/>
          <w:color w:val="000000" w:themeColor="text1"/>
          <w:szCs w:val="24"/>
          <w:highlight w:val="none"/>
          <w14:textFill>
            <w14:solidFill>
              <w14:schemeClr w14:val="tx1"/>
            </w14:solidFill>
          </w14:textFill>
        </w:rPr>
        <w:t>Bl.</w:t>
      </w:r>
      <w:r>
        <w:rPr>
          <w:rFonts w:hint="eastAsia" w:cs="Times New Roman"/>
          <w:bCs/>
          <w:color w:val="000000" w:themeColor="text1"/>
          <w:szCs w:val="24"/>
          <w:highlight w:val="none"/>
          <w14:textFill>
            <w14:solidFill>
              <w14:schemeClr w14:val="tx1"/>
            </w14:solidFill>
          </w14:textFill>
        </w:rPr>
        <w:t>）</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该植被类型</w:t>
      </w:r>
      <w:r>
        <w:rPr>
          <w:rFonts w:hint="eastAsia" w:cs="Times New Roman"/>
          <w:bCs/>
          <w:color w:val="000000" w:themeColor="text1"/>
          <w:szCs w:val="24"/>
          <w:highlight w:val="none"/>
          <w14:textFill>
            <w14:solidFill>
              <w14:schemeClr w14:val="tx1"/>
            </w14:solidFill>
          </w14:textFill>
        </w:rPr>
        <w:t>在评价</w:t>
      </w:r>
      <w:r>
        <w:rPr>
          <w:rFonts w:cs="Times New Roman"/>
          <w:bCs/>
          <w:color w:val="000000" w:themeColor="text1"/>
          <w:spacing w:val="3"/>
          <w:szCs w:val="24"/>
          <w:highlight w:val="none"/>
          <w14:textFill>
            <w14:solidFill>
              <w14:schemeClr w14:val="tx1"/>
            </w14:solidFill>
          </w14:textFill>
        </w:rPr>
        <w:t>区广泛分布</w:t>
      </w:r>
      <w:r>
        <w:rPr>
          <w:rFonts w:cs="Times New Roman"/>
          <w:bCs/>
          <w:color w:val="000000" w:themeColor="text1"/>
          <w:szCs w:val="24"/>
          <w:highlight w:val="none"/>
          <w14:textFill>
            <w14:solidFill>
              <w14:schemeClr w14:val="tx1"/>
            </w14:solidFill>
          </w14:textFill>
        </w:rPr>
        <w:t>，多为天然生成，是一个生态幅度较大的森林类型，在不同气候类型的影响下，该植被类型生长发育都较好，表现出较强的适应性。这种较强的适应性，也表现在对林地的地形、岩石及土壤等环境无严格的选择上，常混生有栓皮栎、枫香、响叶杨等混生，林内平均胸径25厘米，树高介于10-20米。常受到人类</w:t>
      </w:r>
      <w:r>
        <w:rPr>
          <w:rFonts w:hint="eastAsia" w:cs="Times New Roman"/>
          <w:bCs/>
          <w:color w:val="000000" w:themeColor="text1"/>
          <w:szCs w:val="24"/>
          <w:highlight w:val="none"/>
          <w14:textFill>
            <w14:solidFill>
              <w14:schemeClr w14:val="tx1"/>
            </w14:solidFill>
          </w14:textFill>
        </w:rPr>
        <w:t>活动</w:t>
      </w:r>
      <w:r>
        <w:rPr>
          <w:rFonts w:cs="Times New Roman"/>
          <w:bCs/>
          <w:color w:val="000000" w:themeColor="text1"/>
          <w:szCs w:val="24"/>
          <w:highlight w:val="none"/>
          <w14:textFill>
            <w14:solidFill>
              <w14:schemeClr w14:val="tx1"/>
            </w14:solidFill>
          </w14:textFill>
        </w:rPr>
        <w:t>影响，林下灌木极少。林下灌木主要为</w:t>
      </w:r>
      <w:r>
        <w:rPr>
          <w:rFonts w:cs="Times New Roman"/>
          <w:bCs/>
          <w:color w:val="000000" w:themeColor="text1"/>
          <w:spacing w:val="-2"/>
          <w:szCs w:val="24"/>
          <w:highlight w:val="none"/>
          <w14:textFill>
            <w14:solidFill>
              <w14:schemeClr w14:val="tx1"/>
            </w14:solidFill>
          </w14:textFill>
        </w:rPr>
        <w:t>烟管荚蓬、火棘、蔷薇、盐肤木、映山红、铁仔、毛黄栌</w:t>
      </w:r>
      <w:r>
        <w:rPr>
          <w:rFonts w:cs="Times New Roman"/>
          <w:bCs/>
          <w:color w:val="000000" w:themeColor="text1"/>
          <w:szCs w:val="24"/>
          <w:highlight w:val="none"/>
          <w14:textFill>
            <w14:solidFill>
              <w14:schemeClr w14:val="tx1"/>
            </w14:solidFill>
          </w14:textFill>
        </w:rPr>
        <w:t>等分布。</w:t>
      </w:r>
    </w:p>
    <w:p>
      <w:pPr>
        <w:ind w:firstLine="480"/>
        <w:rPr>
          <w:color w:val="000000" w:themeColor="text1"/>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草本植物稍多，主要种类有狗牙根（</w:t>
      </w:r>
      <w:r>
        <w:rPr>
          <w:rFonts w:cs="Times New Roman"/>
          <w:bCs/>
          <w:i/>
          <w:iCs/>
          <w:color w:val="000000" w:themeColor="text1"/>
          <w:szCs w:val="24"/>
          <w:highlight w:val="none"/>
          <w14:textFill>
            <w14:solidFill>
              <w14:schemeClr w14:val="tx1"/>
            </w14:solidFill>
          </w14:textFill>
        </w:rPr>
        <w:t>Cynodon dactylon</w:t>
      </w:r>
      <w:r>
        <w:rPr>
          <w:rFonts w:cs="Times New Roman"/>
          <w:bCs/>
          <w:color w:val="000000" w:themeColor="text1"/>
          <w:szCs w:val="24"/>
          <w:highlight w:val="none"/>
          <w14:textFill>
            <w14:solidFill>
              <w14:schemeClr w14:val="tx1"/>
            </w14:solidFill>
          </w14:textFill>
        </w:rPr>
        <w:t>）、马唐（</w:t>
      </w:r>
      <w:r>
        <w:rPr>
          <w:rFonts w:cs="Times New Roman"/>
          <w:bCs/>
          <w:i/>
          <w:iCs/>
          <w:color w:val="000000" w:themeColor="text1"/>
          <w:szCs w:val="24"/>
          <w:highlight w:val="none"/>
          <w14:textFill>
            <w14:solidFill>
              <w14:schemeClr w14:val="tx1"/>
            </w14:solidFill>
          </w14:textFill>
        </w:rPr>
        <w:t>Digitaria sanguinalis</w:t>
      </w:r>
      <w:r>
        <w:rPr>
          <w:rFonts w:cs="Times New Roman"/>
          <w:bCs/>
          <w:color w:val="000000" w:themeColor="text1"/>
          <w:szCs w:val="24"/>
          <w:highlight w:val="none"/>
          <w14:textFill>
            <w14:solidFill>
              <w14:schemeClr w14:val="tx1"/>
            </w14:solidFill>
          </w14:textFill>
        </w:rPr>
        <w:t>）、酢浆草（</w:t>
      </w:r>
      <w:r>
        <w:rPr>
          <w:rFonts w:cs="Times New Roman"/>
          <w:bCs/>
          <w:i/>
          <w:iCs/>
          <w:color w:val="000000" w:themeColor="text1"/>
          <w:szCs w:val="24"/>
          <w:highlight w:val="none"/>
          <w14:textFill>
            <w14:solidFill>
              <w14:schemeClr w14:val="tx1"/>
            </w14:solidFill>
          </w14:textFill>
        </w:rPr>
        <w:t>Oxalis corniculata</w:t>
      </w:r>
      <w:r>
        <w:rPr>
          <w:rFonts w:cs="Times New Roman"/>
          <w:bCs/>
          <w:color w:val="000000" w:themeColor="text1"/>
          <w:szCs w:val="24"/>
          <w:highlight w:val="none"/>
          <w14:textFill>
            <w14:solidFill>
              <w14:schemeClr w14:val="tx1"/>
            </w14:solidFill>
          </w14:textFill>
        </w:rPr>
        <w:t>）、堇菜（</w:t>
      </w:r>
      <w:r>
        <w:rPr>
          <w:rFonts w:cs="Times New Roman"/>
          <w:bCs/>
          <w:i/>
          <w:iCs/>
          <w:color w:val="000000" w:themeColor="text1"/>
          <w:szCs w:val="24"/>
          <w:highlight w:val="none"/>
          <w14:textFill>
            <w14:solidFill>
              <w14:schemeClr w14:val="tx1"/>
            </w14:solidFill>
          </w14:textFill>
        </w:rPr>
        <w:t>Viola spp.</w:t>
      </w:r>
      <w:r>
        <w:rPr>
          <w:rFonts w:cs="Times New Roman"/>
          <w:bCs/>
          <w:color w:val="000000" w:themeColor="text1"/>
          <w:szCs w:val="24"/>
          <w:highlight w:val="none"/>
          <w14:textFill>
            <w14:solidFill>
              <w14:schemeClr w14:val="tx1"/>
            </w14:solidFill>
          </w14:textFill>
        </w:rPr>
        <w:t>）、车前（</w:t>
      </w:r>
      <w:r>
        <w:rPr>
          <w:rFonts w:cs="Times New Roman"/>
          <w:bCs/>
          <w:i/>
          <w:iCs/>
          <w:color w:val="000000" w:themeColor="text1"/>
          <w:szCs w:val="24"/>
          <w:highlight w:val="none"/>
          <w14:textFill>
            <w14:solidFill>
              <w14:schemeClr w14:val="tx1"/>
            </w14:solidFill>
          </w14:textFill>
        </w:rPr>
        <w:t>Plantgo asiatica</w:t>
      </w:r>
      <w:r>
        <w:rPr>
          <w:rFonts w:cs="Times New Roman"/>
          <w:bCs/>
          <w:color w:val="000000" w:themeColor="text1"/>
          <w:szCs w:val="24"/>
          <w:highlight w:val="none"/>
          <w14:textFill>
            <w14:solidFill>
              <w14:schemeClr w14:val="tx1"/>
            </w14:solidFill>
          </w14:textFill>
        </w:rPr>
        <w:t>）、欧夏枯草（</w:t>
      </w:r>
      <w:r>
        <w:rPr>
          <w:rFonts w:cs="Times New Roman"/>
          <w:bCs/>
          <w:i/>
          <w:iCs/>
          <w:color w:val="000000" w:themeColor="text1"/>
          <w:szCs w:val="24"/>
          <w:highlight w:val="none"/>
          <w14:textFill>
            <w14:solidFill>
              <w14:schemeClr w14:val="tx1"/>
            </w14:solidFill>
          </w14:textFill>
        </w:rPr>
        <w:t>Prunella vulgaris</w:t>
      </w:r>
      <w:r>
        <w:rPr>
          <w:rFonts w:cs="Times New Roman"/>
          <w:bCs/>
          <w:color w:val="000000" w:themeColor="text1"/>
          <w:szCs w:val="24"/>
          <w:highlight w:val="none"/>
          <w14:textFill>
            <w14:solidFill>
              <w14:schemeClr w14:val="tx1"/>
            </w14:solidFill>
          </w14:textFill>
        </w:rPr>
        <w:t>）、龙牙草（</w:t>
      </w:r>
      <w:r>
        <w:rPr>
          <w:rFonts w:cs="Times New Roman"/>
          <w:bCs/>
          <w:i/>
          <w:iCs/>
          <w:color w:val="000000" w:themeColor="text1"/>
          <w:szCs w:val="24"/>
          <w:highlight w:val="none"/>
          <w14:textFill>
            <w14:solidFill>
              <w14:schemeClr w14:val="tx1"/>
            </w14:solidFill>
          </w14:textFill>
        </w:rPr>
        <w:t>Agrimonia pilosa</w:t>
      </w:r>
      <w:r>
        <w:rPr>
          <w:rFonts w:cs="Times New Roman"/>
          <w:bCs/>
          <w:color w:val="000000" w:themeColor="text1"/>
          <w:szCs w:val="24"/>
          <w:highlight w:val="none"/>
          <w14:textFill>
            <w14:solidFill>
              <w14:schemeClr w14:val="tx1"/>
            </w14:solidFill>
          </w14:textFill>
        </w:rPr>
        <w:t>）、蕺菜（</w:t>
      </w:r>
      <w:r>
        <w:rPr>
          <w:rFonts w:cs="Times New Roman"/>
          <w:bCs/>
          <w:i/>
          <w:iCs/>
          <w:color w:val="000000" w:themeColor="text1"/>
          <w:szCs w:val="24"/>
          <w:highlight w:val="none"/>
          <w14:textFill>
            <w14:solidFill>
              <w14:schemeClr w14:val="tx1"/>
            </w14:solidFill>
          </w14:textFill>
        </w:rPr>
        <w:t>Houttuynia cordata</w:t>
      </w:r>
      <w:r>
        <w:rPr>
          <w:rFonts w:cs="Times New Roman"/>
          <w:bCs/>
          <w:color w:val="000000" w:themeColor="text1"/>
          <w:szCs w:val="24"/>
          <w:highlight w:val="none"/>
          <w14:textFill>
            <w14:solidFill>
              <w14:schemeClr w14:val="tx1"/>
            </w14:solidFill>
          </w14:textFill>
        </w:rPr>
        <w:t>）、紫花地丁</w:t>
      </w:r>
      <w:r>
        <w:rPr>
          <w:rFonts w:hint="eastAsia" w:cs="Times New Roman"/>
          <w:bCs/>
          <w:color w:val="000000" w:themeColor="text1"/>
          <w:szCs w:val="24"/>
          <w:highlight w:val="none"/>
          <w14:textFill>
            <w14:solidFill>
              <w14:schemeClr w14:val="tx1"/>
            </w14:solidFill>
          </w14:textFill>
        </w:rPr>
        <w:t>（</w:t>
      </w:r>
      <w:r>
        <w:rPr>
          <w:rFonts w:cs="Times New Roman"/>
          <w:bCs/>
          <w:i/>
          <w:iCs/>
          <w:color w:val="000000" w:themeColor="text1"/>
          <w:szCs w:val="24"/>
          <w:highlight w:val="none"/>
          <w14:textFill>
            <w14:solidFill>
              <w14:schemeClr w14:val="tx1"/>
            </w14:solidFill>
          </w14:textFill>
        </w:rPr>
        <w:t>Viola philippica</w:t>
      </w:r>
      <w:r>
        <w:rPr>
          <w:rFonts w:hint="eastAsia" w:cs="Times New Roman"/>
          <w:bCs/>
          <w:i/>
          <w:i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、风轮菜</w:t>
      </w:r>
      <w:r>
        <w:rPr>
          <w:rFonts w:hint="eastAsia" w:cs="Times New Roman"/>
          <w:bCs/>
          <w:color w:val="000000" w:themeColor="text1"/>
          <w:szCs w:val="24"/>
          <w:highlight w:val="none"/>
          <w14:textFill>
            <w14:solidFill>
              <w14:schemeClr w14:val="tx1"/>
            </w14:solidFill>
          </w14:textFill>
        </w:rPr>
        <w:t>（</w:t>
      </w:r>
      <w:r>
        <w:rPr>
          <w:rFonts w:cs="Times New Roman"/>
          <w:bCs/>
          <w:i/>
          <w:iCs/>
          <w:color w:val="000000" w:themeColor="text1"/>
          <w:szCs w:val="24"/>
          <w:highlight w:val="none"/>
          <w14:textFill>
            <w14:solidFill>
              <w14:schemeClr w14:val="tx1"/>
            </w14:solidFill>
          </w14:textFill>
        </w:rPr>
        <w:t>Clinopodium chinensis</w:t>
      </w:r>
      <w:r>
        <w:rPr>
          <w:rFonts w:hint="eastAsia" w:cs="Times New Roman"/>
          <w:bCs/>
          <w:i/>
          <w:i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、茅叶荩草</w:t>
      </w:r>
      <w:r>
        <w:rPr>
          <w:rFonts w:hint="eastAsia" w:cs="Times New Roman"/>
          <w:bCs/>
          <w:color w:val="000000" w:themeColor="text1"/>
          <w:szCs w:val="24"/>
          <w:highlight w:val="none"/>
          <w14:textFill>
            <w14:solidFill>
              <w14:schemeClr w14:val="tx1"/>
            </w14:solidFill>
          </w14:textFill>
        </w:rPr>
        <w:t>（</w:t>
      </w:r>
      <w:r>
        <w:rPr>
          <w:rFonts w:cs="Times New Roman"/>
          <w:bCs/>
          <w:i/>
          <w:color w:val="000000" w:themeColor="text1"/>
          <w:szCs w:val="24"/>
          <w:highlight w:val="none"/>
          <w14:textFill>
            <w14:solidFill>
              <w14:schemeClr w14:val="tx1"/>
            </w14:solidFill>
          </w14:textFill>
        </w:rPr>
        <w:t>Arthr</w:t>
      </w:r>
      <w:r>
        <w:rPr>
          <w:rFonts w:cs="Times New Roman"/>
          <w:bCs/>
          <w:i/>
          <w:iCs/>
          <w:color w:val="000000" w:themeColor="text1"/>
          <w:szCs w:val="24"/>
          <w:highlight w:val="none"/>
          <w14:textFill>
            <w14:solidFill>
              <w14:schemeClr w14:val="tx1"/>
            </w14:solidFill>
          </w14:textFill>
        </w:rPr>
        <w:t>axon lanc</w:t>
      </w:r>
      <w:r>
        <w:rPr>
          <w:rFonts w:cs="Times New Roman"/>
          <w:bCs/>
          <w:i/>
          <w:color w:val="000000" w:themeColor="text1"/>
          <w:szCs w:val="24"/>
          <w:highlight w:val="none"/>
          <w14:textFill>
            <w14:solidFill>
              <w14:schemeClr w14:val="tx1"/>
            </w14:solidFill>
          </w14:textFill>
        </w:rPr>
        <w:t>eoltus</w:t>
      </w:r>
      <w:r>
        <w:rPr>
          <w:rFonts w:hint="eastAsia" w:cs="Times New Roman"/>
          <w:bCs/>
          <w:i/>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、阿拉伯婆婆纳</w:t>
      </w:r>
      <w:r>
        <w:rPr>
          <w:rFonts w:hint="eastAsia" w:cs="Times New Roman"/>
          <w:bCs/>
          <w:color w:val="000000" w:themeColor="text1"/>
          <w:szCs w:val="24"/>
          <w:highlight w:val="none"/>
          <w14:textFill>
            <w14:solidFill>
              <w14:schemeClr w14:val="tx1"/>
            </w14:solidFill>
          </w14:textFill>
        </w:rPr>
        <w:t>（</w:t>
      </w:r>
      <w:r>
        <w:rPr>
          <w:rFonts w:cs="Times New Roman"/>
          <w:bCs/>
          <w:i/>
          <w:color w:val="000000" w:themeColor="text1"/>
          <w:szCs w:val="24"/>
          <w:highlight w:val="none"/>
          <w14:textFill>
            <w14:solidFill>
              <w14:schemeClr w14:val="tx1"/>
            </w14:solidFill>
          </w14:textFill>
        </w:rPr>
        <w:t>Veronica persica</w:t>
      </w:r>
      <w:r>
        <w:rPr>
          <w:rFonts w:hint="eastAsia" w:cs="Times New Roman"/>
          <w:bCs/>
          <w:i/>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、问荆</w:t>
      </w:r>
      <w:r>
        <w:rPr>
          <w:rFonts w:hint="eastAsia" w:cs="Times New Roman"/>
          <w:bCs/>
          <w:color w:val="000000" w:themeColor="text1"/>
          <w:szCs w:val="24"/>
          <w:highlight w:val="none"/>
          <w14:textFill>
            <w14:solidFill>
              <w14:schemeClr w14:val="tx1"/>
            </w14:solidFill>
          </w14:textFill>
        </w:rPr>
        <w:t>（</w:t>
      </w:r>
      <w:r>
        <w:rPr>
          <w:rFonts w:cs="Times New Roman"/>
          <w:bCs/>
          <w:i/>
          <w:color w:val="000000" w:themeColor="text1"/>
          <w:szCs w:val="24"/>
          <w:highlight w:val="none"/>
          <w14:textFill>
            <w14:solidFill>
              <w14:schemeClr w14:val="tx1"/>
            </w14:solidFill>
          </w14:textFill>
        </w:rPr>
        <w:t>Equ</w:t>
      </w:r>
      <w:r>
        <w:rPr>
          <w:rFonts w:cs="Times New Roman"/>
          <w:bCs/>
          <w:i/>
          <w:iCs/>
          <w:color w:val="000000" w:themeColor="text1"/>
          <w:szCs w:val="24"/>
          <w:highlight w:val="none"/>
          <w14:textFill>
            <w14:solidFill>
              <w14:schemeClr w14:val="tx1"/>
            </w14:solidFill>
          </w14:textFill>
        </w:rPr>
        <w:t>isetum arven</w:t>
      </w:r>
      <w:r>
        <w:rPr>
          <w:rFonts w:cs="Times New Roman"/>
          <w:bCs/>
          <w:i/>
          <w:color w:val="000000" w:themeColor="text1"/>
          <w:szCs w:val="24"/>
          <w:highlight w:val="none"/>
          <w14:textFill>
            <w14:solidFill>
              <w14:schemeClr w14:val="tx1"/>
            </w14:solidFill>
          </w14:textFill>
        </w:rPr>
        <w:t>se</w:t>
      </w:r>
      <w:r>
        <w:rPr>
          <w:rFonts w:hint="eastAsia" w:cs="Times New Roman"/>
          <w:bCs/>
          <w:i/>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、马鞭草</w:t>
      </w:r>
      <w:r>
        <w:rPr>
          <w:rFonts w:hint="eastAsia" w:cs="Times New Roman"/>
          <w:bCs/>
          <w:color w:val="000000" w:themeColor="text1"/>
          <w:szCs w:val="24"/>
          <w:highlight w:val="none"/>
          <w14:textFill>
            <w14:solidFill>
              <w14:schemeClr w14:val="tx1"/>
            </w14:solidFill>
          </w14:textFill>
        </w:rPr>
        <w:t>（</w:t>
      </w:r>
      <w:r>
        <w:rPr>
          <w:rFonts w:cs="Times New Roman"/>
          <w:bCs/>
          <w:i/>
          <w:color w:val="000000" w:themeColor="text1"/>
          <w:szCs w:val="24"/>
          <w:highlight w:val="none"/>
          <w14:textFill>
            <w14:solidFill>
              <w14:schemeClr w14:val="tx1"/>
            </w14:solidFill>
          </w14:textFill>
        </w:rPr>
        <w:t>Verbena officinalis</w:t>
      </w:r>
      <w:r>
        <w:rPr>
          <w:rFonts w:hint="eastAsia" w:cs="Times New Roman"/>
          <w:bCs/>
          <w:i/>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、狗牙根</w:t>
      </w:r>
      <w:r>
        <w:rPr>
          <w:rFonts w:hint="eastAsia" w:cs="Times New Roman"/>
          <w:bCs/>
          <w:color w:val="000000" w:themeColor="text1"/>
          <w:szCs w:val="24"/>
          <w:highlight w:val="none"/>
          <w14:textFill>
            <w14:solidFill>
              <w14:schemeClr w14:val="tx1"/>
            </w14:solidFill>
          </w14:textFill>
        </w:rPr>
        <w:t>（</w:t>
      </w:r>
      <w:r>
        <w:rPr>
          <w:rFonts w:cs="Times New Roman"/>
          <w:bCs/>
          <w:i/>
          <w:color w:val="000000" w:themeColor="text1"/>
          <w:szCs w:val="24"/>
          <w:highlight w:val="none"/>
          <w14:textFill>
            <w14:solidFill>
              <w14:schemeClr w14:val="tx1"/>
            </w14:solidFill>
          </w14:textFill>
        </w:rPr>
        <w:t>Cynodondactylon</w:t>
      </w:r>
      <w:r>
        <w:rPr>
          <w:rFonts w:hint="eastAsia" w:cs="Times New Roman"/>
          <w:bCs/>
          <w:i/>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、稗</w:t>
      </w:r>
      <w:r>
        <w:rPr>
          <w:rFonts w:hint="eastAsia" w:cs="Times New Roman"/>
          <w:bCs/>
          <w:color w:val="000000" w:themeColor="text1"/>
          <w:szCs w:val="24"/>
          <w:highlight w:val="none"/>
          <w14:textFill>
            <w14:solidFill>
              <w14:schemeClr w14:val="tx1"/>
            </w14:solidFill>
          </w14:textFill>
        </w:rPr>
        <w:t>（</w:t>
      </w:r>
      <w:r>
        <w:rPr>
          <w:rFonts w:cs="Times New Roman"/>
          <w:bCs/>
          <w:i/>
          <w:color w:val="000000" w:themeColor="text1"/>
          <w:szCs w:val="24"/>
          <w:highlight w:val="none"/>
          <w14:textFill>
            <w14:solidFill>
              <w14:schemeClr w14:val="tx1"/>
            </w14:solidFill>
          </w14:textFill>
        </w:rPr>
        <w:t>Echinoc</w:t>
      </w:r>
      <w:r>
        <w:rPr>
          <w:rFonts w:cs="Times New Roman"/>
          <w:bCs/>
          <w:i/>
          <w:iCs/>
          <w:color w:val="000000" w:themeColor="text1"/>
          <w:szCs w:val="24"/>
          <w:highlight w:val="none"/>
          <w14:textFill>
            <w14:solidFill>
              <w14:schemeClr w14:val="tx1"/>
            </w14:solidFill>
          </w14:textFill>
        </w:rPr>
        <w:t>hloa crusgal</w:t>
      </w:r>
      <w:r>
        <w:rPr>
          <w:rFonts w:cs="Times New Roman"/>
          <w:bCs/>
          <w:i/>
          <w:color w:val="000000" w:themeColor="text1"/>
          <w:szCs w:val="24"/>
          <w:highlight w:val="none"/>
          <w14:textFill>
            <w14:solidFill>
              <w14:schemeClr w14:val="tx1"/>
            </w14:solidFill>
          </w14:textFill>
        </w:rPr>
        <w:t>li</w:t>
      </w:r>
      <w:r>
        <w:rPr>
          <w:rFonts w:hint="eastAsia" w:cs="Times New Roman"/>
          <w:bCs/>
          <w:i/>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、蜈蚣草</w:t>
      </w:r>
      <w:r>
        <w:rPr>
          <w:rFonts w:hint="eastAsia" w:cs="Times New Roman"/>
          <w:bCs/>
          <w:color w:val="000000" w:themeColor="text1"/>
          <w:szCs w:val="24"/>
          <w:highlight w:val="none"/>
          <w14:textFill>
            <w14:solidFill>
              <w14:schemeClr w14:val="tx1"/>
            </w14:solidFill>
          </w14:textFill>
        </w:rPr>
        <w:t>（</w:t>
      </w:r>
      <w:r>
        <w:rPr>
          <w:rFonts w:cs="Times New Roman"/>
          <w:bCs/>
          <w:i/>
          <w:color w:val="000000" w:themeColor="text1"/>
          <w:szCs w:val="24"/>
          <w:highlight w:val="none"/>
          <w14:textFill>
            <w14:solidFill>
              <w14:schemeClr w14:val="tx1"/>
            </w14:solidFill>
          </w14:textFill>
        </w:rPr>
        <w:t>Pteris vittata</w:t>
      </w:r>
      <w:r>
        <w:rPr>
          <w:rFonts w:hint="eastAsia" w:cs="Times New Roman"/>
          <w:bCs/>
          <w:i/>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、三叶鬼针草</w:t>
      </w:r>
      <w:r>
        <w:rPr>
          <w:rFonts w:hint="eastAsia" w:cs="Times New Roman"/>
          <w:bCs/>
          <w:color w:val="000000" w:themeColor="text1"/>
          <w:szCs w:val="24"/>
          <w:highlight w:val="none"/>
          <w14:textFill>
            <w14:solidFill>
              <w14:schemeClr w14:val="tx1"/>
            </w14:solidFill>
          </w14:textFill>
        </w:rPr>
        <w:t>（</w:t>
      </w:r>
      <w:r>
        <w:rPr>
          <w:rFonts w:cs="Times New Roman"/>
          <w:bCs/>
          <w:i/>
          <w:color w:val="000000" w:themeColor="text1"/>
          <w:szCs w:val="24"/>
          <w:highlight w:val="none"/>
          <w14:textFill>
            <w14:solidFill>
              <w14:schemeClr w14:val="tx1"/>
            </w14:solidFill>
          </w14:textFill>
        </w:rPr>
        <w:t>Bidens pilosa</w:t>
      </w:r>
      <w:r>
        <w:rPr>
          <w:rFonts w:hint="eastAsia" w:cs="Times New Roman"/>
          <w:bCs/>
          <w:i/>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、野艾蒿</w:t>
      </w:r>
      <w:r>
        <w:rPr>
          <w:rFonts w:hint="eastAsia" w:cs="Times New Roman"/>
          <w:bCs/>
          <w:color w:val="000000" w:themeColor="text1"/>
          <w:szCs w:val="24"/>
          <w:highlight w:val="none"/>
          <w14:textFill>
            <w14:solidFill>
              <w14:schemeClr w14:val="tx1"/>
            </w14:solidFill>
          </w14:textFill>
        </w:rPr>
        <w:t>（</w:t>
      </w:r>
      <w:r>
        <w:rPr>
          <w:rFonts w:cs="Times New Roman"/>
          <w:bCs/>
          <w:i/>
          <w:color w:val="000000" w:themeColor="text1"/>
          <w:szCs w:val="24"/>
          <w:highlight w:val="none"/>
          <w14:textFill>
            <w14:solidFill>
              <w14:schemeClr w14:val="tx1"/>
            </w14:solidFill>
          </w14:textFill>
        </w:rPr>
        <w:t>Artemisia lavandulaefolia</w:t>
      </w:r>
      <w:r>
        <w:rPr>
          <w:rFonts w:hint="eastAsia" w:cs="Times New Roman"/>
          <w:bCs/>
          <w:i/>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等</w:t>
      </w:r>
      <w:r>
        <w:rPr>
          <w:color w:val="000000" w:themeColor="text1"/>
          <w:highlight w:val="none"/>
          <w14:textFill>
            <w14:solidFill>
              <w14:schemeClr w14:val="tx1"/>
            </w14:solidFill>
          </w14:textFill>
        </w:rPr>
        <w:t>。</w:t>
      </w:r>
    </w:p>
    <w:p>
      <w:pPr>
        <w:spacing w:before="120"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Ⅱ 灌丛植被</w:t>
      </w:r>
    </w:p>
    <w:p>
      <w:pPr>
        <w:spacing w:line="480" w:lineRule="exact"/>
        <w:ind w:firstLine="496"/>
        <w:rPr>
          <w:rFonts w:cs="Times New Roman"/>
          <w:bCs/>
          <w:color w:val="000000" w:themeColor="text1"/>
          <w:spacing w:val="8"/>
          <w:szCs w:val="24"/>
          <w:highlight w:val="none"/>
          <w14:textFill>
            <w14:solidFill>
              <w14:schemeClr w14:val="tx1"/>
            </w14:solidFill>
          </w14:textFill>
        </w:rPr>
      </w:pPr>
      <w:r>
        <w:rPr>
          <w:rFonts w:hint="eastAsia" w:ascii="宋体" w:hAnsi="宋体" w:cs="宋体"/>
          <w:bCs/>
          <w:color w:val="000000" w:themeColor="text1"/>
          <w:spacing w:val="8"/>
          <w:szCs w:val="24"/>
          <w:highlight w:val="none"/>
          <w14:textFill>
            <w14:solidFill>
              <w14:schemeClr w14:val="tx1"/>
            </w14:solidFill>
          </w14:textFill>
        </w:rPr>
        <w:t>①</w:t>
      </w:r>
      <w:r>
        <w:rPr>
          <w:rFonts w:cs="Times New Roman"/>
          <w:bCs/>
          <w:color w:val="000000" w:themeColor="text1"/>
          <w:spacing w:val="8"/>
          <w:szCs w:val="24"/>
          <w:highlight w:val="none"/>
          <w14:textFill>
            <w14:solidFill>
              <w14:schemeClr w14:val="tx1"/>
            </w14:solidFill>
          </w14:textFill>
        </w:rPr>
        <w:t>野桐+盐肤木灌丛</w:t>
      </w:r>
      <w:r>
        <w:rPr>
          <w:rFonts w:cs="Times New Roman"/>
          <w:bCs/>
          <w:color w:val="000000" w:themeColor="text1"/>
          <w:szCs w:val="24"/>
          <w:highlight w:val="none"/>
          <w14:textFill>
            <w14:solidFill>
              <w14:schemeClr w14:val="tx1"/>
            </w14:solidFill>
          </w14:textFill>
        </w:rPr>
        <w:t>群系</w:t>
      </w:r>
      <w:r>
        <w:rPr>
          <w:rFonts w:cs="Times New Roman"/>
          <w:bCs/>
          <w:color w:val="000000" w:themeColor="text1"/>
          <w:spacing w:val="8"/>
          <w:szCs w:val="24"/>
          <w:highlight w:val="none"/>
          <w14:textFill>
            <w14:solidFill>
              <w14:schemeClr w14:val="tx1"/>
            </w14:solidFill>
          </w14:textFill>
        </w:rPr>
        <w:t>（</w:t>
      </w:r>
      <w:r>
        <w:rPr>
          <w:rFonts w:cs="Times New Roman"/>
          <w:bCs/>
          <w:color w:val="000000" w:themeColor="text1"/>
          <w:spacing w:val="-4"/>
          <w:szCs w:val="24"/>
          <w:highlight w:val="none"/>
          <w14:textFill>
            <w14:solidFill>
              <w14:schemeClr w14:val="tx1"/>
            </w14:solidFill>
          </w14:textFill>
        </w:rPr>
        <w:t xml:space="preserve">Form. </w:t>
      </w:r>
      <w:r>
        <w:rPr>
          <w:rFonts w:cs="Times New Roman"/>
          <w:bCs/>
          <w:i/>
          <w:iCs/>
          <w:color w:val="000000" w:themeColor="text1"/>
          <w:spacing w:val="-4"/>
          <w:szCs w:val="24"/>
          <w:highlight w:val="none"/>
          <w14:textFill>
            <w14:solidFill>
              <w14:schemeClr w14:val="tx1"/>
            </w14:solidFill>
          </w14:textFill>
        </w:rPr>
        <w:t>Mallotus japonicus（</w:t>
      </w:r>
      <w:r>
        <w:rPr>
          <w:rFonts w:cs="Times New Roman"/>
          <w:bCs/>
          <w:color w:val="000000" w:themeColor="text1"/>
          <w:spacing w:val="-4"/>
          <w:szCs w:val="24"/>
          <w:highlight w:val="none"/>
          <w14:textFill>
            <w14:solidFill>
              <w14:schemeClr w14:val="tx1"/>
            </w14:solidFill>
          </w14:textFill>
        </w:rPr>
        <w:t>Thunb.）Muell</w:t>
      </w:r>
      <w:r>
        <w:rPr>
          <w:rFonts w:cs="Times New Roman"/>
          <w:bCs/>
          <w:i/>
          <w:iCs/>
          <w:color w:val="000000" w:themeColor="text1"/>
          <w:spacing w:val="-4"/>
          <w:szCs w:val="24"/>
          <w:highlight w:val="none"/>
          <w14:textFill>
            <w14:solidFill>
              <w14:schemeClr w14:val="tx1"/>
            </w14:solidFill>
          </w14:textFill>
        </w:rPr>
        <w:t>.Arg.var.floccosus</w:t>
      </w:r>
      <w:r>
        <w:rPr>
          <w:rFonts w:cs="Times New Roman"/>
          <w:bCs/>
          <w:i/>
          <w:iCs/>
          <w:color w:val="000000" w:themeColor="text1"/>
          <w:szCs w:val="24"/>
          <w:highlight w:val="none"/>
          <w14:textFill>
            <w14:solidFill>
              <w14:schemeClr w14:val="tx1"/>
            </w14:solidFill>
          </w14:textFill>
        </w:rPr>
        <w:t>+</w:t>
      </w:r>
      <w:r>
        <w:rPr>
          <w:rFonts w:cs="Times New Roman"/>
          <w:bCs/>
          <w:i/>
          <w:iCs/>
          <w:color w:val="000000" w:themeColor="text1"/>
          <w:spacing w:val="-4"/>
          <w:szCs w:val="24"/>
          <w:highlight w:val="none"/>
          <w14:textFill>
            <w14:solidFill>
              <w14:schemeClr w14:val="tx1"/>
            </w14:solidFill>
          </w14:textFill>
        </w:rPr>
        <w:t xml:space="preserve">Rhus chinensis </w:t>
      </w:r>
      <w:r>
        <w:rPr>
          <w:rFonts w:cs="Times New Roman"/>
          <w:bCs/>
          <w:color w:val="000000" w:themeColor="text1"/>
          <w:spacing w:val="-4"/>
          <w:szCs w:val="24"/>
          <w:highlight w:val="none"/>
          <w14:textFill>
            <w14:solidFill>
              <w14:schemeClr w14:val="tx1"/>
            </w14:solidFill>
          </w14:textFill>
        </w:rPr>
        <w:t>Mill.</w:t>
      </w:r>
      <w:r>
        <w:rPr>
          <w:rFonts w:cs="Times New Roman"/>
          <w:bCs/>
          <w:color w:val="000000" w:themeColor="text1"/>
          <w:spacing w:val="8"/>
          <w:szCs w:val="24"/>
          <w:highlight w:val="none"/>
          <w14:textFill>
            <w14:solidFill>
              <w14:schemeClr w14:val="tx1"/>
            </w14:solidFill>
          </w14:textFill>
        </w:rPr>
        <w:t>）</w:t>
      </w:r>
    </w:p>
    <w:p>
      <w:pPr>
        <w:spacing w:line="480" w:lineRule="exact"/>
        <w:ind w:left="34" w:right="108" w:firstLine="460"/>
        <w:rPr>
          <w:rFonts w:cs="Times New Roman"/>
          <w:bCs/>
          <w:color w:val="000000" w:themeColor="text1"/>
          <w:szCs w:val="24"/>
          <w:highlight w:val="none"/>
          <w14:textFill>
            <w14:solidFill>
              <w14:schemeClr w14:val="tx1"/>
            </w14:solidFill>
          </w14:textFill>
        </w:rPr>
      </w:pPr>
      <w:r>
        <w:rPr>
          <w:rFonts w:cs="Times New Roman"/>
          <w:bCs/>
          <w:color w:val="000000" w:themeColor="text1"/>
          <w:spacing w:val="-10"/>
          <w:szCs w:val="24"/>
          <w:highlight w:val="none"/>
          <w14:textFill>
            <w14:solidFill>
              <w14:schemeClr w14:val="tx1"/>
            </w14:solidFill>
          </w14:textFill>
        </w:rPr>
        <w:t>该群落类型</w:t>
      </w:r>
      <w:r>
        <w:rPr>
          <w:rFonts w:cs="Times New Roman"/>
          <w:bCs/>
          <w:color w:val="000000" w:themeColor="text1"/>
          <w:spacing w:val="-8"/>
          <w:szCs w:val="24"/>
          <w:highlight w:val="none"/>
          <w14:textFill>
            <w14:solidFill>
              <w14:schemeClr w14:val="tx1"/>
            </w14:solidFill>
          </w14:textFill>
        </w:rPr>
        <w:t>主</w:t>
      </w:r>
      <w:r>
        <w:rPr>
          <w:rFonts w:cs="Times New Roman"/>
          <w:bCs/>
          <w:color w:val="000000" w:themeColor="text1"/>
          <w:spacing w:val="-5"/>
          <w:szCs w:val="24"/>
          <w:highlight w:val="none"/>
          <w14:textFill>
            <w14:solidFill>
              <w14:schemeClr w14:val="tx1"/>
            </w14:solidFill>
          </w14:textFill>
        </w:rPr>
        <w:t>要分布于矮丘区的中上部，系人为砍伐后发育的次生类型。群落盖度约</w:t>
      </w:r>
      <w:r>
        <w:rPr>
          <w:rFonts w:cs="Times New Roman"/>
          <w:bCs/>
          <w:color w:val="000000" w:themeColor="text1"/>
          <w:spacing w:val="-3"/>
          <w:szCs w:val="24"/>
          <w:highlight w:val="none"/>
          <w14:textFill>
            <w14:solidFill>
              <w14:schemeClr w14:val="tx1"/>
            </w14:solidFill>
          </w14:textFill>
        </w:rPr>
        <w:t>65%，高度低于5m，主要以野桐</w:t>
      </w:r>
      <w:r>
        <w:rPr>
          <w:rFonts w:cs="Times New Roman"/>
          <w:bCs/>
          <w:i/>
          <w:iCs/>
          <w:color w:val="000000" w:themeColor="text1"/>
          <w:spacing w:val="-3"/>
          <w:szCs w:val="24"/>
          <w:highlight w:val="none"/>
          <w14:textFill>
            <w14:solidFill>
              <w14:schemeClr w14:val="tx1"/>
            </w14:solidFill>
          </w14:textFill>
        </w:rPr>
        <w:t>Mallotus</w:t>
      </w:r>
      <w:r>
        <w:rPr>
          <w:rFonts w:cs="Times New Roman"/>
          <w:bCs/>
          <w:color w:val="000000" w:themeColor="text1"/>
          <w:spacing w:val="-3"/>
          <w:szCs w:val="24"/>
          <w:highlight w:val="none"/>
          <w14:textFill>
            <w14:solidFill>
              <w14:schemeClr w14:val="tx1"/>
            </w14:solidFill>
          </w14:textFill>
        </w:rPr>
        <w:t xml:space="preserve"> </w:t>
      </w:r>
      <w:r>
        <w:rPr>
          <w:rFonts w:cs="Times New Roman"/>
          <w:bCs/>
          <w:i/>
          <w:iCs/>
          <w:color w:val="000000" w:themeColor="text1"/>
          <w:spacing w:val="-3"/>
          <w:szCs w:val="24"/>
          <w:highlight w:val="none"/>
          <w14:textFill>
            <w14:solidFill>
              <w14:schemeClr w14:val="tx1"/>
            </w14:solidFill>
          </w14:textFill>
        </w:rPr>
        <w:t>tenuifolius</w:t>
      </w:r>
      <w:r>
        <w:rPr>
          <w:rFonts w:cs="Times New Roman"/>
          <w:bCs/>
          <w:color w:val="000000" w:themeColor="text1"/>
          <w:spacing w:val="-3"/>
          <w:szCs w:val="24"/>
          <w:highlight w:val="none"/>
          <w14:textFill>
            <w14:solidFill>
              <w14:schemeClr w14:val="tx1"/>
            </w14:solidFill>
          </w14:textFill>
        </w:rPr>
        <w:t>和盐肤木</w:t>
      </w:r>
      <w:r>
        <w:rPr>
          <w:rFonts w:cs="Times New Roman"/>
          <w:bCs/>
          <w:i/>
          <w:iCs/>
          <w:color w:val="000000" w:themeColor="text1"/>
          <w:spacing w:val="-3"/>
          <w:szCs w:val="24"/>
          <w:highlight w:val="none"/>
          <w14:textFill>
            <w14:solidFill>
              <w14:schemeClr w14:val="tx1"/>
            </w14:solidFill>
          </w14:textFill>
        </w:rPr>
        <w:t>Rhus</w:t>
      </w:r>
      <w:r>
        <w:rPr>
          <w:rFonts w:cs="Times New Roman"/>
          <w:bCs/>
          <w:color w:val="000000" w:themeColor="text1"/>
          <w:spacing w:val="-3"/>
          <w:szCs w:val="24"/>
          <w:highlight w:val="none"/>
          <w14:textFill>
            <w14:solidFill>
              <w14:schemeClr w14:val="tx1"/>
            </w14:solidFill>
          </w14:textFill>
        </w:rPr>
        <w:t xml:space="preserve"> </w:t>
      </w:r>
      <w:r>
        <w:rPr>
          <w:rFonts w:cs="Times New Roman"/>
          <w:bCs/>
          <w:i/>
          <w:iCs/>
          <w:color w:val="000000" w:themeColor="text1"/>
          <w:spacing w:val="-3"/>
          <w:szCs w:val="24"/>
          <w:highlight w:val="none"/>
          <w14:textFill>
            <w14:solidFill>
              <w14:schemeClr w14:val="tx1"/>
            </w14:solidFill>
          </w14:textFill>
        </w:rPr>
        <w:t>chinens</w:t>
      </w:r>
      <w:r>
        <w:rPr>
          <w:rFonts w:cs="Times New Roman"/>
          <w:bCs/>
          <w:i/>
          <w:iCs/>
          <w:color w:val="000000" w:themeColor="text1"/>
          <w:szCs w:val="24"/>
          <w:highlight w:val="none"/>
          <w14:textFill>
            <w14:solidFill>
              <w14:schemeClr w14:val="tx1"/>
            </w14:solidFill>
          </w14:textFill>
        </w:rPr>
        <w:t>is</w:t>
      </w:r>
      <w:r>
        <w:rPr>
          <w:rFonts w:cs="Times New Roman"/>
          <w:bCs/>
          <w:color w:val="000000" w:themeColor="text1"/>
          <w:spacing w:val="-3"/>
          <w:szCs w:val="24"/>
          <w:highlight w:val="none"/>
          <w14:textFill>
            <w14:solidFill>
              <w14:schemeClr w14:val="tx1"/>
            </w14:solidFill>
          </w14:textFill>
        </w:rPr>
        <w:t>为优势，其</w:t>
      </w:r>
      <w:r>
        <w:rPr>
          <w:rFonts w:cs="Times New Roman"/>
          <w:bCs/>
          <w:color w:val="000000" w:themeColor="text1"/>
          <w:spacing w:val="-2"/>
          <w:szCs w:val="24"/>
          <w:highlight w:val="none"/>
          <w14:textFill>
            <w14:solidFill>
              <w14:schemeClr w14:val="tx1"/>
            </w14:solidFill>
          </w14:textFill>
        </w:rPr>
        <w:t>他还有构树幼树</w:t>
      </w:r>
      <w:r>
        <w:rPr>
          <w:rFonts w:cs="Times New Roman"/>
          <w:bCs/>
          <w:i/>
          <w:iCs/>
          <w:color w:val="000000" w:themeColor="text1"/>
          <w:spacing w:val="-2"/>
          <w:szCs w:val="24"/>
          <w:highlight w:val="none"/>
          <w14:textFill>
            <w14:solidFill>
              <w14:schemeClr w14:val="tx1"/>
            </w14:solidFill>
          </w14:textFill>
        </w:rPr>
        <w:t>Broussonetiapapyrifera</w:t>
      </w:r>
      <w:r>
        <w:rPr>
          <w:rFonts w:cs="Times New Roman"/>
          <w:bCs/>
          <w:color w:val="000000" w:themeColor="text1"/>
          <w:spacing w:val="-2"/>
          <w:szCs w:val="24"/>
          <w:highlight w:val="none"/>
          <w14:textFill>
            <w14:solidFill>
              <w14:schemeClr w14:val="tx1"/>
            </w14:solidFill>
          </w14:textFill>
        </w:rPr>
        <w:t>、皱叶荚蒾</w:t>
      </w:r>
      <w:r>
        <w:rPr>
          <w:rFonts w:cs="Times New Roman"/>
          <w:bCs/>
          <w:i/>
          <w:iCs/>
          <w:color w:val="000000" w:themeColor="text1"/>
          <w:spacing w:val="-2"/>
          <w:szCs w:val="24"/>
          <w:highlight w:val="none"/>
          <w14:textFill>
            <w14:solidFill>
              <w14:schemeClr w14:val="tx1"/>
            </w14:solidFill>
          </w14:textFill>
        </w:rPr>
        <w:t>Viburn</w:t>
      </w:r>
      <w:r>
        <w:rPr>
          <w:rFonts w:cs="Times New Roman"/>
          <w:bCs/>
          <w:i/>
          <w:iCs/>
          <w:color w:val="000000" w:themeColor="text1"/>
          <w:spacing w:val="-1"/>
          <w:szCs w:val="24"/>
          <w:highlight w:val="none"/>
          <w14:textFill>
            <w14:solidFill>
              <w14:schemeClr w14:val="tx1"/>
            </w14:solidFill>
          </w14:textFill>
        </w:rPr>
        <w:t>u</w:t>
      </w:r>
      <w:r>
        <w:rPr>
          <w:rFonts w:cs="Times New Roman"/>
          <w:bCs/>
          <w:i/>
          <w:iCs/>
          <w:color w:val="000000" w:themeColor="text1"/>
          <w:szCs w:val="24"/>
          <w:highlight w:val="none"/>
          <w14:textFill>
            <w14:solidFill>
              <w14:schemeClr w14:val="tx1"/>
            </w14:solidFill>
          </w14:textFill>
        </w:rPr>
        <w:t>m</w:t>
      </w:r>
      <w:r>
        <w:rPr>
          <w:rFonts w:cs="Times New Roman"/>
          <w:bCs/>
          <w:color w:val="000000" w:themeColor="text1"/>
          <w:szCs w:val="24"/>
          <w:highlight w:val="none"/>
          <w14:textFill>
            <w14:solidFill>
              <w14:schemeClr w14:val="tx1"/>
            </w14:solidFill>
          </w14:textFill>
        </w:rPr>
        <w:t xml:space="preserve"> </w:t>
      </w:r>
      <w:r>
        <w:rPr>
          <w:rFonts w:cs="Times New Roman"/>
          <w:bCs/>
          <w:i/>
          <w:iCs/>
          <w:color w:val="000000" w:themeColor="text1"/>
          <w:spacing w:val="-2"/>
          <w:szCs w:val="24"/>
          <w:highlight w:val="none"/>
          <w14:textFill>
            <w14:solidFill>
              <w14:schemeClr w14:val="tx1"/>
            </w14:solidFill>
          </w14:textFill>
        </w:rPr>
        <w:t>rhytidophyllum</w:t>
      </w:r>
      <w:r>
        <w:rPr>
          <w:rFonts w:cs="Times New Roman"/>
          <w:bCs/>
          <w:color w:val="000000" w:themeColor="text1"/>
          <w:spacing w:val="-2"/>
          <w:szCs w:val="24"/>
          <w:highlight w:val="none"/>
          <w14:textFill>
            <w14:solidFill>
              <w14:schemeClr w14:val="tx1"/>
            </w14:solidFill>
          </w14:textFill>
        </w:rPr>
        <w:t>、宜昌悬钩子</w:t>
      </w:r>
      <w:r>
        <w:rPr>
          <w:rFonts w:cs="Times New Roman"/>
          <w:bCs/>
          <w:i/>
          <w:iCs/>
          <w:color w:val="000000" w:themeColor="text1"/>
          <w:spacing w:val="-2"/>
          <w:szCs w:val="24"/>
          <w:highlight w:val="none"/>
          <w14:textFill>
            <w14:solidFill>
              <w14:schemeClr w14:val="tx1"/>
            </w14:solidFill>
          </w14:textFill>
        </w:rPr>
        <w:t>Rubus</w:t>
      </w:r>
      <w:r>
        <w:rPr>
          <w:rFonts w:cs="Times New Roman"/>
          <w:bCs/>
          <w:color w:val="000000" w:themeColor="text1"/>
          <w:spacing w:val="-2"/>
          <w:szCs w:val="24"/>
          <w:highlight w:val="none"/>
          <w14:textFill>
            <w14:solidFill>
              <w14:schemeClr w14:val="tx1"/>
            </w14:solidFill>
          </w14:textFill>
        </w:rPr>
        <w:t xml:space="preserve"> </w:t>
      </w:r>
      <w:r>
        <w:rPr>
          <w:rFonts w:cs="Times New Roman"/>
          <w:bCs/>
          <w:i/>
          <w:iCs/>
          <w:color w:val="000000" w:themeColor="text1"/>
          <w:spacing w:val="-2"/>
          <w:szCs w:val="24"/>
          <w:highlight w:val="none"/>
          <w14:textFill>
            <w14:solidFill>
              <w14:schemeClr w14:val="tx1"/>
            </w14:solidFill>
          </w14:textFill>
        </w:rPr>
        <w:t>ichangen</w:t>
      </w:r>
      <w:r>
        <w:rPr>
          <w:rFonts w:cs="Times New Roman"/>
          <w:bCs/>
          <w:i/>
          <w:iCs/>
          <w:color w:val="000000" w:themeColor="text1"/>
          <w:spacing w:val="-1"/>
          <w:szCs w:val="24"/>
          <w:highlight w:val="none"/>
          <w14:textFill>
            <w14:solidFill>
              <w14:schemeClr w14:val="tx1"/>
            </w14:solidFill>
          </w14:textFill>
        </w:rPr>
        <w:t>s</w:t>
      </w:r>
      <w:r>
        <w:rPr>
          <w:rFonts w:cs="Times New Roman"/>
          <w:bCs/>
          <w:i/>
          <w:iCs/>
          <w:color w:val="000000" w:themeColor="text1"/>
          <w:szCs w:val="24"/>
          <w:highlight w:val="none"/>
          <w14:textFill>
            <w14:solidFill>
              <w14:schemeClr w14:val="tx1"/>
            </w14:solidFill>
          </w14:textFill>
        </w:rPr>
        <w:t>is</w:t>
      </w:r>
      <w:r>
        <w:rPr>
          <w:rFonts w:cs="Times New Roman"/>
          <w:bCs/>
          <w:color w:val="000000" w:themeColor="text1"/>
          <w:spacing w:val="-2"/>
          <w:szCs w:val="24"/>
          <w:highlight w:val="none"/>
          <w14:textFill>
            <w14:solidFill>
              <w14:schemeClr w14:val="tx1"/>
            </w14:solidFill>
          </w14:textFill>
        </w:rPr>
        <w:t>等。</w:t>
      </w:r>
    </w:p>
    <w:p>
      <w:pPr>
        <w:spacing w:before="3" w:line="480" w:lineRule="exact"/>
        <w:ind w:left="34" w:right="99" w:firstLine="448"/>
        <w:rPr>
          <w:rFonts w:cs="Times New Roman"/>
          <w:bCs/>
          <w:color w:val="000000" w:themeColor="text1"/>
          <w:spacing w:val="-2"/>
          <w:szCs w:val="24"/>
          <w:highlight w:val="none"/>
          <w14:textFill>
            <w14:solidFill>
              <w14:schemeClr w14:val="tx1"/>
            </w14:solidFill>
          </w14:textFill>
        </w:rPr>
      </w:pPr>
      <w:r>
        <w:rPr>
          <w:rFonts w:cs="Times New Roman"/>
          <w:bCs/>
          <w:color w:val="000000" w:themeColor="text1"/>
          <w:spacing w:val="-16"/>
          <w:szCs w:val="24"/>
          <w:highlight w:val="none"/>
          <w14:textFill>
            <w14:solidFill>
              <w14:schemeClr w14:val="tx1"/>
            </w14:solidFill>
          </w14:textFill>
        </w:rPr>
        <w:t>草本层盖</w:t>
      </w:r>
      <w:r>
        <w:rPr>
          <w:rFonts w:cs="Times New Roman"/>
          <w:bCs/>
          <w:color w:val="000000" w:themeColor="text1"/>
          <w:spacing w:val="-8"/>
          <w:szCs w:val="24"/>
          <w:highlight w:val="none"/>
          <w14:textFill>
            <w14:solidFill>
              <w14:schemeClr w14:val="tx1"/>
            </w14:solidFill>
          </w14:textFill>
        </w:rPr>
        <w:t>度约30%，高度在0.1</w:t>
      </w:r>
      <w:r>
        <w:rPr>
          <w:rFonts w:hint="eastAsia" w:cs="Times New Roman"/>
          <w:bCs/>
          <w:color w:val="000000" w:themeColor="text1"/>
          <w:spacing w:val="-8"/>
          <w:szCs w:val="24"/>
          <w:highlight w:val="none"/>
          <w14:textFill>
            <w14:solidFill>
              <w14:schemeClr w14:val="tx1"/>
            </w14:solidFill>
          </w14:textFill>
        </w:rPr>
        <w:t>～</w:t>
      </w:r>
      <w:r>
        <w:rPr>
          <w:rFonts w:cs="Times New Roman"/>
          <w:bCs/>
          <w:color w:val="000000" w:themeColor="text1"/>
          <w:spacing w:val="-8"/>
          <w:szCs w:val="24"/>
          <w:highlight w:val="none"/>
          <w14:textFill>
            <w14:solidFill>
              <w14:schemeClr w14:val="tx1"/>
            </w14:solidFill>
          </w14:textFill>
        </w:rPr>
        <w:t>0.5m之间，优势种有淡竹叶</w:t>
      </w:r>
      <w:r>
        <w:rPr>
          <w:rFonts w:cs="Times New Roman"/>
          <w:bCs/>
          <w:i/>
          <w:iCs/>
          <w:color w:val="000000" w:themeColor="text1"/>
          <w:spacing w:val="-8"/>
          <w:szCs w:val="24"/>
          <w:highlight w:val="none"/>
          <w14:textFill>
            <w14:solidFill>
              <w14:schemeClr w14:val="tx1"/>
            </w14:solidFill>
          </w14:textFill>
        </w:rPr>
        <w:t>Lophatherum</w:t>
      </w:r>
      <w:r>
        <w:rPr>
          <w:rFonts w:cs="Times New Roman"/>
          <w:bCs/>
          <w:color w:val="000000" w:themeColor="text1"/>
          <w:spacing w:val="-8"/>
          <w:szCs w:val="24"/>
          <w:highlight w:val="none"/>
          <w14:textFill>
            <w14:solidFill>
              <w14:schemeClr w14:val="tx1"/>
            </w14:solidFill>
          </w14:textFill>
        </w:rPr>
        <w:t xml:space="preserve"> </w:t>
      </w:r>
      <w:r>
        <w:rPr>
          <w:rFonts w:cs="Times New Roman"/>
          <w:bCs/>
          <w:i/>
          <w:iCs/>
          <w:color w:val="000000" w:themeColor="text1"/>
          <w:spacing w:val="-8"/>
          <w:szCs w:val="24"/>
          <w:highlight w:val="none"/>
          <w14:textFill>
            <w14:solidFill>
              <w14:schemeClr w14:val="tx1"/>
            </w14:solidFill>
          </w14:textFill>
        </w:rPr>
        <w:t>gracile</w:t>
      </w:r>
      <w:r>
        <w:rPr>
          <w:rFonts w:cs="Times New Roman"/>
          <w:bCs/>
          <w:color w:val="000000" w:themeColor="text1"/>
          <w:spacing w:val="-8"/>
          <w:szCs w:val="24"/>
          <w:highlight w:val="none"/>
          <w14:textFill>
            <w14:solidFill>
              <w14:schemeClr w14:val="tx1"/>
            </w14:solidFill>
          </w14:textFill>
        </w:rPr>
        <w:t>、荩</w:t>
      </w:r>
      <w:r>
        <w:rPr>
          <w:rFonts w:cs="Times New Roman"/>
          <w:bCs/>
          <w:color w:val="000000" w:themeColor="text1"/>
          <w:spacing w:val="-4"/>
          <w:szCs w:val="24"/>
          <w:highlight w:val="none"/>
          <w14:textFill>
            <w14:solidFill>
              <w14:schemeClr w14:val="tx1"/>
            </w14:solidFill>
          </w14:textFill>
        </w:rPr>
        <w:t>草</w:t>
      </w:r>
      <w:r>
        <w:rPr>
          <w:rFonts w:cs="Times New Roman"/>
          <w:bCs/>
          <w:i/>
          <w:iCs/>
          <w:color w:val="000000" w:themeColor="text1"/>
          <w:spacing w:val="-4"/>
          <w:szCs w:val="24"/>
          <w:highlight w:val="none"/>
          <w14:textFill>
            <w14:solidFill>
              <w14:schemeClr w14:val="tx1"/>
            </w14:solidFill>
          </w14:textFill>
        </w:rPr>
        <w:t>Hedyoti</w:t>
      </w:r>
      <w:r>
        <w:rPr>
          <w:rFonts w:cs="Times New Roman"/>
          <w:bCs/>
          <w:i/>
          <w:iCs/>
          <w:color w:val="000000" w:themeColor="text1"/>
          <w:spacing w:val="-2"/>
          <w:szCs w:val="24"/>
          <w:highlight w:val="none"/>
          <w14:textFill>
            <w14:solidFill>
              <w14:schemeClr w14:val="tx1"/>
            </w14:solidFill>
          </w14:textFill>
        </w:rPr>
        <w:t>s</w:t>
      </w:r>
      <w:r>
        <w:rPr>
          <w:rFonts w:cs="Times New Roman"/>
          <w:bCs/>
          <w:color w:val="000000" w:themeColor="text1"/>
          <w:spacing w:val="-4"/>
          <w:szCs w:val="24"/>
          <w:highlight w:val="none"/>
          <w14:textFill>
            <w14:solidFill>
              <w14:schemeClr w14:val="tx1"/>
            </w14:solidFill>
          </w14:textFill>
        </w:rPr>
        <w:t xml:space="preserve"> </w:t>
      </w:r>
      <w:r>
        <w:rPr>
          <w:rFonts w:cs="Times New Roman"/>
          <w:bCs/>
          <w:i/>
          <w:iCs/>
          <w:color w:val="000000" w:themeColor="text1"/>
          <w:spacing w:val="-2"/>
          <w:szCs w:val="24"/>
          <w:highlight w:val="none"/>
          <w14:textFill>
            <w14:solidFill>
              <w14:schemeClr w14:val="tx1"/>
            </w14:solidFill>
          </w14:textFill>
        </w:rPr>
        <w:t>acutangular</w:t>
      </w:r>
      <w:r>
        <w:rPr>
          <w:rFonts w:cs="Times New Roman"/>
          <w:bCs/>
          <w:color w:val="000000" w:themeColor="text1"/>
          <w:spacing w:val="-4"/>
          <w:szCs w:val="24"/>
          <w:highlight w:val="none"/>
          <w14:textFill>
            <w14:solidFill>
              <w14:schemeClr w14:val="tx1"/>
            </w14:solidFill>
          </w14:textFill>
        </w:rPr>
        <w:t>、乌蕨</w:t>
      </w:r>
      <w:r>
        <w:rPr>
          <w:rFonts w:cs="Times New Roman"/>
          <w:bCs/>
          <w:i/>
          <w:iCs/>
          <w:color w:val="000000" w:themeColor="text1"/>
          <w:spacing w:val="-2"/>
          <w:szCs w:val="24"/>
          <w:highlight w:val="none"/>
          <w14:textFill>
            <w14:solidFill>
              <w14:schemeClr w14:val="tx1"/>
            </w14:solidFill>
          </w14:textFill>
        </w:rPr>
        <w:t>Odontosoria</w:t>
      </w:r>
      <w:r>
        <w:rPr>
          <w:rFonts w:cs="Times New Roman"/>
          <w:bCs/>
          <w:color w:val="000000" w:themeColor="text1"/>
          <w:spacing w:val="-4"/>
          <w:szCs w:val="24"/>
          <w:highlight w:val="none"/>
          <w14:textFill>
            <w14:solidFill>
              <w14:schemeClr w14:val="tx1"/>
            </w14:solidFill>
          </w14:textFill>
        </w:rPr>
        <w:t xml:space="preserve"> </w:t>
      </w:r>
      <w:r>
        <w:rPr>
          <w:rFonts w:cs="Times New Roman"/>
          <w:bCs/>
          <w:i/>
          <w:iCs/>
          <w:color w:val="000000" w:themeColor="text1"/>
          <w:spacing w:val="-2"/>
          <w:szCs w:val="24"/>
          <w:highlight w:val="none"/>
          <w14:textFill>
            <w14:solidFill>
              <w14:schemeClr w14:val="tx1"/>
            </w14:solidFill>
          </w14:textFill>
        </w:rPr>
        <w:t>chinensis</w:t>
      </w:r>
      <w:r>
        <w:rPr>
          <w:rFonts w:cs="Times New Roman"/>
          <w:bCs/>
          <w:color w:val="000000" w:themeColor="text1"/>
          <w:spacing w:val="-4"/>
          <w:szCs w:val="24"/>
          <w:highlight w:val="none"/>
          <w14:textFill>
            <w14:solidFill>
              <w14:schemeClr w14:val="tx1"/>
            </w14:solidFill>
          </w14:textFill>
        </w:rPr>
        <w:t>，伴生种有</w:t>
      </w:r>
      <w:r>
        <w:rPr>
          <w:rFonts w:cs="Times New Roman"/>
          <w:bCs/>
          <w:color w:val="000000" w:themeColor="text1"/>
          <w:spacing w:val="-3"/>
          <w:szCs w:val="24"/>
          <w:highlight w:val="none"/>
          <w14:textFill>
            <w14:solidFill>
              <w14:schemeClr w14:val="tx1"/>
            </w14:solidFill>
          </w14:textFill>
        </w:rPr>
        <w:t>葎草</w:t>
      </w:r>
      <w:r>
        <w:rPr>
          <w:rFonts w:cs="Times New Roman"/>
          <w:bCs/>
          <w:i/>
          <w:iCs/>
          <w:color w:val="000000" w:themeColor="text1"/>
          <w:spacing w:val="-3"/>
          <w:szCs w:val="24"/>
          <w:highlight w:val="none"/>
          <w14:textFill>
            <w14:solidFill>
              <w14:schemeClr w14:val="tx1"/>
            </w14:solidFill>
          </w14:textFill>
        </w:rPr>
        <w:t>Humulus</w:t>
      </w:r>
      <w:r>
        <w:rPr>
          <w:rFonts w:cs="Times New Roman"/>
          <w:bCs/>
          <w:color w:val="000000" w:themeColor="text1"/>
          <w:spacing w:val="-3"/>
          <w:szCs w:val="24"/>
          <w:highlight w:val="none"/>
          <w14:textFill>
            <w14:solidFill>
              <w14:schemeClr w14:val="tx1"/>
            </w14:solidFill>
          </w14:textFill>
        </w:rPr>
        <w:t xml:space="preserve"> </w:t>
      </w:r>
      <w:r>
        <w:rPr>
          <w:rFonts w:cs="Times New Roman"/>
          <w:bCs/>
          <w:i/>
          <w:iCs/>
          <w:color w:val="000000" w:themeColor="text1"/>
          <w:spacing w:val="-3"/>
          <w:szCs w:val="24"/>
          <w:highlight w:val="none"/>
          <w14:textFill>
            <w14:solidFill>
              <w14:schemeClr w14:val="tx1"/>
            </w14:solidFill>
          </w14:textFill>
        </w:rPr>
        <w:t>scandens</w:t>
      </w:r>
      <w:r>
        <w:rPr>
          <w:rFonts w:cs="Times New Roman"/>
          <w:bCs/>
          <w:color w:val="000000" w:themeColor="text1"/>
          <w:spacing w:val="-3"/>
          <w:szCs w:val="24"/>
          <w:highlight w:val="none"/>
          <w14:textFill>
            <w14:solidFill>
              <w14:schemeClr w14:val="tx1"/>
            </w14:solidFill>
          </w14:textFill>
        </w:rPr>
        <w:t>、酸模叶蓼</w:t>
      </w:r>
      <w:r>
        <w:rPr>
          <w:rFonts w:cs="Times New Roman"/>
          <w:bCs/>
          <w:i/>
          <w:iCs/>
          <w:color w:val="000000" w:themeColor="text1"/>
          <w:spacing w:val="-3"/>
          <w:szCs w:val="24"/>
          <w:highlight w:val="none"/>
          <w14:textFill>
            <w14:solidFill>
              <w14:schemeClr w14:val="tx1"/>
            </w14:solidFill>
          </w14:textFill>
        </w:rPr>
        <w:t>Rumex</w:t>
      </w:r>
      <w:r>
        <w:rPr>
          <w:rFonts w:cs="Times New Roman"/>
          <w:bCs/>
          <w:color w:val="000000" w:themeColor="text1"/>
          <w:spacing w:val="-3"/>
          <w:szCs w:val="24"/>
          <w:highlight w:val="none"/>
          <w14:textFill>
            <w14:solidFill>
              <w14:schemeClr w14:val="tx1"/>
            </w14:solidFill>
          </w14:textFill>
        </w:rPr>
        <w:t xml:space="preserve"> </w:t>
      </w:r>
      <w:r>
        <w:rPr>
          <w:rFonts w:cs="Times New Roman"/>
          <w:bCs/>
          <w:i/>
          <w:iCs/>
          <w:color w:val="000000" w:themeColor="text1"/>
          <w:spacing w:val="-3"/>
          <w:szCs w:val="24"/>
          <w:highlight w:val="none"/>
          <w14:textFill>
            <w14:solidFill>
              <w14:schemeClr w14:val="tx1"/>
            </w14:solidFill>
          </w14:textFill>
        </w:rPr>
        <w:t>hastatus</w:t>
      </w:r>
      <w:r>
        <w:rPr>
          <w:rFonts w:cs="Times New Roman"/>
          <w:bCs/>
          <w:color w:val="000000" w:themeColor="text1"/>
          <w:spacing w:val="-3"/>
          <w:szCs w:val="24"/>
          <w:highlight w:val="none"/>
          <w14:textFill>
            <w14:solidFill>
              <w14:schemeClr w14:val="tx1"/>
            </w14:solidFill>
          </w14:textFill>
        </w:rPr>
        <w:t>、蒲儿根</w:t>
      </w:r>
      <w:r>
        <w:rPr>
          <w:rFonts w:cs="Times New Roman"/>
          <w:bCs/>
          <w:i/>
          <w:iCs/>
          <w:color w:val="000000" w:themeColor="text1"/>
          <w:spacing w:val="-3"/>
          <w:szCs w:val="24"/>
          <w:highlight w:val="none"/>
          <w14:textFill>
            <w14:solidFill>
              <w14:schemeClr w14:val="tx1"/>
            </w14:solidFill>
          </w14:textFill>
        </w:rPr>
        <w:t>Sinosen</w:t>
      </w:r>
      <w:r>
        <w:rPr>
          <w:rFonts w:cs="Times New Roman"/>
          <w:bCs/>
          <w:i/>
          <w:iCs/>
          <w:color w:val="000000" w:themeColor="text1"/>
          <w:spacing w:val="-1"/>
          <w:szCs w:val="24"/>
          <w:highlight w:val="none"/>
          <w14:textFill>
            <w14:solidFill>
              <w14:schemeClr w14:val="tx1"/>
            </w14:solidFill>
          </w14:textFill>
        </w:rPr>
        <w:t>e</w:t>
      </w:r>
      <w:r>
        <w:rPr>
          <w:rFonts w:cs="Times New Roman"/>
          <w:bCs/>
          <w:i/>
          <w:iCs/>
          <w:color w:val="000000" w:themeColor="text1"/>
          <w:szCs w:val="24"/>
          <w:highlight w:val="none"/>
          <w14:textFill>
            <w14:solidFill>
              <w14:schemeClr w14:val="tx1"/>
            </w14:solidFill>
          </w14:textFill>
        </w:rPr>
        <w:t>cio</w:t>
      </w:r>
      <w:r>
        <w:rPr>
          <w:rFonts w:cs="Times New Roman"/>
          <w:bCs/>
          <w:color w:val="000000" w:themeColor="text1"/>
          <w:szCs w:val="24"/>
          <w:highlight w:val="none"/>
          <w14:textFill>
            <w14:solidFill>
              <w14:schemeClr w14:val="tx1"/>
            </w14:solidFill>
          </w14:textFill>
        </w:rPr>
        <w:t xml:space="preserve"> </w:t>
      </w:r>
      <w:r>
        <w:rPr>
          <w:rFonts w:cs="Times New Roman"/>
          <w:bCs/>
          <w:i/>
          <w:iCs/>
          <w:color w:val="000000" w:themeColor="text1"/>
          <w:spacing w:val="-5"/>
          <w:szCs w:val="24"/>
          <w:highlight w:val="none"/>
          <w14:textFill>
            <w14:solidFill>
              <w14:schemeClr w14:val="tx1"/>
            </w14:solidFill>
          </w14:textFill>
        </w:rPr>
        <w:t>oldhamianus</w:t>
      </w:r>
      <w:r>
        <w:rPr>
          <w:rFonts w:cs="Times New Roman"/>
          <w:bCs/>
          <w:color w:val="000000" w:themeColor="text1"/>
          <w:spacing w:val="-10"/>
          <w:szCs w:val="24"/>
          <w:highlight w:val="none"/>
          <w14:textFill>
            <w14:solidFill>
              <w14:schemeClr w14:val="tx1"/>
            </w14:solidFill>
          </w14:textFill>
        </w:rPr>
        <w:t>、透</w:t>
      </w:r>
      <w:r>
        <w:rPr>
          <w:rFonts w:cs="Times New Roman"/>
          <w:bCs/>
          <w:color w:val="000000" w:themeColor="text1"/>
          <w:spacing w:val="-6"/>
          <w:szCs w:val="24"/>
          <w:highlight w:val="none"/>
          <w14:textFill>
            <w14:solidFill>
              <w14:schemeClr w14:val="tx1"/>
            </w14:solidFill>
          </w14:textFill>
        </w:rPr>
        <w:t>茎</w:t>
      </w:r>
      <w:r>
        <w:rPr>
          <w:rFonts w:cs="Times New Roman"/>
          <w:bCs/>
          <w:color w:val="000000" w:themeColor="text1"/>
          <w:spacing w:val="-5"/>
          <w:szCs w:val="24"/>
          <w:highlight w:val="none"/>
          <w14:textFill>
            <w14:solidFill>
              <w14:schemeClr w14:val="tx1"/>
            </w14:solidFill>
          </w14:textFill>
        </w:rPr>
        <w:t>冷水花</w:t>
      </w:r>
      <w:r>
        <w:rPr>
          <w:rFonts w:cs="Times New Roman"/>
          <w:bCs/>
          <w:i/>
          <w:iCs/>
          <w:color w:val="000000" w:themeColor="text1"/>
          <w:spacing w:val="-5"/>
          <w:szCs w:val="24"/>
          <w:highlight w:val="none"/>
          <w14:textFill>
            <w14:solidFill>
              <w14:schemeClr w14:val="tx1"/>
            </w14:solidFill>
          </w14:textFill>
        </w:rPr>
        <w:t>Pileapumila</w:t>
      </w:r>
      <w:r>
        <w:rPr>
          <w:rFonts w:cs="Times New Roman"/>
          <w:bCs/>
          <w:color w:val="000000" w:themeColor="text1"/>
          <w:spacing w:val="-5"/>
          <w:szCs w:val="24"/>
          <w:highlight w:val="none"/>
          <w14:textFill>
            <w14:solidFill>
              <w14:schemeClr w14:val="tx1"/>
            </w14:solidFill>
          </w14:textFill>
        </w:rPr>
        <w:t xml:space="preserve">、华南毛蕨 </w:t>
      </w:r>
      <w:r>
        <w:rPr>
          <w:rFonts w:cs="Times New Roman"/>
          <w:bCs/>
          <w:i/>
          <w:iCs/>
          <w:color w:val="000000" w:themeColor="text1"/>
          <w:spacing w:val="-5"/>
          <w:szCs w:val="24"/>
          <w:highlight w:val="none"/>
          <w14:textFill>
            <w14:solidFill>
              <w14:schemeClr w14:val="tx1"/>
            </w14:solidFill>
          </w14:textFill>
        </w:rPr>
        <w:t>Cyclosorus</w:t>
      </w:r>
      <w:r>
        <w:rPr>
          <w:rFonts w:cs="Times New Roman"/>
          <w:bCs/>
          <w:color w:val="000000" w:themeColor="text1"/>
          <w:spacing w:val="-5"/>
          <w:szCs w:val="24"/>
          <w:highlight w:val="none"/>
          <w14:textFill>
            <w14:solidFill>
              <w14:schemeClr w14:val="tx1"/>
            </w14:solidFill>
          </w14:textFill>
        </w:rPr>
        <w:t xml:space="preserve"> </w:t>
      </w:r>
      <w:r>
        <w:rPr>
          <w:rFonts w:cs="Times New Roman"/>
          <w:bCs/>
          <w:i/>
          <w:iCs/>
          <w:color w:val="000000" w:themeColor="text1"/>
          <w:spacing w:val="-5"/>
          <w:szCs w:val="24"/>
          <w:highlight w:val="none"/>
          <w14:textFill>
            <w14:solidFill>
              <w14:schemeClr w14:val="tx1"/>
            </w14:solidFill>
          </w14:textFill>
        </w:rPr>
        <w:t>parasiticus</w:t>
      </w:r>
      <w:r>
        <w:rPr>
          <w:rFonts w:cs="Times New Roman"/>
          <w:bCs/>
          <w:color w:val="000000" w:themeColor="text1"/>
          <w:spacing w:val="-5"/>
          <w:szCs w:val="24"/>
          <w:highlight w:val="none"/>
          <w14:textFill>
            <w14:solidFill>
              <w14:schemeClr w14:val="tx1"/>
            </w14:solidFill>
          </w14:textFill>
        </w:rPr>
        <w:t xml:space="preserve">、刺齿凤尾蕨 </w:t>
      </w:r>
      <w:r>
        <w:rPr>
          <w:rFonts w:cs="Times New Roman"/>
          <w:bCs/>
          <w:i/>
          <w:iCs/>
          <w:color w:val="000000" w:themeColor="text1"/>
          <w:spacing w:val="-5"/>
          <w:szCs w:val="24"/>
          <w:highlight w:val="none"/>
          <w14:textFill>
            <w14:solidFill>
              <w14:schemeClr w14:val="tx1"/>
            </w14:solidFill>
          </w14:textFill>
        </w:rPr>
        <w:t>Pteris</w:t>
      </w:r>
      <w:r>
        <w:rPr>
          <w:rFonts w:cs="Times New Roman"/>
          <w:bCs/>
          <w:color w:val="000000" w:themeColor="text1"/>
          <w:szCs w:val="24"/>
          <w:highlight w:val="none"/>
          <w14:textFill>
            <w14:solidFill>
              <w14:schemeClr w14:val="tx1"/>
            </w14:solidFill>
          </w14:textFill>
        </w:rPr>
        <w:t xml:space="preserve"> </w:t>
      </w:r>
      <w:r>
        <w:rPr>
          <w:rFonts w:cs="Times New Roman"/>
          <w:bCs/>
          <w:i/>
          <w:iCs/>
          <w:color w:val="000000" w:themeColor="text1"/>
          <w:spacing w:val="-2"/>
          <w:szCs w:val="24"/>
          <w:highlight w:val="none"/>
          <w14:textFill>
            <w14:solidFill>
              <w14:schemeClr w14:val="tx1"/>
            </w14:solidFill>
          </w14:textFill>
        </w:rPr>
        <w:t>dispar</w:t>
      </w:r>
      <w:r>
        <w:rPr>
          <w:rFonts w:cs="Times New Roman"/>
          <w:bCs/>
          <w:color w:val="000000" w:themeColor="text1"/>
          <w:spacing w:val="-4"/>
          <w:szCs w:val="24"/>
          <w:highlight w:val="none"/>
          <w14:textFill>
            <w14:solidFill>
              <w14:schemeClr w14:val="tx1"/>
            </w14:solidFill>
          </w14:textFill>
        </w:rPr>
        <w:t>、异叶黄鹌菜</w:t>
      </w:r>
      <w:r>
        <w:rPr>
          <w:rFonts w:cs="Times New Roman"/>
          <w:bCs/>
          <w:color w:val="000000" w:themeColor="text1"/>
          <w:spacing w:val="-2"/>
          <w:szCs w:val="24"/>
          <w:highlight w:val="none"/>
          <w14:textFill>
            <w14:solidFill>
              <w14:schemeClr w14:val="tx1"/>
            </w14:solidFill>
          </w14:textFill>
        </w:rPr>
        <w:t xml:space="preserve"> </w:t>
      </w:r>
      <w:r>
        <w:rPr>
          <w:rFonts w:cs="Times New Roman"/>
          <w:bCs/>
          <w:i/>
          <w:iCs/>
          <w:color w:val="000000" w:themeColor="text1"/>
          <w:spacing w:val="-2"/>
          <w:szCs w:val="24"/>
          <w:highlight w:val="none"/>
          <w14:textFill>
            <w14:solidFill>
              <w14:schemeClr w14:val="tx1"/>
            </w14:solidFill>
          </w14:textFill>
        </w:rPr>
        <w:t>Youngia</w:t>
      </w:r>
      <w:r>
        <w:rPr>
          <w:rFonts w:cs="Times New Roman"/>
          <w:bCs/>
          <w:color w:val="000000" w:themeColor="text1"/>
          <w:spacing w:val="-2"/>
          <w:szCs w:val="24"/>
          <w:highlight w:val="none"/>
          <w14:textFill>
            <w14:solidFill>
              <w14:schemeClr w14:val="tx1"/>
            </w14:solidFill>
          </w14:textFill>
        </w:rPr>
        <w:t xml:space="preserve"> </w:t>
      </w:r>
      <w:r>
        <w:rPr>
          <w:rFonts w:cs="Times New Roman"/>
          <w:bCs/>
          <w:i/>
          <w:iCs/>
          <w:color w:val="000000" w:themeColor="text1"/>
          <w:spacing w:val="-2"/>
          <w:szCs w:val="24"/>
          <w:highlight w:val="none"/>
          <w14:textFill>
            <w14:solidFill>
              <w14:schemeClr w14:val="tx1"/>
            </w14:solidFill>
          </w14:textFill>
        </w:rPr>
        <w:t>heterophylla</w:t>
      </w:r>
      <w:r>
        <w:rPr>
          <w:rFonts w:cs="Times New Roman"/>
          <w:bCs/>
          <w:color w:val="000000" w:themeColor="text1"/>
          <w:spacing w:val="-2"/>
          <w:szCs w:val="24"/>
          <w:highlight w:val="none"/>
          <w14:textFill>
            <w14:solidFill>
              <w14:schemeClr w14:val="tx1"/>
            </w14:solidFill>
          </w14:textFill>
        </w:rPr>
        <w:t xml:space="preserve">、拉拉藤 </w:t>
      </w:r>
      <w:r>
        <w:rPr>
          <w:rFonts w:cs="Times New Roman"/>
          <w:bCs/>
          <w:i/>
          <w:iCs/>
          <w:color w:val="000000" w:themeColor="text1"/>
          <w:spacing w:val="-2"/>
          <w:szCs w:val="24"/>
          <w:highlight w:val="none"/>
          <w14:textFill>
            <w14:solidFill>
              <w14:schemeClr w14:val="tx1"/>
            </w14:solidFill>
          </w14:textFill>
        </w:rPr>
        <w:t>Galium</w:t>
      </w:r>
      <w:r>
        <w:rPr>
          <w:rFonts w:cs="Times New Roman"/>
          <w:bCs/>
          <w:color w:val="000000" w:themeColor="text1"/>
          <w:spacing w:val="-2"/>
          <w:szCs w:val="24"/>
          <w:highlight w:val="none"/>
          <w14:textFill>
            <w14:solidFill>
              <w14:schemeClr w14:val="tx1"/>
            </w14:solidFill>
          </w14:textFill>
        </w:rPr>
        <w:t xml:space="preserve"> </w:t>
      </w:r>
      <w:r>
        <w:rPr>
          <w:rFonts w:cs="Times New Roman"/>
          <w:bCs/>
          <w:i/>
          <w:iCs/>
          <w:color w:val="000000" w:themeColor="text1"/>
          <w:spacing w:val="-2"/>
          <w:szCs w:val="24"/>
          <w:highlight w:val="none"/>
          <w14:textFill>
            <w14:solidFill>
              <w14:schemeClr w14:val="tx1"/>
            </w14:solidFill>
          </w14:textFill>
        </w:rPr>
        <w:t>aparine</w:t>
      </w:r>
      <w:r>
        <w:rPr>
          <w:rFonts w:cs="Times New Roman"/>
          <w:bCs/>
          <w:color w:val="000000" w:themeColor="text1"/>
          <w:spacing w:val="-2"/>
          <w:szCs w:val="24"/>
          <w:highlight w:val="none"/>
          <w14:textFill>
            <w14:solidFill>
              <w14:schemeClr w14:val="tx1"/>
            </w14:solidFill>
          </w14:textFill>
        </w:rPr>
        <w:t xml:space="preserve"> var. </w:t>
      </w:r>
      <w:r>
        <w:rPr>
          <w:rFonts w:cs="Times New Roman"/>
          <w:bCs/>
          <w:i/>
          <w:iCs/>
          <w:color w:val="000000" w:themeColor="text1"/>
          <w:spacing w:val="-2"/>
          <w:szCs w:val="24"/>
          <w:highlight w:val="none"/>
          <w14:textFill>
            <w14:solidFill>
              <w14:schemeClr w14:val="tx1"/>
            </w14:solidFill>
          </w14:textFill>
        </w:rPr>
        <w:t>Echinospermum</w:t>
      </w:r>
      <w:r>
        <w:rPr>
          <w:rFonts w:cs="Times New Roman"/>
          <w:bCs/>
          <w:color w:val="000000" w:themeColor="text1"/>
          <w:spacing w:val="-2"/>
          <w:szCs w:val="24"/>
          <w:highlight w:val="none"/>
          <w14:textFill>
            <w14:solidFill>
              <w14:schemeClr w14:val="tx1"/>
            </w14:solidFill>
          </w14:textFill>
        </w:rPr>
        <w:t xml:space="preserve"> 等。</w:t>
      </w:r>
    </w:p>
    <w:p>
      <w:pPr>
        <w:spacing w:line="480" w:lineRule="exact"/>
        <w:ind w:firstLine="496"/>
        <w:rPr>
          <w:rFonts w:cs="Times New Roman"/>
          <w:bCs/>
          <w:color w:val="000000" w:themeColor="text1"/>
          <w:szCs w:val="24"/>
          <w:highlight w:val="none"/>
          <w14:textFill>
            <w14:solidFill>
              <w14:schemeClr w14:val="tx1"/>
            </w14:solidFill>
          </w14:textFill>
        </w:rPr>
      </w:pPr>
      <w:r>
        <w:rPr>
          <w:rFonts w:hint="eastAsia" w:ascii="宋体" w:hAnsi="宋体" w:cs="宋体"/>
          <w:bCs/>
          <w:color w:val="000000" w:themeColor="text1"/>
          <w:spacing w:val="8"/>
          <w:szCs w:val="24"/>
          <w:highlight w:val="none"/>
          <w14:textFill>
            <w14:solidFill>
              <w14:schemeClr w14:val="tx1"/>
            </w14:solidFill>
          </w14:textFill>
        </w:rPr>
        <w:t>②</w:t>
      </w:r>
      <w:r>
        <w:rPr>
          <w:rFonts w:cs="Times New Roman"/>
          <w:bCs/>
          <w:color w:val="000000" w:themeColor="text1"/>
          <w:szCs w:val="24"/>
          <w:highlight w:val="none"/>
          <w14:textFill>
            <w14:solidFill>
              <w14:schemeClr w14:val="tx1"/>
            </w14:solidFill>
          </w14:textFill>
        </w:rPr>
        <w:t>马桑+黄荆+火棘+荚蒾灌丛群系（Form.</w:t>
      </w:r>
      <w:r>
        <w:rPr>
          <w:rFonts w:cs="Times New Roman"/>
          <w:bCs/>
          <w:i/>
          <w:iCs/>
          <w:color w:val="000000" w:themeColor="text1"/>
          <w:szCs w:val="24"/>
          <w:highlight w:val="none"/>
          <w14:textFill>
            <w14:solidFill>
              <w14:schemeClr w14:val="tx1"/>
            </w14:solidFill>
          </w14:textFill>
        </w:rPr>
        <w:t>Coriaria nepalensis+Vitex negundo+Pyracantha fortuneana+Viburnum dilatatum</w:t>
      </w:r>
      <w:r>
        <w:rPr>
          <w:rFonts w:cs="Times New Roman"/>
          <w:bCs/>
          <w:color w:val="000000" w:themeColor="text1"/>
          <w:szCs w:val="24"/>
          <w:highlight w:val="none"/>
          <w14:textFill>
            <w14:solidFill>
              <w14:schemeClr w14:val="tx1"/>
            </w14:solidFill>
          </w14:textFill>
        </w:rPr>
        <w:t>）</w:t>
      </w:r>
    </w:p>
    <w:p>
      <w:pPr>
        <w:spacing w:line="480" w:lineRule="exact"/>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该群落多在林缘及砍伐迹地上出现，受人类活动干扰影响极大，群落结构不稳定，易向阔叶林演替。马桑、黄荆、火棘、荚蒾灌丛在评价区一些人类活动干扰较大的支沟内及居民点周围较为典型。</w:t>
      </w:r>
    </w:p>
    <w:p>
      <w:pPr>
        <w:spacing w:line="480" w:lineRule="exact"/>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群落灌木层组成种类较为庞杂，总盖度达60%以上，以马桑、黄荆、火棘、荚蒾为优势种，平均高度2.5m。其他灌木种类有杜鹃、盐肤木、野桐（</w:t>
      </w:r>
      <w:r>
        <w:rPr>
          <w:rFonts w:cs="Times New Roman"/>
          <w:bCs/>
          <w:i/>
          <w:iCs/>
          <w:color w:val="000000" w:themeColor="text1"/>
          <w:szCs w:val="24"/>
          <w:highlight w:val="none"/>
          <w14:textFill>
            <w14:solidFill>
              <w14:schemeClr w14:val="tx1"/>
            </w14:solidFill>
          </w14:textFill>
        </w:rPr>
        <w:t>Mallotus japonicus var. floccosus</w:t>
      </w:r>
      <w:r>
        <w:rPr>
          <w:rFonts w:cs="Times New Roman"/>
          <w:bCs/>
          <w:color w:val="000000" w:themeColor="text1"/>
          <w:szCs w:val="24"/>
          <w:highlight w:val="none"/>
          <w14:textFill>
            <w14:solidFill>
              <w14:schemeClr w14:val="tx1"/>
            </w14:solidFill>
          </w14:textFill>
        </w:rPr>
        <w:t>）、川莓、山合欢、多种悬钩子、美丽胡枝子（</w:t>
      </w:r>
      <w:r>
        <w:rPr>
          <w:rFonts w:cs="Times New Roman"/>
          <w:bCs/>
          <w:i/>
          <w:iCs/>
          <w:color w:val="000000" w:themeColor="text1"/>
          <w:szCs w:val="24"/>
          <w:highlight w:val="none"/>
          <w14:textFill>
            <w14:solidFill>
              <w14:schemeClr w14:val="tx1"/>
            </w14:solidFill>
          </w14:textFill>
        </w:rPr>
        <w:t>Lespedeza formosa</w:t>
      </w:r>
      <w:r>
        <w:rPr>
          <w:rFonts w:cs="Times New Roman"/>
          <w:bCs/>
          <w:color w:val="000000" w:themeColor="text1"/>
          <w:szCs w:val="24"/>
          <w:highlight w:val="none"/>
          <w14:textFill>
            <w14:solidFill>
              <w14:schemeClr w14:val="tx1"/>
            </w14:solidFill>
          </w14:textFill>
        </w:rPr>
        <w:t>）、山胡椒（</w:t>
      </w:r>
      <w:r>
        <w:rPr>
          <w:rFonts w:cs="Times New Roman"/>
          <w:bCs/>
          <w:i/>
          <w:iCs/>
          <w:color w:val="000000" w:themeColor="text1"/>
          <w:szCs w:val="24"/>
          <w:highlight w:val="none"/>
          <w14:textFill>
            <w14:solidFill>
              <w14:schemeClr w14:val="tx1"/>
            </w14:solidFill>
          </w14:textFill>
        </w:rPr>
        <w:t>Lindera sp.</w:t>
      </w:r>
      <w:r>
        <w:rPr>
          <w:rFonts w:cs="Times New Roman"/>
          <w:bCs/>
          <w:color w:val="000000" w:themeColor="text1"/>
          <w:szCs w:val="24"/>
          <w:highlight w:val="none"/>
          <w14:textFill>
            <w14:solidFill>
              <w14:schemeClr w14:val="tx1"/>
            </w14:solidFill>
          </w14:textFill>
        </w:rPr>
        <w:t>）等多种灌木类型。</w:t>
      </w:r>
    </w:p>
    <w:p>
      <w:pPr>
        <w:pStyle w:val="13"/>
        <w:spacing w:line="480" w:lineRule="exact"/>
        <w:rPr>
          <w:color w:val="000000" w:themeColor="text1"/>
          <w:highlight w:val="none"/>
          <w14:textFill>
            <w14:solidFill>
              <w14:schemeClr w14:val="tx1"/>
            </w14:solidFill>
          </w14:textFill>
        </w:rPr>
      </w:pPr>
      <w:r>
        <w:rPr>
          <w:rFonts w:ascii="Times New Roman" w:hAnsi="Times New Roman"/>
          <w:bCs/>
          <w:color w:val="000000" w:themeColor="text1"/>
          <w:sz w:val="24"/>
          <w:szCs w:val="24"/>
          <w:highlight w:val="none"/>
          <w14:textFill>
            <w14:solidFill>
              <w14:schemeClr w14:val="tx1"/>
            </w14:solidFill>
          </w14:textFill>
        </w:rPr>
        <w:t>草本植物生长茂盛，分层明显。芒居于草本层第Ⅰ亚层植物，高度约1.2m、千里光（</w:t>
      </w:r>
      <w:r>
        <w:rPr>
          <w:rFonts w:ascii="Times New Roman" w:hAnsi="Times New Roman"/>
          <w:bCs/>
          <w:i/>
          <w:iCs/>
          <w:color w:val="000000" w:themeColor="text1"/>
          <w:sz w:val="24"/>
          <w:szCs w:val="24"/>
          <w:highlight w:val="none"/>
          <w14:textFill>
            <w14:solidFill>
              <w14:schemeClr w14:val="tx1"/>
            </w14:solidFill>
          </w14:textFill>
        </w:rPr>
        <w:t xml:space="preserve">Senecio scandens </w:t>
      </w:r>
      <w:r>
        <w:rPr>
          <w:rFonts w:ascii="Times New Roman" w:hAnsi="Times New Roman"/>
          <w:bCs/>
          <w:color w:val="000000" w:themeColor="text1"/>
          <w:sz w:val="24"/>
          <w:szCs w:val="24"/>
          <w:highlight w:val="none"/>
          <w14:textFill>
            <w14:solidFill>
              <w14:schemeClr w14:val="tx1"/>
            </w14:solidFill>
          </w14:textFill>
        </w:rPr>
        <w:t>Buch.-Ham. ex D.Don）、糙苏（</w:t>
      </w:r>
      <w:r>
        <w:rPr>
          <w:rFonts w:ascii="Times New Roman" w:hAnsi="Times New Roman"/>
          <w:bCs/>
          <w:i/>
          <w:iCs/>
          <w:color w:val="000000" w:themeColor="text1"/>
          <w:sz w:val="24"/>
          <w:szCs w:val="24"/>
          <w:highlight w:val="none"/>
          <w14:textFill>
            <w14:solidFill>
              <w14:schemeClr w14:val="tx1"/>
            </w14:solidFill>
          </w14:textFill>
        </w:rPr>
        <w:t>Phlomis umbros</w:t>
      </w:r>
      <w:r>
        <w:rPr>
          <w:rFonts w:ascii="Times New Roman" w:hAnsi="Times New Roman"/>
          <w:bCs/>
          <w:color w:val="000000" w:themeColor="text1"/>
          <w:sz w:val="24"/>
          <w:szCs w:val="24"/>
          <w:highlight w:val="none"/>
          <w14:textFill>
            <w14:solidFill>
              <w14:schemeClr w14:val="tx1"/>
            </w14:solidFill>
          </w14:textFill>
        </w:rPr>
        <w:t>a）、白茅（</w:t>
      </w:r>
      <w:r>
        <w:rPr>
          <w:rFonts w:ascii="Times New Roman" w:hAnsi="Times New Roman"/>
          <w:bCs/>
          <w:i/>
          <w:iCs/>
          <w:color w:val="000000" w:themeColor="text1"/>
          <w:sz w:val="24"/>
          <w:szCs w:val="24"/>
          <w:highlight w:val="none"/>
          <w14:textFill>
            <w14:solidFill>
              <w14:schemeClr w14:val="tx1"/>
            </w14:solidFill>
          </w14:textFill>
        </w:rPr>
        <w:t>Imperata cylindrica （Linn.）Beauv.</w:t>
      </w:r>
      <w:r>
        <w:rPr>
          <w:rFonts w:ascii="Times New Roman" w:hAnsi="Times New Roman"/>
          <w:bCs/>
          <w:color w:val="000000" w:themeColor="text1"/>
          <w:sz w:val="24"/>
          <w:szCs w:val="24"/>
          <w:highlight w:val="none"/>
          <w14:textFill>
            <w14:solidFill>
              <w14:schemeClr w14:val="tx1"/>
            </w14:solidFill>
          </w14:textFill>
        </w:rPr>
        <w:t>）等居于第Ⅱ亚层，高度30</w:t>
      </w:r>
      <w:r>
        <w:rPr>
          <w:rFonts w:hint="eastAsia" w:ascii="Times New Roman" w:hAnsi="Times New Roman"/>
          <w:bCs/>
          <w:color w:val="000000" w:themeColor="text1"/>
          <w:sz w:val="24"/>
          <w:szCs w:val="24"/>
          <w:highlight w:val="none"/>
          <w14:textFill>
            <w14:solidFill>
              <w14:schemeClr w14:val="tx1"/>
            </w14:solidFill>
          </w14:textFill>
        </w:rPr>
        <w:t>～</w:t>
      </w:r>
      <w:r>
        <w:rPr>
          <w:rFonts w:ascii="Times New Roman" w:hAnsi="Times New Roman"/>
          <w:bCs/>
          <w:color w:val="000000" w:themeColor="text1"/>
          <w:sz w:val="24"/>
          <w:szCs w:val="24"/>
          <w:highlight w:val="none"/>
          <w14:textFill>
            <w14:solidFill>
              <w14:schemeClr w14:val="tx1"/>
            </w14:solidFill>
          </w14:textFill>
        </w:rPr>
        <w:t>60cm，车前（</w:t>
      </w:r>
      <w:r>
        <w:rPr>
          <w:rFonts w:ascii="Times New Roman" w:hAnsi="Times New Roman"/>
          <w:bCs/>
          <w:i/>
          <w:iCs/>
          <w:color w:val="000000" w:themeColor="text1"/>
          <w:sz w:val="24"/>
          <w:szCs w:val="24"/>
          <w:highlight w:val="none"/>
          <w14:textFill>
            <w14:solidFill>
              <w14:schemeClr w14:val="tx1"/>
            </w14:solidFill>
          </w14:textFill>
        </w:rPr>
        <w:t xml:space="preserve">Plantago asiatica </w:t>
      </w:r>
      <w:r>
        <w:rPr>
          <w:rFonts w:ascii="Times New Roman" w:hAnsi="Times New Roman"/>
          <w:bCs/>
          <w:color w:val="000000" w:themeColor="text1"/>
          <w:sz w:val="24"/>
          <w:szCs w:val="24"/>
          <w:highlight w:val="none"/>
          <w14:textFill>
            <w14:solidFill>
              <w14:schemeClr w14:val="tx1"/>
            </w14:solidFill>
          </w14:textFill>
        </w:rPr>
        <w:t>L.）、聚花过路黄（</w:t>
      </w:r>
      <w:r>
        <w:rPr>
          <w:rFonts w:ascii="Times New Roman" w:hAnsi="Times New Roman"/>
          <w:bCs/>
          <w:i/>
          <w:iCs/>
          <w:color w:val="000000" w:themeColor="text1"/>
          <w:sz w:val="24"/>
          <w:szCs w:val="24"/>
          <w:highlight w:val="none"/>
          <w14:textFill>
            <w14:solidFill>
              <w14:schemeClr w14:val="tx1"/>
            </w14:solidFill>
          </w14:textFill>
        </w:rPr>
        <w:t>Lysimachia congestiflora Hemsl.</w:t>
      </w:r>
      <w:r>
        <w:rPr>
          <w:rFonts w:ascii="Times New Roman" w:hAnsi="Times New Roman"/>
          <w:bCs/>
          <w:color w:val="000000" w:themeColor="text1"/>
          <w:sz w:val="24"/>
          <w:szCs w:val="24"/>
          <w:highlight w:val="none"/>
          <w14:textFill>
            <w14:solidFill>
              <w14:schemeClr w14:val="tx1"/>
            </w14:solidFill>
          </w14:textFill>
        </w:rPr>
        <w:t>）、蕺菜（</w:t>
      </w:r>
      <w:r>
        <w:rPr>
          <w:rFonts w:ascii="Times New Roman" w:hAnsi="Times New Roman"/>
          <w:bCs/>
          <w:i/>
          <w:iCs/>
          <w:color w:val="000000" w:themeColor="text1"/>
          <w:sz w:val="24"/>
          <w:szCs w:val="24"/>
          <w:highlight w:val="none"/>
          <w14:textFill>
            <w14:solidFill>
              <w14:schemeClr w14:val="tx1"/>
            </w14:solidFill>
          </w14:textFill>
        </w:rPr>
        <w:t xml:space="preserve">Houttuynia cordata </w:t>
      </w:r>
      <w:r>
        <w:rPr>
          <w:rFonts w:ascii="Times New Roman" w:hAnsi="Times New Roman"/>
          <w:bCs/>
          <w:color w:val="000000" w:themeColor="text1"/>
          <w:sz w:val="24"/>
          <w:szCs w:val="24"/>
          <w:highlight w:val="none"/>
          <w14:textFill>
            <w14:solidFill>
              <w14:schemeClr w14:val="tx1"/>
            </w14:solidFill>
          </w14:textFill>
        </w:rPr>
        <w:t>Thunb）、葎草（</w:t>
      </w:r>
      <w:r>
        <w:rPr>
          <w:rFonts w:ascii="Times New Roman" w:hAnsi="Times New Roman"/>
          <w:bCs/>
          <w:i/>
          <w:iCs/>
          <w:color w:val="000000" w:themeColor="text1"/>
          <w:sz w:val="24"/>
          <w:szCs w:val="24"/>
          <w:highlight w:val="none"/>
          <w14:textFill>
            <w14:solidFill>
              <w14:schemeClr w14:val="tx1"/>
            </w14:solidFill>
          </w14:textFill>
        </w:rPr>
        <w:t>Humulus scandens</w:t>
      </w:r>
      <w:r>
        <w:rPr>
          <w:rFonts w:ascii="Times New Roman" w:hAnsi="Times New Roman"/>
          <w:bCs/>
          <w:color w:val="000000" w:themeColor="text1"/>
          <w:sz w:val="24"/>
          <w:szCs w:val="24"/>
          <w:highlight w:val="none"/>
          <w14:textFill>
            <w14:solidFill>
              <w14:schemeClr w14:val="tx1"/>
            </w14:solidFill>
          </w14:textFill>
        </w:rPr>
        <w:t>）等居于第Ⅲ亚层，高度在20cm以下。另外还有多种蕨类植物如毛蕨（</w:t>
      </w:r>
      <w:r>
        <w:rPr>
          <w:rFonts w:ascii="Times New Roman" w:hAnsi="Times New Roman"/>
          <w:bCs/>
          <w:i/>
          <w:iCs/>
          <w:color w:val="000000" w:themeColor="text1"/>
          <w:sz w:val="24"/>
          <w:szCs w:val="24"/>
          <w:highlight w:val="none"/>
          <w14:textFill>
            <w14:solidFill>
              <w14:schemeClr w14:val="tx1"/>
            </w14:solidFill>
          </w14:textFill>
        </w:rPr>
        <w:t xml:space="preserve">Cyclosorus interruptus </w:t>
      </w:r>
      <w:r>
        <w:rPr>
          <w:rFonts w:ascii="Times New Roman" w:hAnsi="Times New Roman"/>
          <w:bCs/>
          <w:color w:val="000000" w:themeColor="text1"/>
          <w:sz w:val="24"/>
          <w:szCs w:val="24"/>
          <w:highlight w:val="none"/>
          <w14:textFill>
            <w14:solidFill>
              <w14:schemeClr w14:val="tx1"/>
            </w14:solidFill>
          </w14:textFill>
        </w:rPr>
        <w:t>（Willd.） H. Ito）、铁角蕨（</w:t>
      </w:r>
      <w:r>
        <w:rPr>
          <w:rFonts w:ascii="Times New Roman" w:hAnsi="Times New Roman"/>
          <w:bCs/>
          <w:i/>
          <w:iCs/>
          <w:color w:val="000000" w:themeColor="text1"/>
          <w:sz w:val="24"/>
          <w:szCs w:val="24"/>
          <w:highlight w:val="none"/>
          <w14:textFill>
            <w14:solidFill>
              <w14:schemeClr w14:val="tx1"/>
            </w14:solidFill>
          </w14:textFill>
        </w:rPr>
        <w:t>Asplenium trichomanes</w:t>
      </w:r>
      <w:r>
        <w:rPr>
          <w:rFonts w:ascii="Times New Roman" w:hAnsi="Times New Roman"/>
          <w:bCs/>
          <w:color w:val="000000" w:themeColor="text1"/>
          <w:sz w:val="24"/>
          <w:szCs w:val="24"/>
          <w:highlight w:val="none"/>
          <w14:textFill>
            <w14:solidFill>
              <w14:schemeClr w14:val="tx1"/>
            </w14:solidFill>
          </w14:textFill>
        </w:rPr>
        <w:t>）在草本层生长。</w:t>
      </w:r>
    </w:p>
    <w:p>
      <w:pPr>
        <w:spacing w:before="120" w:beforeLines="50" w:line="480" w:lineRule="exact"/>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Ⅲ草丛植被</w:t>
      </w:r>
    </w:p>
    <w:p>
      <w:pPr>
        <w:spacing w:line="480" w:lineRule="exact"/>
        <w:ind w:firstLine="512"/>
        <w:rPr>
          <w:rFonts w:cs="Times New Roman"/>
          <w:bCs/>
          <w:color w:val="000000" w:themeColor="text1"/>
          <w:szCs w:val="24"/>
          <w:highlight w:val="none"/>
          <w14:textFill>
            <w14:solidFill>
              <w14:schemeClr w14:val="tx1"/>
            </w14:solidFill>
          </w14:textFill>
        </w:rPr>
      </w:pPr>
      <w:r>
        <w:rPr>
          <w:rFonts w:hint="eastAsia" w:ascii="宋体" w:hAnsi="宋体" w:cs="宋体"/>
          <w:bCs/>
          <w:color w:val="000000" w:themeColor="text1"/>
          <w:spacing w:val="16"/>
          <w:szCs w:val="24"/>
          <w:highlight w:val="none"/>
          <w14:textFill>
            <w14:solidFill>
              <w14:schemeClr w14:val="tx1"/>
            </w14:solidFill>
          </w14:textFill>
        </w:rPr>
        <w:t>①</w:t>
      </w:r>
      <w:r>
        <w:rPr>
          <w:rFonts w:cs="Times New Roman"/>
          <w:bCs/>
          <w:color w:val="000000" w:themeColor="text1"/>
          <w:szCs w:val="24"/>
          <w:highlight w:val="none"/>
          <w14:textFill>
            <w14:solidFill>
              <w14:schemeClr w14:val="tx1"/>
            </w14:solidFill>
          </w14:textFill>
        </w:rPr>
        <w:t>芒+白茅</w:t>
      </w:r>
      <w:r>
        <w:rPr>
          <w:rFonts w:cs="Times New Roman"/>
          <w:bCs/>
          <w:color w:val="000000" w:themeColor="text1"/>
          <w:spacing w:val="9"/>
          <w:szCs w:val="24"/>
          <w:highlight w:val="none"/>
          <w14:textFill>
            <w14:solidFill>
              <w14:schemeClr w14:val="tx1"/>
            </w14:solidFill>
          </w14:textFill>
        </w:rPr>
        <w:t>群落</w:t>
      </w:r>
      <w:r>
        <w:rPr>
          <w:rFonts w:cs="Times New Roman"/>
          <w:bCs/>
          <w:color w:val="000000" w:themeColor="text1"/>
          <w:szCs w:val="24"/>
          <w:highlight w:val="none"/>
          <w14:textFill>
            <w14:solidFill>
              <w14:schemeClr w14:val="tx1"/>
            </w14:solidFill>
          </w14:textFill>
        </w:rPr>
        <w:t xml:space="preserve">（Form. </w:t>
      </w:r>
      <w:r>
        <w:rPr>
          <w:rFonts w:cs="Times New Roman"/>
          <w:bCs/>
          <w:i/>
          <w:iCs/>
          <w:color w:val="000000" w:themeColor="text1"/>
          <w:szCs w:val="24"/>
          <w:highlight w:val="none"/>
          <w14:textFill>
            <w14:solidFill>
              <w14:schemeClr w14:val="tx1"/>
            </w14:solidFill>
          </w14:textFill>
        </w:rPr>
        <w:t>Miscanthus sinensis+Imperata cylindrica</w:t>
      </w:r>
      <w:r>
        <w:rPr>
          <w:rFonts w:cs="Times New Roman"/>
          <w:bCs/>
          <w:color w:val="000000" w:themeColor="text1"/>
          <w:szCs w:val="24"/>
          <w:highlight w:val="none"/>
          <w14:textFill>
            <w14:solidFill>
              <w14:schemeClr w14:val="tx1"/>
            </w14:solidFill>
          </w14:textFill>
        </w:rPr>
        <w:t>）</w:t>
      </w:r>
    </w:p>
    <w:p>
      <w:pPr>
        <w:spacing w:line="480" w:lineRule="exact"/>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芒、白茅草丛可出现在河谷、盆地、河漫滩上的阶地、山地、丘陵及海滩地带。在四川各地分布十分广泛。由于芒、白茅的生活力很强，因而可以在不同的生境条件下出现。芒、白茅对土壤的酸碱度要求亦</w:t>
      </w:r>
      <w:r>
        <w:rPr>
          <w:rFonts w:hint="eastAsia" w:cs="Times New Roman"/>
          <w:bCs/>
          <w:color w:val="000000" w:themeColor="text1"/>
          <w:szCs w:val="24"/>
          <w:highlight w:val="none"/>
          <w14:textFill>
            <w14:solidFill>
              <w14:schemeClr w14:val="tx1"/>
            </w14:solidFill>
          </w14:textFill>
        </w:rPr>
        <w:t>不</w:t>
      </w:r>
      <w:r>
        <w:rPr>
          <w:rFonts w:cs="Times New Roman"/>
          <w:bCs/>
          <w:color w:val="000000" w:themeColor="text1"/>
          <w:szCs w:val="24"/>
          <w:highlight w:val="none"/>
          <w14:textFill>
            <w14:solidFill>
              <w14:schemeClr w14:val="tx1"/>
            </w14:solidFill>
          </w14:textFill>
        </w:rPr>
        <w:t>严格，因此在石灰岩为基岩发育的石灰土或砂页岩等发育的酸性土上都有分布。在撂荒地上，首先遇到的就是芒、白茅草丛，在一些地段上，白茅生长密集，地下茎很发达，相互交织成网，其他植物很难侵入，可以形成几乎是纯白茅的草丛。</w:t>
      </w:r>
    </w:p>
    <w:p>
      <w:pPr>
        <w:spacing w:line="480" w:lineRule="exact"/>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评价范围及周边芒、白茅草本层的高度为60—300厘米，层覆盖度在</w:t>
      </w:r>
      <w:r>
        <w:rPr>
          <w:rFonts w:hint="eastAsia" w:cs="Times New Roman"/>
          <w:bCs/>
          <w:color w:val="000000" w:themeColor="text1"/>
          <w:szCs w:val="24"/>
          <w:highlight w:val="none"/>
          <w14:textFill>
            <w14:solidFill>
              <w14:schemeClr w14:val="tx1"/>
            </w14:solidFill>
          </w14:textFill>
        </w:rPr>
        <w:t>70%—90%</w:t>
      </w:r>
      <w:r>
        <w:rPr>
          <w:rFonts w:cs="Times New Roman"/>
          <w:bCs/>
          <w:color w:val="000000" w:themeColor="text1"/>
          <w:szCs w:val="24"/>
          <w:highlight w:val="none"/>
          <w14:textFill>
            <w14:solidFill>
              <w14:schemeClr w14:val="tx1"/>
            </w14:solidFill>
          </w14:textFill>
        </w:rPr>
        <w:t>之间。其伴生植物有五节芒、野古草、斑茅、婆婆针、飞蓬、蛇莓、夏枯草、黄背草、铁扫帚、歪头菜、贯叶连翘等，在群落中散生有少数灌木，如美丽胡枝子、山豆花及麻栎、白栎幼树等。</w:t>
      </w:r>
    </w:p>
    <w:p>
      <w:pPr>
        <w:spacing w:before="120" w:beforeLines="50" w:line="480" w:lineRule="exact"/>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Ⅳ栽培植被</w:t>
      </w:r>
    </w:p>
    <w:p>
      <w:pPr>
        <w:spacing w:line="480" w:lineRule="exact"/>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栽培植被指人类在自然环境中，根据人类生产、生活的需要，通过人为的经营、管理措施而培育形成的植被类型。在评价范围，栽培植被主要为以农业技术措施为主培育形成的农田植被以及具有一定经济效益的经济林木。现分别就各类栽培植被分析如下：</w:t>
      </w:r>
    </w:p>
    <w:p>
      <w:pPr>
        <w:spacing w:line="480" w:lineRule="exact"/>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（1）农田植被</w:t>
      </w:r>
    </w:p>
    <w:p>
      <w:pPr>
        <w:spacing w:line="480" w:lineRule="exact"/>
        <w:ind w:firstLine="480"/>
        <w:rPr>
          <w:rFonts w:cs="Times New Roman"/>
          <w:bCs/>
          <w:color w:val="000000" w:themeColor="text1"/>
          <w:szCs w:val="24"/>
          <w:highlight w:val="none"/>
          <w:lang w:val="de-DE"/>
          <w14:textFill>
            <w14:solidFill>
              <w14:schemeClr w14:val="tx1"/>
            </w14:solidFill>
          </w14:textFill>
        </w:rPr>
      </w:pPr>
      <w:r>
        <w:rPr>
          <w:rFonts w:hint="eastAsia" w:ascii="宋体" w:hAnsi="宋体" w:cs="宋体"/>
          <w:bCs/>
          <w:color w:val="000000" w:themeColor="text1"/>
          <w:szCs w:val="24"/>
          <w:highlight w:val="none"/>
          <w:lang w:val="de-DE"/>
          <w14:textFill>
            <w14:solidFill>
              <w14:schemeClr w14:val="tx1"/>
            </w14:solidFill>
          </w14:textFill>
        </w:rPr>
        <w:t>①</w:t>
      </w:r>
      <w:r>
        <w:rPr>
          <w:rFonts w:cs="Times New Roman"/>
          <w:bCs/>
          <w:color w:val="000000" w:themeColor="text1"/>
          <w:szCs w:val="24"/>
          <w:highlight w:val="none"/>
          <w:lang w:val="de-DE"/>
          <w14:textFill>
            <w14:solidFill>
              <w14:schemeClr w14:val="tx1"/>
            </w14:solidFill>
          </w14:textFill>
        </w:rPr>
        <w:t>一年两熟水稻作物</w:t>
      </w:r>
    </w:p>
    <w:p>
      <w:pPr>
        <w:spacing w:line="480" w:lineRule="exact"/>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属于草本类型大田农作物型水田作物亚型，此类型对水利灌溉要求较高，主要分布在丘谷、河流两旁等地区。在水利条件好的地区水稻收割后可种植一季油菜、豆类等，而在部分地区，由于灌溉达不到要求只种植一季水稻。</w:t>
      </w:r>
    </w:p>
    <w:p>
      <w:pPr>
        <w:spacing w:line="480" w:lineRule="exact"/>
        <w:ind w:firstLine="480"/>
        <w:rPr>
          <w:rFonts w:cs="Times New Roman"/>
          <w:bCs/>
          <w:color w:val="000000" w:themeColor="text1"/>
          <w:szCs w:val="24"/>
          <w:highlight w:val="none"/>
          <w:lang w:val="de-DE"/>
          <w14:textFill>
            <w14:solidFill>
              <w14:schemeClr w14:val="tx1"/>
            </w14:solidFill>
          </w14:textFill>
        </w:rPr>
      </w:pPr>
      <w:r>
        <w:rPr>
          <w:rFonts w:hint="eastAsia" w:ascii="宋体" w:hAnsi="宋体" w:cs="宋体"/>
          <w:bCs/>
          <w:color w:val="000000" w:themeColor="text1"/>
          <w:szCs w:val="24"/>
          <w:highlight w:val="none"/>
          <w:lang w:val="de-DE"/>
          <w14:textFill>
            <w14:solidFill>
              <w14:schemeClr w14:val="tx1"/>
            </w14:solidFill>
          </w14:textFill>
        </w:rPr>
        <w:t>②</w:t>
      </w:r>
      <w:r>
        <w:rPr>
          <w:rFonts w:cs="Times New Roman"/>
          <w:bCs/>
          <w:color w:val="000000" w:themeColor="text1"/>
          <w:szCs w:val="24"/>
          <w:highlight w:val="none"/>
          <w:lang w:val="de-DE"/>
          <w14:textFill>
            <w14:solidFill>
              <w14:schemeClr w14:val="tx1"/>
            </w14:solidFill>
          </w14:textFill>
        </w:rPr>
        <w:t>一年</w:t>
      </w:r>
      <w:r>
        <w:rPr>
          <w:rFonts w:cs="Times New Roman"/>
          <w:bCs/>
          <w:color w:val="000000" w:themeColor="text1"/>
          <w:szCs w:val="24"/>
          <w:highlight w:val="none"/>
          <w14:textFill>
            <w14:solidFill>
              <w14:schemeClr w14:val="tx1"/>
            </w14:solidFill>
          </w14:textFill>
        </w:rPr>
        <w:t>两</w:t>
      </w:r>
      <w:r>
        <w:rPr>
          <w:rFonts w:cs="Times New Roman"/>
          <w:bCs/>
          <w:color w:val="000000" w:themeColor="text1"/>
          <w:szCs w:val="24"/>
          <w:highlight w:val="none"/>
          <w:lang w:val="de-DE"/>
          <w14:textFill>
            <w14:solidFill>
              <w14:schemeClr w14:val="tx1"/>
            </w14:solidFill>
          </w14:textFill>
        </w:rPr>
        <w:t>作为主的蔬菜组合</w:t>
      </w:r>
    </w:p>
    <w:p>
      <w:pPr>
        <w:spacing w:line="480" w:lineRule="exact"/>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属于草本类型蔬菜作物型旱地作物亚型，本组合型广泛分布于亚热带范围内，对灌溉要求不是很严格，本地组成蔬菜作物的建群种，有白菜、卷心菜、花椰菜、芥菜</w:t>
      </w:r>
      <w:r>
        <w:rPr>
          <w:rFonts w:hint="eastAsia" w:cs="Times New Roman"/>
          <w:bCs/>
          <w:color w:val="000000" w:themeColor="text1"/>
          <w:szCs w:val="24"/>
          <w:highlight w:val="none"/>
          <w14:textFill>
            <w14:solidFill>
              <w14:schemeClr w14:val="tx1"/>
            </w14:solidFill>
          </w14:textFill>
        </w:rPr>
        <w:t>等</w:t>
      </w:r>
      <w:r>
        <w:rPr>
          <w:rFonts w:cs="Times New Roman"/>
          <w:bCs/>
          <w:color w:val="000000" w:themeColor="text1"/>
          <w:szCs w:val="24"/>
          <w:highlight w:val="none"/>
          <w14:textFill>
            <w14:solidFill>
              <w14:schemeClr w14:val="tx1"/>
            </w14:solidFill>
          </w14:textFill>
        </w:rPr>
        <w:t>白菜类，大头菜、萝卜、胡萝卜、洋葱、蒜、姜等根茎类、鳞茎类蔬菜，韭菜、葱、蒜、苋菜、芹菜、菠菜、莴笋等绿叶蔬菜，马铃薯、芋头等薯类，茄子、辣椒等茄果类，黄瓜、菜瓜、冬瓜、南瓜、葫芦、苦瓜、丝瓜等瓜类，豇豆、豌豆、蚕豆、大豆、菜豆等豆类，以及花生、油菜等油料作物。</w:t>
      </w:r>
    </w:p>
    <w:p>
      <w:pPr>
        <w:spacing w:line="480" w:lineRule="exact"/>
        <w:ind w:firstLine="480"/>
        <w:rPr>
          <w:rFonts w:cs="Times New Roman"/>
          <w:bCs/>
          <w:color w:val="000000" w:themeColor="text1"/>
          <w:szCs w:val="24"/>
          <w:highlight w:val="none"/>
          <w:lang w:val="de-DE"/>
          <w14:textFill>
            <w14:solidFill>
              <w14:schemeClr w14:val="tx1"/>
            </w14:solidFill>
          </w14:textFill>
        </w:rPr>
      </w:pPr>
      <w:r>
        <w:rPr>
          <w:rFonts w:hint="eastAsia" w:ascii="宋体" w:hAnsi="宋体" w:cs="宋体"/>
          <w:bCs/>
          <w:color w:val="000000" w:themeColor="text1"/>
          <w:szCs w:val="24"/>
          <w:highlight w:val="none"/>
          <w:lang w:val="de-DE"/>
          <w14:textFill>
            <w14:solidFill>
              <w14:schemeClr w14:val="tx1"/>
            </w14:solidFill>
          </w14:textFill>
        </w:rPr>
        <w:t>③</w:t>
      </w:r>
      <w:r>
        <w:rPr>
          <w:rFonts w:cs="Times New Roman"/>
          <w:bCs/>
          <w:color w:val="000000" w:themeColor="text1"/>
          <w:szCs w:val="24"/>
          <w:highlight w:val="none"/>
          <w:lang w:val="de-DE"/>
          <w14:textFill>
            <w14:solidFill>
              <w14:schemeClr w14:val="tx1"/>
            </w14:solidFill>
          </w14:textFill>
        </w:rPr>
        <w:t>以</w:t>
      </w:r>
      <w:r>
        <w:rPr>
          <w:rFonts w:cs="Times New Roman"/>
          <w:bCs/>
          <w:color w:val="000000" w:themeColor="text1"/>
          <w:spacing w:val="2"/>
          <w:szCs w:val="24"/>
          <w:highlight w:val="none"/>
          <w14:textFill>
            <w14:solidFill>
              <w14:schemeClr w14:val="tx1"/>
            </w14:solidFill>
          </w14:textFill>
        </w:rPr>
        <w:t>玉米、红苕、棉花、花生、小麦、马铃薯、豌豆</w:t>
      </w:r>
      <w:r>
        <w:rPr>
          <w:rFonts w:cs="Times New Roman"/>
          <w:bCs/>
          <w:color w:val="000000" w:themeColor="text1"/>
          <w:szCs w:val="24"/>
          <w:highlight w:val="none"/>
          <w:lang w:val="de-DE"/>
          <w14:textFill>
            <w14:solidFill>
              <w14:schemeClr w14:val="tx1"/>
            </w14:solidFill>
          </w14:textFill>
        </w:rPr>
        <w:t>为主的作物组合</w:t>
      </w:r>
    </w:p>
    <w:p>
      <w:pPr>
        <w:spacing w:line="480" w:lineRule="exact"/>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属于草本类型大田农作物型旱地作物亚型，广泛分布于四川盆地边缘的丘陵地区。</w:t>
      </w:r>
      <w:r>
        <w:rPr>
          <w:rFonts w:cs="Times New Roman"/>
          <w:bCs/>
          <w:color w:val="000000" w:themeColor="text1"/>
          <w:spacing w:val="2"/>
          <w:szCs w:val="24"/>
          <w:highlight w:val="none"/>
          <w14:textFill>
            <w14:solidFill>
              <w14:schemeClr w14:val="tx1"/>
            </w14:solidFill>
          </w14:textFill>
        </w:rPr>
        <w:t>小春作物以小麦、豌豆为主，深丘上</w:t>
      </w:r>
      <w:r>
        <w:rPr>
          <w:rFonts w:cs="Times New Roman"/>
          <w:bCs/>
          <w:color w:val="000000" w:themeColor="text1"/>
          <w:spacing w:val="-2"/>
          <w:szCs w:val="24"/>
          <w:highlight w:val="none"/>
          <w14:textFill>
            <w14:solidFill>
              <w14:schemeClr w14:val="tx1"/>
            </w14:solidFill>
          </w14:textFill>
        </w:rPr>
        <w:t>部种有马铃薯，多为一年两熟类型，</w:t>
      </w:r>
      <w:r>
        <w:rPr>
          <w:rFonts w:cs="Times New Roman"/>
          <w:bCs/>
          <w:color w:val="000000" w:themeColor="text1"/>
          <w:szCs w:val="24"/>
          <w:highlight w:val="none"/>
          <w14:textFill>
            <w14:solidFill>
              <w14:schemeClr w14:val="tx1"/>
            </w14:solidFill>
          </w14:textFill>
        </w:rPr>
        <w:t>调查区域内局部灌溉条件较差的地方实行这种作物组合。</w:t>
      </w:r>
    </w:p>
    <w:p>
      <w:pPr>
        <w:spacing w:line="480" w:lineRule="exact"/>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（2）经济林木</w:t>
      </w:r>
    </w:p>
    <w:p>
      <w:pPr>
        <w:spacing w:line="480" w:lineRule="exact"/>
        <w:ind w:firstLine="480"/>
        <w:jc w:val="left"/>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常见种植的种类有苹果</w:t>
      </w:r>
      <w:r>
        <w:rPr>
          <w:rFonts w:hint="eastAsia" w:cs="Times New Roman"/>
          <w:bCs/>
          <w:color w:val="000000" w:themeColor="text1"/>
          <w:szCs w:val="24"/>
          <w:highlight w:val="none"/>
          <w14:textFill>
            <w14:solidFill>
              <w14:schemeClr w14:val="tx1"/>
            </w14:solidFill>
          </w14:textFill>
        </w:rPr>
        <w:t>（</w:t>
      </w:r>
      <w:r>
        <w:rPr>
          <w:rFonts w:cs="Times New Roman"/>
          <w:bCs/>
          <w:i/>
          <w:color w:val="000000" w:themeColor="text1"/>
          <w:szCs w:val="24"/>
          <w:highlight w:val="none"/>
          <w14:textFill>
            <w14:solidFill>
              <w14:schemeClr w14:val="tx1"/>
            </w14:solidFill>
          </w14:textFill>
        </w:rPr>
        <w:t>Malus pumila</w:t>
      </w:r>
      <w:r>
        <w:rPr>
          <w:rFonts w:hint="eastAsia" w:cs="Times New Roman"/>
          <w:bCs/>
          <w:i/>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w:t>
      </w:r>
      <w:r>
        <w:rPr>
          <w:rFonts w:cs="Times New Roman"/>
          <w:bCs/>
          <w:color w:val="000000" w:themeColor="text1"/>
          <w:spacing w:val="5"/>
          <w:szCs w:val="24"/>
          <w:highlight w:val="none"/>
          <w14:textFill>
            <w14:solidFill>
              <w14:schemeClr w14:val="tx1"/>
            </w14:solidFill>
          </w14:textFill>
        </w:rPr>
        <w:t>川梨</w:t>
      </w:r>
      <w:r>
        <w:rPr>
          <w:rFonts w:hint="eastAsia" w:cs="Times New Roman"/>
          <w:bCs/>
          <w:color w:val="000000" w:themeColor="text1"/>
          <w:spacing w:val="5"/>
          <w:szCs w:val="24"/>
          <w:highlight w:val="none"/>
          <w14:textFill>
            <w14:solidFill>
              <w14:schemeClr w14:val="tx1"/>
            </w14:solidFill>
          </w14:textFill>
        </w:rPr>
        <w:t>（</w:t>
      </w:r>
      <w:r>
        <w:rPr>
          <w:rFonts w:cs="Times New Roman"/>
          <w:bCs/>
          <w:i/>
          <w:iCs/>
          <w:color w:val="000000" w:themeColor="text1"/>
          <w:szCs w:val="24"/>
          <w:highlight w:val="none"/>
          <w14:textFill>
            <w14:solidFill>
              <w14:schemeClr w14:val="tx1"/>
            </w14:solidFill>
          </w14:textFill>
        </w:rPr>
        <w:t>Pyrus</w:t>
      </w:r>
      <w:r>
        <w:rPr>
          <w:rFonts w:cs="Times New Roman"/>
          <w:bCs/>
          <w:color w:val="000000" w:themeColor="text1"/>
          <w:spacing w:val="5"/>
          <w:szCs w:val="24"/>
          <w:highlight w:val="none"/>
          <w14:textFill>
            <w14:solidFill>
              <w14:schemeClr w14:val="tx1"/>
            </w14:solidFill>
          </w14:textFill>
        </w:rPr>
        <w:t xml:space="preserve"> </w:t>
      </w:r>
      <w:r>
        <w:rPr>
          <w:rFonts w:cs="Times New Roman"/>
          <w:bCs/>
          <w:i/>
          <w:iCs/>
          <w:color w:val="000000" w:themeColor="text1"/>
          <w:szCs w:val="24"/>
          <w:highlight w:val="none"/>
          <w14:textFill>
            <w14:solidFill>
              <w14:schemeClr w14:val="tx1"/>
            </w14:solidFill>
          </w14:textFill>
        </w:rPr>
        <w:t>pashia</w:t>
      </w:r>
      <w:r>
        <w:rPr>
          <w:rFonts w:hint="eastAsia" w:cs="Times New Roman"/>
          <w:bCs/>
          <w:i/>
          <w:iCs/>
          <w:color w:val="000000" w:themeColor="text1"/>
          <w:szCs w:val="24"/>
          <w:highlight w:val="none"/>
          <w14:textFill>
            <w14:solidFill>
              <w14:schemeClr w14:val="tx1"/>
            </w14:solidFill>
          </w14:textFill>
        </w:rPr>
        <w:t>）</w:t>
      </w:r>
      <w:r>
        <w:rPr>
          <w:rFonts w:cs="Times New Roman"/>
          <w:bCs/>
          <w:color w:val="000000" w:themeColor="text1"/>
          <w:spacing w:val="5"/>
          <w:szCs w:val="24"/>
          <w:highlight w:val="none"/>
          <w14:textFill>
            <w14:solidFill>
              <w14:schemeClr w14:val="tx1"/>
            </w14:solidFill>
          </w14:textFill>
        </w:rPr>
        <w:t>、枇杷</w:t>
      </w:r>
      <w:r>
        <w:rPr>
          <w:rFonts w:hint="eastAsia" w:cs="Times New Roman"/>
          <w:bCs/>
          <w:color w:val="000000" w:themeColor="text1"/>
          <w:spacing w:val="5"/>
          <w:szCs w:val="24"/>
          <w:highlight w:val="none"/>
          <w14:textFill>
            <w14:solidFill>
              <w14:schemeClr w14:val="tx1"/>
            </w14:solidFill>
          </w14:textFill>
        </w:rPr>
        <w:t>（</w:t>
      </w:r>
      <w:r>
        <w:rPr>
          <w:rFonts w:cs="Times New Roman"/>
          <w:bCs/>
          <w:i/>
          <w:iCs/>
          <w:color w:val="000000" w:themeColor="text1"/>
          <w:szCs w:val="24"/>
          <w:highlight w:val="none"/>
          <w14:textFill>
            <w14:solidFill>
              <w14:schemeClr w14:val="tx1"/>
            </w14:solidFill>
          </w14:textFill>
        </w:rPr>
        <w:t>Eriobotryajaponica</w:t>
      </w:r>
      <w:r>
        <w:rPr>
          <w:rFonts w:hint="eastAsia" w:cs="Times New Roman"/>
          <w:bCs/>
          <w:i/>
          <w:iCs/>
          <w:color w:val="000000" w:themeColor="text1"/>
          <w:szCs w:val="24"/>
          <w:highlight w:val="none"/>
          <w14:textFill>
            <w14:solidFill>
              <w14:schemeClr w14:val="tx1"/>
            </w14:solidFill>
          </w14:textFill>
        </w:rPr>
        <w:t>）</w:t>
      </w:r>
      <w:r>
        <w:rPr>
          <w:rFonts w:cs="Times New Roman"/>
          <w:bCs/>
          <w:color w:val="000000" w:themeColor="text1"/>
          <w:spacing w:val="5"/>
          <w:szCs w:val="24"/>
          <w:highlight w:val="none"/>
          <w14:textFill>
            <w14:solidFill>
              <w14:schemeClr w14:val="tx1"/>
            </w14:solidFill>
          </w14:textFill>
        </w:rPr>
        <w:t>、桃</w:t>
      </w:r>
      <w:r>
        <w:rPr>
          <w:rFonts w:hint="eastAsia" w:cs="Times New Roman"/>
          <w:bCs/>
          <w:color w:val="000000" w:themeColor="text1"/>
          <w:spacing w:val="5"/>
          <w:szCs w:val="24"/>
          <w:highlight w:val="none"/>
          <w14:textFill>
            <w14:solidFill>
              <w14:schemeClr w14:val="tx1"/>
            </w14:solidFill>
          </w14:textFill>
        </w:rPr>
        <w:t>（</w:t>
      </w:r>
      <w:r>
        <w:rPr>
          <w:rFonts w:cs="Times New Roman"/>
          <w:bCs/>
          <w:i/>
          <w:iCs/>
          <w:color w:val="000000" w:themeColor="text1"/>
          <w:szCs w:val="24"/>
          <w:highlight w:val="none"/>
          <w14:textFill>
            <w14:solidFill>
              <w14:schemeClr w14:val="tx1"/>
            </w14:solidFill>
          </w14:textFill>
        </w:rPr>
        <w:t>Amygdalus</w:t>
      </w:r>
      <w:r>
        <w:rPr>
          <w:rFonts w:cs="Times New Roman"/>
          <w:bCs/>
          <w:color w:val="000000" w:themeColor="text1"/>
          <w:szCs w:val="24"/>
          <w:highlight w:val="none"/>
          <w14:textFill>
            <w14:solidFill>
              <w14:schemeClr w14:val="tx1"/>
            </w14:solidFill>
          </w14:textFill>
        </w:rPr>
        <w:t xml:space="preserve"> </w:t>
      </w:r>
      <w:r>
        <w:rPr>
          <w:rFonts w:cs="Times New Roman"/>
          <w:bCs/>
          <w:i/>
          <w:iCs/>
          <w:color w:val="000000" w:themeColor="text1"/>
          <w:szCs w:val="24"/>
          <w:highlight w:val="none"/>
          <w14:textFill>
            <w14:solidFill>
              <w14:schemeClr w14:val="tx1"/>
            </w14:solidFill>
          </w14:textFill>
        </w:rPr>
        <w:t>persica</w:t>
      </w:r>
      <w:r>
        <w:rPr>
          <w:rFonts w:hint="eastAsia" w:cs="Times New Roman"/>
          <w:bCs/>
          <w:i/>
          <w:iCs/>
          <w:color w:val="000000" w:themeColor="text1"/>
          <w:szCs w:val="24"/>
          <w:highlight w:val="none"/>
          <w14:textFill>
            <w14:solidFill>
              <w14:schemeClr w14:val="tx1"/>
            </w14:solidFill>
          </w14:textFill>
        </w:rPr>
        <w:t>）</w:t>
      </w:r>
      <w:r>
        <w:rPr>
          <w:rFonts w:cs="Times New Roman"/>
          <w:bCs/>
          <w:color w:val="000000" w:themeColor="text1"/>
          <w:spacing w:val="25"/>
          <w:szCs w:val="24"/>
          <w:highlight w:val="none"/>
          <w14:textFill>
            <w14:solidFill>
              <w14:schemeClr w14:val="tx1"/>
            </w14:solidFill>
          </w14:textFill>
        </w:rPr>
        <w:t>、木瓜</w:t>
      </w:r>
      <w:r>
        <w:rPr>
          <w:rFonts w:hint="eastAsia" w:cs="Times New Roman"/>
          <w:bCs/>
          <w:color w:val="000000" w:themeColor="text1"/>
          <w:spacing w:val="25"/>
          <w:szCs w:val="24"/>
          <w:highlight w:val="none"/>
          <w14:textFill>
            <w14:solidFill>
              <w14:schemeClr w14:val="tx1"/>
            </w14:solidFill>
          </w14:textFill>
        </w:rPr>
        <w:t>（</w:t>
      </w:r>
      <w:r>
        <w:rPr>
          <w:rFonts w:cs="Times New Roman"/>
          <w:bCs/>
          <w:i/>
          <w:iCs/>
          <w:color w:val="000000" w:themeColor="text1"/>
          <w:szCs w:val="24"/>
          <w:highlight w:val="none"/>
          <w14:textFill>
            <w14:solidFill>
              <w14:schemeClr w14:val="tx1"/>
            </w14:solidFill>
          </w14:textFill>
        </w:rPr>
        <w:t>ChaenomelessinensisKoehne</w:t>
      </w:r>
      <w:r>
        <w:rPr>
          <w:rFonts w:hint="eastAsia" w:cs="Times New Roman"/>
          <w:bCs/>
          <w:i/>
          <w:i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、樱桃</w:t>
      </w:r>
      <w:r>
        <w:rPr>
          <w:rFonts w:hint="eastAsia" w:cs="Times New Roman"/>
          <w:bCs/>
          <w:color w:val="000000" w:themeColor="text1"/>
          <w:szCs w:val="24"/>
          <w:highlight w:val="none"/>
          <w14:textFill>
            <w14:solidFill>
              <w14:schemeClr w14:val="tx1"/>
            </w14:solidFill>
          </w14:textFill>
        </w:rPr>
        <w:t>（</w:t>
      </w:r>
      <w:r>
        <w:rPr>
          <w:rFonts w:cs="Times New Roman"/>
          <w:bCs/>
          <w:i/>
          <w:color w:val="000000" w:themeColor="text1"/>
          <w:szCs w:val="24"/>
          <w:highlight w:val="none"/>
          <w14:textFill>
            <w14:solidFill>
              <w14:schemeClr w14:val="tx1"/>
            </w14:solidFill>
          </w14:textFill>
        </w:rPr>
        <w:t>Cerasus pseudocerasus</w:t>
      </w:r>
      <w:r>
        <w:rPr>
          <w:rFonts w:hint="eastAsia" w:cs="Times New Roman"/>
          <w:bCs/>
          <w:i/>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、李</w:t>
      </w:r>
      <w:r>
        <w:rPr>
          <w:rFonts w:hint="eastAsia" w:cs="Times New Roman"/>
          <w:bCs/>
          <w:color w:val="000000" w:themeColor="text1"/>
          <w:szCs w:val="24"/>
          <w:highlight w:val="none"/>
          <w14:textFill>
            <w14:solidFill>
              <w14:schemeClr w14:val="tx1"/>
            </w14:solidFill>
          </w14:textFill>
        </w:rPr>
        <w:t>（</w:t>
      </w:r>
      <w:r>
        <w:rPr>
          <w:rFonts w:cs="Times New Roman"/>
          <w:bCs/>
          <w:i/>
          <w:color w:val="000000" w:themeColor="text1"/>
          <w:szCs w:val="24"/>
          <w:highlight w:val="none"/>
          <w14:textFill>
            <w14:solidFill>
              <w14:schemeClr w14:val="tx1"/>
            </w14:solidFill>
          </w14:textFill>
        </w:rPr>
        <w:t>Prunus salicina</w:t>
      </w:r>
      <w:r>
        <w:rPr>
          <w:rFonts w:hint="eastAsia" w:cs="Times New Roman"/>
          <w:bCs/>
          <w:i/>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、核桃</w:t>
      </w:r>
      <w:r>
        <w:rPr>
          <w:rFonts w:hint="eastAsia" w:cs="Times New Roman"/>
          <w:bCs/>
          <w:color w:val="000000" w:themeColor="text1"/>
          <w:szCs w:val="24"/>
          <w:highlight w:val="none"/>
          <w14:textFill>
            <w14:solidFill>
              <w14:schemeClr w14:val="tx1"/>
            </w14:solidFill>
          </w14:textFill>
        </w:rPr>
        <w:t>（</w:t>
      </w:r>
      <w:r>
        <w:rPr>
          <w:rFonts w:cs="Times New Roman"/>
          <w:bCs/>
          <w:i/>
          <w:color w:val="000000" w:themeColor="text1"/>
          <w:szCs w:val="24"/>
          <w:highlight w:val="none"/>
          <w14:textFill>
            <w14:solidFill>
              <w14:schemeClr w14:val="tx1"/>
            </w14:solidFill>
          </w14:textFill>
        </w:rPr>
        <w:t>Juglans regia</w:t>
      </w:r>
      <w:r>
        <w:rPr>
          <w:rFonts w:hint="eastAsia" w:cs="Times New Roman"/>
          <w:bCs/>
          <w:i/>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、柑橘</w:t>
      </w:r>
      <w:r>
        <w:rPr>
          <w:rFonts w:hint="eastAsia" w:cs="Times New Roman"/>
          <w:bCs/>
          <w:color w:val="000000" w:themeColor="text1"/>
          <w:szCs w:val="24"/>
          <w:highlight w:val="none"/>
          <w14:textFill>
            <w14:solidFill>
              <w14:schemeClr w14:val="tx1"/>
            </w14:solidFill>
          </w14:textFill>
        </w:rPr>
        <w:t>（</w:t>
      </w:r>
      <w:r>
        <w:rPr>
          <w:rFonts w:cs="Times New Roman"/>
          <w:bCs/>
          <w:i/>
          <w:color w:val="000000" w:themeColor="text1"/>
          <w:szCs w:val="24"/>
          <w:highlight w:val="none"/>
          <w14:textFill>
            <w14:solidFill>
              <w14:schemeClr w14:val="tx1"/>
            </w14:solidFill>
          </w14:textFill>
        </w:rPr>
        <w:t>Citrus reticulata</w:t>
      </w:r>
      <w:r>
        <w:rPr>
          <w:rFonts w:hint="eastAsia" w:cs="Times New Roman"/>
          <w:bCs/>
          <w:i/>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、柚子</w:t>
      </w:r>
      <w:r>
        <w:rPr>
          <w:rFonts w:hint="eastAsia" w:cs="Times New Roman"/>
          <w:bCs/>
          <w:color w:val="000000" w:themeColor="text1"/>
          <w:szCs w:val="24"/>
          <w:highlight w:val="none"/>
          <w14:textFill>
            <w14:solidFill>
              <w14:schemeClr w14:val="tx1"/>
            </w14:solidFill>
          </w14:textFill>
        </w:rPr>
        <w:t>（</w:t>
      </w:r>
      <w:r>
        <w:rPr>
          <w:rFonts w:cs="Times New Roman"/>
          <w:bCs/>
          <w:i/>
          <w:color w:val="000000" w:themeColor="text1"/>
          <w:szCs w:val="24"/>
          <w:highlight w:val="none"/>
          <w14:textFill>
            <w14:solidFill>
              <w14:schemeClr w14:val="tx1"/>
            </w14:solidFill>
          </w14:textFill>
        </w:rPr>
        <w:t>Citrus grandis</w:t>
      </w:r>
      <w:r>
        <w:rPr>
          <w:rFonts w:hint="eastAsia" w:cs="Times New Roman"/>
          <w:bCs/>
          <w:i/>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等经济果树。</w:t>
      </w:r>
    </w:p>
    <w:p>
      <w:pPr>
        <w:ind w:firstLine="480"/>
        <w:rPr>
          <w:color w:val="000000" w:themeColor="text1"/>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与栽培植被共存的还有各种农田杂草及田间灌草丛，它们在农闲，轮作间歇期，或者农田管理不善时，成为栽培植被的主要替代者，此时即为杂草丛生的农田外貌，杂草以禾本科、菊科、莎草科、豆科、蓼科、唇形科植物为主。常见种类有蜈蚣草、三叶鬼针草、艾蒿、土牛膝、打破碗花花、猪殃殃、反枝苋、问荆、繁缕、蒲公英、土牛膝、毛茛、雀稗、光头稗、狗牙根、牛鞭草、空心莲子草、白花碎米荠、醴肠等</w:t>
      </w:r>
      <w:r>
        <w:rPr>
          <w:color w:val="000000" w:themeColor="text1"/>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项目评价范围陆生植被现场照片见图4.3-1。</w:t>
      </w:r>
    </w:p>
    <w:tbl>
      <w:tblPr>
        <w:tblStyle w:val="42"/>
        <w:tblW w:w="87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69"/>
        <w:gridCol w:w="44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69" w:type="dxa"/>
          </w:tcPr>
          <w:p>
            <w:pPr>
              <w:pStyle w:val="211"/>
              <w:rPr>
                <w:rFonts w:ascii="Times New Roman" w:cs="Times New Roman"/>
                <w:bCs/>
                <w:color w:val="000000" w:themeColor="text1"/>
                <w:highlight w:val="none"/>
                <w14:textFill>
                  <w14:solidFill>
                    <w14:schemeClr w14:val="tx1"/>
                  </w14:solidFill>
                </w14:textFill>
              </w:rPr>
            </w:pPr>
            <w:r>
              <w:rPr>
                <w:rFonts w:ascii="Times New Roman" w:cs="Times New Roman"/>
                <w:bCs/>
                <w:color w:val="000000" w:themeColor="text1"/>
                <w:highlight w:val="none"/>
                <w14:textFill>
                  <w14:solidFill>
                    <w14:schemeClr w14:val="tx1"/>
                  </w14:solidFill>
                </w14:textFill>
              </w:rPr>
              <w:drawing>
                <wp:inline distT="0" distB="0" distL="114300" distR="114300">
                  <wp:extent cx="2622550" cy="1767840"/>
                  <wp:effectExtent l="0" t="0" r="6350" b="3810"/>
                  <wp:docPr id="1246425237" name="图片 1246425237" descr="1710400893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425237" name="图片 1246425237" descr="1710400893684"/>
                          <pic:cNvPicPr>
                            <a:picLocks noChangeAspect="1"/>
                          </pic:cNvPicPr>
                        </pic:nvPicPr>
                        <pic:blipFill>
                          <a:blip r:embed="rId61"/>
                          <a:stretch>
                            <a:fillRect/>
                          </a:stretch>
                        </pic:blipFill>
                        <pic:spPr>
                          <a:xfrm>
                            <a:off x="0" y="0"/>
                            <a:ext cx="2622550" cy="1767840"/>
                          </a:xfrm>
                          <a:prstGeom prst="rect">
                            <a:avLst/>
                          </a:prstGeom>
                        </pic:spPr>
                      </pic:pic>
                    </a:graphicData>
                  </a:graphic>
                </wp:inline>
              </w:drawing>
            </w:r>
          </w:p>
        </w:tc>
        <w:tc>
          <w:tcPr>
            <w:tcW w:w="4412" w:type="dxa"/>
          </w:tcPr>
          <w:p>
            <w:pPr>
              <w:pStyle w:val="211"/>
              <w:rPr>
                <w:rFonts w:ascii="Times New Roman" w:cs="Times New Roman"/>
                <w:bCs/>
                <w:color w:val="000000" w:themeColor="text1"/>
                <w:highlight w:val="none"/>
                <w14:textFill>
                  <w14:solidFill>
                    <w14:schemeClr w14:val="tx1"/>
                  </w14:solidFill>
                </w14:textFill>
              </w:rPr>
            </w:pPr>
            <w:r>
              <w:rPr>
                <w:rFonts w:ascii="Times New Roman" w:cs="Times New Roman"/>
                <w:color w:val="000000" w:themeColor="text1"/>
                <w:highlight w:val="none"/>
                <w14:textFill>
                  <w14:solidFill>
                    <w14:schemeClr w14:val="tx1"/>
                  </w14:solidFill>
                </w14:textFill>
              </w:rPr>
              <w:drawing>
                <wp:inline distT="0" distB="0" distL="114300" distR="114300">
                  <wp:extent cx="2660015" cy="1816735"/>
                  <wp:effectExtent l="0" t="0" r="6985" b="12065"/>
                  <wp:docPr id="20234096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409612" name="图片 4"/>
                          <pic:cNvPicPr>
                            <a:picLocks noChangeAspect="1"/>
                          </pic:cNvPicPr>
                        </pic:nvPicPr>
                        <pic:blipFill>
                          <a:blip r:embed="rId62"/>
                          <a:stretch>
                            <a:fillRect/>
                          </a:stretch>
                        </pic:blipFill>
                        <pic:spPr>
                          <a:xfrm>
                            <a:off x="0" y="0"/>
                            <a:ext cx="2660015" cy="181673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69" w:type="dxa"/>
          </w:tcPr>
          <w:p>
            <w:pPr>
              <w:pStyle w:val="211"/>
              <w:jc w:val="center"/>
              <w:rPr>
                <w:rFonts w:ascii="Times New Roman" w:cs="Times New Roman"/>
                <w:bCs/>
                <w:color w:val="000000" w:themeColor="text1"/>
                <w:sz w:val="21"/>
                <w:szCs w:val="21"/>
                <w:highlight w:val="none"/>
                <w14:textFill>
                  <w14:solidFill>
                    <w14:schemeClr w14:val="tx1"/>
                  </w14:solidFill>
                </w14:textFill>
              </w:rPr>
            </w:pPr>
            <w:r>
              <w:rPr>
                <w:rFonts w:ascii="Times New Roman" w:cs="Times New Roman"/>
                <w:color w:val="000000" w:themeColor="text1"/>
                <w:highlight w:val="none"/>
                <w14:textFill>
                  <w14:solidFill>
                    <w14:schemeClr w14:val="tx1"/>
                  </w14:solidFill>
                </w14:textFill>
              </w:rPr>
              <w:drawing>
                <wp:inline distT="0" distB="0" distL="114300" distR="114300">
                  <wp:extent cx="2629535" cy="1812290"/>
                  <wp:effectExtent l="0" t="0" r="18415" b="16510"/>
                  <wp:docPr id="431049255" name="图片 431049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049255" name="图片 431049255"/>
                          <pic:cNvPicPr>
                            <a:picLocks noChangeAspect="1"/>
                          </pic:cNvPicPr>
                        </pic:nvPicPr>
                        <pic:blipFill>
                          <a:blip r:embed="rId63"/>
                          <a:stretch>
                            <a:fillRect/>
                          </a:stretch>
                        </pic:blipFill>
                        <pic:spPr>
                          <a:xfrm>
                            <a:off x="0" y="0"/>
                            <a:ext cx="2629535" cy="1812290"/>
                          </a:xfrm>
                          <a:prstGeom prst="rect">
                            <a:avLst/>
                          </a:prstGeom>
                          <a:noFill/>
                          <a:ln>
                            <a:noFill/>
                          </a:ln>
                        </pic:spPr>
                      </pic:pic>
                    </a:graphicData>
                  </a:graphic>
                </wp:inline>
              </w:drawing>
            </w:r>
          </w:p>
        </w:tc>
        <w:tc>
          <w:tcPr>
            <w:tcW w:w="4412" w:type="dxa"/>
          </w:tcPr>
          <w:p>
            <w:pPr>
              <w:pStyle w:val="211"/>
              <w:jc w:val="center"/>
              <w:rPr>
                <w:rFonts w:ascii="Times New Roman" w:cs="Times New Roman"/>
                <w:bCs/>
                <w:color w:val="000000" w:themeColor="text1"/>
                <w:sz w:val="21"/>
                <w:szCs w:val="21"/>
                <w:highlight w:val="none"/>
                <w14:textFill>
                  <w14:solidFill>
                    <w14:schemeClr w14:val="tx1"/>
                  </w14:solidFill>
                </w14:textFill>
              </w:rPr>
            </w:pPr>
            <w:r>
              <w:rPr>
                <w:rFonts w:ascii="Times New Roman" w:cs="Times New Roman"/>
                <w:color w:val="000000" w:themeColor="text1"/>
                <w:highlight w:val="none"/>
                <w14:textFill>
                  <w14:solidFill>
                    <w14:schemeClr w14:val="tx1"/>
                  </w14:solidFill>
                </w14:textFill>
              </w:rPr>
              <w:drawing>
                <wp:inline distT="0" distB="0" distL="114300" distR="114300">
                  <wp:extent cx="2660650" cy="1800860"/>
                  <wp:effectExtent l="0" t="0" r="6350" b="8890"/>
                  <wp:docPr id="538209412" name="图片 538209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209412" name="图片 538209412"/>
                          <pic:cNvPicPr>
                            <a:picLocks noChangeAspect="1"/>
                          </pic:cNvPicPr>
                        </pic:nvPicPr>
                        <pic:blipFill>
                          <a:blip r:embed="rId64"/>
                          <a:stretch>
                            <a:fillRect/>
                          </a:stretch>
                        </pic:blipFill>
                        <pic:spPr>
                          <a:xfrm>
                            <a:off x="0" y="0"/>
                            <a:ext cx="2660650" cy="180086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69" w:type="dxa"/>
          </w:tcPr>
          <w:p>
            <w:pPr>
              <w:pStyle w:val="211"/>
              <w:rPr>
                <w:rFonts w:ascii="Times New Roman" w:cs="Times New Roman"/>
                <w:bCs/>
                <w:color w:val="000000" w:themeColor="text1"/>
                <w:highlight w:val="none"/>
                <w14:textFill>
                  <w14:solidFill>
                    <w14:schemeClr w14:val="tx1"/>
                  </w14:solidFill>
                </w14:textFill>
              </w:rPr>
            </w:pPr>
            <w:r>
              <w:rPr>
                <w:rFonts w:ascii="Times New Roman" w:cs="Times New Roman"/>
                <w:color w:val="000000" w:themeColor="text1"/>
                <w:highlight w:val="none"/>
                <w14:textFill>
                  <w14:solidFill>
                    <w14:schemeClr w14:val="tx1"/>
                  </w14:solidFill>
                </w14:textFill>
              </w:rPr>
              <w:drawing>
                <wp:inline distT="0" distB="0" distL="114300" distR="114300">
                  <wp:extent cx="2632710" cy="1871980"/>
                  <wp:effectExtent l="0" t="0" r="15240" b="13970"/>
                  <wp:docPr id="912282772" name="图片 912282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82772" name="图片 912282772"/>
                          <pic:cNvPicPr>
                            <a:picLocks noChangeAspect="1"/>
                          </pic:cNvPicPr>
                        </pic:nvPicPr>
                        <pic:blipFill>
                          <a:blip r:embed="rId65"/>
                          <a:stretch>
                            <a:fillRect/>
                          </a:stretch>
                        </pic:blipFill>
                        <pic:spPr>
                          <a:xfrm>
                            <a:off x="0" y="0"/>
                            <a:ext cx="2632710" cy="1871980"/>
                          </a:xfrm>
                          <a:prstGeom prst="rect">
                            <a:avLst/>
                          </a:prstGeom>
                          <a:noFill/>
                          <a:ln>
                            <a:noFill/>
                          </a:ln>
                        </pic:spPr>
                      </pic:pic>
                    </a:graphicData>
                  </a:graphic>
                </wp:inline>
              </w:drawing>
            </w:r>
          </w:p>
        </w:tc>
        <w:tc>
          <w:tcPr>
            <w:tcW w:w="4412" w:type="dxa"/>
          </w:tcPr>
          <w:p>
            <w:pPr>
              <w:pStyle w:val="211"/>
              <w:rPr>
                <w:rFonts w:ascii="Times New Roman" w:cs="Times New Roman"/>
                <w:bCs/>
                <w:color w:val="000000" w:themeColor="text1"/>
                <w:highlight w:val="none"/>
                <w14:textFill>
                  <w14:solidFill>
                    <w14:schemeClr w14:val="tx1"/>
                  </w14:solidFill>
                </w14:textFill>
              </w:rPr>
            </w:pPr>
            <w:r>
              <w:rPr>
                <w:rFonts w:ascii="Times New Roman" w:cs="Times New Roman"/>
                <w:color w:val="000000" w:themeColor="text1"/>
                <w:highlight w:val="none"/>
                <w14:textFill>
                  <w14:solidFill>
                    <w14:schemeClr w14:val="tx1"/>
                  </w14:solidFill>
                </w14:textFill>
              </w:rPr>
              <w:drawing>
                <wp:inline distT="0" distB="0" distL="114300" distR="114300">
                  <wp:extent cx="2657475" cy="1894840"/>
                  <wp:effectExtent l="0" t="0" r="9525" b="10160"/>
                  <wp:docPr id="64549007" name="图片 64549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49007" name="图片 64549007"/>
                          <pic:cNvPicPr>
                            <a:picLocks noChangeAspect="1"/>
                          </pic:cNvPicPr>
                        </pic:nvPicPr>
                        <pic:blipFill>
                          <a:blip r:embed="rId66"/>
                          <a:stretch>
                            <a:fillRect/>
                          </a:stretch>
                        </pic:blipFill>
                        <pic:spPr>
                          <a:xfrm>
                            <a:off x="0" y="0"/>
                            <a:ext cx="2657475" cy="189484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69" w:type="dxa"/>
          </w:tcPr>
          <w:p>
            <w:pPr>
              <w:pStyle w:val="211"/>
              <w:jc w:val="center"/>
              <w:rPr>
                <w:rFonts w:ascii="Times New Roman" w:cs="Times New Roman"/>
                <w:bCs/>
                <w:color w:val="000000" w:themeColor="text1"/>
                <w:sz w:val="21"/>
                <w:szCs w:val="21"/>
                <w:highlight w:val="none"/>
                <w14:textFill>
                  <w14:solidFill>
                    <w14:schemeClr w14:val="tx1"/>
                  </w14:solidFill>
                </w14:textFill>
              </w:rPr>
            </w:pPr>
            <w:r>
              <w:rPr>
                <w:rFonts w:ascii="Times New Roman" w:cs="Times New Roman"/>
                <w:color w:val="000000" w:themeColor="text1"/>
                <w:highlight w:val="none"/>
                <w14:textFill>
                  <w14:solidFill>
                    <w14:schemeClr w14:val="tx1"/>
                  </w14:solidFill>
                </w14:textFill>
              </w:rPr>
              <w:drawing>
                <wp:inline distT="0" distB="0" distL="114300" distR="114300">
                  <wp:extent cx="2635885" cy="1851025"/>
                  <wp:effectExtent l="0" t="0" r="12065" b="15875"/>
                  <wp:docPr id="1860749261" name="图片 1860749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749261" name="图片 1860749261"/>
                          <pic:cNvPicPr>
                            <a:picLocks noChangeAspect="1"/>
                          </pic:cNvPicPr>
                        </pic:nvPicPr>
                        <pic:blipFill>
                          <a:blip r:embed="rId67"/>
                          <a:stretch>
                            <a:fillRect/>
                          </a:stretch>
                        </pic:blipFill>
                        <pic:spPr>
                          <a:xfrm>
                            <a:off x="0" y="0"/>
                            <a:ext cx="2635885" cy="1851025"/>
                          </a:xfrm>
                          <a:prstGeom prst="rect">
                            <a:avLst/>
                          </a:prstGeom>
                          <a:noFill/>
                          <a:ln>
                            <a:noFill/>
                          </a:ln>
                        </pic:spPr>
                      </pic:pic>
                    </a:graphicData>
                  </a:graphic>
                </wp:inline>
              </w:drawing>
            </w:r>
          </w:p>
        </w:tc>
        <w:tc>
          <w:tcPr>
            <w:tcW w:w="4412" w:type="dxa"/>
          </w:tcPr>
          <w:p>
            <w:pPr>
              <w:pStyle w:val="211"/>
              <w:jc w:val="center"/>
              <w:rPr>
                <w:rFonts w:ascii="Times New Roman" w:cs="Times New Roman"/>
                <w:bCs/>
                <w:color w:val="000000" w:themeColor="text1"/>
                <w:sz w:val="21"/>
                <w:szCs w:val="21"/>
                <w:highlight w:val="none"/>
                <w14:textFill>
                  <w14:solidFill>
                    <w14:schemeClr w14:val="tx1"/>
                  </w14:solidFill>
                </w14:textFill>
              </w:rPr>
            </w:pPr>
            <w:r>
              <w:rPr>
                <w:rFonts w:ascii="Times New Roman" w:cs="Times New Roman"/>
                <w:color w:val="000000" w:themeColor="text1"/>
                <w:highlight w:val="none"/>
                <w14:textFill>
                  <w14:solidFill>
                    <w14:schemeClr w14:val="tx1"/>
                  </w14:solidFill>
                </w14:textFill>
              </w:rPr>
              <w:drawing>
                <wp:inline distT="0" distB="0" distL="114300" distR="114300">
                  <wp:extent cx="2653030" cy="1814830"/>
                  <wp:effectExtent l="0" t="0" r="13970" b="13970"/>
                  <wp:docPr id="830602310" name="图片 83060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602310" name="图片 830602310"/>
                          <pic:cNvPicPr>
                            <a:picLocks noChangeAspect="1"/>
                          </pic:cNvPicPr>
                        </pic:nvPicPr>
                        <pic:blipFill>
                          <a:blip r:embed="rId68"/>
                          <a:stretch>
                            <a:fillRect/>
                          </a:stretch>
                        </pic:blipFill>
                        <pic:spPr>
                          <a:xfrm>
                            <a:off x="0" y="0"/>
                            <a:ext cx="2653030" cy="181483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69" w:type="dxa"/>
          </w:tcPr>
          <w:p>
            <w:pPr>
              <w:pStyle w:val="211"/>
              <w:jc w:val="center"/>
              <w:rPr>
                <w:rFonts w:ascii="Times New Roman" w:cs="Times New Roman"/>
                <w:bCs/>
                <w:color w:val="000000" w:themeColor="text1"/>
                <w:sz w:val="21"/>
                <w:szCs w:val="21"/>
                <w:highlight w:val="none"/>
                <w14:textFill>
                  <w14:solidFill>
                    <w14:schemeClr w14:val="tx1"/>
                  </w14:solidFill>
                </w14:textFill>
              </w:rPr>
            </w:pPr>
            <w:r>
              <w:rPr>
                <w:rFonts w:ascii="Times New Roman" w:cs="Times New Roman"/>
                <w:color w:val="000000" w:themeColor="text1"/>
                <w:highlight w:val="none"/>
                <w14:textFill>
                  <w14:solidFill>
                    <w14:schemeClr w14:val="tx1"/>
                  </w14:solidFill>
                </w14:textFill>
              </w:rPr>
              <w:drawing>
                <wp:inline distT="0" distB="0" distL="114300" distR="114300">
                  <wp:extent cx="2628900" cy="1811020"/>
                  <wp:effectExtent l="0" t="0" r="0" b="17780"/>
                  <wp:docPr id="1898538758" name="图片 1898538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38758" name="图片 1898538758"/>
                          <pic:cNvPicPr>
                            <a:picLocks noChangeAspect="1"/>
                          </pic:cNvPicPr>
                        </pic:nvPicPr>
                        <pic:blipFill>
                          <a:blip r:embed="rId69"/>
                          <a:stretch>
                            <a:fillRect/>
                          </a:stretch>
                        </pic:blipFill>
                        <pic:spPr>
                          <a:xfrm>
                            <a:off x="0" y="0"/>
                            <a:ext cx="2628900" cy="1811020"/>
                          </a:xfrm>
                          <a:prstGeom prst="rect">
                            <a:avLst/>
                          </a:prstGeom>
                          <a:noFill/>
                          <a:ln>
                            <a:noFill/>
                          </a:ln>
                        </pic:spPr>
                      </pic:pic>
                    </a:graphicData>
                  </a:graphic>
                </wp:inline>
              </w:drawing>
            </w:r>
          </w:p>
        </w:tc>
        <w:tc>
          <w:tcPr>
            <w:tcW w:w="4412" w:type="dxa"/>
          </w:tcPr>
          <w:p>
            <w:pPr>
              <w:pStyle w:val="211"/>
              <w:jc w:val="center"/>
              <w:rPr>
                <w:rFonts w:ascii="Times New Roman" w:cs="Times New Roman"/>
                <w:bCs/>
                <w:color w:val="000000" w:themeColor="text1"/>
                <w:sz w:val="21"/>
                <w:szCs w:val="21"/>
                <w:highlight w:val="none"/>
                <w14:textFill>
                  <w14:solidFill>
                    <w14:schemeClr w14:val="tx1"/>
                  </w14:solidFill>
                </w14:textFill>
              </w:rPr>
            </w:pPr>
            <w:r>
              <w:rPr>
                <w:rFonts w:ascii="Times New Roman" w:cs="Times New Roman"/>
                <w:color w:val="000000" w:themeColor="text1"/>
                <w:highlight w:val="none"/>
                <w14:textFill>
                  <w14:solidFill>
                    <w14:schemeClr w14:val="tx1"/>
                  </w14:solidFill>
                </w14:textFill>
              </w:rPr>
              <w:drawing>
                <wp:inline distT="0" distB="0" distL="114300" distR="114300">
                  <wp:extent cx="2654935" cy="1830705"/>
                  <wp:effectExtent l="0" t="0" r="12065" b="1714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70"/>
                          <a:stretch>
                            <a:fillRect/>
                          </a:stretch>
                        </pic:blipFill>
                        <pic:spPr>
                          <a:xfrm>
                            <a:off x="0" y="0"/>
                            <a:ext cx="2654935" cy="183070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69" w:type="dxa"/>
          </w:tcPr>
          <w:p>
            <w:pPr>
              <w:pStyle w:val="211"/>
              <w:jc w:val="center"/>
              <w:rPr>
                <w:rFonts w:ascii="Times New Roman" w:cs="Times New Roman"/>
                <w:color w:val="000000" w:themeColor="text1"/>
                <w:highlight w:val="none"/>
                <w14:textFill>
                  <w14:solidFill>
                    <w14:schemeClr w14:val="tx1"/>
                  </w14:solidFill>
                </w14:textFill>
              </w:rPr>
            </w:pPr>
            <w:r>
              <w:rPr>
                <w:rFonts w:ascii="Times New Roman" w:cs="Times New Roman"/>
                <w:color w:val="000000" w:themeColor="text1"/>
                <w:highlight w:val="none"/>
                <w14:textFill>
                  <w14:solidFill>
                    <w14:schemeClr w14:val="tx1"/>
                  </w14:solidFill>
                </w14:textFill>
              </w:rPr>
              <w:drawing>
                <wp:inline distT="0" distB="0" distL="114300" distR="114300">
                  <wp:extent cx="2631440" cy="1887855"/>
                  <wp:effectExtent l="0" t="0" r="16510" b="1714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71"/>
                          <a:stretch>
                            <a:fillRect/>
                          </a:stretch>
                        </pic:blipFill>
                        <pic:spPr>
                          <a:xfrm>
                            <a:off x="0" y="0"/>
                            <a:ext cx="2631440" cy="1887855"/>
                          </a:xfrm>
                          <a:prstGeom prst="rect">
                            <a:avLst/>
                          </a:prstGeom>
                          <a:noFill/>
                          <a:ln>
                            <a:noFill/>
                          </a:ln>
                        </pic:spPr>
                      </pic:pic>
                    </a:graphicData>
                  </a:graphic>
                </wp:inline>
              </w:drawing>
            </w:r>
          </w:p>
        </w:tc>
        <w:tc>
          <w:tcPr>
            <w:tcW w:w="4412" w:type="dxa"/>
          </w:tcPr>
          <w:p>
            <w:pPr>
              <w:pStyle w:val="211"/>
              <w:jc w:val="center"/>
              <w:rPr>
                <w:rFonts w:ascii="Times New Roman" w:cs="Times New Roman"/>
                <w:color w:val="000000" w:themeColor="text1"/>
                <w:highlight w:val="none"/>
                <w14:textFill>
                  <w14:solidFill>
                    <w14:schemeClr w14:val="tx1"/>
                  </w14:solidFill>
                </w14:textFill>
              </w:rPr>
            </w:pPr>
            <w:r>
              <w:rPr>
                <w:rFonts w:ascii="Times New Roman" w:cs="Times New Roman"/>
                <w:color w:val="000000" w:themeColor="text1"/>
                <w:highlight w:val="none"/>
                <w14:textFill>
                  <w14:solidFill>
                    <w14:schemeClr w14:val="tx1"/>
                  </w14:solidFill>
                </w14:textFill>
              </w:rPr>
              <w:drawing>
                <wp:inline distT="0" distB="0" distL="114300" distR="114300">
                  <wp:extent cx="2657475" cy="1823720"/>
                  <wp:effectExtent l="0" t="0" r="9525" b="508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72"/>
                          <a:stretch>
                            <a:fillRect/>
                          </a:stretch>
                        </pic:blipFill>
                        <pic:spPr>
                          <a:xfrm>
                            <a:off x="0" y="0"/>
                            <a:ext cx="2657475" cy="182372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69" w:type="dxa"/>
          </w:tcPr>
          <w:p>
            <w:pPr>
              <w:pStyle w:val="211"/>
              <w:jc w:val="center"/>
              <w:rPr>
                <w:rFonts w:ascii="Times New Roman" w:cs="Times New Roman"/>
                <w:color w:val="000000" w:themeColor="text1"/>
                <w:highlight w:val="none"/>
                <w14:textFill>
                  <w14:solidFill>
                    <w14:schemeClr w14:val="tx1"/>
                  </w14:solidFill>
                </w14:textFill>
              </w:rPr>
            </w:pPr>
            <w:r>
              <w:rPr>
                <w:rFonts w:ascii="Times New Roman" w:cs="Times New Roman"/>
                <w:color w:val="000000" w:themeColor="text1"/>
                <w:highlight w:val="none"/>
                <w14:textFill>
                  <w14:solidFill>
                    <w14:schemeClr w14:val="tx1"/>
                  </w14:solidFill>
                </w14:textFill>
              </w:rPr>
              <w:drawing>
                <wp:inline distT="0" distB="0" distL="114300" distR="114300">
                  <wp:extent cx="2635250" cy="1843405"/>
                  <wp:effectExtent l="0" t="0" r="12700" b="444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73"/>
                          <a:stretch>
                            <a:fillRect/>
                          </a:stretch>
                        </pic:blipFill>
                        <pic:spPr>
                          <a:xfrm>
                            <a:off x="0" y="0"/>
                            <a:ext cx="2635250" cy="1843405"/>
                          </a:xfrm>
                          <a:prstGeom prst="rect">
                            <a:avLst/>
                          </a:prstGeom>
                          <a:noFill/>
                          <a:ln>
                            <a:noFill/>
                          </a:ln>
                        </pic:spPr>
                      </pic:pic>
                    </a:graphicData>
                  </a:graphic>
                </wp:inline>
              </w:drawing>
            </w:r>
          </w:p>
        </w:tc>
        <w:tc>
          <w:tcPr>
            <w:tcW w:w="4412" w:type="dxa"/>
          </w:tcPr>
          <w:p>
            <w:pPr>
              <w:pStyle w:val="211"/>
              <w:keepNext/>
              <w:jc w:val="center"/>
              <w:rPr>
                <w:rFonts w:ascii="Times New Roman" w:cs="Times New Roman"/>
                <w:color w:val="000000" w:themeColor="text1"/>
                <w:highlight w:val="none"/>
                <w14:textFill>
                  <w14:solidFill>
                    <w14:schemeClr w14:val="tx1"/>
                  </w14:solidFill>
                </w14:textFill>
              </w:rPr>
            </w:pPr>
            <w:r>
              <w:rPr>
                <w:rFonts w:ascii="Times New Roman" w:cs="Times New Roman"/>
                <w:color w:val="000000" w:themeColor="text1"/>
                <w:highlight w:val="none"/>
                <w14:textFill>
                  <w14:solidFill>
                    <w14:schemeClr w14:val="tx1"/>
                  </w14:solidFill>
                </w14:textFill>
              </w:rPr>
              <w:drawing>
                <wp:inline distT="0" distB="0" distL="114300" distR="114300">
                  <wp:extent cx="2656205" cy="1828165"/>
                  <wp:effectExtent l="0" t="0" r="10795" b="63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74"/>
                          <a:stretch>
                            <a:fillRect/>
                          </a:stretch>
                        </pic:blipFill>
                        <pic:spPr>
                          <a:xfrm>
                            <a:off x="0" y="0"/>
                            <a:ext cx="2656205" cy="1828165"/>
                          </a:xfrm>
                          <a:prstGeom prst="rect">
                            <a:avLst/>
                          </a:prstGeom>
                          <a:noFill/>
                          <a:ln>
                            <a:noFill/>
                          </a:ln>
                        </pic:spPr>
                      </pic:pic>
                    </a:graphicData>
                  </a:graphic>
                </wp:inline>
              </w:drawing>
            </w:r>
          </w:p>
        </w:tc>
      </w:tr>
    </w:tbl>
    <w:p>
      <w:pPr>
        <w:pStyle w:val="14"/>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陆生植被现场照片</w:t>
      </w:r>
    </w:p>
    <w:p>
      <w:pPr>
        <w:spacing w:before="120" w:beforeLines="50"/>
        <w:ind w:firstLine="480"/>
        <w:rPr>
          <w:rFonts w:cs="Times New Roman"/>
          <w:bCs/>
          <w:color w:val="000000" w:themeColor="text1"/>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5、样方调查</w:t>
      </w:r>
    </w:p>
    <w:p>
      <w:pPr>
        <w:ind w:firstLine="480"/>
        <w:rPr>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评价区所在区域属IA3</w:t>
      </w:r>
      <w:r>
        <w:rPr>
          <w:rFonts w:hint="eastAsia" w:cs="Times New Roman"/>
          <w:bCs/>
          <w:color w:val="000000" w:themeColor="text1"/>
          <w:highlight w:val="none"/>
          <w14:textFill>
            <w14:solidFill>
              <w14:schemeClr w14:val="tx1"/>
            </w14:solidFill>
          </w14:textFill>
        </w:rPr>
        <w:t>（</w:t>
      </w:r>
      <w:r>
        <w:rPr>
          <w:rFonts w:cs="Times New Roman"/>
          <w:bCs/>
          <w:color w:val="000000" w:themeColor="text1"/>
          <w:highlight w:val="none"/>
          <w14:textFill>
            <w14:solidFill>
              <w14:schemeClr w14:val="tx1"/>
            </w14:solidFill>
          </w14:textFill>
        </w:rPr>
        <w:t>6</w:t>
      </w:r>
      <w:r>
        <w:rPr>
          <w:rFonts w:hint="eastAsia" w:cs="Times New Roman"/>
          <w:bCs/>
          <w:color w:val="000000" w:themeColor="text1"/>
          <w:highlight w:val="none"/>
          <w14:textFill>
            <w14:solidFill>
              <w14:schemeClr w14:val="tx1"/>
            </w14:solidFill>
          </w14:textFill>
        </w:rPr>
        <w:t>）</w:t>
      </w:r>
      <w:r>
        <w:rPr>
          <w:rFonts w:cs="Times New Roman"/>
          <w:bCs/>
          <w:color w:val="000000" w:themeColor="text1"/>
          <w:highlight w:val="none"/>
          <w14:textFill>
            <w14:solidFill>
              <w14:schemeClr w14:val="tx1"/>
            </w14:solidFill>
          </w14:textFill>
        </w:rPr>
        <w:t>川北深丘植被小区，范围相对较小，水热条件、海拔、土壤理化性质均一致，根据现场调查及遥感卫片纹理特征可知，评价区植被概况与项目区域总体情况基本一致，自然植被主要为马尾松林、柏木林、栎类灌丛、亚热带草丛及其各种过渡类型。每种群落内部种群差异较小。据实际分布情况，以及前文所述样方布点原则，在评价区对每种典型群系选取3个</w:t>
      </w:r>
      <w:r>
        <w:rPr>
          <w:rFonts w:hint="eastAsia" w:cs="Times New Roman"/>
          <w:bCs/>
          <w:color w:val="000000" w:themeColor="text1"/>
          <w:highlight w:val="none"/>
          <w14:textFill>
            <w14:solidFill>
              <w14:schemeClr w14:val="tx1"/>
            </w14:solidFill>
          </w14:textFill>
        </w:rPr>
        <w:t>具有</w:t>
      </w:r>
      <w:r>
        <w:rPr>
          <w:rFonts w:cs="Times New Roman"/>
          <w:bCs/>
          <w:color w:val="000000" w:themeColor="text1"/>
          <w:highlight w:val="none"/>
          <w14:textFill>
            <w14:solidFill>
              <w14:schemeClr w14:val="tx1"/>
            </w14:solidFill>
          </w14:textFill>
        </w:rPr>
        <w:t>代表性的地段设置样方，进行列表明示</w:t>
      </w:r>
      <w:r>
        <w:rPr>
          <w:rFonts w:hint="eastAsia" w:cs="Times New Roman"/>
          <w:bCs/>
          <w:color w:val="000000" w:themeColor="text1"/>
          <w:highlight w:val="none"/>
          <w14:textFill>
            <w14:solidFill>
              <w14:schemeClr w14:val="tx1"/>
            </w14:solidFill>
          </w14:textFill>
        </w:rPr>
        <w:t>，</w:t>
      </w:r>
      <w:r>
        <w:rPr>
          <w:rFonts w:cs="Times New Roman"/>
          <w:bCs/>
          <w:color w:val="000000" w:themeColor="text1"/>
          <w:highlight w:val="none"/>
          <w14:textFill>
            <w14:solidFill>
              <w14:schemeClr w14:val="tx1"/>
            </w14:solidFill>
          </w14:textFill>
        </w:rPr>
        <w:t>具体记录如下</w:t>
      </w:r>
      <w:r>
        <w:rPr>
          <w:color w:val="000000" w:themeColor="text1"/>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样方1马尾松群系样方表（1）</w:t>
      </w:r>
    </w:p>
    <w:tbl>
      <w:tblPr>
        <w:tblStyle w:val="41"/>
        <w:tblW w:w="88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3402"/>
        <w:gridCol w:w="532"/>
        <w:gridCol w:w="481"/>
        <w:gridCol w:w="621"/>
        <w:gridCol w:w="648"/>
        <w:gridCol w:w="550"/>
        <w:gridCol w:w="523"/>
        <w:gridCol w:w="659"/>
        <w:gridCol w:w="7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atLeast"/>
          <w:jc w:val="center"/>
        </w:trPr>
        <w:tc>
          <w:tcPr>
            <w:tcW w:w="709"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坐标</w:t>
            </w:r>
          </w:p>
        </w:tc>
        <w:tc>
          <w:tcPr>
            <w:tcW w:w="3402"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107.6047,31.3330</w:t>
            </w:r>
          </w:p>
        </w:tc>
        <w:tc>
          <w:tcPr>
            <w:tcW w:w="532"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海拔</w:t>
            </w:r>
            <w:r>
              <w:rPr>
                <w:rFonts w:hint="eastAsia" w:cs="Times New Roman"/>
                <w:b/>
                <w:color w:val="000000" w:themeColor="text1"/>
                <w:sz w:val="21"/>
                <w:szCs w:val="21"/>
                <w:highlight w:val="none"/>
                <w14:textFill>
                  <w14:solidFill>
                    <w14:schemeClr w14:val="tx1"/>
                  </w14:solidFill>
                </w14:textFill>
              </w:rPr>
              <w:t>（</w:t>
            </w:r>
            <w:r>
              <w:rPr>
                <w:rFonts w:cs="Times New Roman"/>
                <w:b/>
                <w:color w:val="000000" w:themeColor="text1"/>
                <w:sz w:val="21"/>
                <w:szCs w:val="21"/>
                <w:highlight w:val="none"/>
                <w14:textFill>
                  <w14:solidFill>
                    <w14:schemeClr w14:val="tx1"/>
                  </w14:solidFill>
                </w14:textFill>
              </w:rPr>
              <w:t>m</w:t>
            </w:r>
            <w:r>
              <w:rPr>
                <w:rFonts w:hint="eastAsia" w:cs="Times New Roman"/>
                <w:b/>
                <w:color w:val="000000" w:themeColor="text1"/>
                <w:sz w:val="21"/>
                <w:szCs w:val="21"/>
                <w:highlight w:val="none"/>
                <w14:textFill>
                  <w14:solidFill>
                    <w14:schemeClr w14:val="tx1"/>
                  </w14:solidFill>
                </w14:textFill>
              </w:rPr>
              <w:t>）</w:t>
            </w:r>
          </w:p>
        </w:tc>
        <w:tc>
          <w:tcPr>
            <w:tcW w:w="481"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450</w:t>
            </w:r>
          </w:p>
        </w:tc>
        <w:tc>
          <w:tcPr>
            <w:tcW w:w="621"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土壤类型</w:t>
            </w:r>
          </w:p>
        </w:tc>
        <w:tc>
          <w:tcPr>
            <w:tcW w:w="648" w:type="dxa"/>
            <w:vAlign w:val="center"/>
          </w:tcPr>
          <w:p>
            <w:pPr>
              <w:adjustRightInd/>
              <w:snapToGrid/>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sz w:val="21"/>
                <w:szCs w:val="21"/>
                <w:highlight w:val="none"/>
                <w:lang w:val="zh-CN"/>
                <w14:textFill>
                  <w14:solidFill>
                    <w14:schemeClr w14:val="tx1"/>
                  </w14:solidFill>
                </w14:textFill>
              </w:rPr>
              <w:t>黄壤</w:t>
            </w:r>
          </w:p>
        </w:tc>
        <w:tc>
          <w:tcPr>
            <w:tcW w:w="550"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坡度</w:t>
            </w:r>
          </w:p>
        </w:tc>
        <w:tc>
          <w:tcPr>
            <w:tcW w:w="523"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15</w:t>
            </w:r>
          </w:p>
        </w:tc>
        <w:tc>
          <w:tcPr>
            <w:tcW w:w="659"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坡向</w:t>
            </w:r>
          </w:p>
        </w:tc>
        <w:tc>
          <w:tcPr>
            <w:tcW w:w="743"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NW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p>
        </w:tc>
        <w:tc>
          <w:tcPr>
            <w:tcW w:w="3402"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中文名（拉丁名）</w:t>
            </w:r>
          </w:p>
        </w:tc>
        <w:tc>
          <w:tcPr>
            <w:tcW w:w="1634" w:type="dxa"/>
            <w:gridSpan w:val="3"/>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平均高度m</w:t>
            </w:r>
          </w:p>
        </w:tc>
        <w:tc>
          <w:tcPr>
            <w:tcW w:w="648"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株数/多度</w:t>
            </w:r>
          </w:p>
        </w:tc>
        <w:tc>
          <w:tcPr>
            <w:tcW w:w="1073" w:type="dxa"/>
            <w:gridSpan w:val="2"/>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平均胸径cm</w:t>
            </w:r>
          </w:p>
        </w:tc>
        <w:tc>
          <w:tcPr>
            <w:tcW w:w="659"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平均</w:t>
            </w:r>
          </w:p>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冠幅</w:t>
            </w:r>
          </w:p>
        </w:tc>
        <w:tc>
          <w:tcPr>
            <w:tcW w:w="743"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茂盛</w:t>
            </w:r>
          </w:p>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restar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乔木层</w:t>
            </w:r>
          </w:p>
        </w:tc>
        <w:tc>
          <w:tcPr>
            <w:tcW w:w="3402" w:type="dxa"/>
            <w:vAlign w:val="center"/>
          </w:tcPr>
          <w:p>
            <w:pPr>
              <w:adjustRightInd/>
              <w:snapToGrid/>
              <w:spacing w:line="240" w:lineRule="exact"/>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马尾松（</w:t>
            </w:r>
            <w:r>
              <w:rPr>
                <w:rFonts w:cs="Times New Roman"/>
                <w:i/>
                <w:color w:val="000000" w:themeColor="text1"/>
                <w:sz w:val="21"/>
                <w:szCs w:val="21"/>
                <w:highlight w:val="none"/>
                <w14:textFill>
                  <w14:solidFill>
                    <w14:schemeClr w14:val="tx1"/>
                  </w14:solidFill>
                </w14:textFill>
              </w:rPr>
              <w:t>PinusmassonianaLamb</w:t>
            </w:r>
            <w:r>
              <w:rPr>
                <w:rFonts w:cs="Times New Roman"/>
                <w:bCs/>
                <w:color w:val="000000" w:themeColor="text1"/>
                <w:sz w:val="21"/>
                <w:szCs w:val="21"/>
                <w:highlight w:val="none"/>
                <w14:textFill>
                  <w14:solidFill>
                    <w14:schemeClr w14:val="tx1"/>
                  </w14:solidFill>
                </w14:textFill>
              </w:rPr>
              <w:t>）</w:t>
            </w:r>
          </w:p>
        </w:tc>
        <w:tc>
          <w:tcPr>
            <w:tcW w:w="1634"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13</w:t>
            </w:r>
          </w:p>
        </w:tc>
        <w:tc>
          <w:tcPr>
            <w:tcW w:w="648" w:type="dxa"/>
            <w:vAlign w:val="center"/>
          </w:tcPr>
          <w:p>
            <w:pPr>
              <w:adjustRightInd/>
              <w:snapToGrid/>
              <w:spacing w:line="240" w:lineRule="auto"/>
              <w:ind w:firstLine="0" w:firstLineChars="0"/>
              <w:jc w:val="center"/>
              <w:rPr>
                <w:rFonts w:cs="Times New Roman" w:eastAsiaTheme="minorEastAsia"/>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29</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14</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3*3</w:t>
            </w: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402" w:type="dxa"/>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枫香（</w:t>
            </w:r>
            <w:r>
              <w:rPr>
                <w:rFonts w:cs="Times New Roman"/>
                <w:i/>
                <w:color w:val="000000" w:themeColor="text1"/>
                <w:sz w:val="18"/>
                <w:szCs w:val="18"/>
                <w:highlight w:val="none"/>
                <w14:textFill>
                  <w14:solidFill>
                    <w14:schemeClr w14:val="tx1"/>
                  </w14:solidFill>
                </w14:textFill>
              </w:rPr>
              <w:t>Liquidambar formosana Hance</w:t>
            </w:r>
            <w:r>
              <w:rPr>
                <w:rFonts w:cs="Times New Roman"/>
                <w:color w:val="000000" w:themeColor="text1"/>
                <w:sz w:val="21"/>
                <w:szCs w:val="21"/>
                <w:highlight w:val="none"/>
                <w14:textFill>
                  <w14:solidFill>
                    <w14:schemeClr w14:val="tx1"/>
                  </w14:solidFill>
                </w14:textFill>
              </w:rPr>
              <w:t>）</w:t>
            </w:r>
          </w:p>
        </w:tc>
        <w:tc>
          <w:tcPr>
            <w:tcW w:w="1634"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11</w:t>
            </w:r>
          </w:p>
        </w:tc>
        <w:tc>
          <w:tcPr>
            <w:tcW w:w="648" w:type="dxa"/>
            <w:vAlign w:val="center"/>
          </w:tcPr>
          <w:p>
            <w:pPr>
              <w:adjustRightInd/>
              <w:snapToGrid/>
              <w:spacing w:line="240" w:lineRule="auto"/>
              <w:ind w:firstLine="0" w:firstLineChars="0"/>
              <w:jc w:val="center"/>
              <w:rPr>
                <w:rFonts w:cs="Times New Roman" w:eastAsiaTheme="minorEastAsia"/>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4</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12</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4*4</w:t>
            </w: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402" w:type="dxa"/>
            <w:vAlign w:val="center"/>
          </w:tcPr>
          <w:p>
            <w:pPr>
              <w:adjustRightInd/>
              <w:snapToGrid/>
              <w:spacing w:line="240" w:lineRule="exact"/>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麻栎（</w:t>
            </w:r>
            <w:r>
              <w:rPr>
                <w:rFonts w:cs="Times New Roman"/>
                <w:i/>
                <w:color w:val="000000" w:themeColor="text1"/>
                <w:sz w:val="18"/>
                <w:szCs w:val="18"/>
                <w:highlight w:val="none"/>
                <w14:textFill>
                  <w14:solidFill>
                    <w14:schemeClr w14:val="tx1"/>
                  </w14:solidFill>
                </w14:textFill>
              </w:rPr>
              <w:t>Quercus acutissima Carruth.</w:t>
            </w:r>
            <w:r>
              <w:rPr>
                <w:rFonts w:cs="Times New Roman"/>
                <w:bCs/>
                <w:color w:val="000000" w:themeColor="text1"/>
                <w:sz w:val="21"/>
                <w:szCs w:val="21"/>
                <w:highlight w:val="none"/>
                <w14:textFill>
                  <w14:solidFill>
                    <w14:schemeClr w14:val="tx1"/>
                  </w14:solidFill>
                </w14:textFill>
              </w:rPr>
              <w:t>）</w:t>
            </w:r>
          </w:p>
        </w:tc>
        <w:tc>
          <w:tcPr>
            <w:tcW w:w="1634"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8</w:t>
            </w:r>
          </w:p>
        </w:tc>
        <w:tc>
          <w:tcPr>
            <w:tcW w:w="648" w:type="dxa"/>
            <w:vAlign w:val="center"/>
          </w:tcPr>
          <w:p>
            <w:pPr>
              <w:adjustRightInd/>
              <w:snapToGrid/>
              <w:spacing w:line="240" w:lineRule="auto"/>
              <w:ind w:firstLine="0" w:firstLineChars="0"/>
              <w:jc w:val="center"/>
              <w:rPr>
                <w:rFonts w:cs="Times New Roman" w:eastAsiaTheme="minorEastAsia"/>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2</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11</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4*3</w:t>
            </w: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402"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光皮桦（</w:t>
            </w:r>
            <w:r>
              <w:rPr>
                <w:rFonts w:cs="Times New Roman"/>
                <w:i/>
                <w:color w:val="000000" w:themeColor="text1"/>
                <w:sz w:val="21"/>
                <w:highlight w:val="none"/>
                <w14:textFill>
                  <w14:solidFill>
                    <w14:schemeClr w14:val="tx1"/>
                  </w14:solidFill>
                </w14:textFill>
              </w:rPr>
              <w:t>Betula luminifera</w:t>
            </w:r>
            <w:r>
              <w:rPr>
                <w:rFonts w:cs="Times New Roman"/>
                <w:color w:val="000000" w:themeColor="text1"/>
                <w:sz w:val="21"/>
                <w:szCs w:val="21"/>
                <w:highlight w:val="none"/>
                <w14:textFill>
                  <w14:solidFill>
                    <w14:schemeClr w14:val="tx1"/>
                  </w14:solidFill>
                </w14:textFill>
              </w:rPr>
              <w:t>）</w:t>
            </w:r>
          </w:p>
        </w:tc>
        <w:tc>
          <w:tcPr>
            <w:tcW w:w="1634"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9</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2</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14</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3*3</w:t>
            </w: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restar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灌木层</w:t>
            </w:r>
          </w:p>
        </w:tc>
        <w:tc>
          <w:tcPr>
            <w:tcW w:w="3402" w:type="dxa"/>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铁仔（</w:t>
            </w:r>
            <w:r>
              <w:rPr>
                <w:rFonts w:cs="Times New Roman"/>
                <w:i/>
                <w:iCs/>
                <w:color w:val="000000" w:themeColor="text1"/>
                <w:sz w:val="21"/>
                <w:szCs w:val="21"/>
                <w:highlight w:val="none"/>
                <w14:textFill>
                  <w14:solidFill>
                    <w14:schemeClr w14:val="tx1"/>
                  </w14:solidFill>
                </w14:textFill>
              </w:rPr>
              <w:t>Myrsine africana</w:t>
            </w:r>
            <w:r>
              <w:rPr>
                <w:rFonts w:cs="Times New Roman"/>
                <w:color w:val="000000" w:themeColor="text1"/>
                <w:sz w:val="21"/>
                <w:szCs w:val="21"/>
                <w:highlight w:val="none"/>
                <w14:textFill>
                  <w14:solidFill>
                    <w14:schemeClr w14:val="tx1"/>
                  </w14:solidFill>
                </w14:textFill>
              </w:rPr>
              <w:t>）</w:t>
            </w:r>
          </w:p>
        </w:tc>
        <w:tc>
          <w:tcPr>
            <w:tcW w:w="1634"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1.8</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7</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1.8</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402" w:type="dxa"/>
            <w:vAlign w:val="center"/>
          </w:tcPr>
          <w:p>
            <w:pPr>
              <w:adjustRightInd/>
              <w:snapToGrid/>
              <w:spacing w:line="240" w:lineRule="exact"/>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茅栗（</w:t>
            </w:r>
            <w:r>
              <w:rPr>
                <w:rFonts w:cs="Times New Roman"/>
                <w:i/>
                <w:color w:val="000000" w:themeColor="text1"/>
                <w:sz w:val="21"/>
                <w:szCs w:val="21"/>
                <w:highlight w:val="none"/>
                <w14:textFill>
                  <w14:solidFill>
                    <w14:schemeClr w14:val="tx1"/>
                  </w14:solidFill>
                </w14:textFill>
              </w:rPr>
              <w:t>Castanea seguinii Dode.</w:t>
            </w:r>
            <w:r>
              <w:rPr>
                <w:rFonts w:cs="Times New Roman"/>
                <w:color w:val="000000" w:themeColor="text1"/>
                <w:sz w:val="21"/>
                <w:szCs w:val="21"/>
                <w:highlight w:val="none"/>
                <w14:textFill>
                  <w14:solidFill>
                    <w14:schemeClr w14:val="tx1"/>
                  </w14:solidFill>
                </w14:textFill>
              </w:rPr>
              <w:t>）</w:t>
            </w:r>
          </w:p>
        </w:tc>
        <w:tc>
          <w:tcPr>
            <w:tcW w:w="1634"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2.3</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6</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2.0</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402" w:type="dxa"/>
            <w:vAlign w:val="center"/>
          </w:tcPr>
          <w:p>
            <w:pPr>
              <w:adjustRightInd/>
              <w:snapToGrid/>
              <w:spacing w:line="240" w:lineRule="exact"/>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檵木（</w:t>
            </w:r>
            <w:r>
              <w:rPr>
                <w:rFonts w:cs="Times New Roman"/>
                <w:i/>
                <w:color w:val="000000" w:themeColor="text1"/>
                <w:sz w:val="21"/>
                <w:szCs w:val="21"/>
                <w:highlight w:val="none"/>
                <w:lang w:val="pt-BR"/>
                <w14:textFill>
                  <w14:solidFill>
                    <w14:schemeClr w14:val="tx1"/>
                  </w14:solidFill>
                </w14:textFill>
              </w:rPr>
              <w:t xml:space="preserve">Loropetalum chinensis (R. Br.) </w:t>
            </w:r>
            <w:r>
              <w:rPr>
                <w:rFonts w:cs="Times New Roman"/>
                <w:i/>
                <w:color w:val="000000" w:themeColor="text1"/>
                <w:sz w:val="21"/>
                <w:szCs w:val="21"/>
                <w:highlight w:val="none"/>
                <w14:textFill>
                  <w14:solidFill>
                    <w14:schemeClr w14:val="tx1"/>
                  </w14:solidFill>
                </w14:textFill>
              </w:rPr>
              <w:t>Oliv</w:t>
            </w:r>
            <w:r>
              <w:rPr>
                <w:rFonts w:cs="Times New Roman"/>
                <w:color w:val="000000" w:themeColor="text1"/>
                <w:sz w:val="21"/>
                <w:szCs w:val="21"/>
                <w:highlight w:val="none"/>
                <w14:textFill>
                  <w14:solidFill>
                    <w14:schemeClr w14:val="tx1"/>
                  </w14:solidFill>
                </w14:textFill>
              </w:rPr>
              <w:t>）</w:t>
            </w:r>
          </w:p>
        </w:tc>
        <w:tc>
          <w:tcPr>
            <w:tcW w:w="1634"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1.2</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3</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1.5</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402" w:type="dxa"/>
            <w:vAlign w:val="center"/>
          </w:tcPr>
          <w:p>
            <w:pPr>
              <w:adjustRightInd/>
              <w:snapToGrid/>
              <w:spacing w:line="240" w:lineRule="exact"/>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油茶（</w:t>
            </w:r>
            <w:r>
              <w:rPr>
                <w:rFonts w:cs="Times New Roman"/>
                <w:i/>
                <w:color w:val="000000" w:themeColor="text1"/>
                <w:sz w:val="21"/>
                <w:szCs w:val="21"/>
                <w:highlight w:val="none"/>
                <w14:textFill>
                  <w14:solidFill>
                    <w14:schemeClr w14:val="tx1"/>
                  </w14:solidFill>
                </w14:textFill>
              </w:rPr>
              <w:t>Camellia oleifera Abel.</w:t>
            </w:r>
            <w:r>
              <w:rPr>
                <w:rFonts w:cs="Times New Roman"/>
                <w:color w:val="000000" w:themeColor="text1"/>
                <w:sz w:val="21"/>
                <w:szCs w:val="21"/>
                <w:highlight w:val="none"/>
                <w14:textFill>
                  <w14:solidFill>
                    <w14:schemeClr w14:val="tx1"/>
                  </w14:solidFill>
                </w14:textFill>
              </w:rPr>
              <w:t>）</w:t>
            </w:r>
          </w:p>
        </w:tc>
        <w:tc>
          <w:tcPr>
            <w:tcW w:w="1634"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1.2</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3</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1.0</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402" w:type="dxa"/>
            <w:vAlign w:val="center"/>
          </w:tcPr>
          <w:p>
            <w:pPr>
              <w:adjustRightInd/>
              <w:snapToGrid/>
              <w:spacing w:line="240" w:lineRule="exact"/>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小果南烛（</w:t>
            </w:r>
            <w:r>
              <w:rPr>
                <w:rFonts w:cs="Times New Roman"/>
                <w:i/>
                <w:color w:val="000000" w:themeColor="text1"/>
                <w:sz w:val="21"/>
                <w:szCs w:val="21"/>
                <w:highlight w:val="none"/>
                <w14:textFill>
                  <w14:solidFill>
                    <w14:schemeClr w14:val="tx1"/>
                  </w14:solidFill>
                </w14:textFill>
              </w:rPr>
              <w:t>Lyonia ovalifolia var. elloptiea (Siebold et Zucc.) Hand.-Mazz.</w:t>
            </w:r>
            <w:r>
              <w:rPr>
                <w:rFonts w:cs="Times New Roman"/>
                <w:color w:val="000000" w:themeColor="text1"/>
                <w:sz w:val="21"/>
                <w:szCs w:val="21"/>
                <w:highlight w:val="none"/>
                <w14:textFill>
                  <w14:solidFill>
                    <w14:schemeClr w14:val="tx1"/>
                  </w14:solidFill>
                </w14:textFill>
              </w:rPr>
              <w:t>）</w:t>
            </w:r>
          </w:p>
        </w:tc>
        <w:tc>
          <w:tcPr>
            <w:tcW w:w="1634"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1.4</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2</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1.5</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402" w:type="dxa"/>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米饭花（</w:t>
            </w:r>
            <w:r>
              <w:rPr>
                <w:rFonts w:cs="Times New Roman"/>
                <w:i/>
                <w:iCs/>
                <w:color w:val="000000" w:themeColor="text1"/>
                <w:sz w:val="21"/>
                <w:szCs w:val="21"/>
                <w:highlight w:val="none"/>
                <w14:textFill>
                  <w14:solidFill>
                    <w14:schemeClr w14:val="tx1"/>
                  </w14:solidFill>
                </w14:textFill>
              </w:rPr>
              <w:t>Vacciniuim sprengelii</w:t>
            </w:r>
            <w:r>
              <w:rPr>
                <w:rFonts w:cs="Times New Roman"/>
                <w:color w:val="000000" w:themeColor="text1"/>
                <w:sz w:val="21"/>
                <w:szCs w:val="21"/>
                <w:highlight w:val="none"/>
                <w14:textFill>
                  <w14:solidFill>
                    <w14:schemeClr w14:val="tx1"/>
                  </w14:solidFill>
                </w14:textFill>
              </w:rPr>
              <w:t>）</w:t>
            </w:r>
          </w:p>
        </w:tc>
        <w:tc>
          <w:tcPr>
            <w:tcW w:w="1634"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1.5</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6</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1.8</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402" w:type="dxa"/>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山矾</w:t>
            </w:r>
            <w:r>
              <w:rPr>
                <w:rFonts w:hint="eastAsia" w:cs="Times New Roman"/>
                <w:color w:val="000000" w:themeColor="text1"/>
                <w:sz w:val="21"/>
                <w:szCs w:val="21"/>
                <w:highlight w:val="none"/>
                <w14:textFill>
                  <w14:solidFill>
                    <w14:schemeClr w14:val="tx1"/>
                  </w14:solidFill>
                </w14:textFill>
              </w:rPr>
              <w:t>（</w:t>
            </w:r>
            <w:r>
              <w:rPr>
                <w:rFonts w:cs="Times New Roman"/>
                <w:i/>
                <w:iCs/>
                <w:color w:val="000000" w:themeColor="text1"/>
                <w:sz w:val="21"/>
                <w:szCs w:val="21"/>
                <w:highlight w:val="none"/>
                <w14:textFill>
                  <w14:solidFill>
                    <w14:schemeClr w14:val="tx1"/>
                  </w14:solidFill>
                </w14:textFill>
              </w:rPr>
              <w:t>Symplocos spp.</w:t>
            </w:r>
            <w:r>
              <w:rPr>
                <w:rFonts w:hint="eastAsia" w:cs="Times New Roman"/>
                <w:i/>
                <w:iCs/>
                <w:color w:val="000000" w:themeColor="text1"/>
                <w:sz w:val="21"/>
                <w:szCs w:val="21"/>
                <w:highlight w:val="none"/>
                <w14:textFill>
                  <w14:solidFill>
                    <w14:schemeClr w14:val="tx1"/>
                  </w14:solidFill>
                </w14:textFill>
              </w:rPr>
              <w:t>）</w:t>
            </w:r>
          </w:p>
        </w:tc>
        <w:tc>
          <w:tcPr>
            <w:tcW w:w="1634"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1.5</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3</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1.2</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402" w:type="dxa"/>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胡枝子（</w:t>
            </w:r>
            <w:r>
              <w:rPr>
                <w:rFonts w:cs="Times New Roman"/>
                <w:i/>
                <w:iCs/>
                <w:color w:val="000000" w:themeColor="text1"/>
                <w:sz w:val="21"/>
                <w:szCs w:val="21"/>
                <w:highlight w:val="none"/>
                <w14:textFill>
                  <w14:solidFill>
                    <w14:schemeClr w14:val="tx1"/>
                  </w14:solidFill>
                </w14:textFill>
              </w:rPr>
              <w:t>Lespedeza bicolor </w:t>
            </w:r>
            <w:r>
              <w:rPr>
                <w:rFonts w:cs="Times New Roman"/>
                <w:color w:val="000000" w:themeColor="text1"/>
                <w:sz w:val="21"/>
                <w:szCs w:val="21"/>
                <w:highlight w:val="none"/>
                <w14:textFill>
                  <w14:solidFill>
                    <w14:schemeClr w14:val="tx1"/>
                  </w14:solidFill>
                </w14:textFill>
              </w:rPr>
              <w:t>Turcz.）</w:t>
            </w:r>
          </w:p>
        </w:tc>
        <w:tc>
          <w:tcPr>
            <w:tcW w:w="1634"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1.2</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1.5</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402" w:type="dxa"/>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金山荚蒾（</w:t>
            </w:r>
            <w:r>
              <w:rPr>
                <w:rFonts w:cs="Times New Roman"/>
                <w:i/>
                <w:iCs/>
                <w:color w:val="000000" w:themeColor="text1"/>
                <w:sz w:val="21"/>
                <w:szCs w:val="21"/>
                <w:highlight w:val="none"/>
                <w14:textFill>
                  <w14:solidFill>
                    <w14:schemeClr w14:val="tx1"/>
                  </w14:solidFill>
                </w14:textFill>
              </w:rPr>
              <w:t>Viburnum chinshanense</w:t>
            </w:r>
            <w:r>
              <w:rPr>
                <w:rFonts w:cs="Times New Roman"/>
                <w:color w:val="000000" w:themeColor="text1"/>
                <w:sz w:val="21"/>
                <w:szCs w:val="21"/>
                <w:highlight w:val="none"/>
                <w14:textFill>
                  <w14:solidFill>
                    <w14:schemeClr w14:val="tx1"/>
                  </w14:solidFill>
                </w14:textFill>
              </w:rPr>
              <w:t>）</w:t>
            </w:r>
          </w:p>
        </w:tc>
        <w:tc>
          <w:tcPr>
            <w:tcW w:w="1634"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1.4</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1.2</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restar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草本层</w:t>
            </w:r>
          </w:p>
        </w:tc>
        <w:tc>
          <w:tcPr>
            <w:tcW w:w="3402" w:type="dxa"/>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白茅</w:t>
            </w:r>
            <w:r>
              <w:rPr>
                <w:rFonts w:cs="Times New Roman"/>
                <w:i/>
                <w:iCs/>
                <w:color w:val="000000" w:themeColor="text1"/>
                <w:sz w:val="21"/>
                <w:szCs w:val="21"/>
                <w:highlight w:val="none"/>
                <w14:textFill>
                  <w14:solidFill>
                    <w14:schemeClr w14:val="tx1"/>
                  </w14:solidFill>
                </w14:textFill>
              </w:rPr>
              <w:t>Imperata cylindrica.</w:t>
            </w:r>
          </w:p>
        </w:tc>
        <w:tc>
          <w:tcPr>
            <w:tcW w:w="1634"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0.6</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Soc</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402" w:type="dxa"/>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狗脊（</w:t>
            </w:r>
            <w:r>
              <w:rPr>
                <w:rFonts w:cs="Times New Roman"/>
                <w:i/>
                <w:color w:val="000000" w:themeColor="text1"/>
                <w:sz w:val="21"/>
                <w:szCs w:val="21"/>
                <w:highlight w:val="none"/>
                <w:lang w:val="pt-BR"/>
                <w14:textFill>
                  <w14:solidFill>
                    <w14:schemeClr w14:val="tx1"/>
                  </w14:solidFill>
                </w14:textFill>
              </w:rPr>
              <w:t>Woodwardia japonica (L. F.) Sm.</w:t>
            </w:r>
            <w:r>
              <w:rPr>
                <w:rFonts w:cs="Times New Roman"/>
                <w:color w:val="000000" w:themeColor="text1"/>
                <w:sz w:val="21"/>
                <w:szCs w:val="21"/>
                <w:highlight w:val="none"/>
                <w14:textFill>
                  <w14:solidFill>
                    <w14:schemeClr w14:val="tx1"/>
                  </w14:solidFill>
                </w14:textFill>
              </w:rPr>
              <w:t>）</w:t>
            </w:r>
          </w:p>
        </w:tc>
        <w:tc>
          <w:tcPr>
            <w:tcW w:w="1634"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0.95</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Soc</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402" w:type="dxa"/>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芒萁</w:t>
            </w:r>
            <w:r>
              <w:rPr>
                <w:rFonts w:hint="eastAsia" w:cs="Times New Roman"/>
                <w:color w:val="000000" w:themeColor="text1"/>
                <w:sz w:val="21"/>
                <w:szCs w:val="21"/>
                <w:highlight w:val="none"/>
                <w14:textFill>
                  <w14:solidFill>
                    <w14:schemeClr w14:val="tx1"/>
                  </w14:solidFill>
                </w14:textFill>
              </w:rPr>
              <w:t>（</w:t>
            </w:r>
            <w:r>
              <w:rPr>
                <w:rFonts w:cs="Times New Roman"/>
                <w:i/>
                <w:iCs/>
                <w:color w:val="000000" w:themeColor="text1"/>
                <w:sz w:val="21"/>
                <w:szCs w:val="21"/>
                <w:highlight w:val="none"/>
                <w14:textFill>
                  <w14:solidFill>
                    <w14:schemeClr w14:val="tx1"/>
                  </w14:solidFill>
                </w14:textFill>
              </w:rPr>
              <w:t>Dicranopteris dichotoma</w:t>
            </w:r>
            <w:r>
              <w:rPr>
                <w:rFonts w:hint="eastAsia" w:cs="Times New Roman"/>
                <w:i/>
                <w:iCs/>
                <w:color w:val="000000" w:themeColor="text1"/>
                <w:sz w:val="21"/>
                <w:szCs w:val="21"/>
                <w:highlight w:val="none"/>
                <w14:textFill>
                  <w14:solidFill>
                    <w14:schemeClr w14:val="tx1"/>
                  </w14:solidFill>
                </w14:textFill>
              </w:rPr>
              <w:t>）</w:t>
            </w:r>
          </w:p>
        </w:tc>
        <w:tc>
          <w:tcPr>
            <w:tcW w:w="1634"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0.40</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Cop</w:t>
            </w:r>
            <w:r>
              <w:rPr>
                <w:rFonts w:cs="Times New Roman"/>
                <w:bCs/>
                <w:color w:val="000000" w:themeColor="text1"/>
                <w:sz w:val="21"/>
                <w:szCs w:val="21"/>
                <w:highlight w:val="none"/>
                <w:vertAlign w:val="subscript"/>
                <w14:textFill>
                  <w14:solidFill>
                    <w14:schemeClr w14:val="tx1"/>
                  </w14:solidFill>
                </w14:textFill>
              </w:rPr>
              <w:t>1</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402" w:type="dxa"/>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芒</w:t>
            </w:r>
            <w:r>
              <w:rPr>
                <w:rFonts w:cs="Times New Roman"/>
                <w:i/>
                <w:iCs/>
                <w:color w:val="000000" w:themeColor="text1"/>
                <w:sz w:val="21"/>
                <w:szCs w:val="21"/>
                <w:highlight w:val="none"/>
                <w14:textFill>
                  <w14:solidFill>
                    <w14:schemeClr w14:val="tx1"/>
                  </w14:solidFill>
                </w14:textFill>
              </w:rPr>
              <w:t>Miscanthus sinensis</w:t>
            </w:r>
          </w:p>
        </w:tc>
        <w:tc>
          <w:tcPr>
            <w:tcW w:w="1634"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0.25</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Sol.</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402" w:type="dxa"/>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麦冬</w:t>
            </w:r>
            <w:r>
              <w:rPr>
                <w:rFonts w:hint="eastAsia" w:cs="Times New Roman"/>
                <w:color w:val="000000" w:themeColor="text1"/>
                <w:sz w:val="21"/>
                <w:szCs w:val="21"/>
                <w:highlight w:val="none"/>
                <w14:textFill>
                  <w14:solidFill>
                    <w14:schemeClr w14:val="tx1"/>
                  </w14:solidFill>
                </w14:textFill>
              </w:rPr>
              <w:t>（</w:t>
            </w:r>
            <w:r>
              <w:rPr>
                <w:rFonts w:cs="Times New Roman"/>
                <w:i/>
                <w:iCs/>
                <w:color w:val="000000" w:themeColor="text1"/>
                <w:sz w:val="21"/>
                <w:szCs w:val="21"/>
                <w:highlight w:val="none"/>
                <w14:textFill>
                  <w14:solidFill>
                    <w14:schemeClr w14:val="tx1"/>
                  </w14:solidFill>
                </w14:textFill>
              </w:rPr>
              <w:t>Ophiopogon japonicus</w:t>
            </w:r>
            <w:r>
              <w:rPr>
                <w:rFonts w:hint="eastAsia" w:cs="Times New Roman"/>
                <w:i/>
                <w:iCs/>
                <w:color w:val="000000" w:themeColor="text1"/>
                <w:sz w:val="21"/>
                <w:szCs w:val="21"/>
                <w:highlight w:val="none"/>
                <w14:textFill>
                  <w14:solidFill>
                    <w14:schemeClr w14:val="tx1"/>
                  </w14:solidFill>
                </w14:textFill>
              </w:rPr>
              <w:t>）</w:t>
            </w:r>
          </w:p>
        </w:tc>
        <w:tc>
          <w:tcPr>
            <w:tcW w:w="1634"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0.95</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Sp.</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402" w:type="dxa"/>
            <w:vAlign w:val="center"/>
          </w:tcPr>
          <w:p>
            <w:pPr>
              <w:adjustRightInd/>
              <w:snapToGrid/>
              <w:spacing w:line="240" w:lineRule="exact"/>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白茅（</w:t>
            </w:r>
            <w:r>
              <w:rPr>
                <w:rFonts w:cs="Times New Roman"/>
                <w:i/>
                <w:color w:val="000000" w:themeColor="text1"/>
                <w:sz w:val="21"/>
                <w:szCs w:val="21"/>
                <w:highlight w:val="none"/>
                <w:lang w:val="pt-BR"/>
                <w14:textFill>
                  <w14:solidFill>
                    <w14:schemeClr w14:val="tx1"/>
                  </w14:solidFill>
                </w14:textFill>
              </w:rPr>
              <w:t>Imperata cylindrica (L.) Beauv.</w:t>
            </w:r>
            <w:r>
              <w:rPr>
                <w:rFonts w:cs="Times New Roman"/>
                <w:color w:val="000000" w:themeColor="text1"/>
                <w:sz w:val="21"/>
                <w:szCs w:val="21"/>
                <w:highlight w:val="none"/>
                <w14:textFill>
                  <w14:solidFill>
                    <w14:schemeClr w14:val="tx1"/>
                  </w14:solidFill>
                </w14:textFill>
              </w:rPr>
              <w:t>）</w:t>
            </w:r>
          </w:p>
        </w:tc>
        <w:tc>
          <w:tcPr>
            <w:tcW w:w="1634"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0.5</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Un.</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402" w:type="dxa"/>
            <w:vAlign w:val="center"/>
          </w:tcPr>
          <w:p>
            <w:pPr>
              <w:adjustRightInd/>
              <w:snapToGrid/>
              <w:spacing w:line="240" w:lineRule="exact"/>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野古草（</w:t>
            </w:r>
            <w:r>
              <w:rPr>
                <w:rFonts w:cs="Times New Roman"/>
                <w:i/>
                <w:color w:val="000000" w:themeColor="text1"/>
                <w:sz w:val="21"/>
                <w:szCs w:val="21"/>
                <w:highlight w:val="none"/>
                <w:shd w:val="clear" w:color="auto" w:fill="FFFFFF"/>
                <w14:textFill>
                  <w14:solidFill>
                    <w14:schemeClr w14:val="tx1"/>
                  </w14:solidFill>
                </w14:textFill>
              </w:rPr>
              <w:t>Arund</w:t>
            </w:r>
            <w:r>
              <w:rPr>
                <w:rFonts w:cs="Times New Roman"/>
                <w:i/>
                <w:color w:val="000000" w:themeColor="text1"/>
                <w:sz w:val="21"/>
                <w:szCs w:val="21"/>
                <w:highlight w:val="none"/>
                <w:lang w:val="pt-BR"/>
                <w14:textFill>
                  <w14:solidFill>
                    <w14:schemeClr w14:val="tx1"/>
                  </w14:solidFill>
                </w14:textFill>
              </w:rPr>
              <w:t>inella anomala Steud.</w:t>
            </w:r>
            <w:r>
              <w:rPr>
                <w:rFonts w:cs="Times New Roman"/>
                <w:color w:val="000000" w:themeColor="text1"/>
                <w:sz w:val="21"/>
                <w:szCs w:val="21"/>
                <w:highlight w:val="none"/>
                <w14:textFill>
                  <w14:solidFill>
                    <w14:schemeClr w14:val="tx1"/>
                  </w14:solidFill>
                </w14:textFill>
              </w:rPr>
              <w:t>）</w:t>
            </w:r>
          </w:p>
        </w:tc>
        <w:tc>
          <w:tcPr>
            <w:tcW w:w="1634"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0.6</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Un.</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bl>
    <w:p>
      <w:pPr>
        <w:pStyle w:val="96"/>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样方1  马尾松群系样方表（2）</w:t>
      </w:r>
    </w:p>
    <w:tbl>
      <w:tblPr>
        <w:tblStyle w:val="41"/>
        <w:tblW w:w="90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4"/>
        <w:gridCol w:w="3378"/>
        <w:gridCol w:w="703"/>
        <w:gridCol w:w="481"/>
        <w:gridCol w:w="621"/>
        <w:gridCol w:w="648"/>
        <w:gridCol w:w="550"/>
        <w:gridCol w:w="523"/>
        <w:gridCol w:w="659"/>
        <w:gridCol w:w="7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atLeast"/>
          <w:jc w:val="center"/>
        </w:trPr>
        <w:tc>
          <w:tcPr>
            <w:tcW w:w="704"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坐标</w:t>
            </w:r>
          </w:p>
        </w:tc>
        <w:tc>
          <w:tcPr>
            <w:tcW w:w="3378"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107.6007,31.3337</w:t>
            </w:r>
          </w:p>
        </w:tc>
        <w:tc>
          <w:tcPr>
            <w:tcW w:w="70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海拔</w:t>
            </w:r>
            <w:r>
              <w:rPr>
                <w:rFonts w:hint="eastAsia"/>
                <w:b/>
                <w:bCs/>
                <w:color w:val="000000" w:themeColor="text1"/>
                <w:highlight w:val="none"/>
                <w14:textFill>
                  <w14:solidFill>
                    <w14:schemeClr w14:val="tx1"/>
                  </w14:solidFill>
                </w14:textFill>
              </w:rPr>
              <w:t>（</w:t>
            </w:r>
            <w:r>
              <w:rPr>
                <w:b/>
                <w:bCs/>
                <w:color w:val="000000" w:themeColor="text1"/>
                <w:highlight w:val="none"/>
                <w14:textFill>
                  <w14:solidFill>
                    <w14:schemeClr w14:val="tx1"/>
                  </w14:solidFill>
                </w14:textFill>
              </w:rPr>
              <w:t>m</w:t>
            </w:r>
            <w:r>
              <w:rPr>
                <w:rFonts w:hint="eastAsia"/>
                <w:b/>
                <w:bCs/>
                <w:color w:val="000000" w:themeColor="text1"/>
                <w:highlight w:val="none"/>
                <w14:textFill>
                  <w14:solidFill>
                    <w14:schemeClr w14:val="tx1"/>
                  </w14:solidFill>
                </w14:textFill>
              </w:rPr>
              <w:t>）</w:t>
            </w:r>
          </w:p>
        </w:tc>
        <w:tc>
          <w:tcPr>
            <w:tcW w:w="481"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520</w:t>
            </w:r>
          </w:p>
        </w:tc>
        <w:tc>
          <w:tcPr>
            <w:tcW w:w="621"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土壤类型</w:t>
            </w:r>
          </w:p>
        </w:tc>
        <w:tc>
          <w:tcPr>
            <w:tcW w:w="648"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壤土</w:t>
            </w:r>
          </w:p>
        </w:tc>
        <w:tc>
          <w:tcPr>
            <w:tcW w:w="550"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坡度</w:t>
            </w:r>
          </w:p>
        </w:tc>
        <w:tc>
          <w:tcPr>
            <w:tcW w:w="52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20</w:t>
            </w:r>
          </w:p>
        </w:tc>
        <w:tc>
          <w:tcPr>
            <w:tcW w:w="65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坡向</w:t>
            </w:r>
          </w:p>
        </w:tc>
        <w:tc>
          <w:tcPr>
            <w:tcW w:w="74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WE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4" w:type="dxa"/>
            <w:vAlign w:val="center"/>
          </w:tcPr>
          <w:p>
            <w:pPr>
              <w:pStyle w:val="118"/>
              <w:rPr>
                <w:b/>
                <w:bCs/>
                <w:color w:val="000000" w:themeColor="text1"/>
                <w:highlight w:val="none"/>
                <w14:textFill>
                  <w14:solidFill>
                    <w14:schemeClr w14:val="tx1"/>
                  </w14:solidFill>
                </w14:textFill>
              </w:rPr>
            </w:pPr>
          </w:p>
        </w:tc>
        <w:tc>
          <w:tcPr>
            <w:tcW w:w="3378"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中文名（拉丁名）</w:t>
            </w:r>
          </w:p>
        </w:tc>
        <w:tc>
          <w:tcPr>
            <w:tcW w:w="1805" w:type="dxa"/>
            <w:gridSpan w:val="3"/>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平均高度m</w:t>
            </w:r>
          </w:p>
        </w:tc>
        <w:tc>
          <w:tcPr>
            <w:tcW w:w="648"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株数/多度</w:t>
            </w:r>
          </w:p>
        </w:tc>
        <w:tc>
          <w:tcPr>
            <w:tcW w:w="1073" w:type="dxa"/>
            <w:gridSpan w:val="2"/>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平均胸径cm</w:t>
            </w:r>
          </w:p>
        </w:tc>
        <w:tc>
          <w:tcPr>
            <w:tcW w:w="65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平均</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冠幅</w:t>
            </w:r>
          </w:p>
        </w:tc>
        <w:tc>
          <w:tcPr>
            <w:tcW w:w="74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茂盛</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4"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乔木层</w:t>
            </w:r>
          </w:p>
        </w:tc>
        <w:tc>
          <w:tcPr>
            <w:tcW w:w="337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马尾松（Pinus massoniana）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33</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c>
          <w:tcPr>
            <w:tcW w:w="65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5*4</w:t>
            </w: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4"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灌木层</w:t>
            </w:r>
          </w:p>
        </w:tc>
        <w:tc>
          <w:tcPr>
            <w:tcW w:w="337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化香（Platycarya strobilacea Sieb.et Zucc.）</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4.9</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4" w:type="dxa"/>
            <w:vMerge w:val="continue"/>
            <w:vAlign w:val="center"/>
          </w:tcPr>
          <w:p>
            <w:pPr>
              <w:pStyle w:val="118"/>
              <w:rPr>
                <w:color w:val="000000" w:themeColor="text1"/>
                <w:highlight w:val="none"/>
                <w14:textFill>
                  <w14:solidFill>
                    <w14:schemeClr w14:val="tx1"/>
                  </w14:solidFill>
                </w14:textFill>
              </w:rPr>
            </w:pPr>
          </w:p>
        </w:tc>
        <w:tc>
          <w:tcPr>
            <w:tcW w:w="337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黄连木（Pistacia chinensis Bunge）</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4" w:type="dxa"/>
            <w:vMerge w:val="continue"/>
            <w:vAlign w:val="center"/>
          </w:tcPr>
          <w:p>
            <w:pPr>
              <w:pStyle w:val="118"/>
              <w:rPr>
                <w:color w:val="000000" w:themeColor="text1"/>
                <w:highlight w:val="none"/>
                <w14:textFill>
                  <w14:solidFill>
                    <w14:schemeClr w14:val="tx1"/>
                  </w14:solidFill>
                </w14:textFill>
              </w:rPr>
            </w:pPr>
          </w:p>
        </w:tc>
        <w:tc>
          <w:tcPr>
            <w:tcW w:w="337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黄荆（Vitex negundo L.）</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4" w:type="dxa"/>
            <w:vMerge w:val="continue"/>
            <w:vAlign w:val="center"/>
          </w:tcPr>
          <w:p>
            <w:pPr>
              <w:pStyle w:val="118"/>
              <w:rPr>
                <w:color w:val="000000" w:themeColor="text1"/>
                <w:highlight w:val="none"/>
                <w14:textFill>
                  <w14:solidFill>
                    <w14:schemeClr w14:val="tx1"/>
                  </w14:solidFill>
                </w14:textFill>
              </w:rPr>
            </w:pPr>
          </w:p>
        </w:tc>
        <w:tc>
          <w:tcPr>
            <w:tcW w:w="337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八角金盘（Fatsia japonica (Thunb.)Decne. et Planch）</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4" w:type="dxa"/>
            <w:vMerge w:val="continue"/>
            <w:vAlign w:val="center"/>
          </w:tcPr>
          <w:p>
            <w:pPr>
              <w:pStyle w:val="118"/>
              <w:rPr>
                <w:color w:val="000000" w:themeColor="text1"/>
                <w:highlight w:val="none"/>
                <w14:textFill>
                  <w14:solidFill>
                    <w14:schemeClr w14:val="tx1"/>
                  </w14:solidFill>
                </w14:textFill>
              </w:rPr>
            </w:pPr>
          </w:p>
        </w:tc>
        <w:tc>
          <w:tcPr>
            <w:tcW w:w="337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胡枝子（Lespedeza bicolor Turcz.）</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4" w:type="dxa"/>
            <w:vMerge w:val="continue"/>
            <w:vAlign w:val="center"/>
          </w:tcPr>
          <w:p>
            <w:pPr>
              <w:pStyle w:val="118"/>
              <w:rPr>
                <w:color w:val="000000" w:themeColor="text1"/>
                <w:highlight w:val="none"/>
                <w14:textFill>
                  <w14:solidFill>
                    <w14:schemeClr w14:val="tx1"/>
                  </w14:solidFill>
                </w14:textFill>
              </w:rPr>
            </w:pPr>
          </w:p>
        </w:tc>
        <w:tc>
          <w:tcPr>
            <w:tcW w:w="337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悬钩子</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Rubus spp</w:t>
            </w:r>
            <w:r>
              <w:rPr>
                <w:rFonts w:hint="eastAsia"/>
                <w:color w:val="000000" w:themeColor="text1"/>
                <w:highlight w:val="none"/>
                <w14:textFill>
                  <w14:solidFill>
                    <w14:schemeClr w14:val="tx1"/>
                  </w14:solidFill>
                </w14:textFill>
              </w:rPr>
              <w:t>）</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1.8</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4" w:type="dxa"/>
            <w:vMerge w:val="continue"/>
            <w:vAlign w:val="center"/>
          </w:tcPr>
          <w:p>
            <w:pPr>
              <w:pStyle w:val="118"/>
              <w:rPr>
                <w:color w:val="000000" w:themeColor="text1"/>
                <w:highlight w:val="none"/>
                <w14:textFill>
                  <w14:solidFill>
                    <w14:schemeClr w14:val="tx1"/>
                  </w14:solidFill>
                </w14:textFill>
              </w:rPr>
            </w:pPr>
          </w:p>
        </w:tc>
        <w:tc>
          <w:tcPr>
            <w:tcW w:w="337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金山荚蒾（Viburnum chinshanense）</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1.4</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4"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草本层</w:t>
            </w:r>
          </w:p>
        </w:tc>
        <w:tc>
          <w:tcPr>
            <w:tcW w:w="337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芒（Miscanthus sinensis）</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0.95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Soc</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4" w:type="dxa"/>
            <w:vMerge w:val="continue"/>
            <w:vAlign w:val="center"/>
          </w:tcPr>
          <w:p>
            <w:pPr>
              <w:pStyle w:val="118"/>
              <w:rPr>
                <w:color w:val="000000" w:themeColor="text1"/>
                <w:highlight w:val="none"/>
                <w14:textFill>
                  <w14:solidFill>
                    <w14:schemeClr w14:val="tx1"/>
                  </w14:solidFill>
                </w14:textFill>
              </w:rPr>
            </w:pPr>
          </w:p>
        </w:tc>
        <w:tc>
          <w:tcPr>
            <w:tcW w:w="337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苎麻（Boehmeria nivea （L.） Gaudich.）</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Cop2</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4" w:type="dxa"/>
            <w:vMerge w:val="continue"/>
            <w:vAlign w:val="center"/>
          </w:tcPr>
          <w:p>
            <w:pPr>
              <w:pStyle w:val="118"/>
              <w:rPr>
                <w:color w:val="000000" w:themeColor="text1"/>
                <w:highlight w:val="none"/>
                <w14:textFill>
                  <w14:solidFill>
                    <w14:schemeClr w14:val="tx1"/>
                  </w14:solidFill>
                </w14:textFill>
              </w:rPr>
            </w:pPr>
          </w:p>
        </w:tc>
        <w:tc>
          <w:tcPr>
            <w:tcW w:w="337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葛（Pueraria lobata）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Cop1</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4" w:type="dxa"/>
            <w:vMerge w:val="continue"/>
            <w:vAlign w:val="center"/>
          </w:tcPr>
          <w:p>
            <w:pPr>
              <w:pStyle w:val="118"/>
              <w:rPr>
                <w:color w:val="000000" w:themeColor="text1"/>
                <w:highlight w:val="none"/>
                <w14:textFill>
                  <w14:solidFill>
                    <w14:schemeClr w14:val="tx1"/>
                  </w14:solidFill>
                </w14:textFill>
              </w:rPr>
            </w:pPr>
          </w:p>
        </w:tc>
        <w:tc>
          <w:tcPr>
            <w:tcW w:w="337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麦冬</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Ophiopogon japonicus</w:t>
            </w:r>
            <w:r>
              <w:rPr>
                <w:rFonts w:hint="eastAsia"/>
                <w:color w:val="000000" w:themeColor="text1"/>
                <w:highlight w:val="none"/>
                <w14:textFill>
                  <w14:solidFill>
                    <w14:schemeClr w14:val="tx1"/>
                  </w14:solidFill>
                </w14:textFill>
              </w:rPr>
              <w:t>）</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0.95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Soc</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4" w:type="dxa"/>
            <w:vMerge w:val="continue"/>
            <w:vAlign w:val="center"/>
          </w:tcPr>
          <w:p>
            <w:pPr>
              <w:pStyle w:val="118"/>
              <w:rPr>
                <w:color w:val="000000" w:themeColor="text1"/>
                <w:highlight w:val="none"/>
                <w14:textFill>
                  <w14:solidFill>
                    <w14:schemeClr w14:val="tx1"/>
                  </w14:solidFill>
                </w14:textFill>
              </w:rPr>
            </w:pPr>
          </w:p>
        </w:tc>
        <w:tc>
          <w:tcPr>
            <w:tcW w:w="337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栗褐苔草（Carex brunnea Thunb.）</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Un.</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4" w:type="dxa"/>
            <w:vMerge w:val="continue"/>
            <w:vAlign w:val="center"/>
          </w:tcPr>
          <w:p>
            <w:pPr>
              <w:pStyle w:val="118"/>
              <w:rPr>
                <w:color w:val="000000" w:themeColor="text1"/>
                <w:highlight w:val="none"/>
                <w14:textFill>
                  <w14:solidFill>
                    <w14:schemeClr w14:val="tx1"/>
                  </w14:solidFill>
                </w14:textFill>
              </w:rPr>
            </w:pPr>
          </w:p>
        </w:tc>
        <w:tc>
          <w:tcPr>
            <w:tcW w:w="337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三叶鬼针草（Bidens pilosa）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Un.</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4" w:type="dxa"/>
            <w:vMerge w:val="continue"/>
            <w:vAlign w:val="center"/>
          </w:tcPr>
          <w:p>
            <w:pPr>
              <w:pStyle w:val="118"/>
              <w:rPr>
                <w:color w:val="000000" w:themeColor="text1"/>
                <w:highlight w:val="none"/>
                <w14:textFill>
                  <w14:solidFill>
                    <w14:schemeClr w14:val="tx1"/>
                  </w14:solidFill>
                </w14:textFill>
              </w:rPr>
            </w:pPr>
          </w:p>
        </w:tc>
        <w:tc>
          <w:tcPr>
            <w:tcW w:w="337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野艾蒿（Artemisia lavandulaefolia）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0.7</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Un.</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4" w:type="dxa"/>
            <w:vMerge w:val="continue"/>
            <w:vAlign w:val="center"/>
          </w:tcPr>
          <w:p>
            <w:pPr>
              <w:pStyle w:val="118"/>
              <w:rPr>
                <w:color w:val="000000" w:themeColor="text1"/>
                <w:highlight w:val="none"/>
                <w14:textFill>
                  <w14:solidFill>
                    <w14:schemeClr w14:val="tx1"/>
                  </w14:solidFill>
                </w14:textFill>
              </w:rPr>
            </w:pPr>
          </w:p>
        </w:tc>
        <w:tc>
          <w:tcPr>
            <w:tcW w:w="337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翠云草</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Selaginella uncinata</w:t>
            </w:r>
            <w:r>
              <w:rPr>
                <w:rFonts w:hint="eastAsia"/>
                <w:color w:val="000000" w:themeColor="text1"/>
                <w:highlight w:val="none"/>
                <w14:textFill>
                  <w14:solidFill>
                    <w14:schemeClr w14:val="tx1"/>
                  </w14:solidFill>
                </w14:textFill>
              </w:rPr>
              <w:t>）</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0.85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Sp</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bl>
    <w:p>
      <w:pPr>
        <w:pStyle w:val="96"/>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样方1  马尾松群系样方表（3）</w:t>
      </w:r>
    </w:p>
    <w:tbl>
      <w:tblPr>
        <w:tblStyle w:val="41"/>
        <w:tblW w:w="91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4"/>
        <w:gridCol w:w="3515"/>
        <w:gridCol w:w="703"/>
        <w:gridCol w:w="481"/>
        <w:gridCol w:w="621"/>
        <w:gridCol w:w="648"/>
        <w:gridCol w:w="550"/>
        <w:gridCol w:w="523"/>
        <w:gridCol w:w="659"/>
        <w:gridCol w:w="7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atLeast"/>
          <w:jc w:val="center"/>
        </w:trPr>
        <w:tc>
          <w:tcPr>
            <w:tcW w:w="704"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坐标</w:t>
            </w:r>
          </w:p>
        </w:tc>
        <w:tc>
          <w:tcPr>
            <w:tcW w:w="3515"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107.5716,31.3412</w:t>
            </w:r>
          </w:p>
        </w:tc>
        <w:tc>
          <w:tcPr>
            <w:tcW w:w="70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海拔</w:t>
            </w:r>
            <w:r>
              <w:rPr>
                <w:rFonts w:hint="eastAsia"/>
                <w:b/>
                <w:bCs/>
                <w:color w:val="000000" w:themeColor="text1"/>
                <w:highlight w:val="none"/>
                <w14:textFill>
                  <w14:solidFill>
                    <w14:schemeClr w14:val="tx1"/>
                  </w14:solidFill>
                </w14:textFill>
              </w:rPr>
              <w:t>（</w:t>
            </w:r>
            <w:r>
              <w:rPr>
                <w:b/>
                <w:bCs/>
                <w:color w:val="000000" w:themeColor="text1"/>
                <w:highlight w:val="none"/>
                <w14:textFill>
                  <w14:solidFill>
                    <w14:schemeClr w14:val="tx1"/>
                  </w14:solidFill>
                </w14:textFill>
              </w:rPr>
              <w:t>m</w:t>
            </w:r>
            <w:r>
              <w:rPr>
                <w:rFonts w:hint="eastAsia"/>
                <w:b/>
                <w:bCs/>
                <w:color w:val="000000" w:themeColor="text1"/>
                <w:highlight w:val="none"/>
                <w14:textFill>
                  <w14:solidFill>
                    <w14:schemeClr w14:val="tx1"/>
                  </w14:solidFill>
                </w14:textFill>
              </w:rPr>
              <w:t>）</w:t>
            </w:r>
          </w:p>
        </w:tc>
        <w:tc>
          <w:tcPr>
            <w:tcW w:w="481"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612</w:t>
            </w:r>
          </w:p>
        </w:tc>
        <w:tc>
          <w:tcPr>
            <w:tcW w:w="621"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土壤类型</w:t>
            </w:r>
          </w:p>
        </w:tc>
        <w:tc>
          <w:tcPr>
            <w:tcW w:w="648"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壤土</w:t>
            </w:r>
          </w:p>
        </w:tc>
        <w:tc>
          <w:tcPr>
            <w:tcW w:w="550"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坡度</w:t>
            </w:r>
          </w:p>
        </w:tc>
        <w:tc>
          <w:tcPr>
            <w:tcW w:w="52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15</w:t>
            </w:r>
          </w:p>
        </w:tc>
        <w:tc>
          <w:tcPr>
            <w:tcW w:w="65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坡向</w:t>
            </w:r>
          </w:p>
        </w:tc>
        <w:tc>
          <w:tcPr>
            <w:tcW w:w="74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4" w:type="dxa"/>
            <w:vAlign w:val="center"/>
          </w:tcPr>
          <w:p>
            <w:pPr>
              <w:pStyle w:val="118"/>
              <w:rPr>
                <w:b/>
                <w:bCs/>
                <w:color w:val="000000" w:themeColor="text1"/>
                <w:highlight w:val="none"/>
                <w14:textFill>
                  <w14:solidFill>
                    <w14:schemeClr w14:val="tx1"/>
                  </w14:solidFill>
                </w14:textFill>
              </w:rPr>
            </w:pPr>
          </w:p>
        </w:tc>
        <w:tc>
          <w:tcPr>
            <w:tcW w:w="3515"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中文名（拉丁名）</w:t>
            </w:r>
          </w:p>
        </w:tc>
        <w:tc>
          <w:tcPr>
            <w:tcW w:w="1805" w:type="dxa"/>
            <w:gridSpan w:val="3"/>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平均高度m</w:t>
            </w:r>
          </w:p>
        </w:tc>
        <w:tc>
          <w:tcPr>
            <w:tcW w:w="648"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株数/多度</w:t>
            </w:r>
          </w:p>
        </w:tc>
        <w:tc>
          <w:tcPr>
            <w:tcW w:w="1073" w:type="dxa"/>
            <w:gridSpan w:val="2"/>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平均胸径cm</w:t>
            </w:r>
          </w:p>
        </w:tc>
        <w:tc>
          <w:tcPr>
            <w:tcW w:w="65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平均</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冠幅</w:t>
            </w:r>
          </w:p>
        </w:tc>
        <w:tc>
          <w:tcPr>
            <w:tcW w:w="74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茂盛</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4"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乔木层</w:t>
            </w:r>
          </w:p>
        </w:tc>
        <w:tc>
          <w:tcPr>
            <w:tcW w:w="351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马尾松（Pinus massoniana）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16</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38</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14</w:t>
            </w:r>
          </w:p>
        </w:tc>
        <w:tc>
          <w:tcPr>
            <w:tcW w:w="65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5*4</w:t>
            </w: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4"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灌木层</w:t>
            </w:r>
          </w:p>
        </w:tc>
        <w:tc>
          <w:tcPr>
            <w:tcW w:w="351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棕榈</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Trachycarpus fortunei</w:t>
            </w:r>
            <w:r>
              <w:rPr>
                <w:rFonts w:hint="eastAsia"/>
                <w:color w:val="000000" w:themeColor="text1"/>
                <w:highlight w:val="none"/>
                <w14:textFill>
                  <w14:solidFill>
                    <w14:schemeClr w14:val="tx1"/>
                  </w14:solidFill>
                </w14:textFill>
              </w:rPr>
              <w:t>）</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1.3</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4" w:type="dxa"/>
            <w:vMerge w:val="continue"/>
            <w:vAlign w:val="center"/>
          </w:tcPr>
          <w:p>
            <w:pPr>
              <w:pStyle w:val="118"/>
              <w:rPr>
                <w:color w:val="000000" w:themeColor="text1"/>
                <w:highlight w:val="none"/>
                <w14:textFill>
                  <w14:solidFill>
                    <w14:schemeClr w14:val="tx1"/>
                  </w14:solidFill>
                </w14:textFill>
              </w:rPr>
            </w:pPr>
          </w:p>
        </w:tc>
        <w:tc>
          <w:tcPr>
            <w:tcW w:w="351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刺红珠</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Berberis dictyophylla</w:t>
            </w:r>
            <w:r>
              <w:rPr>
                <w:rFonts w:hint="eastAsia"/>
                <w:color w:val="000000" w:themeColor="text1"/>
                <w:highlight w:val="none"/>
                <w14:textFill>
                  <w14:solidFill>
                    <w14:schemeClr w14:val="tx1"/>
                  </w14:solidFill>
                </w14:textFill>
              </w:rPr>
              <w:t>）</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4" w:type="dxa"/>
            <w:vMerge w:val="continue"/>
            <w:vAlign w:val="center"/>
          </w:tcPr>
          <w:p>
            <w:pPr>
              <w:pStyle w:val="118"/>
              <w:rPr>
                <w:color w:val="000000" w:themeColor="text1"/>
                <w:highlight w:val="none"/>
                <w14:textFill>
                  <w14:solidFill>
                    <w14:schemeClr w14:val="tx1"/>
                  </w14:solidFill>
                </w14:textFill>
              </w:rPr>
            </w:pPr>
          </w:p>
        </w:tc>
        <w:tc>
          <w:tcPr>
            <w:tcW w:w="351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豪猪刺</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Berberis julianae</w:t>
            </w:r>
            <w:r>
              <w:rPr>
                <w:rFonts w:hint="eastAsia"/>
                <w:color w:val="000000" w:themeColor="text1"/>
                <w:highlight w:val="none"/>
                <w14:textFill>
                  <w14:solidFill>
                    <w14:schemeClr w14:val="tx1"/>
                  </w14:solidFill>
                </w14:textFill>
              </w:rPr>
              <w:t>）</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4" w:type="dxa"/>
            <w:vMerge w:val="continue"/>
            <w:vAlign w:val="center"/>
          </w:tcPr>
          <w:p>
            <w:pPr>
              <w:pStyle w:val="118"/>
              <w:rPr>
                <w:color w:val="000000" w:themeColor="text1"/>
                <w:highlight w:val="none"/>
                <w14:textFill>
                  <w14:solidFill>
                    <w14:schemeClr w14:val="tx1"/>
                  </w14:solidFill>
                </w14:textFill>
              </w:rPr>
            </w:pPr>
          </w:p>
        </w:tc>
        <w:tc>
          <w:tcPr>
            <w:tcW w:w="351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盐肤木（Rhus chinensis）</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1.4</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4" w:type="dxa"/>
            <w:vMerge w:val="continue"/>
            <w:vAlign w:val="center"/>
          </w:tcPr>
          <w:p>
            <w:pPr>
              <w:pStyle w:val="118"/>
              <w:rPr>
                <w:color w:val="000000" w:themeColor="text1"/>
                <w:highlight w:val="none"/>
                <w14:textFill>
                  <w14:solidFill>
                    <w14:schemeClr w14:val="tx1"/>
                  </w14:solidFill>
                </w14:textFill>
              </w:rPr>
            </w:pPr>
          </w:p>
        </w:tc>
        <w:tc>
          <w:tcPr>
            <w:tcW w:w="351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胡颓子（Elaeagnus pungens Thunb.）</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4" w:type="dxa"/>
            <w:vMerge w:val="continue"/>
            <w:vAlign w:val="center"/>
          </w:tcPr>
          <w:p>
            <w:pPr>
              <w:pStyle w:val="118"/>
              <w:rPr>
                <w:color w:val="000000" w:themeColor="text1"/>
                <w:highlight w:val="none"/>
                <w14:textFill>
                  <w14:solidFill>
                    <w14:schemeClr w14:val="tx1"/>
                  </w14:solidFill>
                </w14:textFill>
              </w:rPr>
            </w:pPr>
          </w:p>
        </w:tc>
        <w:tc>
          <w:tcPr>
            <w:tcW w:w="351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悬钩子（Rubus spp.）</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1.75</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4" w:type="dxa"/>
            <w:vMerge w:val="continue"/>
            <w:vAlign w:val="center"/>
          </w:tcPr>
          <w:p>
            <w:pPr>
              <w:pStyle w:val="118"/>
              <w:rPr>
                <w:color w:val="000000" w:themeColor="text1"/>
                <w:highlight w:val="none"/>
                <w14:textFill>
                  <w14:solidFill>
                    <w14:schemeClr w14:val="tx1"/>
                  </w14:solidFill>
                </w14:textFill>
              </w:rPr>
            </w:pPr>
          </w:p>
        </w:tc>
        <w:tc>
          <w:tcPr>
            <w:tcW w:w="351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金山荚蒾（Viburnum chinshanense）</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1.4</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4"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草本层</w:t>
            </w:r>
          </w:p>
        </w:tc>
        <w:tc>
          <w:tcPr>
            <w:tcW w:w="351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白茅Imperata cylindrica.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0.6</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Soc</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4" w:type="dxa"/>
            <w:vMerge w:val="continue"/>
            <w:vAlign w:val="center"/>
          </w:tcPr>
          <w:p>
            <w:pPr>
              <w:pStyle w:val="118"/>
              <w:rPr>
                <w:color w:val="000000" w:themeColor="text1"/>
                <w:highlight w:val="none"/>
                <w14:textFill>
                  <w14:solidFill>
                    <w14:schemeClr w14:val="tx1"/>
                  </w14:solidFill>
                </w14:textFill>
              </w:rPr>
            </w:pPr>
          </w:p>
        </w:tc>
        <w:tc>
          <w:tcPr>
            <w:tcW w:w="351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芒萁（Dicranopteris dichotoma）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Sol.</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4" w:type="dxa"/>
            <w:vMerge w:val="continue"/>
            <w:vAlign w:val="center"/>
          </w:tcPr>
          <w:p>
            <w:pPr>
              <w:pStyle w:val="118"/>
              <w:rPr>
                <w:color w:val="000000" w:themeColor="text1"/>
                <w:highlight w:val="none"/>
                <w14:textFill>
                  <w14:solidFill>
                    <w14:schemeClr w14:val="tx1"/>
                  </w14:solidFill>
                </w14:textFill>
              </w:rPr>
            </w:pPr>
          </w:p>
        </w:tc>
        <w:tc>
          <w:tcPr>
            <w:tcW w:w="351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单芽狗脊蕨（Woodwardia unigemmata）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0.8</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Sp</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4" w:type="dxa"/>
            <w:vMerge w:val="continue"/>
            <w:vAlign w:val="center"/>
          </w:tcPr>
          <w:p>
            <w:pPr>
              <w:pStyle w:val="118"/>
              <w:rPr>
                <w:color w:val="000000" w:themeColor="text1"/>
                <w:highlight w:val="none"/>
                <w14:textFill>
                  <w14:solidFill>
                    <w14:schemeClr w14:val="tx1"/>
                  </w14:solidFill>
                </w14:textFill>
              </w:rPr>
            </w:pPr>
          </w:p>
        </w:tc>
        <w:tc>
          <w:tcPr>
            <w:tcW w:w="351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里白（Hicriopteris glauca）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0.6</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Un.</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4" w:type="dxa"/>
            <w:vMerge w:val="continue"/>
            <w:vAlign w:val="center"/>
          </w:tcPr>
          <w:p>
            <w:pPr>
              <w:pStyle w:val="118"/>
              <w:rPr>
                <w:color w:val="000000" w:themeColor="text1"/>
                <w:highlight w:val="none"/>
                <w14:textFill>
                  <w14:solidFill>
                    <w14:schemeClr w14:val="tx1"/>
                  </w14:solidFill>
                </w14:textFill>
              </w:rPr>
            </w:pPr>
          </w:p>
        </w:tc>
        <w:tc>
          <w:tcPr>
            <w:tcW w:w="351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苎麻（Boehmeria nivea （L.） Gaudich.）</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Sol.</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4" w:type="dxa"/>
            <w:vMerge w:val="continue"/>
            <w:vAlign w:val="center"/>
          </w:tcPr>
          <w:p>
            <w:pPr>
              <w:pStyle w:val="118"/>
              <w:rPr>
                <w:color w:val="000000" w:themeColor="text1"/>
                <w:highlight w:val="none"/>
                <w14:textFill>
                  <w14:solidFill>
                    <w14:schemeClr w14:val="tx1"/>
                  </w14:solidFill>
                </w14:textFill>
              </w:rPr>
            </w:pPr>
          </w:p>
        </w:tc>
        <w:tc>
          <w:tcPr>
            <w:tcW w:w="351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葛（Pueraria lobata）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0.6</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Sp</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4" w:type="dxa"/>
            <w:vMerge w:val="continue"/>
            <w:vAlign w:val="center"/>
          </w:tcPr>
          <w:p>
            <w:pPr>
              <w:pStyle w:val="118"/>
              <w:rPr>
                <w:color w:val="000000" w:themeColor="text1"/>
                <w:highlight w:val="none"/>
                <w14:textFill>
                  <w14:solidFill>
                    <w14:schemeClr w14:val="tx1"/>
                  </w14:solidFill>
                </w14:textFill>
              </w:rPr>
            </w:pPr>
          </w:p>
        </w:tc>
        <w:tc>
          <w:tcPr>
            <w:tcW w:w="351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茅叶荩草（Arthraxon lanceolatus）</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Un</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bl>
    <w:p>
      <w:pPr>
        <w:pStyle w:val="96"/>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样方2  麻栎、青冈群系样地表（1）</w:t>
      </w:r>
    </w:p>
    <w:tbl>
      <w:tblPr>
        <w:tblStyle w:val="41"/>
        <w:tblW w:w="92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3652"/>
        <w:gridCol w:w="703"/>
        <w:gridCol w:w="481"/>
        <w:gridCol w:w="621"/>
        <w:gridCol w:w="648"/>
        <w:gridCol w:w="550"/>
        <w:gridCol w:w="523"/>
        <w:gridCol w:w="659"/>
        <w:gridCol w:w="7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atLeast"/>
          <w:jc w:val="center"/>
        </w:trPr>
        <w:tc>
          <w:tcPr>
            <w:tcW w:w="70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坐标</w:t>
            </w:r>
          </w:p>
        </w:tc>
        <w:tc>
          <w:tcPr>
            <w:tcW w:w="3652"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107.5733,31.3414</w:t>
            </w:r>
          </w:p>
        </w:tc>
        <w:tc>
          <w:tcPr>
            <w:tcW w:w="70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海拔</w:t>
            </w:r>
            <w:r>
              <w:rPr>
                <w:rFonts w:hint="eastAsia"/>
                <w:b/>
                <w:bCs/>
                <w:color w:val="000000" w:themeColor="text1"/>
                <w:highlight w:val="none"/>
                <w14:textFill>
                  <w14:solidFill>
                    <w14:schemeClr w14:val="tx1"/>
                  </w14:solidFill>
                </w14:textFill>
              </w:rPr>
              <w:t>（</w:t>
            </w:r>
            <w:r>
              <w:rPr>
                <w:b/>
                <w:bCs/>
                <w:color w:val="000000" w:themeColor="text1"/>
                <w:highlight w:val="none"/>
                <w14:textFill>
                  <w14:solidFill>
                    <w14:schemeClr w14:val="tx1"/>
                  </w14:solidFill>
                </w14:textFill>
              </w:rPr>
              <w:t>m</w:t>
            </w:r>
            <w:r>
              <w:rPr>
                <w:rFonts w:hint="eastAsia"/>
                <w:b/>
                <w:bCs/>
                <w:color w:val="000000" w:themeColor="text1"/>
                <w:highlight w:val="none"/>
                <w14:textFill>
                  <w14:solidFill>
                    <w14:schemeClr w14:val="tx1"/>
                  </w14:solidFill>
                </w14:textFill>
              </w:rPr>
              <w:t>）</w:t>
            </w:r>
          </w:p>
        </w:tc>
        <w:tc>
          <w:tcPr>
            <w:tcW w:w="481"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601</w:t>
            </w:r>
          </w:p>
        </w:tc>
        <w:tc>
          <w:tcPr>
            <w:tcW w:w="621"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土壤类型</w:t>
            </w:r>
          </w:p>
        </w:tc>
        <w:tc>
          <w:tcPr>
            <w:tcW w:w="648"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黄壤</w:t>
            </w:r>
          </w:p>
        </w:tc>
        <w:tc>
          <w:tcPr>
            <w:tcW w:w="550"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坡度</w:t>
            </w:r>
          </w:p>
        </w:tc>
        <w:tc>
          <w:tcPr>
            <w:tcW w:w="52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20</w:t>
            </w:r>
          </w:p>
        </w:tc>
        <w:tc>
          <w:tcPr>
            <w:tcW w:w="65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坡向</w:t>
            </w:r>
          </w:p>
        </w:tc>
        <w:tc>
          <w:tcPr>
            <w:tcW w:w="74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Align w:val="center"/>
          </w:tcPr>
          <w:p>
            <w:pPr>
              <w:pStyle w:val="118"/>
              <w:rPr>
                <w:b/>
                <w:bCs/>
                <w:color w:val="000000" w:themeColor="text1"/>
                <w:highlight w:val="none"/>
                <w14:textFill>
                  <w14:solidFill>
                    <w14:schemeClr w14:val="tx1"/>
                  </w14:solidFill>
                </w14:textFill>
              </w:rPr>
            </w:pPr>
          </w:p>
        </w:tc>
        <w:tc>
          <w:tcPr>
            <w:tcW w:w="3652"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中文名（拉丁名）</w:t>
            </w:r>
          </w:p>
        </w:tc>
        <w:tc>
          <w:tcPr>
            <w:tcW w:w="1805" w:type="dxa"/>
            <w:gridSpan w:val="3"/>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平均高度m</w:t>
            </w:r>
          </w:p>
        </w:tc>
        <w:tc>
          <w:tcPr>
            <w:tcW w:w="648"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株数/多度</w:t>
            </w:r>
          </w:p>
        </w:tc>
        <w:tc>
          <w:tcPr>
            <w:tcW w:w="1073" w:type="dxa"/>
            <w:gridSpan w:val="2"/>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平均胸径cm</w:t>
            </w:r>
          </w:p>
        </w:tc>
        <w:tc>
          <w:tcPr>
            <w:tcW w:w="65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平均</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冠幅</w:t>
            </w:r>
          </w:p>
        </w:tc>
        <w:tc>
          <w:tcPr>
            <w:tcW w:w="74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茂盛</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9"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乔木层</w:t>
            </w: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麻栎（Quercus acutissima）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16</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c>
          <w:tcPr>
            <w:tcW w:w="65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4*3</w:t>
            </w: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青冈（TCyclobalanopsis glauca（Thunb.）Oerst.）</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65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3*4</w:t>
            </w: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响叶杨（Populus adenopodaMaxim.）</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13</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c>
          <w:tcPr>
            <w:tcW w:w="65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5*5</w:t>
            </w: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栓皮栎（Quercus variabilis Bl.）</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w:t>
            </w:r>
          </w:p>
        </w:tc>
        <w:tc>
          <w:tcPr>
            <w:tcW w:w="65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5*4</w:t>
            </w: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灌木层</w:t>
            </w: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马桑（Coriaria nepalensis）</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棕榈（Trachycarpus fortunei）</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1.4</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刺红珠（Berberis dictyophylla）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豪猪刺（Berberis julianae）</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1.4</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盐肤木（Rhus chinensis）</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草本层</w:t>
            </w: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狗牙根（Cynodon dactylon）</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0.6</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Soc</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车前（Plantgo asiatica）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0.8</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Cop1</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芒萁</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Dicranopteris dichotoma</w:t>
            </w:r>
            <w:r>
              <w:rPr>
                <w:rFonts w:hint="eastAsia"/>
                <w:color w:val="000000" w:themeColor="text1"/>
                <w:highlight w:val="none"/>
                <w14:textFill>
                  <w14:solidFill>
                    <w14:schemeClr w14:val="tx1"/>
                  </w14:solidFill>
                </w14:textFill>
              </w:rPr>
              <w:t>）</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Cop1</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苔草（Carex tristachya）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0.6</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Sol.</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蒿（Artemisia）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0.95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Sp</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蕺菜（Houttuynia cordata）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0.65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Sp</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紫花地丁（Viola philippica）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Un.</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bl>
    <w:p>
      <w:pPr>
        <w:pStyle w:val="96"/>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样方2  麻栎、青冈群系样地表（2）</w:t>
      </w:r>
    </w:p>
    <w:tbl>
      <w:tblPr>
        <w:tblStyle w:val="41"/>
        <w:tblW w:w="92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3652"/>
        <w:gridCol w:w="703"/>
        <w:gridCol w:w="481"/>
        <w:gridCol w:w="621"/>
        <w:gridCol w:w="648"/>
        <w:gridCol w:w="550"/>
        <w:gridCol w:w="523"/>
        <w:gridCol w:w="659"/>
        <w:gridCol w:w="7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atLeast"/>
          <w:jc w:val="center"/>
        </w:trPr>
        <w:tc>
          <w:tcPr>
            <w:tcW w:w="70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坐标</w:t>
            </w:r>
          </w:p>
        </w:tc>
        <w:tc>
          <w:tcPr>
            <w:tcW w:w="3652"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107.5860,31.3373</w:t>
            </w:r>
          </w:p>
        </w:tc>
        <w:tc>
          <w:tcPr>
            <w:tcW w:w="70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海拔</w:t>
            </w:r>
            <w:r>
              <w:rPr>
                <w:rFonts w:hint="eastAsia"/>
                <w:b/>
                <w:bCs/>
                <w:color w:val="000000" w:themeColor="text1"/>
                <w:highlight w:val="none"/>
                <w14:textFill>
                  <w14:solidFill>
                    <w14:schemeClr w14:val="tx1"/>
                  </w14:solidFill>
                </w14:textFill>
              </w:rPr>
              <w:t>（</w:t>
            </w:r>
            <w:r>
              <w:rPr>
                <w:b/>
                <w:bCs/>
                <w:color w:val="000000" w:themeColor="text1"/>
                <w:highlight w:val="none"/>
                <w14:textFill>
                  <w14:solidFill>
                    <w14:schemeClr w14:val="tx1"/>
                  </w14:solidFill>
                </w14:textFill>
              </w:rPr>
              <w:t>m</w:t>
            </w:r>
            <w:r>
              <w:rPr>
                <w:rFonts w:hint="eastAsia"/>
                <w:b/>
                <w:bCs/>
                <w:color w:val="000000" w:themeColor="text1"/>
                <w:highlight w:val="none"/>
                <w14:textFill>
                  <w14:solidFill>
                    <w14:schemeClr w14:val="tx1"/>
                  </w14:solidFill>
                </w14:textFill>
              </w:rPr>
              <w:t>）</w:t>
            </w:r>
          </w:p>
        </w:tc>
        <w:tc>
          <w:tcPr>
            <w:tcW w:w="481"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401</w:t>
            </w:r>
          </w:p>
        </w:tc>
        <w:tc>
          <w:tcPr>
            <w:tcW w:w="621"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土壤类型</w:t>
            </w:r>
          </w:p>
        </w:tc>
        <w:tc>
          <w:tcPr>
            <w:tcW w:w="648"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壤土</w:t>
            </w:r>
          </w:p>
        </w:tc>
        <w:tc>
          <w:tcPr>
            <w:tcW w:w="550"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坡度</w:t>
            </w:r>
          </w:p>
        </w:tc>
        <w:tc>
          <w:tcPr>
            <w:tcW w:w="52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10</w:t>
            </w:r>
          </w:p>
        </w:tc>
        <w:tc>
          <w:tcPr>
            <w:tcW w:w="65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坡向</w:t>
            </w:r>
          </w:p>
        </w:tc>
        <w:tc>
          <w:tcPr>
            <w:tcW w:w="74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SW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Align w:val="center"/>
          </w:tcPr>
          <w:p>
            <w:pPr>
              <w:pStyle w:val="118"/>
              <w:rPr>
                <w:b/>
                <w:bCs/>
                <w:color w:val="000000" w:themeColor="text1"/>
                <w:highlight w:val="none"/>
                <w14:textFill>
                  <w14:solidFill>
                    <w14:schemeClr w14:val="tx1"/>
                  </w14:solidFill>
                </w14:textFill>
              </w:rPr>
            </w:pPr>
          </w:p>
        </w:tc>
        <w:tc>
          <w:tcPr>
            <w:tcW w:w="3652"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中文名（拉丁名）</w:t>
            </w:r>
          </w:p>
        </w:tc>
        <w:tc>
          <w:tcPr>
            <w:tcW w:w="1805" w:type="dxa"/>
            <w:gridSpan w:val="3"/>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平均高度m</w:t>
            </w:r>
          </w:p>
        </w:tc>
        <w:tc>
          <w:tcPr>
            <w:tcW w:w="648"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株数/多度</w:t>
            </w:r>
          </w:p>
        </w:tc>
        <w:tc>
          <w:tcPr>
            <w:tcW w:w="1073" w:type="dxa"/>
            <w:gridSpan w:val="2"/>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平均胸径cm</w:t>
            </w:r>
          </w:p>
        </w:tc>
        <w:tc>
          <w:tcPr>
            <w:tcW w:w="65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平均</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冠幅</w:t>
            </w:r>
          </w:p>
        </w:tc>
        <w:tc>
          <w:tcPr>
            <w:tcW w:w="74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茂盛</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9"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乔木层</w:t>
            </w: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麻栎Quercus acutissima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19</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14</w:t>
            </w:r>
          </w:p>
        </w:tc>
        <w:tc>
          <w:tcPr>
            <w:tcW w:w="65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4*4</w:t>
            </w: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青冈TCyclobalanopsis glauca(Thunb.)Oerst.</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14</w:t>
            </w:r>
          </w:p>
        </w:tc>
        <w:tc>
          <w:tcPr>
            <w:tcW w:w="65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4*4</w:t>
            </w: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灯台树Bothrocaryum controversum</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13</w:t>
            </w:r>
          </w:p>
        </w:tc>
        <w:tc>
          <w:tcPr>
            <w:tcW w:w="65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4*4</w:t>
            </w: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灌木层</w:t>
            </w: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铁仔Myrsine africana Linn.</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1.4</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米饭花Vacciniuim sprengelii</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1.35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1.8</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杭子梢Campylotropis macrocarpa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2.15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2.2</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川莓Rubus setchuensis</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2.4</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胡颓子（Elaeagnus pungens Thunb.）</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草本层</w:t>
            </w: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白茅Imperata cylindrica (L.) Beauv.</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0.8</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Soc</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蒿Artemisia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0.95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Soc</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牛膝Achyranthes bidentata Blume</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0.95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Soc</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红盖鳞毛蕨Dryopteris erythrosora （Eaton） O. Ktze.</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0.85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Cop2</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bl>
    <w:p>
      <w:pPr>
        <w:pStyle w:val="96"/>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样方2  麻栎、青冈群系样地表（3）</w:t>
      </w:r>
    </w:p>
    <w:tbl>
      <w:tblPr>
        <w:tblStyle w:val="41"/>
        <w:tblW w:w="92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3652"/>
        <w:gridCol w:w="703"/>
        <w:gridCol w:w="481"/>
        <w:gridCol w:w="621"/>
        <w:gridCol w:w="648"/>
        <w:gridCol w:w="550"/>
        <w:gridCol w:w="523"/>
        <w:gridCol w:w="659"/>
        <w:gridCol w:w="7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atLeast"/>
          <w:jc w:val="center"/>
        </w:trPr>
        <w:tc>
          <w:tcPr>
            <w:tcW w:w="70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坐标</w:t>
            </w:r>
          </w:p>
        </w:tc>
        <w:tc>
          <w:tcPr>
            <w:tcW w:w="3652"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107.8071,31.5126</w:t>
            </w:r>
          </w:p>
        </w:tc>
        <w:tc>
          <w:tcPr>
            <w:tcW w:w="70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海拔</w:t>
            </w:r>
            <w:r>
              <w:rPr>
                <w:rFonts w:hint="eastAsia"/>
                <w:b/>
                <w:bCs/>
                <w:color w:val="000000" w:themeColor="text1"/>
                <w:highlight w:val="none"/>
                <w14:textFill>
                  <w14:solidFill>
                    <w14:schemeClr w14:val="tx1"/>
                  </w14:solidFill>
                </w14:textFill>
              </w:rPr>
              <w:t>（</w:t>
            </w:r>
            <w:r>
              <w:rPr>
                <w:b/>
                <w:bCs/>
                <w:color w:val="000000" w:themeColor="text1"/>
                <w:highlight w:val="none"/>
                <w14:textFill>
                  <w14:solidFill>
                    <w14:schemeClr w14:val="tx1"/>
                  </w14:solidFill>
                </w14:textFill>
              </w:rPr>
              <w:t>m</w:t>
            </w:r>
            <w:r>
              <w:rPr>
                <w:rFonts w:hint="eastAsia"/>
                <w:b/>
                <w:bCs/>
                <w:color w:val="000000" w:themeColor="text1"/>
                <w:highlight w:val="none"/>
                <w14:textFill>
                  <w14:solidFill>
                    <w14:schemeClr w14:val="tx1"/>
                  </w14:solidFill>
                </w14:textFill>
              </w:rPr>
              <w:t>）</w:t>
            </w:r>
          </w:p>
        </w:tc>
        <w:tc>
          <w:tcPr>
            <w:tcW w:w="481"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449</w:t>
            </w:r>
          </w:p>
        </w:tc>
        <w:tc>
          <w:tcPr>
            <w:tcW w:w="621"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土壤类型</w:t>
            </w:r>
          </w:p>
        </w:tc>
        <w:tc>
          <w:tcPr>
            <w:tcW w:w="648"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壤土</w:t>
            </w:r>
          </w:p>
        </w:tc>
        <w:tc>
          <w:tcPr>
            <w:tcW w:w="550"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坡度</w:t>
            </w:r>
          </w:p>
        </w:tc>
        <w:tc>
          <w:tcPr>
            <w:tcW w:w="52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5</w:t>
            </w:r>
          </w:p>
        </w:tc>
        <w:tc>
          <w:tcPr>
            <w:tcW w:w="65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坡向</w:t>
            </w:r>
          </w:p>
        </w:tc>
        <w:tc>
          <w:tcPr>
            <w:tcW w:w="74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SW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Align w:val="center"/>
          </w:tcPr>
          <w:p>
            <w:pPr>
              <w:pStyle w:val="118"/>
              <w:rPr>
                <w:b/>
                <w:bCs/>
                <w:color w:val="000000" w:themeColor="text1"/>
                <w:highlight w:val="none"/>
                <w14:textFill>
                  <w14:solidFill>
                    <w14:schemeClr w14:val="tx1"/>
                  </w14:solidFill>
                </w14:textFill>
              </w:rPr>
            </w:pPr>
          </w:p>
        </w:tc>
        <w:tc>
          <w:tcPr>
            <w:tcW w:w="3652"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107.5932,31.3362</w:t>
            </w:r>
          </w:p>
        </w:tc>
        <w:tc>
          <w:tcPr>
            <w:tcW w:w="1805" w:type="dxa"/>
            <w:gridSpan w:val="3"/>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平均高度m</w:t>
            </w:r>
          </w:p>
        </w:tc>
        <w:tc>
          <w:tcPr>
            <w:tcW w:w="648"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株数/多度</w:t>
            </w:r>
          </w:p>
        </w:tc>
        <w:tc>
          <w:tcPr>
            <w:tcW w:w="1073" w:type="dxa"/>
            <w:gridSpan w:val="2"/>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平均胸径cm</w:t>
            </w:r>
          </w:p>
        </w:tc>
        <w:tc>
          <w:tcPr>
            <w:tcW w:w="65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平均</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冠幅</w:t>
            </w:r>
          </w:p>
        </w:tc>
        <w:tc>
          <w:tcPr>
            <w:tcW w:w="74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茂盛</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9"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乔木层</w:t>
            </w: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麻栎Quercus acutissima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21</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14</w:t>
            </w:r>
          </w:p>
        </w:tc>
        <w:tc>
          <w:tcPr>
            <w:tcW w:w="65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4*4</w:t>
            </w: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青冈TCyclobalanopsis glauca(Thunb.)Oerst.</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w:t>
            </w:r>
          </w:p>
        </w:tc>
        <w:tc>
          <w:tcPr>
            <w:tcW w:w="65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4*3</w:t>
            </w: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栓皮栎Quercus variabilis Bl.</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65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4*3</w:t>
            </w: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灌木层</w:t>
            </w: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马桑Coriaria nepalensis</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米饭花Vacciniuim sprengelii</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1.35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悬钩子Rubus spp</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细齿叶柃Eurya nitida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1.3</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光叶</w:t>
            </w:r>
            <w:r>
              <w:rPr>
                <w:rFonts w:hint="eastAsia"/>
                <w:color w:val="000000" w:themeColor="text1"/>
                <w:highlight w:val="none"/>
                <w14:textFill>
                  <w14:solidFill>
                    <w14:schemeClr w14:val="tx1"/>
                  </w14:solidFill>
                </w14:textFill>
              </w:rPr>
              <w:t>高粱</w:t>
            </w:r>
            <w:r>
              <w:rPr>
                <w:color w:val="000000" w:themeColor="text1"/>
                <w:highlight w:val="none"/>
                <w14:textFill>
                  <w14:solidFill>
                    <w14:schemeClr w14:val="tx1"/>
                  </w14:solidFill>
                </w14:textFill>
              </w:rPr>
              <w:t>泡Rubus lambertianus var. glaber</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2.2</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皱叶荚蒾 Viburnum rhytidophyllum</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草本层</w:t>
            </w: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蒿Artemisia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0.95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Soc</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白茅Imperata cylindrica (L.) Beauv.</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0.85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Soc</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芒萁Dicranopteris dichotoma)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Cop1</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淡竹叶 Lophatherum gracile</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0.95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Soc</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乌蕨 Odontosoria chinensis</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Soc</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尖齿耳蕨 Polystichum longidens</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Sp</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光叶</w:t>
            </w:r>
            <w:r>
              <w:rPr>
                <w:rFonts w:hint="eastAsia"/>
                <w:color w:val="000000" w:themeColor="text1"/>
                <w:highlight w:val="none"/>
                <w14:textFill>
                  <w14:solidFill>
                    <w14:schemeClr w14:val="tx1"/>
                  </w14:solidFill>
                </w14:textFill>
              </w:rPr>
              <w:t>高粱</w:t>
            </w:r>
            <w:r>
              <w:rPr>
                <w:color w:val="000000" w:themeColor="text1"/>
                <w:highlight w:val="none"/>
                <w14:textFill>
                  <w14:solidFill>
                    <w14:schemeClr w14:val="tx1"/>
                  </w14:solidFill>
                </w14:textFill>
              </w:rPr>
              <w:t>泡Rubus lambertianus var. glaber</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2.15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Sp</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打破碗花花Anemone hupehensis</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0.7</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Sp</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层外</w:t>
            </w:r>
          </w:p>
        </w:tc>
        <w:tc>
          <w:tcPr>
            <w:tcW w:w="8580" w:type="dxa"/>
            <w:gridSpan w:val="9"/>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托柄菝葜</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Smilax discotis</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、三叶木通</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Akebia trifoliata</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、三裂蛇葡萄</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Ampelopsis delavayana</w:t>
            </w:r>
            <w:r>
              <w:rPr>
                <w:rFonts w:hint="eastAsia"/>
                <w:color w:val="000000" w:themeColor="text1"/>
                <w:highlight w:val="none"/>
                <w14:textFill>
                  <w14:solidFill>
                    <w14:schemeClr w14:val="tx1"/>
                  </w14:solidFill>
                </w14:textFill>
              </w:rPr>
              <w:t>）</w:t>
            </w:r>
          </w:p>
        </w:tc>
      </w:tr>
    </w:tbl>
    <w:p>
      <w:pPr>
        <w:pStyle w:val="96"/>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样方3  野桐、盐肤木灌丛群系样方表（1）</w:t>
      </w:r>
    </w:p>
    <w:tbl>
      <w:tblPr>
        <w:tblStyle w:val="41"/>
        <w:tblW w:w="92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3652"/>
        <w:gridCol w:w="703"/>
        <w:gridCol w:w="615"/>
        <w:gridCol w:w="487"/>
        <w:gridCol w:w="648"/>
        <w:gridCol w:w="550"/>
        <w:gridCol w:w="523"/>
        <w:gridCol w:w="659"/>
        <w:gridCol w:w="7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atLeast"/>
          <w:jc w:val="center"/>
        </w:trPr>
        <w:tc>
          <w:tcPr>
            <w:tcW w:w="70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坐标</w:t>
            </w:r>
          </w:p>
        </w:tc>
        <w:tc>
          <w:tcPr>
            <w:tcW w:w="3652"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107.5173,31.3600</w:t>
            </w:r>
          </w:p>
        </w:tc>
        <w:tc>
          <w:tcPr>
            <w:tcW w:w="70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海拔（m）</w:t>
            </w:r>
          </w:p>
        </w:tc>
        <w:tc>
          <w:tcPr>
            <w:tcW w:w="615"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365</w:t>
            </w:r>
          </w:p>
        </w:tc>
        <w:tc>
          <w:tcPr>
            <w:tcW w:w="487"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土壤类型</w:t>
            </w:r>
          </w:p>
        </w:tc>
        <w:tc>
          <w:tcPr>
            <w:tcW w:w="648"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壤土</w:t>
            </w:r>
          </w:p>
        </w:tc>
        <w:tc>
          <w:tcPr>
            <w:tcW w:w="550"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坡度</w:t>
            </w:r>
          </w:p>
        </w:tc>
        <w:tc>
          <w:tcPr>
            <w:tcW w:w="52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10</w:t>
            </w:r>
          </w:p>
        </w:tc>
        <w:tc>
          <w:tcPr>
            <w:tcW w:w="65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坡向</w:t>
            </w:r>
          </w:p>
        </w:tc>
        <w:tc>
          <w:tcPr>
            <w:tcW w:w="74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NW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Align w:val="center"/>
          </w:tcPr>
          <w:p>
            <w:pPr>
              <w:pStyle w:val="118"/>
              <w:rPr>
                <w:b/>
                <w:bCs/>
                <w:color w:val="000000" w:themeColor="text1"/>
                <w:highlight w:val="none"/>
                <w14:textFill>
                  <w14:solidFill>
                    <w14:schemeClr w14:val="tx1"/>
                  </w14:solidFill>
                </w14:textFill>
              </w:rPr>
            </w:pPr>
          </w:p>
        </w:tc>
        <w:tc>
          <w:tcPr>
            <w:tcW w:w="3652"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中文名（拉丁名）</w:t>
            </w:r>
          </w:p>
        </w:tc>
        <w:tc>
          <w:tcPr>
            <w:tcW w:w="1805" w:type="dxa"/>
            <w:gridSpan w:val="3"/>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平均高度m</w:t>
            </w:r>
          </w:p>
        </w:tc>
        <w:tc>
          <w:tcPr>
            <w:tcW w:w="648"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株数/多度</w:t>
            </w:r>
          </w:p>
        </w:tc>
        <w:tc>
          <w:tcPr>
            <w:tcW w:w="1073" w:type="dxa"/>
            <w:gridSpan w:val="2"/>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平均胸径cm</w:t>
            </w:r>
          </w:p>
        </w:tc>
        <w:tc>
          <w:tcPr>
            <w:tcW w:w="65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平均</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冠幅</w:t>
            </w:r>
          </w:p>
        </w:tc>
        <w:tc>
          <w:tcPr>
            <w:tcW w:w="74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茂盛</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灌木层</w:t>
            </w: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野桐 Mallotus tenuifolius</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1.8</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1.8</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盐肤木 Rhus chinensis</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1.3</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1.8</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草本层</w:t>
            </w: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千里光（Senecio scandens Buch.-Ham. ex D.Don）</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0.85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Cop2</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糙苏（Phlomis umbrosa）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Cop2</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白茅（Imperata cylindrica (Linn.)Beauv.）</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0.25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Sol.</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车前（Plantago asiatica L.）</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Sp</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聚花过路黄（Lysimachia congestiflora Hemsl.）</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0.2</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Sp</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蕺菜（Houttuynia cordata Thunb）</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Un.</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地瓜藤Ficus tikoua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Sp</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bl>
    <w:p>
      <w:pPr>
        <w:pStyle w:val="96"/>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样方3  野桐、盐肤木灌丛群系样方表（2）</w:t>
      </w:r>
    </w:p>
    <w:tbl>
      <w:tblPr>
        <w:tblStyle w:val="41"/>
        <w:tblW w:w="92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3652"/>
        <w:gridCol w:w="703"/>
        <w:gridCol w:w="615"/>
        <w:gridCol w:w="487"/>
        <w:gridCol w:w="648"/>
        <w:gridCol w:w="550"/>
        <w:gridCol w:w="523"/>
        <w:gridCol w:w="659"/>
        <w:gridCol w:w="7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atLeast"/>
          <w:jc w:val="center"/>
        </w:trPr>
        <w:tc>
          <w:tcPr>
            <w:tcW w:w="70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坐标</w:t>
            </w:r>
          </w:p>
        </w:tc>
        <w:tc>
          <w:tcPr>
            <w:tcW w:w="3652"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107.531331.3582</w:t>
            </w:r>
          </w:p>
        </w:tc>
        <w:tc>
          <w:tcPr>
            <w:tcW w:w="70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海拔（m）</w:t>
            </w:r>
          </w:p>
        </w:tc>
        <w:tc>
          <w:tcPr>
            <w:tcW w:w="615"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434</w:t>
            </w:r>
          </w:p>
        </w:tc>
        <w:tc>
          <w:tcPr>
            <w:tcW w:w="487"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土壤类型</w:t>
            </w:r>
          </w:p>
        </w:tc>
        <w:tc>
          <w:tcPr>
            <w:tcW w:w="648"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壤土</w:t>
            </w:r>
          </w:p>
        </w:tc>
        <w:tc>
          <w:tcPr>
            <w:tcW w:w="550"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坡度</w:t>
            </w:r>
          </w:p>
        </w:tc>
        <w:tc>
          <w:tcPr>
            <w:tcW w:w="52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10</w:t>
            </w:r>
          </w:p>
        </w:tc>
        <w:tc>
          <w:tcPr>
            <w:tcW w:w="65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坡向</w:t>
            </w:r>
          </w:p>
        </w:tc>
        <w:tc>
          <w:tcPr>
            <w:tcW w:w="74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Align w:val="center"/>
          </w:tcPr>
          <w:p>
            <w:pPr>
              <w:pStyle w:val="118"/>
              <w:rPr>
                <w:b/>
                <w:bCs/>
                <w:color w:val="000000" w:themeColor="text1"/>
                <w:highlight w:val="none"/>
                <w14:textFill>
                  <w14:solidFill>
                    <w14:schemeClr w14:val="tx1"/>
                  </w14:solidFill>
                </w14:textFill>
              </w:rPr>
            </w:pPr>
          </w:p>
        </w:tc>
        <w:tc>
          <w:tcPr>
            <w:tcW w:w="3652"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中文名（拉丁名）</w:t>
            </w:r>
          </w:p>
        </w:tc>
        <w:tc>
          <w:tcPr>
            <w:tcW w:w="1805" w:type="dxa"/>
            <w:gridSpan w:val="3"/>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平均高度m</w:t>
            </w:r>
          </w:p>
        </w:tc>
        <w:tc>
          <w:tcPr>
            <w:tcW w:w="648"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株数/多度</w:t>
            </w:r>
          </w:p>
        </w:tc>
        <w:tc>
          <w:tcPr>
            <w:tcW w:w="1073" w:type="dxa"/>
            <w:gridSpan w:val="2"/>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平均胸径cm</w:t>
            </w:r>
          </w:p>
        </w:tc>
        <w:tc>
          <w:tcPr>
            <w:tcW w:w="65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平均</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冠幅</w:t>
            </w:r>
          </w:p>
        </w:tc>
        <w:tc>
          <w:tcPr>
            <w:tcW w:w="74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茂盛</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灌木层</w:t>
            </w: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野桐 Mallotus tenuifolius</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2.4</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13</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盐肤木 Rhus chinensis</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2.9</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黄荆Vitex negundo L.</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宜昌悬钩子 Rubus ichangensis </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1.3</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草本层</w:t>
            </w: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蒿（Artemisia）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0.95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Cop2</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白茅（Imperata cylindrica (L.) Beauv.）</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0.85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Cop2</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芒萁</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Dicranopteris dichotoma</w:t>
            </w:r>
            <w:r>
              <w:rPr>
                <w:rFonts w:hint="eastAsia"/>
                <w:color w:val="000000" w:themeColor="text1"/>
                <w:highlight w:val="none"/>
                <w14:textFill>
                  <w14:solidFill>
                    <w14:schemeClr w14:val="tx1"/>
                  </w14:solidFill>
                </w14:textFill>
              </w:rPr>
              <w:t>）</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Cop1</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野青茅（Deyeuxia arundinacea (L.) Beauv.）</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0.8</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Sol.</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苔草（Carex tristachya）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0.6</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Un.</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华南毛蕨 Cyclosorus parasiticus</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Un.</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异叶黄鹌菜 Youngia heterophylla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Un.</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bl>
    <w:p>
      <w:pPr>
        <w:pStyle w:val="96"/>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样方3  野桐、盐肤木灌丛群系样方表（3）</w:t>
      </w:r>
    </w:p>
    <w:tbl>
      <w:tblPr>
        <w:tblStyle w:val="41"/>
        <w:tblW w:w="92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3652"/>
        <w:gridCol w:w="703"/>
        <w:gridCol w:w="615"/>
        <w:gridCol w:w="487"/>
        <w:gridCol w:w="648"/>
        <w:gridCol w:w="550"/>
        <w:gridCol w:w="523"/>
        <w:gridCol w:w="659"/>
        <w:gridCol w:w="7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atLeast"/>
          <w:jc w:val="center"/>
        </w:trPr>
        <w:tc>
          <w:tcPr>
            <w:tcW w:w="70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坐标</w:t>
            </w:r>
          </w:p>
        </w:tc>
        <w:tc>
          <w:tcPr>
            <w:tcW w:w="3652"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107.5731,31.3435</w:t>
            </w:r>
          </w:p>
        </w:tc>
        <w:tc>
          <w:tcPr>
            <w:tcW w:w="70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海拔（m）</w:t>
            </w:r>
          </w:p>
        </w:tc>
        <w:tc>
          <w:tcPr>
            <w:tcW w:w="615"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643</w:t>
            </w:r>
          </w:p>
        </w:tc>
        <w:tc>
          <w:tcPr>
            <w:tcW w:w="487"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土壤类型</w:t>
            </w:r>
          </w:p>
        </w:tc>
        <w:tc>
          <w:tcPr>
            <w:tcW w:w="648"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壤土</w:t>
            </w:r>
          </w:p>
        </w:tc>
        <w:tc>
          <w:tcPr>
            <w:tcW w:w="550"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坡度</w:t>
            </w:r>
          </w:p>
        </w:tc>
        <w:tc>
          <w:tcPr>
            <w:tcW w:w="52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10</w:t>
            </w:r>
          </w:p>
        </w:tc>
        <w:tc>
          <w:tcPr>
            <w:tcW w:w="65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坡向</w:t>
            </w:r>
          </w:p>
        </w:tc>
        <w:tc>
          <w:tcPr>
            <w:tcW w:w="74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Align w:val="center"/>
          </w:tcPr>
          <w:p>
            <w:pPr>
              <w:pStyle w:val="118"/>
              <w:rPr>
                <w:b/>
                <w:bCs/>
                <w:color w:val="000000" w:themeColor="text1"/>
                <w:highlight w:val="none"/>
                <w14:textFill>
                  <w14:solidFill>
                    <w14:schemeClr w14:val="tx1"/>
                  </w14:solidFill>
                </w14:textFill>
              </w:rPr>
            </w:pPr>
          </w:p>
        </w:tc>
        <w:tc>
          <w:tcPr>
            <w:tcW w:w="3652"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中文名（拉丁名）</w:t>
            </w:r>
          </w:p>
        </w:tc>
        <w:tc>
          <w:tcPr>
            <w:tcW w:w="1805" w:type="dxa"/>
            <w:gridSpan w:val="3"/>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平均高度m</w:t>
            </w:r>
          </w:p>
        </w:tc>
        <w:tc>
          <w:tcPr>
            <w:tcW w:w="648"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株数/多度</w:t>
            </w:r>
          </w:p>
        </w:tc>
        <w:tc>
          <w:tcPr>
            <w:tcW w:w="1073" w:type="dxa"/>
            <w:gridSpan w:val="2"/>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平均胸径cm</w:t>
            </w:r>
          </w:p>
        </w:tc>
        <w:tc>
          <w:tcPr>
            <w:tcW w:w="65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平均</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冠幅</w:t>
            </w:r>
          </w:p>
        </w:tc>
        <w:tc>
          <w:tcPr>
            <w:tcW w:w="74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茂盛</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灌木层</w:t>
            </w: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野桐 Mallotus tenuifolius</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1.3</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盐肤木 Rhus chinensis</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细枝柃 Eurya loquaiana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草本层</w:t>
            </w: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透茎冷水花 Pileapumila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0.7</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Sp</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华南毛蕨 Cyclosorus parasiticus</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0.55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Un.</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刺齿凤尾蕨 Pteris dispar</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Sp</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黄茅（Heteropogon contortus (L.) P. Beauv. ex Roem. et Schult.）</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0.85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Soc</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白茅Imperata cylindrica.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0.55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Soc</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香茅Mosla chinensis Maxim</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Cop1</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芒Miscanthus sinensis</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0.25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Sp.</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三褶脉紫菀（Aster ageratoides）</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0.6</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Sp</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bl>
    <w:p>
      <w:pPr>
        <w:pStyle w:val="96"/>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样方4  马桑、黄荆、火棘、荚蒾群系样方表（1）</w:t>
      </w:r>
    </w:p>
    <w:tbl>
      <w:tblPr>
        <w:tblStyle w:val="41"/>
        <w:tblW w:w="92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3652"/>
        <w:gridCol w:w="703"/>
        <w:gridCol w:w="481"/>
        <w:gridCol w:w="621"/>
        <w:gridCol w:w="648"/>
        <w:gridCol w:w="550"/>
        <w:gridCol w:w="523"/>
        <w:gridCol w:w="659"/>
        <w:gridCol w:w="7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atLeast"/>
          <w:jc w:val="center"/>
        </w:trPr>
        <w:tc>
          <w:tcPr>
            <w:tcW w:w="70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坐标</w:t>
            </w:r>
          </w:p>
        </w:tc>
        <w:tc>
          <w:tcPr>
            <w:tcW w:w="3652"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107.5834,31.3375</w:t>
            </w:r>
          </w:p>
        </w:tc>
        <w:tc>
          <w:tcPr>
            <w:tcW w:w="70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海拔（m）</w:t>
            </w:r>
          </w:p>
        </w:tc>
        <w:tc>
          <w:tcPr>
            <w:tcW w:w="481"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362</w:t>
            </w:r>
          </w:p>
        </w:tc>
        <w:tc>
          <w:tcPr>
            <w:tcW w:w="621"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土壤类型</w:t>
            </w:r>
          </w:p>
        </w:tc>
        <w:tc>
          <w:tcPr>
            <w:tcW w:w="648"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壤土</w:t>
            </w:r>
          </w:p>
        </w:tc>
        <w:tc>
          <w:tcPr>
            <w:tcW w:w="550"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坡度</w:t>
            </w:r>
          </w:p>
        </w:tc>
        <w:tc>
          <w:tcPr>
            <w:tcW w:w="52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15</w:t>
            </w:r>
          </w:p>
        </w:tc>
        <w:tc>
          <w:tcPr>
            <w:tcW w:w="65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坡向</w:t>
            </w:r>
          </w:p>
        </w:tc>
        <w:tc>
          <w:tcPr>
            <w:tcW w:w="74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NW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中文名（拉丁名）</w:t>
            </w:r>
          </w:p>
        </w:tc>
        <w:tc>
          <w:tcPr>
            <w:tcW w:w="1805" w:type="dxa"/>
            <w:gridSpan w:val="3"/>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平均高度m</w:t>
            </w:r>
          </w:p>
        </w:tc>
        <w:tc>
          <w:tcPr>
            <w:tcW w:w="648"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株数/多度</w:t>
            </w:r>
          </w:p>
        </w:tc>
        <w:tc>
          <w:tcPr>
            <w:tcW w:w="1073" w:type="dxa"/>
            <w:gridSpan w:val="2"/>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平均胸径cm</w:t>
            </w:r>
          </w:p>
        </w:tc>
        <w:tc>
          <w:tcPr>
            <w:tcW w:w="65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平均</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冠幅</w:t>
            </w:r>
          </w:p>
        </w:tc>
        <w:tc>
          <w:tcPr>
            <w:tcW w:w="74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茂盛</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灌木层</w:t>
            </w: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火棘Pyracantha fortuneana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1.35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黄荆Vitex negundo</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1.8</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荚蒾（Viburnum dilatatum）</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2.25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1.4</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马桑Coriaria nepalensis</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1.45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米饭花Vacciniuim sprengelii</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1.8</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豪猪刺Berberis julianae</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2.25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1.4</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草本层</w:t>
            </w: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千里光Senecio scandens Buch.-Ham. ex D. Don</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0.6</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Cop3</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糙苏Phlomis umbrosa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Cop1</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聚花过路黄Lysimachia congestiflora Hemsl.</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0.6</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Sol.</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蕺菜Houttuynia cordata Thunb</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Un.</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芒萁Dicranopteris dichotoma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Cop1</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野青茅Deyeuxia arundinacea (L.) Beauv.</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0.8</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Sol.</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打破碗花花Anemone hupehensis</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0.7</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Sol.</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艾纳香Blumea balsamifera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0.85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Sol.</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苔草Carex tristachya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0.6</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Un.</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bl>
    <w:p>
      <w:pPr>
        <w:pStyle w:val="96"/>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样方4  马桑、黄荆、火棘、荚蒾群系样方表（2）</w:t>
      </w:r>
    </w:p>
    <w:tbl>
      <w:tblPr>
        <w:tblStyle w:val="41"/>
        <w:tblW w:w="92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3652"/>
        <w:gridCol w:w="703"/>
        <w:gridCol w:w="481"/>
        <w:gridCol w:w="621"/>
        <w:gridCol w:w="648"/>
        <w:gridCol w:w="550"/>
        <w:gridCol w:w="523"/>
        <w:gridCol w:w="659"/>
        <w:gridCol w:w="7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atLeast"/>
          <w:jc w:val="center"/>
        </w:trPr>
        <w:tc>
          <w:tcPr>
            <w:tcW w:w="70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坐标</w:t>
            </w:r>
          </w:p>
        </w:tc>
        <w:tc>
          <w:tcPr>
            <w:tcW w:w="3652"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107.6024,31.3310</w:t>
            </w:r>
          </w:p>
        </w:tc>
        <w:tc>
          <w:tcPr>
            <w:tcW w:w="70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海拔（m）</w:t>
            </w:r>
          </w:p>
        </w:tc>
        <w:tc>
          <w:tcPr>
            <w:tcW w:w="481"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362</w:t>
            </w:r>
          </w:p>
        </w:tc>
        <w:tc>
          <w:tcPr>
            <w:tcW w:w="621"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土壤类型</w:t>
            </w:r>
          </w:p>
        </w:tc>
        <w:tc>
          <w:tcPr>
            <w:tcW w:w="648"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壤土</w:t>
            </w:r>
          </w:p>
        </w:tc>
        <w:tc>
          <w:tcPr>
            <w:tcW w:w="550"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坡度</w:t>
            </w:r>
          </w:p>
        </w:tc>
        <w:tc>
          <w:tcPr>
            <w:tcW w:w="52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20</w:t>
            </w:r>
          </w:p>
        </w:tc>
        <w:tc>
          <w:tcPr>
            <w:tcW w:w="65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坡向</w:t>
            </w:r>
          </w:p>
        </w:tc>
        <w:tc>
          <w:tcPr>
            <w:tcW w:w="74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中文名（拉丁名）</w:t>
            </w:r>
          </w:p>
        </w:tc>
        <w:tc>
          <w:tcPr>
            <w:tcW w:w="1805" w:type="dxa"/>
            <w:gridSpan w:val="3"/>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平均高度m</w:t>
            </w:r>
          </w:p>
        </w:tc>
        <w:tc>
          <w:tcPr>
            <w:tcW w:w="648"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株数/多度</w:t>
            </w:r>
          </w:p>
        </w:tc>
        <w:tc>
          <w:tcPr>
            <w:tcW w:w="1073" w:type="dxa"/>
            <w:gridSpan w:val="2"/>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平均胸径cm</w:t>
            </w:r>
          </w:p>
        </w:tc>
        <w:tc>
          <w:tcPr>
            <w:tcW w:w="65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平均</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冠幅</w:t>
            </w:r>
          </w:p>
        </w:tc>
        <w:tc>
          <w:tcPr>
            <w:tcW w:w="74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茂盛</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灌木层</w:t>
            </w: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火棘Pyracantha fortuneana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2.3</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3.4</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黄荆Vitex negundo</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荚蒾（Viburnum dilatatum）</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2.1</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马桑Coriaria nepalensis</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1.8</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2.3</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杜鹃（Rhododendron simsii Planch.）</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0.6</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0.8</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山胡椒Lindera sp.</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草本层</w:t>
            </w: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千里光Senecio scandens Buch.-Ham. ex D. Don</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0.25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Cop3</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糙苏Phlomis umbrosa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0.6</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Cop1</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白茅Imperata cylindrica （Linn.） Beauv.</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Sp</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车前Plantago asiatica L.</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Sp</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聚花过路黄Lysimachia congestiflora Hemsl.</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0.25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Sol.</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蕺菜Houttuynia cordata Thunb</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0.6</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Un.</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草莓Fragaria ananassa Duch.</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Un.</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野青茅（Deyeuxia arundinacea (L.) Beauv.）</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0.8</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Sol.</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苔草（Carex tristachya）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0.6</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Un.</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葎草Humulus scandens</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Un.</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毛蕨Cyclosorus interruptus （Willd.） H. Ito</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0.25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Un.</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bl>
    <w:p>
      <w:pPr>
        <w:pStyle w:val="96"/>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样方4  马桑、黄荆、火棘、荚蒾群系样方表（3）</w:t>
      </w:r>
    </w:p>
    <w:tbl>
      <w:tblPr>
        <w:tblStyle w:val="41"/>
        <w:tblW w:w="92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3652"/>
        <w:gridCol w:w="703"/>
        <w:gridCol w:w="481"/>
        <w:gridCol w:w="621"/>
        <w:gridCol w:w="648"/>
        <w:gridCol w:w="550"/>
        <w:gridCol w:w="523"/>
        <w:gridCol w:w="659"/>
        <w:gridCol w:w="7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atLeast"/>
          <w:jc w:val="center"/>
        </w:trPr>
        <w:tc>
          <w:tcPr>
            <w:tcW w:w="70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坐标</w:t>
            </w:r>
          </w:p>
        </w:tc>
        <w:tc>
          <w:tcPr>
            <w:tcW w:w="3652"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107.5538,31.3438</w:t>
            </w:r>
          </w:p>
        </w:tc>
        <w:tc>
          <w:tcPr>
            <w:tcW w:w="70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海拔（m）</w:t>
            </w:r>
          </w:p>
        </w:tc>
        <w:tc>
          <w:tcPr>
            <w:tcW w:w="481"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440</w:t>
            </w:r>
          </w:p>
        </w:tc>
        <w:tc>
          <w:tcPr>
            <w:tcW w:w="621"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土壤类型</w:t>
            </w:r>
          </w:p>
        </w:tc>
        <w:tc>
          <w:tcPr>
            <w:tcW w:w="648"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壤土</w:t>
            </w:r>
          </w:p>
        </w:tc>
        <w:tc>
          <w:tcPr>
            <w:tcW w:w="550"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坡度</w:t>
            </w:r>
          </w:p>
        </w:tc>
        <w:tc>
          <w:tcPr>
            <w:tcW w:w="52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20</w:t>
            </w:r>
          </w:p>
        </w:tc>
        <w:tc>
          <w:tcPr>
            <w:tcW w:w="65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坡向</w:t>
            </w:r>
          </w:p>
        </w:tc>
        <w:tc>
          <w:tcPr>
            <w:tcW w:w="74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中文名（拉丁名）</w:t>
            </w:r>
          </w:p>
        </w:tc>
        <w:tc>
          <w:tcPr>
            <w:tcW w:w="1805" w:type="dxa"/>
            <w:gridSpan w:val="3"/>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平均高度m</w:t>
            </w:r>
          </w:p>
        </w:tc>
        <w:tc>
          <w:tcPr>
            <w:tcW w:w="648"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株数/多度</w:t>
            </w:r>
          </w:p>
        </w:tc>
        <w:tc>
          <w:tcPr>
            <w:tcW w:w="1073" w:type="dxa"/>
            <w:gridSpan w:val="2"/>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平均胸径cm</w:t>
            </w:r>
          </w:p>
        </w:tc>
        <w:tc>
          <w:tcPr>
            <w:tcW w:w="65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平均</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冠幅</w:t>
            </w:r>
          </w:p>
        </w:tc>
        <w:tc>
          <w:tcPr>
            <w:tcW w:w="74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茂盛</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灌木层</w:t>
            </w: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火棘Pyracantha fortuneana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1.8</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3.5</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黄荆Vitex negundo</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荚蒾（Viburnum dilatatum）</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1.6</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马桑Coriaria nepalensis</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1.8</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2.3</w:t>
            </w: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草本层</w:t>
            </w: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糙苏Phlomis umbrosa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0.6</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Cop1</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白茅Imperata cylindrica （Linn.） Beauv.</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Sp</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车前Plantago asiatica L.</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Sp</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聚花过路黄Lysimachia congestiflora Hemsl.</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0.7</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Sol.</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蕺菜Houttuynia cordata Thunb</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0.6</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Un.</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草莓Fragaria ananassa Duch.</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Un.</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bl>
    <w:p>
      <w:pPr>
        <w:pStyle w:val="96"/>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样方5  芒、白茅群系样方表（1）</w:t>
      </w:r>
    </w:p>
    <w:tbl>
      <w:tblPr>
        <w:tblStyle w:val="41"/>
        <w:tblW w:w="92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3652"/>
        <w:gridCol w:w="703"/>
        <w:gridCol w:w="481"/>
        <w:gridCol w:w="621"/>
        <w:gridCol w:w="648"/>
        <w:gridCol w:w="550"/>
        <w:gridCol w:w="523"/>
        <w:gridCol w:w="659"/>
        <w:gridCol w:w="7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atLeast"/>
          <w:jc w:val="center"/>
        </w:trPr>
        <w:tc>
          <w:tcPr>
            <w:tcW w:w="70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坐标</w:t>
            </w:r>
          </w:p>
        </w:tc>
        <w:tc>
          <w:tcPr>
            <w:tcW w:w="3652"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107.5325,31.3542</w:t>
            </w:r>
          </w:p>
        </w:tc>
        <w:tc>
          <w:tcPr>
            <w:tcW w:w="70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海拔</w:t>
            </w:r>
            <w:r>
              <w:rPr>
                <w:rFonts w:hint="eastAsia"/>
                <w:b/>
                <w:bCs/>
                <w:color w:val="000000" w:themeColor="text1"/>
                <w:highlight w:val="none"/>
                <w14:textFill>
                  <w14:solidFill>
                    <w14:schemeClr w14:val="tx1"/>
                  </w14:solidFill>
                </w14:textFill>
              </w:rPr>
              <w:t>（</w:t>
            </w:r>
            <w:r>
              <w:rPr>
                <w:b/>
                <w:bCs/>
                <w:color w:val="000000" w:themeColor="text1"/>
                <w:highlight w:val="none"/>
                <w14:textFill>
                  <w14:solidFill>
                    <w14:schemeClr w14:val="tx1"/>
                  </w14:solidFill>
                </w14:textFill>
              </w:rPr>
              <w:t>m</w:t>
            </w:r>
            <w:r>
              <w:rPr>
                <w:rFonts w:hint="eastAsia"/>
                <w:b/>
                <w:bCs/>
                <w:color w:val="000000" w:themeColor="text1"/>
                <w:highlight w:val="none"/>
                <w14:textFill>
                  <w14:solidFill>
                    <w14:schemeClr w14:val="tx1"/>
                  </w14:solidFill>
                </w14:textFill>
              </w:rPr>
              <w:t>）</w:t>
            </w:r>
          </w:p>
        </w:tc>
        <w:tc>
          <w:tcPr>
            <w:tcW w:w="481"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425</w:t>
            </w:r>
          </w:p>
        </w:tc>
        <w:tc>
          <w:tcPr>
            <w:tcW w:w="621"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土壤类型</w:t>
            </w:r>
          </w:p>
        </w:tc>
        <w:tc>
          <w:tcPr>
            <w:tcW w:w="648"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壤土</w:t>
            </w:r>
          </w:p>
        </w:tc>
        <w:tc>
          <w:tcPr>
            <w:tcW w:w="550"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坡度</w:t>
            </w:r>
          </w:p>
        </w:tc>
        <w:tc>
          <w:tcPr>
            <w:tcW w:w="52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15</w:t>
            </w:r>
          </w:p>
        </w:tc>
        <w:tc>
          <w:tcPr>
            <w:tcW w:w="65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坡向</w:t>
            </w:r>
          </w:p>
        </w:tc>
        <w:tc>
          <w:tcPr>
            <w:tcW w:w="74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中文名（拉丁名）</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平均高度m</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株数/多度</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平均胸径cm</w:t>
            </w:r>
          </w:p>
        </w:tc>
        <w:tc>
          <w:tcPr>
            <w:tcW w:w="65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平均</w:t>
            </w:r>
          </w:p>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冠幅</w:t>
            </w: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茂盛</w:t>
            </w:r>
          </w:p>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草本层</w:t>
            </w: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芒Miscanthus sinensis</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2.20</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Soc</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白茅（Imperata cylindrica.）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0.6</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Soc</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芒萁</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Dicranopteris dichotoma</w:t>
            </w:r>
            <w:r>
              <w:rPr>
                <w:rFonts w:hint="eastAsia"/>
                <w:color w:val="000000" w:themeColor="text1"/>
                <w:highlight w:val="none"/>
                <w14:textFill>
                  <w14:solidFill>
                    <w14:schemeClr w14:val="tx1"/>
                  </w14:solidFill>
                </w14:textFill>
              </w:rPr>
              <w:t>）</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Cop1</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野青茅（Deyeuxia arundinacea (L.) Beauv.）</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0.8</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Sol.</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苔草（Carex tristachya）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0.6</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Un.</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婆婆针Bidens bipinnata Linn.</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Sp</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飞蓬Conyza canadensis (L.) Cronq.</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Sp</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聚花过路黄（Lysimachia congestiflora Hemsl.）</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0.2</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Un.</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蕺菜（Houttuynia cordata Thunb）</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Un.</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草莓（Fragaria ananassa Duch.）</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Un.</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bl>
    <w:p>
      <w:pPr>
        <w:pStyle w:val="96"/>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样方5  芒、白茅群系样方表（2）</w:t>
      </w:r>
    </w:p>
    <w:tbl>
      <w:tblPr>
        <w:tblStyle w:val="41"/>
        <w:tblW w:w="92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3652"/>
        <w:gridCol w:w="703"/>
        <w:gridCol w:w="481"/>
        <w:gridCol w:w="621"/>
        <w:gridCol w:w="648"/>
        <w:gridCol w:w="550"/>
        <w:gridCol w:w="523"/>
        <w:gridCol w:w="659"/>
        <w:gridCol w:w="7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atLeast"/>
          <w:jc w:val="center"/>
        </w:trPr>
        <w:tc>
          <w:tcPr>
            <w:tcW w:w="70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坐标</w:t>
            </w:r>
          </w:p>
        </w:tc>
        <w:tc>
          <w:tcPr>
            <w:tcW w:w="3652"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107.5415,31.3471</w:t>
            </w:r>
          </w:p>
        </w:tc>
        <w:tc>
          <w:tcPr>
            <w:tcW w:w="70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海拔</w:t>
            </w:r>
            <w:r>
              <w:rPr>
                <w:rFonts w:hint="eastAsia"/>
                <w:b/>
                <w:bCs/>
                <w:color w:val="000000" w:themeColor="text1"/>
                <w:highlight w:val="none"/>
                <w14:textFill>
                  <w14:solidFill>
                    <w14:schemeClr w14:val="tx1"/>
                  </w14:solidFill>
                </w14:textFill>
              </w:rPr>
              <w:t>（</w:t>
            </w:r>
            <w:r>
              <w:rPr>
                <w:b/>
                <w:bCs/>
                <w:color w:val="000000" w:themeColor="text1"/>
                <w:highlight w:val="none"/>
                <w14:textFill>
                  <w14:solidFill>
                    <w14:schemeClr w14:val="tx1"/>
                  </w14:solidFill>
                </w14:textFill>
              </w:rPr>
              <w:t>m</w:t>
            </w:r>
            <w:r>
              <w:rPr>
                <w:rFonts w:hint="eastAsia"/>
                <w:b/>
                <w:bCs/>
                <w:color w:val="000000" w:themeColor="text1"/>
                <w:highlight w:val="none"/>
                <w14:textFill>
                  <w14:solidFill>
                    <w14:schemeClr w14:val="tx1"/>
                  </w14:solidFill>
                </w14:textFill>
              </w:rPr>
              <w:t>）</w:t>
            </w:r>
          </w:p>
        </w:tc>
        <w:tc>
          <w:tcPr>
            <w:tcW w:w="481"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364</w:t>
            </w:r>
          </w:p>
        </w:tc>
        <w:tc>
          <w:tcPr>
            <w:tcW w:w="621"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土壤类型</w:t>
            </w:r>
          </w:p>
        </w:tc>
        <w:tc>
          <w:tcPr>
            <w:tcW w:w="648"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壤土</w:t>
            </w:r>
          </w:p>
        </w:tc>
        <w:tc>
          <w:tcPr>
            <w:tcW w:w="550"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坡度</w:t>
            </w:r>
          </w:p>
        </w:tc>
        <w:tc>
          <w:tcPr>
            <w:tcW w:w="52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5</w:t>
            </w:r>
          </w:p>
        </w:tc>
        <w:tc>
          <w:tcPr>
            <w:tcW w:w="65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坡向</w:t>
            </w:r>
          </w:p>
        </w:tc>
        <w:tc>
          <w:tcPr>
            <w:tcW w:w="74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中文名（拉丁名）</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平均高度m</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株数/多度</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平均胸径cm</w:t>
            </w:r>
          </w:p>
        </w:tc>
        <w:tc>
          <w:tcPr>
            <w:tcW w:w="65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平均</w:t>
            </w:r>
          </w:p>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冠幅</w:t>
            </w: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茂盛</w:t>
            </w:r>
          </w:p>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草本层</w:t>
            </w: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白茅Imperata cylindrica.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Soc</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五节芒Miscanthus floridulus</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Sol.</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芒Miscanthus sinensis</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Soc</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野古草Arundinella anomala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Sol.</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斑茅Saccharum arundinaceum Retz.</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0.40</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Cop1</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婆婆针Bidens bipinnata Linn.</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0.55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Cop1</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飞蓬Conyza canadensis (L.) Cronq.</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0.65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Sol.</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蛇莓Duchesnea indica (Andr.) Focke</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0.40</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Sol.</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夏枯草Prunella vulgaris L</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Un.</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车前Plantago asiatica L.</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Un.</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聚花过路黄Lysimachia congestiflora Hemsl.</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0.7</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Un.</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bl>
    <w:p>
      <w:pPr>
        <w:pStyle w:val="96"/>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样方5  芒、白茅群系样方表（3）</w:t>
      </w:r>
    </w:p>
    <w:tbl>
      <w:tblPr>
        <w:tblStyle w:val="41"/>
        <w:tblW w:w="92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3652"/>
        <w:gridCol w:w="703"/>
        <w:gridCol w:w="481"/>
        <w:gridCol w:w="621"/>
        <w:gridCol w:w="648"/>
        <w:gridCol w:w="550"/>
        <w:gridCol w:w="523"/>
        <w:gridCol w:w="659"/>
        <w:gridCol w:w="7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atLeast"/>
          <w:jc w:val="center"/>
        </w:trPr>
        <w:tc>
          <w:tcPr>
            <w:tcW w:w="70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坐标</w:t>
            </w:r>
          </w:p>
        </w:tc>
        <w:tc>
          <w:tcPr>
            <w:tcW w:w="3652"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107.6049,31.3319</w:t>
            </w:r>
          </w:p>
        </w:tc>
        <w:tc>
          <w:tcPr>
            <w:tcW w:w="70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海拔</w:t>
            </w:r>
            <w:r>
              <w:rPr>
                <w:rFonts w:hint="eastAsia"/>
                <w:b/>
                <w:bCs/>
                <w:color w:val="000000" w:themeColor="text1"/>
                <w:highlight w:val="none"/>
                <w14:textFill>
                  <w14:solidFill>
                    <w14:schemeClr w14:val="tx1"/>
                  </w14:solidFill>
                </w14:textFill>
              </w:rPr>
              <w:t>（</w:t>
            </w:r>
            <w:r>
              <w:rPr>
                <w:b/>
                <w:bCs/>
                <w:color w:val="000000" w:themeColor="text1"/>
                <w:highlight w:val="none"/>
                <w14:textFill>
                  <w14:solidFill>
                    <w14:schemeClr w14:val="tx1"/>
                  </w14:solidFill>
                </w14:textFill>
              </w:rPr>
              <w:t>m</w:t>
            </w:r>
            <w:r>
              <w:rPr>
                <w:rFonts w:hint="eastAsia"/>
                <w:b/>
                <w:bCs/>
                <w:color w:val="000000" w:themeColor="text1"/>
                <w:highlight w:val="none"/>
                <w14:textFill>
                  <w14:solidFill>
                    <w14:schemeClr w14:val="tx1"/>
                  </w14:solidFill>
                </w14:textFill>
              </w:rPr>
              <w:t>）</w:t>
            </w:r>
          </w:p>
        </w:tc>
        <w:tc>
          <w:tcPr>
            <w:tcW w:w="481"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462</w:t>
            </w:r>
          </w:p>
        </w:tc>
        <w:tc>
          <w:tcPr>
            <w:tcW w:w="621"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土壤类型</w:t>
            </w:r>
          </w:p>
        </w:tc>
        <w:tc>
          <w:tcPr>
            <w:tcW w:w="648"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壤土</w:t>
            </w:r>
          </w:p>
        </w:tc>
        <w:tc>
          <w:tcPr>
            <w:tcW w:w="550"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坡度</w:t>
            </w:r>
          </w:p>
        </w:tc>
        <w:tc>
          <w:tcPr>
            <w:tcW w:w="52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20</w:t>
            </w:r>
          </w:p>
        </w:tc>
        <w:tc>
          <w:tcPr>
            <w:tcW w:w="65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坡向</w:t>
            </w:r>
          </w:p>
        </w:tc>
        <w:tc>
          <w:tcPr>
            <w:tcW w:w="74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中文名（拉丁名）</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平均高度m</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株数/多度</w:t>
            </w:r>
          </w:p>
        </w:tc>
        <w:tc>
          <w:tcPr>
            <w:tcW w:w="1073"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平均胸径cm</w:t>
            </w:r>
          </w:p>
        </w:tc>
        <w:tc>
          <w:tcPr>
            <w:tcW w:w="65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平均</w:t>
            </w:r>
          </w:p>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冠幅</w:t>
            </w:r>
          </w:p>
        </w:tc>
        <w:tc>
          <w:tcPr>
            <w:tcW w:w="7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茂盛</w:t>
            </w:r>
          </w:p>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草本层</w:t>
            </w: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芒Miscanthus sinensis</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1.20</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Soc</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白茅Imperata cylindrica.</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0.8</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Soc</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蕨P.Aquilinum</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0.50</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Cop1</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牛尾蒿Artemisia dubia Wall. ex Bess.</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Sol.</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芒萁Dicranopteris dichotoma(Thunb.)Bernh.</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Sol.</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荩草Arthraxon hispidus (Thunb.) Makino</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0.25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Sp</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四脉金茅Eulalia quadrinervis (Hack.) Kuntze.</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0.45</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Sol.</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野古草Arundinella anomala Steud.</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0.40</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Sol.</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09" w:type="dxa"/>
            <w:vMerge w:val="continue"/>
            <w:vAlign w:val="center"/>
          </w:tcPr>
          <w:p>
            <w:pPr>
              <w:pStyle w:val="118"/>
              <w:rPr>
                <w:color w:val="000000" w:themeColor="text1"/>
                <w:highlight w:val="none"/>
                <w14:textFill>
                  <w14:solidFill>
                    <w14:schemeClr w14:val="tx1"/>
                  </w14:solidFill>
                </w14:textFill>
              </w:rPr>
            </w:pPr>
          </w:p>
        </w:tc>
        <w:tc>
          <w:tcPr>
            <w:tcW w:w="365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车前Plantago asiatica L.</w:t>
            </w:r>
          </w:p>
        </w:tc>
        <w:tc>
          <w:tcPr>
            <w:tcW w:w="1805"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w:t>
            </w:r>
          </w:p>
        </w:tc>
        <w:tc>
          <w:tcPr>
            <w:tcW w:w="6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Un.</w:t>
            </w:r>
          </w:p>
        </w:tc>
        <w:tc>
          <w:tcPr>
            <w:tcW w:w="1073" w:type="dxa"/>
            <w:gridSpan w:val="2"/>
            <w:vAlign w:val="center"/>
          </w:tcPr>
          <w:p>
            <w:pPr>
              <w:pStyle w:val="118"/>
              <w:rPr>
                <w:color w:val="000000" w:themeColor="text1"/>
                <w:highlight w:val="none"/>
                <w14:textFill>
                  <w14:solidFill>
                    <w14:schemeClr w14:val="tx1"/>
                  </w14:solidFill>
                </w14:textFill>
              </w:rPr>
            </w:pPr>
          </w:p>
        </w:tc>
        <w:tc>
          <w:tcPr>
            <w:tcW w:w="659" w:type="dxa"/>
            <w:vAlign w:val="center"/>
          </w:tcPr>
          <w:p>
            <w:pPr>
              <w:pStyle w:val="118"/>
              <w:rPr>
                <w:color w:val="000000" w:themeColor="text1"/>
                <w:highlight w:val="none"/>
                <w14:textFill>
                  <w14:solidFill>
                    <w14:schemeClr w14:val="tx1"/>
                  </w14:solidFill>
                </w14:textFill>
              </w:rPr>
            </w:pPr>
          </w:p>
        </w:tc>
        <w:tc>
          <w:tcPr>
            <w:tcW w:w="743" w:type="dxa"/>
            <w:vAlign w:val="center"/>
          </w:tcPr>
          <w:p>
            <w:pPr>
              <w:pStyle w:val="118"/>
              <w:rPr>
                <w:color w:val="000000" w:themeColor="text1"/>
                <w:highlight w:val="none"/>
                <w14:textFill>
                  <w14:solidFill>
                    <w14:schemeClr w14:val="tx1"/>
                  </w14:solidFill>
                </w14:textFill>
              </w:rPr>
            </w:pPr>
          </w:p>
        </w:tc>
      </w:tr>
    </w:tbl>
    <w:p>
      <w:pPr>
        <w:spacing w:before="120" w:beforeLines="5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6、项目评价范围植被的基本特征</w:t>
      </w:r>
    </w:p>
    <w:p>
      <w:pPr>
        <w:ind w:firstLine="480"/>
        <w:rPr>
          <w:rFonts w:cs="Times New Roman"/>
          <w:bCs/>
          <w:color w:val="000000" w:themeColor="text1"/>
          <w:szCs w:val="24"/>
          <w:highlight w:val="none"/>
          <w:lang w:val="de-DE"/>
          <w14:textFill>
            <w14:solidFill>
              <w14:schemeClr w14:val="tx1"/>
            </w14:solidFill>
          </w14:textFill>
        </w:rPr>
      </w:pPr>
      <w:r>
        <w:rPr>
          <w:rFonts w:cs="Times New Roman"/>
          <w:bCs/>
          <w:color w:val="000000" w:themeColor="text1"/>
          <w:szCs w:val="24"/>
          <w:highlight w:val="none"/>
          <w:lang w:val="de-DE"/>
          <w14:textFill>
            <w14:solidFill>
              <w14:schemeClr w14:val="tx1"/>
            </w14:solidFill>
          </w14:textFill>
        </w:rPr>
        <w:t>根据对评价范围进行的植被考察和若干重点地区代表类型的样方调查，可知区域内植被具有以下特征：</w:t>
      </w:r>
    </w:p>
    <w:p>
      <w:pPr>
        <w:numPr>
          <w:ilvl w:val="0"/>
          <w:numId w:val="12"/>
        </w:numPr>
        <w:adjustRightInd/>
        <w:snapToGrid/>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植被次生性明显</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评价范围在植被带谱上应为常绿阔叶林类型，但现有的常绿阔叶林面积很少，只有在人烟稀少、田头地角有残存的常绿阔叶林。评价区山体中上部经过近年来的人工造林和封山育林等工程，许多地方已经蔚然成林，多为山地针叶林带或者针叶阔叶混交林带，主要是以马尾松为主的针叶林植被，以麻栎、青冈等为主的阔叶林植被带，其群落结构大多</w:t>
      </w:r>
      <w:r>
        <w:rPr>
          <w:rFonts w:hint="eastAsia" w:cs="Times New Roman"/>
          <w:bCs/>
          <w:color w:val="000000" w:themeColor="text1"/>
          <w:szCs w:val="24"/>
          <w:highlight w:val="none"/>
          <w14:textFill>
            <w14:solidFill>
              <w14:schemeClr w14:val="tx1"/>
            </w14:solidFill>
          </w14:textFill>
        </w:rPr>
        <w:t>具备</w:t>
      </w:r>
      <w:r>
        <w:rPr>
          <w:rFonts w:cs="Times New Roman"/>
          <w:bCs/>
          <w:color w:val="000000" w:themeColor="text1"/>
          <w:szCs w:val="24"/>
          <w:highlight w:val="none"/>
          <w14:textFill>
            <w14:solidFill>
              <w14:schemeClr w14:val="tx1"/>
            </w14:solidFill>
          </w14:textFill>
        </w:rPr>
        <w:t>乔木、灌木、草本、地衣层，覆盖度基本保持在70%左右。次生灌丛则以野桐、盐肤木、马桑、黄荆、火棘、荚蒾为主要的优势群落，草本优势种群主要是芒、白茅、五节芒、斑茅、野古草</w:t>
      </w:r>
      <w:r>
        <w:rPr>
          <w:rFonts w:cs="Times New Roman"/>
          <w:bCs/>
          <w:color w:val="000000" w:themeColor="text1"/>
          <w:highlight w:val="none"/>
          <w14:textFill>
            <w14:solidFill>
              <w14:schemeClr w14:val="tx1"/>
            </w14:solidFill>
          </w14:textFill>
        </w:rPr>
        <w:t>、夏枯草、蛇含委陵草、鸡眼草、芒萁、车轴草</w:t>
      </w:r>
      <w:r>
        <w:rPr>
          <w:rFonts w:cs="Times New Roman"/>
          <w:bCs/>
          <w:color w:val="000000" w:themeColor="text1"/>
          <w:szCs w:val="24"/>
          <w:highlight w:val="none"/>
          <w14:textFill>
            <w14:solidFill>
              <w14:schemeClr w14:val="tx1"/>
            </w14:solidFill>
          </w14:textFill>
        </w:rPr>
        <w:t>。在评价区海拔400m以下、坡度较缓的地带均已毁林开荒种植粮食作物，导致水土流失，自然条件发生变化，农业植被或者荒芜逐渐代替自然植被。</w:t>
      </w:r>
    </w:p>
    <w:p>
      <w:pPr>
        <w:ind w:firstLine="480"/>
        <w:rPr>
          <w:rFonts w:cs="Times New Roman"/>
          <w:bCs/>
          <w:color w:val="000000" w:themeColor="text1"/>
          <w:szCs w:val="24"/>
          <w:highlight w:val="none"/>
          <w:lang w:val="de-DE"/>
          <w14:textFill>
            <w14:solidFill>
              <w14:schemeClr w14:val="tx1"/>
            </w14:solidFill>
          </w14:textFill>
        </w:rPr>
      </w:pPr>
      <w:r>
        <w:rPr>
          <w:rFonts w:cs="Times New Roman"/>
          <w:bCs/>
          <w:color w:val="000000" w:themeColor="text1"/>
          <w:szCs w:val="24"/>
          <w:highlight w:val="none"/>
          <w:lang w:val="de-DE"/>
          <w14:textFill>
            <w14:solidFill>
              <w14:schemeClr w14:val="tx1"/>
            </w14:solidFill>
          </w14:textFill>
        </w:rPr>
        <w:t>地带性常绿阔叶林的消失，使蕴藏其中的大部分珍稀动植物失去生存繁衍的环境，同时，植被的明显次生性，大面积人工种植的针叶林、落叶阔叶林以及次生的灌丛及灌草丛在评价范围的广泛分布，致使区内植被的生态效应的有效性、生物物种的多样性及植被生物量的丰富程度都受到一定的影响。</w:t>
      </w:r>
    </w:p>
    <w:p>
      <w:pPr>
        <w:ind w:firstLine="480"/>
        <w:rPr>
          <w:rFonts w:cs="Times New Roman"/>
          <w:bCs/>
          <w:color w:val="000000" w:themeColor="text1"/>
          <w:szCs w:val="24"/>
          <w:highlight w:val="none"/>
          <w:lang w:val="de-DE"/>
          <w14:textFill>
            <w14:solidFill>
              <w14:schemeClr w14:val="tx1"/>
            </w14:solidFill>
          </w14:textFill>
        </w:rPr>
      </w:pPr>
      <w:r>
        <w:rPr>
          <w:rFonts w:cs="Times New Roman"/>
          <w:bCs/>
          <w:color w:val="000000" w:themeColor="text1"/>
          <w:szCs w:val="24"/>
          <w:highlight w:val="none"/>
          <w:lang w:val="de-DE"/>
          <w14:textFill>
            <w14:solidFill>
              <w14:schemeClr w14:val="tx1"/>
            </w14:solidFill>
          </w14:textFill>
        </w:rPr>
        <w:t>（</w:t>
      </w:r>
      <w:r>
        <w:rPr>
          <w:rFonts w:cs="Times New Roman"/>
          <w:bCs/>
          <w:color w:val="000000" w:themeColor="text1"/>
          <w:szCs w:val="24"/>
          <w:highlight w:val="none"/>
          <w14:textFill>
            <w14:solidFill>
              <w14:schemeClr w14:val="tx1"/>
            </w14:solidFill>
          </w14:textFill>
        </w:rPr>
        <w:t>2</w:t>
      </w:r>
      <w:r>
        <w:rPr>
          <w:rFonts w:cs="Times New Roman"/>
          <w:bCs/>
          <w:color w:val="000000" w:themeColor="text1"/>
          <w:szCs w:val="24"/>
          <w:highlight w:val="none"/>
          <w:lang w:val="de-DE"/>
          <w14:textFill>
            <w14:solidFill>
              <w14:schemeClr w14:val="tx1"/>
            </w14:solidFill>
          </w14:textFill>
        </w:rPr>
        <w:t>）森林植被覆盖率较高，但质量欠佳且分布不均</w:t>
      </w:r>
    </w:p>
    <w:p>
      <w:pPr>
        <w:ind w:firstLine="480"/>
        <w:rPr>
          <w:rFonts w:cs="Times New Roman"/>
          <w:bCs/>
          <w:color w:val="000000" w:themeColor="text1"/>
          <w:szCs w:val="24"/>
          <w:highlight w:val="none"/>
          <w:lang w:val="de-DE"/>
          <w14:textFill>
            <w14:solidFill>
              <w14:schemeClr w14:val="tx1"/>
            </w14:solidFill>
          </w14:textFill>
        </w:rPr>
      </w:pPr>
      <w:r>
        <w:rPr>
          <w:rFonts w:cs="Times New Roman"/>
          <w:bCs/>
          <w:color w:val="000000" w:themeColor="text1"/>
          <w:szCs w:val="24"/>
          <w:highlight w:val="none"/>
          <w:lang w:val="de-DE"/>
          <w14:textFill>
            <w14:solidFill>
              <w14:schemeClr w14:val="tx1"/>
            </w14:solidFill>
          </w14:textFill>
        </w:rPr>
        <w:t>评价范围的森林植被分布较为广泛，但多为人工培育中幼龄林，因此森林蓄积量较低，森林群落的结构简单，郁闭度相对较低，生物量及生产力亦较低，因此，森林植被的生态效应较差。项目建设过程中，施工方应千方百计注意保护现有森林植被，并在项目开发的同时，采取有效措施促进森林植被的恢复，加强人工封闭或人工促进措施，做好封山育林工作，使灌丛植被尽快地向森林植被演替。</w:t>
      </w:r>
    </w:p>
    <w:p>
      <w:pPr>
        <w:ind w:firstLine="480"/>
        <w:rPr>
          <w:rFonts w:cs="Times New Roman"/>
          <w:bCs/>
          <w:color w:val="000000" w:themeColor="text1"/>
          <w:szCs w:val="24"/>
          <w:highlight w:val="none"/>
          <w:lang w:val="de-DE"/>
          <w14:textFill>
            <w14:solidFill>
              <w14:schemeClr w14:val="tx1"/>
            </w14:solidFill>
          </w14:textFill>
        </w:rPr>
      </w:pPr>
      <w:r>
        <w:rPr>
          <w:rFonts w:cs="Times New Roman"/>
          <w:bCs/>
          <w:color w:val="000000" w:themeColor="text1"/>
          <w:szCs w:val="24"/>
          <w:highlight w:val="none"/>
          <w:lang w:val="de-DE"/>
          <w14:textFill>
            <w14:solidFill>
              <w14:schemeClr w14:val="tx1"/>
            </w14:solidFill>
          </w14:textFill>
        </w:rPr>
        <w:t>（3）人工植被分布广泛，尤其旱地植被占明显优势</w:t>
      </w:r>
    </w:p>
    <w:p>
      <w:pPr>
        <w:ind w:firstLine="480"/>
        <w:rPr>
          <w:color w:val="000000" w:themeColor="text1"/>
          <w:highlight w:val="none"/>
          <w14:textFill>
            <w14:solidFill>
              <w14:schemeClr w14:val="tx1"/>
            </w14:solidFill>
          </w14:textFill>
        </w:rPr>
      </w:pPr>
      <w:r>
        <w:rPr>
          <w:rFonts w:cs="Times New Roman"/>
          <w:bCs/>
          <w:color w:val="000000" w:themeColor="text1"/>
          <w:szCs w:val="24"/>
          <w:highlight w:val="none"/>
          <w:lang w:val="de-DE"/>
          <w14:textFill>
            <w14:solidFill>
              <w14:schemeClr w14:val="tx1"/>
            </w14:solidFill>
          </w14:textFill>
        </w:rPr>
        <w:t>评价范围地处川东北中低山区域，土地负荷极大。目前评价范围内有农田植被</w:t>
      </w:r>
      <w:r>
        <w:rPr>
          <w:rFonts w:cs="Times New Roman"/>
          <w:bCs/>
          <w:color w:val="000000" w:themeColor="text1"/>
          <w:szCs w:val="24"/>
          <w:highlight w:val="none"/>
          <w14:textFill>
            <w14:solidFill>
              <w14:schemeClr w14:val="tx1"/>
            </w14:solidFill>
          </w14:textFill>
        </w:rPr>
        <w:t>259.22</w:t>
      </w:r>
      <w:r>
        <w:rPr>
          <w:rFonts w:cs="Times New Roman"/>
          <w:bCs/>
          <w:color w:val="000000" w:themeColor="text1"/>
          <w:szCs w:val="24"/>
          <w:highlight w:val="none"/>
          <w:lang w:val="de-DE"/>
          <w14:textFill>
            <w14:solidFill>
              <w14:schemeClr w14:val="tx1"/>
            </w14:solidFill>
          </w14:textFill>
        </w:rPr>
        <w:t>hm²，约占评价区内土地总面积的</w:t>
      </w:r>
      <w:r>
        <w:rPr>
          <w:rFonts w:cs="Times New Roman"/>
          <w:bCs/>
          <w:color w:val="000000" w:themeColor="text1"/>
          <w:szCs w:val="24"/>
          <w:highlight w:val="none"/>
          <w14:textFill>
            <w14:solidFill>
              <w14:schemeClr w14:val="tx1"/>
            </w14:solidFill>
          </w14:textFill>
        </w:rPr>
        <w:t>40.95</w:t>
      </w:r>
      <w:r>
        <w:rPr>
          <w:rFonts w:cs="Times New Roman"/>
          <w:bCs/>
          <w:color w:val="000000" w:themeColor="text1"/>
          <w:szCs w:val="24"/>
          <w:highlight w:val="none"/>
          <w:lang w:val="de-DE"/>
          <w14:textFill>
            <w14:solidFill>
              <w14:schemeClr w14:val="tx1"/>
            </w14:solidFill>
          </w14:textFill>
        </w:rPr>
        <w:t>%，即垦殖指数达</w:t>
      </w:r>
      <w:r>
        <w:rPr>
          <w:rFonts w:cs="Times New Roman"/>
          <w:bCs/>
          <w:color w:val="000000" w:themeColor="text1"/>
          <w:szCs w:val="24"/>
          <w:highlight w:val="none"/>
          <w14:textFill>
            <w14:solidFill>
              <w14:schemeClr w14:val="tx1"/>
            </w14:solidFill>
          </w14:textFill>
        </w:rPr>
        <w:t>40.95</w:t>
      </w:r>
      <w:r>
        <w:rPr>
          <w:rFonts w:cs="Times New Roman"/>
          <w:bCs/>
          <w:color w:val="000000" w:themeColor="text1"/>
          <w:szCs w:val="24"/>
          <w:highlight w:val="none"/>
          <w:lang w:val="de-DE"/>
          <w14:textFill>
            <w14:solidFill>
              <w14:schemeClr w14:val="tx1"/>
            </w14:solidFill>
          </w14:textFill>
        </w:rPr>
        <w:t>%。大面积的农田植被对于解决区内人口的粮食、蔬菜等起到了重要作用，但是由于不少旱地是在河谷斜坡和丘陵山地的斜坡面上开垦出来的，这种坡耕旱地在人类长期的翻耕种植下，会加速土壤的侵蚀，使山区生态环境进一步退化</w:t>
      </w:r>
      <w:r>
        <w:rPr>
          <w:color w:val="000000" w:themeColor="text1"/>
          <w:highlight w:val="none"/>
          <w14:textFill>
            <w14:solidFill>
              <w14:schemeClr w14:val="tx1"/>
            </w14:solidFill>
          </w14:textFill>
        </w:rPr>
        <w:t>。</w:t>
      </w:r>
    </w:p>
    <w:bookmarkEnd w:id="250"/>
    <w:p>
      <w:pPr>
        <w:pStyle w:val="5"/>
        <w:spacing w:before="120"/>
        <w:ind w:firstLine="480"/>
        <w:rPr>
          <w:color w:val="000000" w:themeColor="text1"/>
          <w:highlight w:val="none"/>
          <w:lang w:eastAsia="zh-CN"/>
          <w14:textFill>
            <w14:solidFill>
              <w14:schemeClr w14:val="tx1"/>
            </w14:solidFill>
          </w14:textFill>
        </w:rPr>
      </w:pPr>
      <w:r>
        <w:rPr>
          <w:color w:val="000000" w:themeColor="text1"/>
          <w:szCs w:val="24"/>
          <w:highlight w:val="none"/>
          <w:lang w:eastAsia="zh-CN"/>
          <w14:textFill>
            <w14:solidFill>
              <w14:schemeClr w14:val="tx1"/>
            </w14:solidFill>
          </w14:textFill>
        </w:rPr>
        <w:t>评价范围植被生产力和生物量分析</w:t>
      </w:r>
    </w:p>
    <w:p>
      <w:pPr>
        <w:spacing w:line="480" w:lineRule="exact"/>
        <w:ind w:firstLine="480"/>
        <w:rPr>
          <w:rFonts w:cs="Times New Roman"/>
          <w:bCs/>
          <w:color w:val="000000" w:themeColor="text1"/>
          <w:szCs w:val="24"/>
          <w:highlight w:val="none"/>
          <w:lang w:val="de-DE"/>
          <w14:textFill>
            <w14:solidFill>
              <w14:schemeClr w14:val="tx1"/>
            </w14:solidFill>
          </w14:textFill>
        </w:rPr>
      </w:pPr>
      <w:r>
        <w:rPr>
          <w:rFonts w:cs="Times New Roman"/>
          <w:bCs/>
          <w:color w:val="000000" w:themeColor="text1"/>
          <w:szCs w:val="24"/>
          <w:highlight w:val="none"/>
          <w:lang w:val="de-DE"/>
          <w14:textFill>
            <w14:solidFill>
              <w14:schemeClr w14:val="tx1"/>
            </w14:solidFill>
          </w14:textFill>
        </w:rPr>
        <w:t>（</w:t>
      </w:r>
      <w:r>
        <w:rPr>
          <w:rFonts w:cs="Times New Roman"/>
          <w:bCs/>
          <w:color w:val="000000" w:themeColor="text1"/>
          <w:szCs w:val="24"/>
          <w:highlight w:val="none"/>
          <w14:textFill>
            <w14:solidFill>
              <w14:schemeClr w14:val="tx1"/>
            </w14:solidFill>
          </w14:textFill>
        </w:rPr>
        <w:t>1</w:t>
      </w:r>
      <w:r>
        <w:rPr>
          <w:rFonts w:cs="Times New Roman"/>
          <w:bCs/>
          <w:color w:val="000000" w:themeColor="text1"/>
          <w:szCs w:val="24"/>
          <w:highlight w:val="none"/>
          <w:lang w:val="de-DE"/>
          <w14:textFill>
            <w14:solidFill>
              <w14:schemeClr w14:val="tx1"/>
            </w14:solidFill>
          </w14:textFill>
        </w:rPr>
        <w:t>）土地自然生产力估算</w:t>
      </w:r>
    </w:p>
    <w:p>
      <w:pPr>
        <w:spacing w:line="480" w:lineRule="exact"/>
        <w:ind w:firstLine="480"/>
        <w:rPr>
          <w:rFonts w:cs="Times New Roman"/>
          <w:bCs/>
          <w:color w:val="000000" w:themeColor="text1"/>
          <w:szCs w:val="24"/>
          <w:highlight w:val="none"/>
          <w:lang w:val="de-DE"/>
          <w14:textFill>
            <w14:solidFill>
              <w14:schemeClr w14:val="tx1"/>
            </w14:solidFill>
          </w14:textFill>
        </w:rPr>
      </w:pPr>
      <w:r>
        <w:rPr>
          <w:rFonts w:cs="Times New Roman"/>
          <w:bCs/>
          <w:color w:val="000000" w:themeColor="text1"/>
          <w:szCs w:val="24"/>
          <w:highlight w:val="none"/>
          <w:lang w:val="de-DE"/>
          <w14:textFill>
            <w14:solidFill>
              <w14:schemeClr w14:val="tx1"/>
            </w14:solidFill>
          </w14:textFill>
        </w:rPr>
        <w:t>采用H.lieth生物生产力经验公式计算项目区域土地自然生产力：</w:t>
      </w:r>
    </w:p>
    <w:p>
      <w:pPr>
        <w:ind w:firstLine="480"/>
        <w:jc w:val="center"/>
        <w:rPr>
          <w:rFonts w:cs="Times New Roman"/>
          <w:bCs/>
          <w:color w:val="000000" w:themeColor="text1"/>
          <w:szCs w:val="24"/>
          <w:highlight w:val="none"/>
          <w14:textFill>
            <w14:solidFill>
              <w14:schemeClr w14:val="tx1"/>
            </w14:solidFill>
          </w14:textFill>
        </w:rPr>
      </w:pPr>
      <w:r>
        <w:rPr>
          <w:rFonts w:cs="Times New Roman"/>
          <w:bCs/>
          <w:color w:val="000000" w:themeColor="text1"/>
          <w:position w:val="-26"/>
          <w:szCs w:val="24"/>
          <w:highlight w:val="none"/>
          <w14:textFill>
            <w14:solidFill>
              <w14:schemeClr w14:val="tx1"/>
            </w14:solidFill>
          </w14:textFill>
        </w:rPr>
        <w:object>
          <v:shape id="_x0000_i1027" o:spt="75" type="#_x0000_t75" style="height:36.7pt;width:129.75pt;" o:ole="t" filled="f" o:preferrelative="t" stroked="f" coordsize="21600,21600">
            <v:path/>
            <v:fill on="f" focussize="0,0"/>
            <v:stroke on="f" joinstyle="miter"/>
            <v:imagedata r:id="rId76" o:title=""/>
            <o:lock v:ext="edit" aspectratio="t"/>
            <w10:wrap type="none"/>
            <w10:anchorlock/>
          </v:shape>
          <o:OLEObject Type="Embed" ProgID="Equation.3" ShapeID="_x0000_i1027" DrawAspect="Content" ObjectID="_1468075727" r:id="rId75">
            <o:LockedField>false</o:LockedField>
          </o:OLEObject>
        </w:object>
      </w:r>
    </w:p>
    <w:p>
      <w:pPr>
        <w:ind w:firstLine="480"/>
        <w:jc w:val="center"/>
        <w:rPr>
          <w:rFonts w:cs="Times New Roman"/>
          <w:bCs/>
          <w:color w:val="000000" w:themeColor="text1"/>
          <w:szCs w:val="24"/>
          <w:highlight w:val="none"/>
          <w14:textFill>
            <w14:solidFill>
              <w14:schemeClr w14:val="tx1"/>
            </w14:solidFill>
          </w14:textFill>
        </w:rPr>
      </w:pPr>
      <w:r>
        <w:rPr>
          <w:rFonts w:cs="Times New Roman"/>
          <w:bCs/>
          <w:color w:val="000000" w:themeColor="text1"/>
          <w:position w:val="-10"/>
          <w:szCs w:val="24"/>
          <w:highlight w:val="none"/>
          <w14:textFill>
            <w14:solidFill>
              <w14:schemeClr w14:val="tx1"/>
            </w14:solidFill>
          </w14:textFill>
        </w:rPr>
        <w:object>
          <v:shape id="_x0000_i1028" o:spt="75" type="#_x0000_t75" style="height:21.75pt;width:151.45pt;" o:ole="t" filled="f" o:preferrelative="t" stroked="f" coordsize="21600,21600">
            <v:path/>
            <v:fill on="f" focussize="0,0"/>
            <v:stroke on="f" joinstyle="miter"/>
            <v:imagedata r:id="rId78" o:title=""/>
            <o:lock v:ext="edit" aspectratio="t"/>
            <w10:wrap type="none"/>
            <w10:anchorlock/>
          </v:shape>
          <o:OLEObject Type="Embed" ProgID="Equation.3" ShapeID="_x0000_i1028" DrawAspect="Content" ObjectID="_1468075728" r:id="rId77">
            <o:LockedField>false</o:LockedField>
          </o:OLEObject>
        </w:object>
      </w:r>
    </w:p>
    <w:p>
      <w:pPr>
        <w:spacing w:line="480" w:lineRule="exact"/>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lang w:val="de-DE"/>
          <w14:textFill>
            <w14:solidFill>
              <w14:schemeClr w14:val="tx1"/>
            </w14:solidFill>
          </w14:textFill>
        </w:rPr>
        <w:t>式中：</w:t>
      </w:r>
      <w:r>
        <w:rPr>
          <w:rFonts w:cs="Times New Roman"/>
          <w:bCs/>
          <w:i/>
          <w:color w:val="000000" w:themeColor="text1"/>
          <w:szCs w:val="24"/>
          <w:highlight w:val="none"/>
          <w14:textFill>
            <w14:solidFill>
              <w14:schemeClr w14:val="tx1"/>
            </w14:solidFill>
          </w14:textFill>
        </w:rPr>
        <w:t>Y</w:t>
      </w:r>
      <w:r>
        <w:rPr>
          <w:rFonts w:cs="Times New Roman"/>
          <w:bCs/>
          <w:i/>
          <w:color w:val="000000" w:themeColor="text1"/>
          <w:szCs w:val="24"/>
          <w:highlight w:val="none"/>
          <w:vertAlign w:val="subscript"/>
          <w14:textFill>
            <w14:solidFill>
              <w14:schemeClr w14:val="tx1"/>
            </w14:solidFill>
          </w14:textFill>
        </w:rPr>
        <w:t>1</w:t>
      </w:r>
      <w:r>
        <w:rPr>
          <w:rFonts w:cs="Times New Roman"/>
          <w:bCs/>
          <w:color w:val="000000" w:themeColor="text1"/>
          <w:szCs w:val="24"/>
          <w:highlight w:val="none"/>
          <w:lang w:val="de-DE"/>
          <w14:textFill>
            <w14:solidFill>
              <w14:schemeClr w14:val="tx1"/>
            </w14:solidFill>
          </w14:textFill>
        </w:rPr>
        <w:t>——根据年均温度（t）估算的热量</w:t>
      </w:r>
      <w:r>
        <w:rPr>
          <w:rFonts w:cs="Times New Roman"/>
          <w:bCs/>
          <w:color w:val="000000" w:themeColor="text1"/>
          <w:szCs w:val="24"/>
          <w:highlight w:val="none"/>
          <w14:textFill>
            <w14:solidFill>
              <w14:schemeClr w14:val="tx1"/>
            </w14:solidFill>
          </w14:textFill>
        </w:rPr>
        <w:t>生产力（g/m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·a）；</w:t>
      </w:r>
    </w:p>
    <w:p>
      <w:pPr>
        <w:spacing w:line="480" w:lineRule="exact"/>
        <w:ind w:firstLine="720" w:firstLineChars="300"/>
        <w:rPr>
          <w:rFonts w:cs="Times New Roman"/>
          <w:bCs/>
          <w:color w:val="000000" w:themeColor="text1"/>
          <w:szCs w:val="24"/>
          <w:highlight w:val="none"/>
          <w14:textFill>
            <w14:solidFill>
              <w14:schemeClr w14:val="tx1"/>
            </w14:solidFill>
          </w14:textFill>
        </w:rPr>
      </w:pPr>
      <w:r>
        <w:rPr>
          <w:rFonts w:cs="Times New Roman"/>
          <w:bCs/>
          <w:i/>
          <w:color w:val="000000" w:themeColor="text1"/>
          <w:szCs w:val="24"/>
          <w:highlight w:val="none"/>
          <w14:textFill>
            <w14:solidFill>
              <w14:schemeClr w14:val="tx1"/>
            </w14:solidFill>
          </w14:textFill>
        </w:rPr>
        <w:t>Y</w:t>
      </w:r>
      <w:r>
        <w:rPr>
          <w:rFonts w:cs="Times New Roman"/>
          <w:bCs/>
          <w:color w:val="000000" w:themeColor="text1"/>
          <w:szCs w:val="24"/>
          <w:highlight w:val="none"/>
          <w:vertAlign w:val="sub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——根据年降水量（</w:t>
      </w:r>
      <w:r>
        <w:rPr>
          <w:rFonts w:cs="Times New Roman"/>
          <w:bCs/>
          <w:i/>
          <w:color w:val="000000" w:themeColor="text1"/>
          <w:szCs w:val="24"/>
          <w:highlight w:val="none"/>
          <w14:textFill>
            <w14:solidFill>
              <w14:schemeClr w14:val="tx1"/>
            </w14:solidFill>
          </w14:textFill>
        </w:rPr>
        <w:t>p</w:t>
      </w:r>
      <w:r>
        <w:rPr>
          <w:rFonts w:cs="Times New Roman"/>
          <w:bCs/>
          <w:color w:val="000000" w:themeColor="text1"/>
          <w:szCs w:val="24"/>
          <w:highlight w:val="none"/>
          <w14:textFill>
            <w14:solidFill>
              <w14:schemeClr w14:val="tx1"/>
            </w14:solidFill>
          </w14:textFill>
        </w:rPr>
        <w:t>，mm）估算的水分生产力（g/m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·a）。</w:t>
      </w:r>
    </w:p>
    <w:p>
      <w:pPr>
        <w:spacing w:line="480" w:lineRule="exact"/>
        <w:ind w:firstLine="480"/>
        <w:rPr>
          <w:rFonts w:cs="Times New Roman"/>
          <w:bCs/>
          <w:color w:val="000000" w:themeColor="text1"/>
          <w:szCs w:val="24"/>
          <w:highlight w:val="none"/>
          <w:lang w:val="de-DE"/>
          <w14:textFill>
            <w14:solidFill>
              <w14:schemeClr w14:val="tx1"/>
            </w14:solidFill>
          </w14:textFill>
        </w:rPr>
      </w:pPr>
      <w:r>
        <w:rPr>
          <w:rFonts w:cs="Times New Roman"/>
          <w:bCs/>
          <w:color w:val="000000" w:themeColor="text1"/>
          <w:szCs w:val="24"/>
          <w:highlight w:val="none"/>
          <w:lang w:val="de-DE"/>
          <w14:textFill>
            <w14:solidFill>
              <w14:schemeClr w14:val="tx1"/>
            </w14:solidFill>
          </w14:textFill>
        </w:rPr>
        <w:t>评价范围地貌类型以中低山为主，区内气候在垂直及水平方向的变化都较小，土地自然生产力计算结果如下表所示：</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表 </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评价范围土地自然生产力计算表</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30" w:type="dxa"/>
          <w:bottom w:w="0" w:type="dxa"/>
          <w:right w:w="30" w:type="dxa"/>
        </w:tblCellMar>
      </w:tblPr>
      <w:tblGrid>
        <w:gridCol w:w="1145"/>
        <w:gridCol w:w="1808"/>
        <w:gridCol w:w="1806"/>
        <w:gridCol w:w="1806"/>
        <w:gridCol w:w="18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703" w:hRule="atLeast"/>
          <w:tblHeader/>
          <w:jc w:val="center"/>
        </w:trPr>
        <w:tc>
          <w:tcPr>
            <w:tcW w:w="684" w:type="pct"/>
            <w:vAlign w:val="center"/>
          </w:tcPr>
          <w:p>
            <w:pPr>
              <w:adjustRightInd/>
              <w:snapToGrid/>
              <w:spacing w:before="20"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区域</w:t>
            </w:r>
          </w:p>
        </w:tc>
        <w:tc>
          <w:tcPr>
            <w:tcW w:w="1080" w:type="pct"/>
            <w:vAlign w:val="center"/>
          </w:tcPr>
          <w:p>
            <w:pPr>
              <w:adjustRightInd/>
              <w:snapToGrid/>
              <w:spacing w:before="20"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多年平均气温</w:t>
            </w:r>
          </w:p>
          <w:p>
            <w:pPr>
              <w:adjustRightInd/>
              <w:snapToGrid/>
              <w:spacing w:before="20"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w:t>
            </w:r>
          </w:p>
        </w:tc>
        <w:tc>
          <w:tcPr>
            <w:tcW w:w="1079" w:type="pct"/>
            <w:vAlign w:val="center"/>
          </w:tcPr>
          <w:p>
            <w:pPr>
              <w:adjustRightInd/>
              <w:snapToGrid/>
              <w:spacing w:before="20"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多年平均降水量</w:t>
            </w:r>
          </w:p>
          <w:p>
            <w:pPr>
              <w:adjustRightInd/>
              <w:snapToGrid/>
              <w:spacing w:before="20"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（mm）</w:t>
            </w:r>
          </w:p>
        </w:tc>
        <w:tc>
          <w:tcPr>
            <w:tcW w:w="1079" w:type="pct"/>
            <w:vAlign w:val="center"/>
          </w:tcPr>
          <w:p>
            <w:pPr>
              <w:adjustRightInd/>
              <w:snapToGrid/>
              <w:spacing w:before="20"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热量生产力</w:t>
            </w:r>
          </w:p>
          <w:p>
            <w:pPr>
              <w:adjustRightInd/>
              <w:snapToGrid/>
              <w:spacing w:before="20"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（g/m</w:t>
            </w:r>
            <w:r>
              <w:rPr>
                <w:rFonts w:cs="Times New Roman"/>
                <w:b/>
                <w:color w:val="000000" w:themeColor="text1"/>
                <w:sz w:val="21"/>
                <w:szCs w:val="21"/>
                <w:highlight w:val="none"/>
                <w:vertAlign w:val="superscript"/>
                <w14:textFill>
                  <w14:solidFill>
                    <w14:schemeClr w14:val="tx1"/>
                  </w14:solidFill>
                </w14:textFill>
              </w:rPr>
              <w:t>2</w:t>
            </w:r>
            <w:r>
              <w:rPr>
                <w:rFonts w:cs="Times New Roman"/>
                <w:b/>
                <w:color w:val="000000" w:themeColor="text1"/>
                <w:sz w:val="21"/>
                <w:szCs w:val="21"/>
                <w:highlight w:val="none"/>
                <w14:textFill>
                  <w14:solidFill>
                    <w14:schemeClr w14:val="tx1"/>
                  </w14:solidFill>
                </w14:textFill>
              </w:rPr>
              <w:t>·a）</w:t>
            </w:r>
          </w:p>
        </w:tc>
        <w:tc>
          <w:tcPr>
            <w:tcW w:w="1079" w:type="pct"/>
            <w:vAlign w:val="center"/>
          </w:tcPr>
          <w:p>
            <w:pPr>
              <w:adjustRightInd/>
              <w:snapToGrid/>
              <w:spacing w:before="20"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水分生产力</w:t>
            </w:r>
          </w:p>
          <w:p>
            <w:pPr>
              <w:adjustRightInd/>
              <w:snapToGrid/>
              <w:spacing w:before="20"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（g/m</w:t>
            </w:r>
            <w:r>
              <w:rPr>
                <w:rFonts w:cs="Times New Roman"/>
                <w:b/>
                <w:color w:val="000000" w:themeColor="text1"/>
                <w:sz w:val="21"/>
                <w:szCs w:val="21"/>
                <w:highlight w:val="none"/>
                <w:vertAlign w:val="superscript"/>
                <w14:textFill>
                  <w14:solidFill>
                    <w14:schemeClr w14:val="tx1"/>
                  </w14:solidFill>
                </w14:textFill>
              </w:rPr>
              <w:t>2</w:t>
            </w:r>
            <w:r>
              <w:rPr>
                <w:rFonts w:cs="Times New Roman"/>
                <w:b/>
                <w:color w:val="000000" w:themeColor="text1"/>
                <w:sz w:val="21"/>
                <w:szCs w:val="21"/>
                <w:highlight w:val="none"/>
                <w14:textFill>
                  <w14:solidFill>
                    <w14:schemeClr w14:val="tx1"/>
                  </w14:solidFill>
                </w14:textFill>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476" w:hRule="atLeast"/>
          <w:jc w:val="center"/>
        </w:trPr>
        <w:tc>
          <w:tcPr>
            <w:tcW w:w="684" w:type="pct"/>
            <w:vAlign w:val="center"/>
          </w:tcPr>
          <w:p>
            <w:pPr>
              <w:adjustRightInd/>
              <w:snapToGrid/>
              <w:spacing w:before="20"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宣汉县</w:t>
            </w:r>
          </w:p>
        </w:tc>
        <w:tc>
          <w:tcPr>
            <w:tcW w:w="1080" w:type="pct"/>
            <w:vAlign w:val="center"/>
          </w:tcPr>
          <w:p>
            <w:pPr>
              <w:adjustRightInd/>
              <w:snapToGrid/>
              <w:spacing w:before="20"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16.8</w:t>
            </w:r>
          </w:p>
        </w:tc>
        <w:tc>
          <w:tcPr>
            <w:tcW w:w="1079" w:type="pct"/>
            <w:vAlign w:val="center"/>
          </w:tcPr>
          <w:p>
            <w:pPr>
              <w:adjustRightInd/>
              <w:snapToGrid/>
              <w:spacing w:before="20"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1132.69</w:t>
            </w:r>
          </w:p>
        </w:tc>
        <w:tc>
          <w:tcPr>
            <w:tcW w:w="1079" w:type="pct"/>
            <w:vAlign w:val="center"/>
          </w:tcPr>
          <w:p>
            <w:pPr>
              <w:adjustRightInd/>
              <w:snapToGrid/>
              <w:spacing w:before="20"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1994.03</w:t>
            </w:r>
          </w:p>
        </w:tc>
        <w:tc>
          <w:tcPr>
            <w:tcW w:w="1079" w:type="pct"/>
            <w:vAlign w:val="center"/>
          </w:tcPr>
          <w:p>
            <w:pPr>
              <w:adjustRightInd/>
              <w:snapToGrid/>
              <w:spacing w:before="20"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1585.88</w:t>
            </w:r>
          </w:p>
        </w:tc>
      </w:tr>
    </w:tbl>
    <w:p>
      <w:pPr>
        <w:spacing w:before="120"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从表4.3-</w:t>
      </w:r>
      <w:r>
        <w:rPr>
          <w:rFonts w:hint="eastAsia" w:cs="Times New Roman"/>
          <w:bCs/>
          <w:color w:val="000000" w:themeColor="text1"/>
          <w:szCs w:val="24"/>
          <w:highlight w:val="none"/>
          <w14:textFill>
            <w14:solidFill>
              <w14:schemeClr w14:val="tx1"/>
            </w14:solidFill>
          </w14:textFill>
        </w:rPr>
        <w:t>8</w:t>
      </w:r>
      <w:r>
        <w:rPr>
          <w:rFonts w:cs="Times New Roman"/>
          <w:bCs/>
          <w:color w:val="000000" w:themeColor="text1"/>
          <w:szCs w:val="24"/>
          <w:highlight w:val="none"/>
          <w14:textFill>
            <w14:solidFill>
              <w14:schemeClr w14:val="tx1"/>
            </w14:solidFill>
          </w14:textFill>
        </w:rPr>
        <w:t>可以看出，项目区域热量条件充足，水分条件不足，土地自然生产力受水分条件限制，根据项目区域降水量计算得出土地自然生产力为1585.88gc/m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·a。</w:t>
      </w:r>
    </w:p>
    <w:p>
      <w:pPr>
        <w:ind w:firstLine="480"/>
        <w:rPr>
          <w:rFonts w:cs="Times New Roman"/>
          <w:bCs/>
          <w:color w:val="000000" w:themeColor="text1"/>
          <w:szCs w:val="24"/>
          <w:highlight w:val="none"/>
          <w:lang w:val="de-DE"/>
          <w14:textFill>
            <w14:solidFill>
              <w14:schemeClr w14:val="tx1"/>
            </w14:solidFill>
          </w14:textFill>
        </w:rPr>
      </w:pPr>
      <w:r>
        <w:rPr>
          <w:rFonts w:cs="Times New Roman"/>
          <w:bCs/>
          <w:color w:val="000000" w:themeColor="text1"/>
          <w:szCs w:val="24"/>
          <w:highlight w:val="none"/>
          <w:lang w:val="de-DE"/>
          <w14:textFill>
            <w14:solidFill>
              <w14:schemeClr w14:val="tx1"/>
            </w14:solidFill>
          </w14:textFill>
        </w:rPr>
        <w:t>（</w:t>
      </w:r>
      <w:r>
        <w:rPr>
          <w:rFonts w:cs="Times New Roman"/>
          <w:bCs/>
          <w:color w:val="000000" w:themeColor="text1"/>
          <w:szCs w:val="24"/>
          <w:highlight w:val="none"/>
          <w14:textFill>
            <w14:solidFill>
              <w14:schemeClr w14:val="tx1"/>
            </w14:solidFill>
          </w14:textFill>
        </w:rPr>
        <w:t>2</w:t>
      </w:r>
      <w:r>
        <w:rPr>
          <w:rFonts w:cs="Times New Roman"/>
          <w:bCs/>
          <w:color w:val="000000" w:themeColor="text1"/>
          <w:szCs w:val="24"/>
          <w:highlight w:val="none"/>
          <w:lang w:val="de-DE"/>
          <w14:textFill>
            <w14:solidFill>
              <w14:schemeClr w14:val="tx1"/>
            </w14:solidFill>
          </w14:textFill>
        </w:rPr>
        <w:t>）植被生产力现状评价</w:t>
      </w:r>
    </w:p>
    <w:p>
      <w:pPr>
        <w:ind w:firstLine="480"/>
        <w:jc w:val="left"/>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植被既是重要的自然资源，又是自然条件（如地质、地貌、气候、土壤等）和人类开发利用资源状况的综合反映，植被作为陆地生物圈的主体，在生态系统中的作用也日益受到重视，尤其是对生态系统变化及稳定起决定性作用。植被净初级生产力（NPP）指绿色植物在单位时间和单位面积上所积累的有机干物质总量，它不仅是表征植物活动的重要变量，而且是判定生态系统碳汇和调节生态过程的主要因子，它直接反映植物群落在自然环境条件下的生产能力，也是生态现状质量评价的重要参数。在对评价区进行自然体系生产力评价中，数据主要来源于卫片解译，实地勘察、收集的现状资料（包括项目所在区域生态环境调查成果，各类环境信息图件及统计资料等），并采用了国内关于自然生态系统生产力和植被生物量的研究成果进行分析。</w:t>
      </w:r>
    </w:p>
    <w:p>
      <w:pPr>
        <w:ind w:firstLine="480"/>
        <w:jc w:val="left"/>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评价范围植</w:t>
      </w:r>
      <w:r>
        <w:rPr>
          <w:rFonts w:hint="eastAsia" w:cs="Times New Roman"/>
          <w:bCs/>
          <w:color w:val="000000" w:themeColor="text1"/>
          <w:szCs w:val="24"/>
          <w:highlight w:val="none"/>
          <w14:textFill>
            <w14:solidFill>
              <w14:schemeClr w14:val="tx1"/>
            </w14:solidFill>
          </w14:textFill>
        </w:rPr>
        <w:t>被</w:t>
      </w:r>
      <w:r>
        <w:rPr>
          <w:rFonts w:cs="Times New Roman"/>
          <w:bCs/>
          <w:color w:val="000000" w:themeColor="text1"/>
          <w:szCs w:val="24"/>
          <w:highlight w:val="none"/>
          <w14:textFill>
            <w14:solidFill>
              <w14:schemeClr w14:val="tx1"/>
            </w14:solidFill>
          </w14:textFill>
        </w:rPr>
        <w:t>调查是通过实地勘察、卫片解译、室内分析并结合收集的资料经综合分析而完成。卫片信息的提取过程如下：对选取的卫片数据，利用3S技术进行解译，并经几何精校正、</w:t>
      </w:r>
      <w:r>
        <w:rPr>
          <w:rFonts w:hint="eastAsia" w:cs="Times New Roman"/>
          <w:bCs/>
          <w:color w:val="000000" w:themeColor="text1"/>
          <w:szCs w:val="24"/>
          <w:highlight w:val="none"/>
          <w14:textFill>
            <w14:solidFill>
              <w14:schemeClr w14:val="tx1"/>
            </w14:solidFill>
          </w14:textFill>
        </w:rPr>
        <w:t>图像增强</w:t>
      </w:r>
      <w:r>
        <w:rPr>
          <w:rFonts w:cs="Times New Roman"/>
          <w:bCs/>
          <w:color w:val="000000" w:themeColor="text1"/>
          <w:szCs w:val="24"/>
          <w:highlight w:val="none"/>
          <w14:textFill>
            <w14:solidFill>
              <w14:schemeClr w14:val="tx1"/>
            </w14:solidFill>
          </w14:textFill>
        </w:rPr>
        <w:t>、进行融合，根据各类环境信息数据及相关图像处理软件进行综合分析，得到评价区内生态环境研究所需的相关数据和生态图件。</w:t>
      </w:r>
    </w:p>
    <w:p>
      <w:pPr>
        <w:ind w:firstLine="480"/>
        <w:jc w:val="left"/>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根据调查和卫片解译，结合生态评价范围地表植被覆盖现状和植被立地情况，可将评价范围植被类型划分为以下5类：</w:t>
      </w:r>
    </w:p>
    <w:p>
      <w:pPr>
        <w:tabs>
          <w:tab w:val="left" w:pos="540"/>
        </w:tabs>
        <w:ind w:firstLine="480"/>
        <w:jc w:val="left"/>
        <w:rPr>
          <w:rFonts w:cs="Times New Roman"/>
          <w:bCs/>
          <w:color w:val="000000" w:themeColor="text1"/>
          <w:szCs w:val="24"/>
          <w:highlight w:val="none"/>
          <w14:textFill>
            <w14:solidFill>
              <w14:schemeClr w14:val="tx1"/>
            </w14:solidFill>
          </w14:textFill>
        </w:rPr>
      </w:pPr>
      <w:r>
        <w:rPr>
          <w:rFonts w:hint="eastAsia" w:ascii="宋体" w:hAnsi="宋体" w:cs="宋体"/>
          <w:bCs/>
          <w:color w:val="000000" w:themeColor="text1"/>
          <w:szCs w:val="24"/>
          <w:highlight w:val="none"/>
          <w14:textFill>
            <w14:solidFill>
              <w14:schemeClr w14:val="tx1"/>
            </w14:solidFill>
          </w14:textFill>
        </w:rPr>
        <w:t>①</w:t>
      </w:r>
      <w:r>
        <w:rPr>
          <w:rFonts w:cs="Times New Roman"/>
          <w:bCs/>
          <w:color w:val="000000" w:themeColor="text1"/>
          <w:szCs w:val="24"/>
          <w:highlight w:val="none"/>
          <w14:textFill>
            <w14:solidFill>
              <w14:schemeClr w14:val="tx1"/>
            </w14:solidFill>
          </w14:textFill>
        </w:rPr>
        <w:t>针叶林植被：主要是马尾松为主的针叶植被，此植被类型广泛分布，面积为</w:t>
      </w:r>
      <w:r>
        <w:rPr>
          <w:rFonts w:hint="eastAsia" w:cs="Times New Roman"/>
          <w:bCs/>
          <w:snapToGrid w:val="0"/>
          <w:color w:val="000000" w:themeColor="text1"/>
          <w:szCs w:val="24"/>
          <w:highlight w:val="none"/>
          <w14:textFill>
            <w14:solidFill>
              <w14:schemeClr w14:val="tx1"/>
            </w14:solidFill>
          </w14:textFill>
        </w:rPr>
        <w:t>2.37</w:t>
      </w:r>
      <w:r>
        <w:rPr>
          <w:rFonts w:cs="Times New Roman"/>
          <w:bCs/>
          <w:color w:val="000000" w:themeColor="text1"/>
          <w:szCs w:val="24"/>
          <w:highlight w:val="none"/>
          <w14:textFill>
            <w14:solidFill>
              <w14:schemeClr w14:val="tx1"/>
            </w14:solidFill>
          </w14:textFill>
        </w:rPr>
        <w:t>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，占评价范围面积的</w:t>
      </w:r>
      <w:r>
        <w:rPr>
          <w:rFonts w:hint="eastAsia" w:cs="Times New Roman"/>
          <w:bCs/>
          <w:snapToGrid w:val="0"/>
          <w:color w:val="000000" w:themeColor="text1"/>
          <w:szCs w:val="24"/>
          <w:highlight w:val="none"/>
          <w14:textFill>
            <w14:solidFill>
              <w14:schemeClr w14:val="tx1"/>
            </w14:solidFill>
          </w14:textFill>
        </w:rPr>
        <w:t>5.44</w:t>
      </w:r>
      <w:r>
        <w:rPr>
          <w:rFonts w:cs="Times New Roman"/>
          <w:bCs/>
          <w:color w:val="000000" w:themeColor="text1"/>
          <w:szCs w:val="24"/>
          <w:highlight w:val="none"/>
          <w14:textFill>
            <w14:solidFill>
              <w14:schemeClr w14:val="tx1"/>
            </w14:solidFill>
          </w14:textFill>
        </w:rPr>
        <w:t>%，平均净初级生产力（常绿针叶林）为367.1gC/（m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.a）。</w:t>
      </w:r>
    </w:p>
    <w:p>
      <w:pPr>
        <w:tabs>
          <w:tab w:val="left" w:pos="540"/>
        </w:tabs>
        <w:ind w:firstLine="480"/>
        <w:jc w:val="left"/>
        <w:rPr>
          <w:rFonts w:cs="Times New Roman"/>
          <w:bCs/>
          <w:color w:val="000000" w:themeColor="text1"/>
          <w:szCs w:val="24"/>
          <w:highlight w:val="none"/>
          <w14:textFill>
            <w14:solidFill>
              <w14:schemeClr w14:val="tx1"/>
            </w14:solidFill>
          </w14:textFill>
        </w:rPr>
      </w:pPr>
      <w:r>
        <w:rPr>
          <w:rFonts w:hint="eastAsia" w:ascii="宋体" w:hAnsi="宋体" w:cs="宋体"/>
          <w:bCs/>
          <w:color w:val="000000" w:themeColor="text1"/>
          <w:szCs w:val="24"/>
          <w:highlight w:val="none"/>
          <w14:textFill>
            <w14:solidFill>
              <w14:schemeClr w14:val="tx1"/>
            </w14:solidFill>
          </w14:textFill>
        </w:rPr>
        <w:t>②</w:t>
      </w:r>
      <w:r>
        <w:rPr>
          <w:rFonts w:cs="Times New Roman"/>
          <w:bCs/>
          <w:color w:val="000000" w:themeColor="text1"/>
          <w:szCs w:val="24"/>
          <w:highlight w:val="none"/>
          <w14:textFill>
            <w14:solidFill>
              <w14:schemeClr w14:val="tx1"/>
            </w14:solidFill>
          </w14:textFill>
        </w:rPr>
        <w:t>阔叶林植被：主要有麻栎、青冈、栓皮栎等阔叶树种，此植被类型广泛分布，面积</w:t>
      </w:r>
      <w:r>
        <w:rPr>
          <w:rFonts w:hint="eastAsia" w:cs="Times New Roman"/>
          <w:bCs/>
          <w:snapToGrid w:val="0"/>
          <w:color w:val="000000" w:themeColor="text1"/>
          <w:szCs w:val="24"/>
          <w:highlight w:val="none"/>
          <w14:textFill>
            <w14:solidFill>
              <w14:schemeClr w14:val="tx1"/>
            </w14:solidFill>
          </w14:textFill>
        </w:rPr>
        <w:t>28.42</w:t>
      </w:r>
      <w:r>
        <w:rPr>
          <w:rFonts w:cs="Times New Roman"/>
          <w:bCs/>
          <w:color w:val="000000" w:themeColor="text1"/>
          <w:szCs w:val="24"/>
          <w:highlight w:val="none"/>
          <w14:textFill>
            <w14:solidFill>
              <w14:schemeClr w14:val="tx1"/>
            </w14:solidFill>
          </w14:textFill>
        </w:rPr>
        <w:t>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，占评价范围面积的</w:t>
      </w:r>
      <w:r>
        <w:rPr>
          <w:rFonts w:hint="eastAsia" w:cs="Times New Roman"/>
          <w:bCs/>
          <w:snapToGrid w:val="0"/>
          <w:color w:val="000000" w:themeColor="text1"/>
          <w:szCs w:val="24"/>
          <w:highlight w:val="none"/>
          <w14:textFill>
            <w14:solidFill>
              <w14:schemeClr w14:val="tx1"/>
            </w14:solidFill>
          </w14:textFill>
        </w:rPr>
        <w:t>65.33</w:t>
      </w:r>
      <w:r>
        <w:rPr>
          <w:rFonts w:cs="Times New Roman"/>
          <w:bCs/>
          <w:color w:val="000000" w:themeColor="text1"/>
          <w:szCs w:val="24"/>
          <w:highlight w:val="none"/>
          <w14:textFill>
            <w14:solidFill>
              <w14:schemeClr w14:val="tx1"/>
            </w14:solidFill>
          </w14:textFill>
        </w:rPr>
        <w:t>%，平均净初级生产力（落叶阔叶林）642.9gC/（m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.a）。</w:t>
      </w:r>
    </w:p>
    <w:p>
      <w:pPr>
        <w:tabs>
          <w:tab w:val="left" w:pos="540"/>
        </w:tabs>
        <w:ind w:firstLine="480"/>
        <w:jc w:val="left"/>
        <w:rPr>
          <w:rFonts w:cs="Times New Roman"/>
          <w:bCs/>
          <w:color w:val="000000" w:themeColor="text1"/>
          <w:szCs w:val="24"/>
          <w:highlight w:val="none"/>
          <w14:textFill>
            <w14:solidFill>
              <w14:schemeClr w14:val="tx1"/>
            </w14:solidFill>
          </w14:textFill>
        </w:rPr>
      </w:pPr>
      <w:r>
        <w:rPr>
          <w:rFonts w:hint="eastAsia" w:ascii="宋体" w:hAnsi="宋体" w:cs="宋体"/>
          <w:bCs/>
          <w:color w:val="000000" w:themeColor="text1"/>
          <w:szCs w:val="24"/>
          <w:highlight w:val="none"/>
          <w14:textFill>
            <w14:solidFill>
              <w14:schemeClr w14:val="tx1"/>
            </w14:solidFill>
          </w14:textFill>
        </w:rPr>
        <w:t>③</w:t>
      </w:r>
      <w:r>
        <w:rPr>
          <w:rFonts w:cs="Times New Roman"/>
          <w:bCs/>
          <w:color w:val="000000" w:themeColor="text1"/>
          <w:szCs w:val="24"/>
          <w:highlight w:val="none"/>
          <w14:textFill>
            <w14:solidFill>
              <w14:schemeClr w14:val="tx1"/>
            </w14:solidFill>
          </w14:textFill>
        </w:rPr>
        <w:t>灌丛植被：代表植物有马桑、黄荆、火棘、荚蒾等。主要分布在林下、林缘、山脚、路边、农田两旁，对保护农田和水土保持起到很重要的作用，此植被类型面积为</w:t>
      </w:r>
      <w:r>
        <w:rPr>
          <w:rFonts w:hint="eastAsia" w:cs="Times New Roman"/>
          <w:bCs/>
          <w:snapToGrid w:val="0"/>
          <w:color w:val="000000" w:themeColor="text1"/>
          <w:szCs w:val="24"/>
          <w:highlight w:val="none"/>
          <w14:textFill>
            <w14:solidFill>
              <w14:schemeClr w14:val="tx1"/>
            </w14:solidFill>
          </w14:textFill>
        </w:rPr>
        <w:t>0.63</w:t>
      </w:r>
      <w:r>
        <w:rPr>
          <w:rFonts w:cs="Times New Roman"/>
          <w:bCs/>
          <w:color w:val="000000" w:themeColor="text1"/>
          <w:szCs w:val="24"/>
          <w:highlight w:val="none"/>
          <w14:textFill>
            <w14:solidFill>
              <w14:schemeClr w14:val="tx1"/>
            </w14:solidFill>
          </w14:textFill>
        </w:rPr>
        <w:t>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，占评价范围总面积的</w:t>
      </w:r>
      <w:r>
        <w:rPr>
          <w:rFonts w:hint="eastAsia" w:cs="Times New Roman"/>
          <w:bCs/>
          <w:snapToGrid w:val="0"/>
          <w:color w:val="000000" w:themeColor="text1"/>
          <w:szCs w:val="24"/>
          <w:highlight w:val="none"/>
          <w14:textFill>
            <w14:solidFill>
              <w14:schemeClr w14:val="tx1"/>
            </w14:solidFill>
          </w14:textFill>
        </w:rPr>
        <w:t>1.45</w:t>
      </w:r>
      <w:r>
        <w:rPr>
          <w:rFonts w:cs="Times New Roman"/>
          <w:bCs/>
          <w:color w:val="000000" w:themeColor="text1"/>
          <w:szCs w:val="24"/>
          <w:highlight w:val="none"/>
          <w14:textFill>
            <w14:solidFill>
              <w14:schemeClr w14:val="tx1"/>
            </w14:solidFill>
          </w14:textFill>
        </w:rPr>
        <w:t>%，平均净初级生产力为（灌木）367.7gC/（m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.a）。</w:t>
      </w:r>
    </w:p>
    <w:p>
      <w:pPr>
        <w:ind w:firstLine="480"/>
        <w:rPr>
          <w:rFonts w:cs="Times New Roman"/>
          <w:bCs/>
          <w:color w:val="000000" w:themeColor="text1"/>
          <w:szCs w:val="24"/>
          <w:highlight w:val="none"/>
          <w14:textFill>
            <w14:solidFill>
              <w14:schemeClr w14:val="tx1"/>
            </w14:solidFill>
          </w14:textFill>
        </w:rPr>
      </w:pPr>
      <w:r>
        <w:rPr>
          <w:rFonts w:hint="eastAsia" w:ascii="宋体" w:hAnsi="宋体" w:cs="宋体"/>
          <w:bCs/>
          <w:color w:val="000000" w:themeColor="text1"/>
          <w:szCs w:val="24"/>
          <w:highlight w:val="none"/>
          <w14:textFill>
            <w14:solidFill>
              <w14:schemeClr w14:val="tx1"/>
            </w14:solidFill>
          </w14:textFill>
        </w:rPr>
        <w:t>④</w:t>
      </w:r>
      <w:r>
        <w:rPr>
          <w:rFonts w:cs="Times New Roman"/>
          <w:bCs/>
          <w:color w:val="000000" w:themeColor="text1"/>
          <w:szCs w:val="24"/>
          <w:highlight w:val="none"/>
          <w14:textFill>
            <w14:solidFill>
              <w14:schemeClr w14:val="tx1"/>
            </w14:solidFill>
          </w14:textFill>
        </w:rPr>
        <w:t>草丛植被：代表植物有芒、白茅等。主要分布在分布的林下、林缘、路边、农田两旁，此植被类型面积为</w:t>
      </w:r>
      <w:r>
        <w:rPr>
          <w:rFonts w:hint="eastAsia" w:cs="Times New Roman"/>
          <w:bCs/>
          <w:snapToGrid w:val="0"/>
          <w:color w:val="000000" w:themeColor="text1"/>
          <w:szCs w:val="24"/>
          <w:highlight w:val="none"/>
          <w14:textFill>
            <w14:solidFill>
              <w14:schemeClr w14:val="tx1"/>
            </w14:solidFill>
          </w14:textFill>
        </w:rPr>
        <w:t>0.55</w:t>
      </w:r>
      <w:r>
        <w:rPr>
          <w:rFonts w:cs="Times New Roman"/>
          <w:bCs/>
          <w:color w:val="000000" w:themeColor="text1"/>
          <w:szCs w:val="24"/>
          <w:highlight w:val="none"/>
          <w14:textFill>
            <w14:solidFill>
              <w14:schemeClr w14:val="tx1"/>
            </w14:solidFill>
          </w14:textFill>
        </w:rPr>
        <w:t>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，占评价范围总面积的</w:t>
      </w:r>
      <w:r>
        <w:rPr>
          <w:rFonts w:hint="eastAsia" w:cs="Times New Roman"/>
          <w:bCs/>
          <w:snapToGrid w:val="0"/>
          <w:color w:val="000000" w:themeColor="text1"/>
          <w:szCs w:val="24"/>
          <w:highlight w:val="none"/>
          <w14:textFill>
            <w14:solidFill>
              <w14:schemeClr w14:val="tx1"/>
            </w14:solidFill>
          </w14:textFill>
        </w:rPr>
        <w:t>1.25</w:t>
      </w:r>
      <w:r>
        <w:rPr>
          <w:rFonts w:cs="Times New Roman"/>
          <w:bCs/>
          <w:snapToGrid w:val="0"/>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，平均净初级生产力（</w:t>
      </w:r>
      <w:r>
        <w:rPr>
          <w:rFonts w:hint="eastAsia" w:cs="Times New Roman"/>
          <w:bCs/>
          <w:color w:val="000000" w:themeColor="text1"/>
          <w:szCs w:val="24"/>
          <w:highlight w:val="none"/>
          <w14:textFill>
            <w14:solidFill>
              <w14:schemeClr w14:val="tx1"/>
            </w14:solidFill>
          </w14:textFill>
        </w:rPr>
        <w:t>平原</w:t>
      </w:r>
      <w:r>
        <w:rPr>
          <w:rFonts w:cs="Times New Roman"/>
          <w:bCs/>
          <w:color w:val="000000" w:themeColor="text1"/>
          <w:szCs w:val="24"/>
          <w:highlight w:val="none"/>
          <w14:textFill>
            <w14:solidFill>
              <w14:schemeClr w14:val="tx1"/>
            </w14:solidFill>
          </w14:textFill>
        </w:rPr>
        <w:t>草地）为</w:t>
      </w:r>
      <w:r>
        <w:rPr>
          <w:rFonts w:cs="Times New Roman"/>
          <w:bCs/>
          <w:snapToGrid w:val="0"/>
          <w:color w:val="000000" w:themeColor="text1"/>
          <w:szCs w:val="24"/>
          <w:highlight w:val="none"/>
          <w14:textFill>
            <w14:solidFill>
              <w14:schemeClr w14:val="tx1"/>
            </w14:solidFill>
          </w14:textFill>
        </w:rPr>
        <w:t>226.2</w:t>
      </w:r>
      <w:r>
        <w:rPr>
          <w:rFonts w:cs="Times New Roman"/>
          <w:bCs/>
          <w:color w:val="000000" w:themeColor="text1"/>
          <w:szCs w:val="24"/>
          <w:highlight w:val="none"/>
          <w14:textFill>
            <w14:solidFill>
              <w14:schemeClr w14:val="tx1"/>
            </w14:solidFill>
          </w14:textFill>
        </w:rPr>
        <w:t>gC/(m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.a)。</w:t>
      </w:r>
    </w:p>
    <w:p>
      <w:pPr>
        <w:ind w:firstLine="537" w:firstLineChars="224"/>
        <w:jc w:val="left"/>
        <w:rPr>
          <w:rFonts w:cs="Times New Roman"/>
          <w:bCs/>
          <w:color w:val="000000" w:themeColor="text1"/>
          <w:szCs w:val="24"/>
          <w:highlight w:val="none"/>
          <w14:textFill>
            <w14:solidFill>
              <w14:schemeClr w14:val="tx1"/>
            </w14:solidFill>
          </w14:textFill>
        </w:rPr>
      </w:pPr>
      <w:r>
        <w:rPr>
          <w:rFonts w:hint="eastAsia" w:ascii="宋体" w:hAnsi="宋体" w:cs="宋体"/>
          <w:bCs/>
          <w:color w:val="000000" w:themeColor="text1"/>
          <w:szCs w:val="24"/>
          <w:highlight w:val="none"/>
          <w14:textFill>
            <w14:solidFill>
              <w14:schemeClr w14:val="tx1"/>
            </w14:solidFill>
          </w14:textFill>
        </w:rPr>
        <w:t>⑤</w:t>
      </w:r>
      <w:r>
        <w:rPr>
          <w:rFonts w:cs="Times New Roman"/>
          <w:bCs/>
          <w:color w:val="000000" w:themeColor="text1"/>
          <w:szCs w:val="24"/>
          <w:highlight w:val="none"/>
          <w14:textFill>
            <w14:solidFill>
              <w14:schemeClr w14:val="tx1"/>
            </w14:solidFill>
          </w14:textFill>
        </w:rPr>
        <w:t>农作物植被：该地区的农作物主要有水稻、玉米、红苕、棉花、花生、小麦、马铃薯、豌豆等，主要分布在山谷、河谷两侧等低海拔区；农作物植被面积</w:t>
      </w:r>
      <w:r>
        <w:rPr>
          <w:rFonts w:hint="eastAsia" w:cs="Times New Roman"/>
          <w:bCs/>
          <w:snapToGrid w:val="0"/>
          <w:color w:val="000000" w:themeColor="text1"/>
          <w:szCs w:val="24"/>
          <w:highlight w:val="none"/>
          <w14:textFill>
            <w14:solidFill>
              <w14:schemeClr w14:val="tx1"/>
            </w14:solidFill>
          </w14:textFill>
        </w:rPr>
        <w:t>9.42</w:t>
      </w:r>
      <w:r>
        <w:rPr>
          <w:rFonts w:cs="Times New Roman"/>
          <w:bCs/>
          <w:color w:val="000000" w:themeColor="text1"/>
          <w:szCs w:val="24"/>
          <w:highlight w:val="none"/>
          <w14:textFill>
            <w14:solidFill>
              <w14:schemeClr w14:val="tx1"/>
            </w14:solidFill>
          </w14:textFill>
        </w:rPr>
        <w:t>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，占评价范围面积的</w:t>
      </w:r>
      <w:r>
        <w:rPr>
          <w:rFonts w:hint="eastAsia" w:cs="Times New Roman"/>
          <w:bCs/>
          <w:snapToGrid w:val="0"/>
          <w:color w:val="000000" w:themeColor="text1"/>
          <w:szCs w:val="24"/>
          <w:highlight w:val="none"/>
          <w14:textFill>
            <w14:solidFill>
              <w14:schemeClr w14:val="tx1"/>
            </w14:solidFill>
          </w14:textFill>
        </w:rPr>
        <w:t>21.65</w:t>
      </w:r>
      <w:r>
        <w:rPr>
          <w:rFonts w:cs="Times New Roman"/>
          <w:bCs/>
          <w:color w:val="000000" w:themeColor="text1"/>
          <w:szCs w:val="24"/>
          <w:highlight w:val="none"/>
          <w14:textFill>
            <w14:solidFill>
              <w14:schemeClr w14:val="tx1"/>
            </w14:solidFill>
          </w14:textFill>
        </w:rPr>
        <w:t>%，平均净初级生产力426.5gC（m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.a）。</w:t>
      </w:r>
    </w:p>
    <w:p>
      <w:pPr>
        <w:ind w:firstLine="480"/>
        <w:jc w:val="left"/>
        <w:rPr>
          <w:rFonts w:cs="Times New Roman"/>
          <w:bCs/>
          <w:color w:val="000000" w:themeColor="text1"/>
          <w:kern w:val="0"/>
          <w:szCs w:val="24"/>
          <w:highlight w:val="none"/>
          <w14:textFill>
            <w14:solidFill>
              <w14:schemeClr w14:val="tx1"/>
            </w14:solidFill>
          </w14:textFill>
        </w:rPr>
      </w:pPr>
      <w:r>
        <w:rPr>
          <w:rFonts w:cs="Times New Roman"/>
          <w:bCs/>
          <w:color w:val="000000" w:themeColor="text1"/>
          <w:kern w:val="0"/>
          <w:szCs w:val="24"/>
          <w:highlight w:val="none"/>
          <w14:textFill>
            <w14:solidFill>
              <w14:schemeClr w14:val="tx1"/>
            </w14:solidFill>
          </w14:textFill>
        </w:rPr>
        <w:t>评价范围内各植被类型净生产力情况见下表。</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评价范围植被自然生产力情况表</w:t>
      </w:r>
    </w:p>
    <w:tbl>
      <w:tblPr>
        <w:tblStyle w:val="24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7"/>
        <w:gridCol w:w="2119"/>
        <w:gridCol w:w="1002"/>
        <w:gridCol w:w="848"/>
        <w:gridCol w:w="1232"/>
        <w:gridCol w:w="1191"/>
        <w:gridCol w:w="12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4" w:type="pct"/>
            <w:tcBorders>
              <w:top w:val="nil"/>
              <w:left w:val="nil"/>
            </w:tcBorders>
            <w:vAlign w:val="center"/>
          </w:tcPr>
          <w:p>
            <w:pPr>
              <w:pStyle w:val="118"/>
              <w:rPr>
                <w:b/>
                <w:bCs/>
                <w:snapToGrid w:val="0"/>
                <w:color w:val="000000" w:themeColor="text1"/>
                <w:highlight w:val="none"/>
                <w14:textFill>
                  <w14:solidFill>
                    <w14:schemeClr w14:val="tx1"/>
                  </w14:solidFill>
                </w14:textFill>
              </w:rPr>
            </w:pPr>
            <w:r>
              <w:rPr>
                <w:b/>
                <w:bCs/>
                <w:snapToGrid w:val="0"/>
                <w:color w:val="000000" w:themeColor="text1"/>
                <w:highlight w:val="none"/>
                <w14:textFill>
                  <w14:solidFill>
                    <w14:schemeClr w14:val="tx1"/>
                  </w14:solidFill>
                </w14:textFill>
              </w:rPr>
              <w:t>植被</w:t>
            </w:r>
          </w:p>
          <w:p>
            <w:pPr>
              <w:pStyle w:val="118"/>
              <w:rPr>
                <w:b/>
                <w:bCs/>
                <w:color w:val="000000" w:themeColor="text1"/>
                <w:highlight w:val="none"/>
                <w14:textFill>
                  <w14:solidFill>
                    <w14:schemeClr w14:val="tx1"/>
                  </w14:solidFill>
                </w14:textFill>
              </w:rPr>
            </w:pPr>
            <w:r>
              <w:rPr>
                <w:b/>
                <w:bCs/>
                <w:snapToGrid w:val="0"/>
                <w:color w:val="000000" w:themeColor="text1"/>
                <w:highlight w:val="none"/>
                <w14:textFill>
                  <w14:solidFill>
                    <w14:schemeClr w14:val="tx1"/>
                  </w14:solidFill>
                </w14:textFill>
              </w:rPr>
              <w:t>类型</w:t>
            </w:r>
          </w:p>
        </w:tc>
        <w:tc>
          <w:tcPr>
            <w:tcW w:w="1243" w:type="pct"/>
            <w:tcBorders>
              <w:top w:val="nil"/>
            </w:tcBorders>
            <w:vAlign w:val="center"/>
          </w:tcPr>
          <w:p>
            <w:pPr>
              <w:pStyle w:val="118"/>
              <w:rPr>
                <w:b/>
                <w:bCs/>
                <w:color w:val="000000" w:themeColor="text1"/>
                <w:highlight w:val="none"/>
                <w14:textFill>
                  <w14:solidFill>
                    <w14:schemeClr w14:val="tx1"/>
                  </w14:solidFill>
                </w14:textFill>
              </w:rPr>
            </w:pPr>
            <w:r>
              <w:rPr>
                <w:b/>
                <w:bCs/>
                <w:snapToGrid w:val="0"/>
                <w:color w:val="000000" w:themeColor="text1"/>
                <w:highlight w:val="none"/>
                <w14:textFill>
                  <w14:solidFill>
                    <w14:schemeClr w14:val="tx1"/>
                  </w14:solidFill>
                </w14:textFill>
              </w:rPr>
              <w:t>代表植物</w:t>
            </w:r>
          </w:p>
        </w:tc>
        <w:tc>
          <w:tcPr>
            <w:tcW w:w="588" w:type="pct"/>
            <w:tcBorders>
              <w:top w:val="nil"/>
            </w:tcBorders>
            <w:vAlign w:val="center"/>
          </w:tcPr>
          <w:p>
            <w:pPr>
              <w:pStyle w:val="118"/>
              <w:rPr>
                <w:b/>
                <w:bCs/>
                <w:color w:val="000000" w:themeColor="text1"/>
                <w:highlight w:val="none"/>
                <w14:textFill>
                  <w14:solidFill>
                    <w14:schemeClr w14:val="tx1"/>
                  </w14:solidFill>
                </w14:textFill>
              </w:rPr>
            </w:pPr>
            <w:r>
              <w:rPr>
                <w:b/>
                <w:bCs/>
                <w:snapToGrid w:val="0"/>
                <w:color w:val="000000" w:themeColor="text1"/>
                <w:highlight w:val="none"/>
                <w14:textFill>
                  <w14:solidFill>
                    <w14:schemeClr w14:val="tx1"/>
                  </w14:solidFill>
                </w14:textFill>
              </w:rPr>
              <w:t>面积（hm</w:t>
            </w:r>
            <w:r>
              <w:rPr>
                <w:b/>
                <w:bCs/>
                <w:snapToGrid w:val="0"/>
                <w:color w:val="000000" w:themeColor="text1"/>
                <w:highlight w:val="none"/>
                <w:vertAlign w:val="superscript"/>
                <w14:textFill>
                  <w14:solidFill>
                    <w14:schemeClr w14:val="tx1"/>
                  </w14:solidFill>
                </w14:textFill>
              </w:rPr>
              <w:t>2</w:t>
            </w:r>
            <w:r>
              <w:rPr>
                <w:b/>
                <w:bCs/>
                <w:snapToGrid w:val="0"/>
                <w:color w:val="000000" w:themeColor="text1"/>
                <w:highlight w:val="none"/>
                <w14:textFill>
                  <w14:solidFill>
                    <w14:schemeClr w14:val="tx1"/>
                  </w14:solidFill>
                </w14:textFill>
              </w:rPr>
              <w:t>）</w:t>
            </w:r>
          </w:p>
        </w:tc>
        <w:tc>
          <w:tcPr>
            <w:tcW w:w="495" w:type="pct"/>
            <w:tcBorders>
              <w:top w:val="nil"/>
            </w:tcBorders>
            <w:vAlign w:val="center"/>
          </w:tcPr>
          <w:p>
            <w:pPr>
              <w:pStyle w:val="118"/>
              <w:rPr>
                <w:b/>
                <w:bCs/>
                <w:color w:val="000000" w:themeColor="text1"/>
                <w:highlight w:val="none"/>
                <w14:textFill>
                  <w14:solidFill>
                    <w14:schemeClr w14:val="tx1"/>
                  </w14:solidFill>
                </w14:textFill>
              </w:rPr>
            </w:pPr>
            <w:r>
              <w:rPr>
                <w:b/>
                <w:bCs/>
                <w:snapToGrid w:val="0"/>
                <w:color w:val="000000" w:themeColor="text1"/>
                <w:highlight w:val="none"/>
                <w14:textFill>
                  <w14:solidFill>
                    <w14:schemeClr w14:val="tx1"/>
                  </w14:solidFill>
                </w14:textFill>
              </w:rPr>
              <w:t>占评价范围（%）</w:t>
            </w:r>
          </w:p>
        </w:tc>
        <w:tc>
          <w:tcPr>
            <w:tcW w:w="723" w:type="pct"/>
            <w:tcBorders>
              <w:top w:val="nil"/>
            </w:tcBorders>
            <w:vAlign w:val="center"/>
          </w:tcPr>
          <w:p>
            <w:pPr>
              <w:pStyle w:val="118"/>
              <w:rPr>
                <w:b/>
                <w:bCs/>
                <w:color w:val="000000" w:themeColor="text1"/>
                <w:highlight w:val="none"/>
                <w14:textFill>
                  <w14:solidFill>
                    <w14:schemeClr w14:val="tx1"/>
                  </w14:solidFill>
                </w14:textFill>
              </w:rPr>
            </w:pPr>
            <w:r>
              <w:rPr>
                <w:b/>
                <w:bCs/>
                <w:snapToGrid w:val="0"/>
                <w:color w:val="000000" w:themeColor="text1"/>
                <w:highlight w:val="none"/>
                <w14:textFill>
                  <w14:solidFill>
                    <w14:schemeClr w14:val="tx1"/>
                  </w14:solidFill>
                </w14:textFill>
              </w:rPr>
              <w:t>平均净生产力[</w:t>
            </w:r>
            <w:r>
              <w:rPr>
                <w:b/>
                <w:bCs/>
                <w:color w:val="000000" w:themeColor="text1"/>
                <w:sz w:val="24"/>
                <w:szCs w:val="24"/>
                <w:highlight w:val="none"/>
                <w14:textFill>
                  <w14:solidFill>
                    <w14:schemeClr w14:val="tx1"/>
                  </w14:solidFill>
                </w14:textFill>
              </w:rPr>
              <w:t>gC/（m</w:t>
            </w:r>
            <w:r>
              <w:rPr>
                <w:b/>
                <w:bCs/>
                <w:color w:val="000000" w:themeColor="text1"/>
                <w:sz w:val="24"/>
                <w:szCs w:val="24"/>
                <w:highlight w:val="none"/>
                <w:vertAlign w:val="superscript"/>
                <w14:textFill>
                  <w14:solidFill>
                    <w14:schemeClr w14:val="tx1"/>
                  </w14:solidFill>
                </w14:textFill>
              </w:rPr>
              <w:t>2</w:t>
            </w:r>
            <w:r>
              <w:rPr>
                <w:b/>
                <w:bCs/>
                <w:color w:val="000000" w:themeColor="text1"/>
                <w:sz w:val="24"/>
                <w:szCs w:val="24"/>
                <w:highlight w:val="none"/>
                <w14:textFill>
                  <w14:solidFill>
                    <w14:schemeClr w14:val="tx1"/>
                  </w14:solidFill>
                </w14:textFill>
              </w:rPr>
              <w:t>.a）</w:t>
            </w:r>
            <w:r>
              <w:rPr>
                <w:b/>
                <w:bCs/>
                <w:snapToGrid w:val="0"/>
                <w:color w:val="000000" w:themeColor="text1"/>
                <w:highlight w:val="none"/>
                <w14:textFill>
                  <w14:solidFill>
                    <w14:schemeClr w14:val="tx1"/>
                  </w14:solidFill>
                </w14:textFill>
              </w:rPr>
              <w:t>]</w:t>
            </w:r>
          </w:p>
        </w:tc>
        <w:tc>
          <w:tcPr>
            <w:tcW w:w="699" w:type="pct"/>
            <w:tcBorders>
              <w:top w:val="nil"/>
            </w:tcBorders>
            <w:vAlign w:val="center"/>
          </w:tcPr>
          <w:p>
            <w:pPr>
              <w:pStyle w:val="118"/>
              <w:rPr>
                <w:b/>
                <w:bCs/>
                <w:snapToGrid w:val="0"/>
                <w:color w:val="000000" w:themeColor="text1"/>
                <w:highlight w:val="none"/>
                <w14:textFill>
                  <w14:solidFill>
                    <w14:schemeClr w14:val="tx1"/>
                  </w14:solidFill>
                </w14:textFill>
              </w:rPr>
            </w:pPr>
            <w:r>
              <w:rPr>
                <w:b/>
                <w:bCs/>
                <w:snapToGrid w:val="0"/>
                <w:color w:val="000000" w:themeColor="text1"/>
                <w:highlight w:val="none"/>
                <w14:textFill>
                  <w14:solidFill>
                    <w14:schemeClr w14:val="tx1"/>
                  </w14:solidFill>
                </w14:textFill>
              </w:rPr>
              <w:t>总生产力[tC/（a）]</w:t>
            </w:r>
          </w:p>
        </w:tc>
        <w:tc>
          <w:tcPr>
            <w:tcW w:w="708" w:type="pct"/>
            <w:tcBorders>
              <w:top w:val="nil"/>
            </w:tcBorders>
            <w:vAlign w:val="center"/>
          </w:tcPr>
          <w:p>
            <w:pPr>
              <w:pStyle w:val="118"/>
              <w:rPr>
                <w:b/>
                <w:bCs/>
                <w:snapToGrid w:val="0"/>
                <w:color w:val="000000" w:themeColor="text1"/>
                <w:highlight w:val="none"/>
                <w14:textFill>
                  <w14:solidFill>
                    <w14:schemeClr w14:val="tx1"/>
                  </w14:solidFill>
                </w14:textFill>
              </w:rPr>
            </w:pPr>
            <w:r>
              <w:rPr>
                <w:b/>
                <w:bCs/>
                <w:snapToGrid w:val="0"/>
                <w:color w:val="000000" w:themeColor="text1"/>
                <w:highlight w:val="none"/>
                <w14:textFill>
                  <w14:solidFill>
                    <w14:schemeClr w14:val="tx1"/>
                  </w14:solidFill>
                </w14:textFill>
              </w:rPr>
              <w:t>生产力比重</w:t>
            </w:r>
          </w:p>
          <w:p>
            <w:pPr>
              <w:pStyle w:val="118"/>
              <w:rPr>
                <w:b/>
                <w:bCs/>
                <w:snapToGrid w:val="0"/>
                <w:color w:val="000000" w:themeColor="text1"/>
                <w:highlight w:val="none"/>
                <w14:textFill>
                  <w14:solidFill>
                    <w14:schemeClr w14:val="tx1"/>
                  </w14:solidFill>
                </w14:textFill>
              </w:rPr>
            </w:pPr>
            <w:r>
              <w:rPr>
                <w:b/>
                <w:bCs/>
                <w:snapToGrid w:val="0"/>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4" w:type="pct"/>
            <w:tcBorders>
              <w:left w:val="nil"/>
            </w:tcBorders>
            <w:vAlign w:val="center"/>
          </w:tcPr>
          <w:p>
            <w:pPr>
              <w:pStyle w:val="118"/>
              <w:rPr>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针叶林植被</w:t>
            </w:r>
          </w:p>
        </w:tc>
        <w:tc>
          <w:tcPr>
            <w:tcW w:w="1243"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马尾松</w:t>
            </w:r>
          </w:p>
        </w:tc>
        <w:tc>
          <w:tcPr>
            <w:tcW w:w="588"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195.55</w:t>
            </w:r>
          </w:p>
        </w:tc>
        <w:tc>
          <w:tcPr>
            <w:tcW w:w="495"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 xml:space="preserve">30.89 </w:t>
            </w:r>
          </w:p>
        </w:tc>
        <w:tc>
          <w:tcPr>
            <w:tcW w:w="723"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367.1</w:t>
            </w:r>
          </w:p>
        </w:tc>
        <w:tc>
          <w:tcPr>
            <w:tcW w:w="699"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 xml:space="preserve">717.86 </w:t>
            </w:r>
          </w:p>
        </w:tc>
        <w:tc>
          <w:tcPr>
            <w:tcW w:w="708"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 xml:space="preserve">29.58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jc w:val="center"/>
        </w:trPr>
        <w:tc>
          <w:tcPr>
            <w:tcW w:w="544" w:type="pct"/>
            <w:tcBorders>
              <w:left w:val="nil"/>
            </w:tcBorders>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阔叶林植被</w:t>
            </w:r>
          </w:p>
        </w:tc>
        <w:tc>
          <w:tcPr>
            <w:tcW w:w="1243"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麻栎、青冈</w:t>
            </w:r>
          </w:p>
        </w:tc>
        <w:tc>
          <w:tcPr>
            <w:tcW w:w="588"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68.19</w:t>
            </w:r>
          </w:p>
        </w:tc>
        <w:tc>
          <w:tcPr>
            <w:tcW w:w="495"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 xml:space="preserve">10.77 </w:t>
            </w:r>
          </w:p>
        </w:tc>
        <w:tc>
          <w:tcPr>
            <w:tcW w:w="723"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642.9</w:t>
            </w:r>
          </w:p>
        </w:tc>
        <w:tc>
          <w:tcPr>
            <w:tcW w:w="699"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 xml:space="preserve">438.39 </w:t>
            </w:r>
          </w:p>
        </w:tc>
        <w:tc>
          <w:tcPr>
            <w:tcW w:w="708"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 xml:space="preserve">18.06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44" w:type="pct"/>
            <w:tcBorders>
              <w:left w:val="nil"/>
            </w:tcBorders>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灌丛植被</w:t>
            </w:r>
          </w:p>
        </w:tc>
        <w:tc>
          <w:tcPr>
            <w:tcW w:w="1243"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野桐、盐肤木、马桑、黄荆、火棘、荚蒾</w:t>
            </w:r>
          </w:p>
        </w:tc>
        <w:tc>
          <w:tcPr>
            <w:tcW w:w="588"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36.49</w:t>
            </w:r>
          </w:p>
        </w:tc>
        <w:tc>
          <w:tcPr>
            <w:tcW w:w="495"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 xml:space="preserve">5.76 </w:t>
            </w:r>
          </w:p>
        </w:tc>
        <w:tc>
          <w:tcPr>
            <w:tcW w:w="723"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367.7</w:t>
            </w:r>
          </w:p>
        </w:tc>
        <w:tc>
          <w:tcPr>
            <w:tcW w:w="699"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 xml:space="preserve">134.17 </w:t>
            </w:r>
          </w:p>
        </w:tc>
        <w:tc>
          <w:tcPr>
            <w:tcW w:w="708"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 xml:space="preserve">5.53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8" w:hRule="atLeast"/>
          <w:jc w:val="center"/>
        </w:trPr>
        <w:tc>
          <w:tcPr>
            <w:tcW w:w="544" w:type="pct"/>
            <w:tcBorders>
              <w:left w:val="nil"/>
            </w:tcBorders>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草丛植被</w:t>
            </w:r>
          </w:p>
        </w:tc>
        <w:tc>
          <w:tcPr>
            <w:tcW w:w="1243"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芒、白茅</w:t>
            </w:r>
          </w:p>
        </w:tc>
        <w:tc>
          <w:tcPr>
            <w:tcW w:w="588"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13.72</w:t>
            </w:r>
          </w:p>
        </w:tc>
        <w:tc>
          <w:tcPr>
            <w:tcW w:w="495"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 xml:space="preserve">2.17 </w:t>
            </w:r>
          </w:p>
        </w:tc>
        <w:tc>
          <w:tcPr>
            <w:tcW w:w="723"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226.2</w:t>
            </w:r>
          </w:p>
        </w:tc>
        <w:tc>
          <w:tcPr>
            <w:tcW w:w="699"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 xml:space="preserve">31.03 </w:t>
            </w:r>
          </w:p>
        </w:tc>
        <w:tc>
          <w:tcPr>
            <w:tcW w:w="708"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 xml:space="preserve">1.28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544" w:type="pct"/>
            <w:tcBorders>
              <w:left w:val="nil"/>
            </w:tcBorders>
            <w:vAlign w:val="center"/>
          </w:tcPr>
          <w:p>
            <w:pPr>
              <w:pStyle w:val="118"/>
              <w:rPr>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农作物植被</w:t>
            </w:r>
          </w:p>
        </w:tc>
        <w:tc>
          <w:tcPr>
            <w:tcW w:w="1243"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水稻、玉米、红苕、棉花、花生、小麦、马铃薯、豌豆</w:t>
            </w:r>
          </w:p>
        </w:tc>
        <w:tc>
          <w:tcPr>
            <w:tcW w:w="588"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259.22</w:t>
            </w:r>
          </w:p>
        </w:tc>
        <w:tc>
          <w:tcPr>
            <w:tcW w:w="495"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 xml:space="preserve">40.95 </w:t>
            </w:r>
          </w:p>
        </w:tc>
        <w:tc>
          <w:tcPr>
            <w:tcW w:w="723"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426.5</w:t>
            </w:r>
          </w:p>
        </w:tc>
        <w:tc>
          <w:tcPr>
            <w:tcW w:w="699"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 xml:space="preserve">1105.57 </w:t>
            </w:r>
          </w:p>
        </w:tc>
        <w:tc>
          <w:tcPr>
            <w:tcW w:w="708"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 xml:space="preserve">45.55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4" w:type="pct"/>
            <w:tcBorders>
              <w:left w:val="nil"/>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无植被</w:t>
            </w:r>
          </w:p>
        </w:tc>
        <w:tc>
          <w:tcPr>
            <w:tcW w:w="1243"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w:t>
            </w:r>
          </w:p>
        </w:tc>
        <w:tc>
          <w:tcPr>
            <w:tcW w:w="588"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59.9</w:t>
            </w:r>
          </w:p>
        </w:tc>
        <w:tc>
          <w:tcPr>
            <w:tcW w:w="495"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 xml:space="preserve">9.46 </w:t>
            </w:r>
          </w:p>
        </w:tc>
        <w:tc>
          <w:tcPr>
            <w:tcW w:w="723"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w:t>
            </w:r>
          </w:p>
        </w:tc>
        <w:tc>
          <w:tcPr>
            <w:tcW w:w="699"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 xml:space="preserve">0.00 </w:t>
            </w:r>
          </w:p>
        </w:tc>
        <w:tc>
          <w:tcPr>
            <w:tcW w:w="708"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 xml:space="preserve">0.00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4" w:type="pct"/>
            <w:tcBorders>
              <w:left w:val="nil"/>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合计</w:t>
            </w:r>
          </w:p>
        </w:tc>
        <w:tc>
          <w:tcPr>
            <w:tcW w:w="1243"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w:t>
            </w:r>
          </w:p>
        </w:tc>
        <w:tc>
          <w:tcPr>
            <w:tcW w:w="588"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633.06</w:t>
            </w:r>
          </w:p>
        </w:tc>
        <w:tc>
          <w:tcPr>
            <w:tcW w:w="495"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 xml:space="preserve">100.00 </w:t>
            </w:r>
          </w:p>
        </w:tc>
        <w:tc>
          <w:tcPr>
            <w:tcW w:w="723"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w:t>
            </w:r>
          </w:p>
        </w:tc>
        <w:tc>
          <w:tcPr>
            <w:tcW w:w="699"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 xml:space="preserve">2427.04 </w:t>
            </w:r>
          </w:p>
        </w:tc>
        <w:tc>
          <w:tcPr>
            <w:tcW w:w="708"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 xml:space="preserve">100.00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4" w:type="pct"/>
            <w:tcBorders>
              <w:left w:val="nil"/>
            </w:tcBorders>
            <w:vAlign w:val="center"/>
          </w:tcPr>
          <w:p>
            <w:pPr>
              <w:pStyle w:val="118"/>
              <w:rPr>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平均</w:t>
            </w:r>
          </w:p>
        </w:tc>
        <w:tc>
          <w:tcPr>
            <w:tcW w:w="1243"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w:t>
            </w:r>
          </w:p>
        </w:tc>
        <w:tc>
          <w:tcPr>
            <w:tcW w:w="588"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w:t>
            </w:r>
          </w:p>
        </w:tc>
        <w:tc>
          <w:tcPr>
            <w:tcW w:w="495"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w:t>
            </w:r>
          </w:p>
        </w:tc>
        <w:tc>
          <w:tcPr>
            <w:tcW w:w="723"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 xml:space="preserve">383.38 </w:t>
            </w:r>
          </w:p>
        </w:tc>
        <w:tc>
          <w:tcPr>
            <w:tcW w:w="699" w:type="pct"/>
            <w:vAlign w:val="center"/>
          </w:tcPr>
          <w:p>
            <w:pPr>
              <w:pStyle w:val="118"/>
              <w:rPr>
                <w:snapToGrid w:val="0"/>
                <w:color w:val="000000" w:themeColor="text1"/>
                <w:highlight w:val="none"/>
                <w14:textFill>
                  <w14:solidFill>
                    <w14:schemeClr w14:val="tx1"/>
                  </w14:solidFill>
                </w14:textFill>
              </w:rPr>
            </w:pPr>
          </w:p>
        </w:tc>
        <w:tc>
          <w:tcPr>
            <w:tcW w:w="708" w:type="pct"/>
            <w:vAlign w:val="center"/>
          </w:tcPr>
          <w:p>
            <w:pPr>
              <w:pStyle w:val="118"/>
              <w:rPr>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4" w:type="pct"/>
            <w:tcBorders>
              <w:left w:val="nil"/>
            </w:tcBorders>
            <w:vAlign w:val="center"/>
          </w:tcPr>
          <w:p>
            <w:pPr>
              <w:pStyle w:val="118"/>
              <w:rPr>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参考标准</w:t>
            </w:r>
          </w:p>
        </w:tc>
        <w:tc>
          <w:tcPr>
            <w:tcW w:w="1243"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w:t>
            </w:r>
          </w:p>
        </w:tc>
        <w:tc>
          <w:tcPr>
            <w:tcW w:w="588"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w:t>
            </w:r>
          </w:p>
        </w:tc>
        <w:tc>
          <w:tcPr>
            <w:tcW w:w="495"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w:t>
            </w:r>
          </w:p>
        </w:tc>
        <w:tc>
          <w:tcPr>
            <w:tcW w:w="723"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684</w:t>
            </w:r>
          </w:p>
        </w:tc>
        <w:tc>
          <w:tcPr>
            <w:tcW w:w="699"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w:t>
            </w:r>
          </w:p>
        </w:tc>
        <w:tc>
          <w:tcPr>
            <w:tcW w:w="708" w:type="pc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w:t>
            </w:r>
          </w:p>
        </w:tc>
      </w:tr>
    </w:tbl>
    <w:p>
      <w:pPr>
        <w:spacing w:line="240" w:lineRule="auto"/>
        <w:ind w:firstLine="0" w:firstLineChars="0"/>
        <w:rPr>
          <w:rFonts w:cs="Times New Roman"/>
          <w:bCs/>
          <w:i/>
          <w:iCs/>
          <w:color w:val="000000" w:themeColor="text1"/>
          <w:szCs w:val="21"/>
          <w:highlight w:val="none"/>
          <w14:textFill>
            <w14:solidFill>
              <w14:schemeClr w14:val="tx1"/>
            </w14:solidFill>
          </w14:textFill>
        </w:rPr>
      </w:pPr>
      <w:r>
        <w:rPr>
          <w:rFonts w:ascii="宋体" w:hAnsi="宋体" w:cs="Times New Roman"/>
          <w:i/>
          <w:iCs/>
          <w:color w:val="000000" w:themeColor="text1"/>
          <w:sz w:val="20"/>
          <w:szCs w:val="20"/>
          <w:highlight w:val="none"/>
          <w14:textFill>
            <w14:solidFill>
              <w14:schemeClr w14:val="tx1"/>
            </w14:solidFill>
          </w14:textFill>
        </w:rPr>
        <w:t>注：表中平均生产力值来源于《中国陆地植被净初级生产力遥感估算》等文献，参考标准采用全国1989-1993中国陆地生态系统平均NPP值</w:t>
      </w:r>
      <w:r>
        <w:rPr>
          <w:rFonts w:hint="eastAsia" w:ascii="宋体" w:hAnsi="宋体" w:cs="Times New Roman"/>
          <w:i/>
          <w:iCs/>
          <w:color w:val="000000" w:themeColor="text1"/>
          <w:sz w:val="20"/>
          <w:szCs w:val="20"/>
          <w:highlight w:val="none"/>
          <w14:textFill>
            <w14:solidFill>
              <w14:schemeClr w14:val="tx1"/>
            </w14:solidFill>
          </w14:textFill>
        </w:rPr>
        <w:t>。</w:t>
      </w:r>
    </w:p>
    <w:p>
      <w:pPr>
        <w:spacing w:before="120" w:beforeLines="50"/>
        <w:ind w:firstLine="480"/>
        <w:rPr>
          <w:rFonts w:cs="Times New Roman"/>
          <w:bCs/>
          <w:color w:val="000000" w:themeColor="text1"/>
          <w:kern w:val="0"/>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从表4.3-</w:t>
      </w:r>
      <w:r>
        <w:rPr>
          <w:rFonts w:hint="eastAsia" w:cs="Times New Roman"/>
          <w:bCs/>
          <w:color w:val="000000" w:themeColor="text1"/>
          <w:szCs w:val="24"/>
          <w:highlight w:val="none"/>
          <w14:textFill>
            <w14:solidFill>
              <w14:schemeClr w14:val="tx1"/>
            </w14:solidFill>
          </w14:textFill>
        </w:rPr>
        <w:t>9</w:t>
      </w:r>
      <w:r>
        <w:rPr>
          <w:rFonts w:cs="Times New Roman"/>
          <w:bCs/>
          <w:color w:val="000000" w:themeColor="text1"/>
          <w:szCs w:val="24"/>
          <w:highlight w:val="none"/>
          <w14:textFill>
            <w14:solidFill>
              <w14:schemeClr w14:val="tx1"/>
            </w14:solidFill>
          </w14:textFill>
        </w:rPr>
        <w:t>中可以看出，评价范围总</w:t>
      </w:r>
      <w:r>
        <w:rPr>
          <w:rFonts w:cs="Times New Roman"/>
          <w:bCs/>
          <w:snapToGrid w:val="0"/>
          <w:color w:val="000000" w:themeColor="text1"/>
          <w:szCs w:val="24"/>
          <w:highlight w:val="none"/>
          <w14:textFill>
            <w14:solidFill>
              <w14:schemeClr w14:val="tx1"/>
            </w14:solidFill>
          </w14:textFill>
        </w:rPr>
        <w:t>生产力</w:t>
      </w:r>
      <w:r>
        <w:rPr>
          <w:rFonts w:cs="Times New Roman"/>
          <w:bCs/>
          <w:color w:val="000000" w:themeColor="text1"/>
          <w:kern w:val="0"/>
          <w:szCs w:val="24"/>
          <w:highlight w:val="none"/>
          <w:lang w:bidi="ar"/>
          <w14:textFill>
            <w14:solidFill>
              <w14:schemeClr w14:val="tx1"/>
            </w14:solidFill>
          </w14:textFill>
        </w:rPr>
        <w:t>2427.04</w:t>
      </w:r>
      <w:r>
        <w:rPr>
          <w:rFonts w:cs="Times New Roman"/>
          <w:bCs/>
          <w:snapToGrid w:val="0"/>
          <w:color w:val="000000" w:themeColor="text1"/>
          <w:szCs w:val="24"/>
          <w:highlight w:val="none"/>
          <w14:textFill>
            <w14:solidFill>
              <w14:schemeClr w14:val="tx1"/>
            </w14:solidFill>
          </w14:textFill>
        </w:rPr>
        <w:t>tC/（a），</w:t>
      </w:r>
      <w:r>
        <w:rPr>
          <w:rFonts w:cs="Times New Roman"/>
          <w:bCs/>
          <w:color w:val="000000" w:themeColor="text1"/>
          <w:szCs w:val="24"/>
          <w:highlight w:val="none"/>
          <w14:textFill>
            <w14:solidFill>
              <w14:schemeClr w14:val="tx1"/>
            </w14:solidFill>
          </w14:textFill>
        </w:rPr>
        <w:t>平均净生产383.38gC/（m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.a），比中国陆地生态系统</w:t>
      </w:r>
      <w:r>
        <w:rPr>
          <w:rFonts w:cs="Times New Roman"/>
          <w:bCs/>
          <w:snapToGrid w:val="0"/>
          <w:color w:val="000000" w:themeColor="text1"/>
          <w:szCs w:val="24"/>
          <w:highlight w:val="none"/>
          <w14:textFill>
            <w14:solidFill>
              <w14:schemeClr w14:val="tx1"/>
            </w14:solidFill>
          </w14:textFill>
        </w:rPr>
        <w:t>平均值低300.62</w:t>
      </w:r>
      <w:r>
        <w:rPr>
          <w:rFonts w:cs="Times New Roman"/>
          <w:bCs/>
          <w:color w:val="000000" w:themeColor="text1"/>
          <w:szCs w:val="24"/>
          <w:highlight w:val="none"/>
          <w14:textFill>
            <w14:solidFill>
              <w14:schemeClr w14:val="tx1"/>
            </w14:solidFill>
          </w14:textFill>
        </w:rPr>
        <w:t>gC/（m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.a），远不及评价范围土地自然生产力1585.88t/hm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/a，主要是由于评价范围内</w:t>
      </w:r>
      <w:r>
        <w:rPr>
          <w:rFonts w:cs="Times New Roman"/>
          <w:bCs/>
          <w:snapToGrid w:val="0"/>
          <w:color w:val="000000" w:themeColor="text1"/>
          <w:szCs w:val="24"/>
          <w:highlight w:val="none"/>
          <w14:textFill>
            <w14:solidFill>
              <w14:schemeClr w14:val="tx1"/>
            </w14:solidFill>
          </w14:textFill>
        </w:rPr>
        <w:t>平均净生产力水平较高的地带性常绿阔叶林植被，因为人为干扰，已经基本不复存在，取而代之的是平均净生产力水平</w:t>
      </w:r>
      <w:r>
        <w:rPr>
          <w:rFonts w:cs="Times New Roman"/>
          <w:bCs/>
          <w:color w:val="000000" w:themeColor="text1"/>
          <w:szCs w:val="24"/>
          <w:highlight w:val="none"/>
          <w14:textFill>
            <w14:solidFill>
              <w14:schemeClr w14:val="tx1"/>
            </w14:solidFill>
          </w14:textFill>
        </w:rPr>
        <w:t>较低的常绿针叶林和落叶阔叶林植被及耕地植被</w:t>
      </w:r>
      <w:r>
        <w:rPr>
          <w:rFonts w:cs="Times New Roman"/>
          <w:bCs/>
          <w:color w:val="000000" w:themeColor="text1"/>
          <w:kern w:val="0"/>
          <w:szCs w:val="24"/>
          <w:highlight w:val="none"/>
          <w14:textFill>
            <w14:solidFill>
              <w14:schemeClr w14:val="tx1"/>
            </w14:solidFill>
          </w14:textFill>
        </w:rPr>
        <w:t>。</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（3）评价范围植被生物量现状评价</w:t>
      </w:r>
    </w:p>
    <w:p>
      <w:pPr>
        <w:ind w:firstLine="480"/>
        <w:rPr>
          <w:rFonts w:cs="Times New Roman"/>
          <w:bCs/>
          <w:color w:val="000000" w:themeColor="text1"/>
          <w:kern w:val="0"/>
          <w:szCs w:val="24"/>
          <w:highlight w:val="none"/>
          <w14:textFill>
            <w14:solidFill>
              <w14:schemeClr w14:val="tx1"/>
            </w14:solidFill>
          </w14:textFill>
        </w:rPr>
      </w:pPr>
      <w:r>
        <w:rPr>
          <w:rFonts w:cs="Times New Roman"/>
          <w:bCs/>
          <w:color w:val="000000" w:themeColor="text1"/>
          <w:kern w:val="0"/>
          <w:szCs w:val="24"/>
          <w:highlight w:val="none"/>
          <w14:textFill>
            <w14:solidFill>
              <w14:schemeClr w14:val="tx1"/>
            </w14:solidFill>
          </w14:textFill>
        </w:rPr>
        <w:t>植被的生物量是指一定地段面积内植物群落在某一时期生存着的活有机物质之重量，以t/hm</w:t>
      </w:r>
      <w:r>
        <w:rPr>
          <w:rFonts w:cs="Times New Roman"/>
          <w:bCs/>
          <w:color w:val="000000" w:themeColor="text1"/>
          <w:kern w:val="0"/>
          <w:szCs w:val="24"/>
          <w:highlight w:val="none"/>
          <w:vertAlign w:val="superscript"/>
          <w14:textFill>
            <w14:solidFill>
              <w14:schemeClr w14:val="tx1"/>
            </w14:solidFill>
          </w14:textFill>
        </w:rPr>
        <w:t>2</w:t>
      </w:r>
      <w:r>
        <w:rPr>
          <w:rFonts w:cs="Times New Roman"/>
          <w:bCs/>
          <w:color w:val="000000" w:themeColor="text1"/>
          <w:kern w:val="0"/>
          <w:szCs w:val="24"/>
          <w:highlight w:val="none"/>
          <w14:textFill>
            <w14:solidFill>
              <w14:schemeClr w14:val="tx1"/>
            </w14:solidFill>
          </w14:textFill>
        </w:rPr>
        <w:t>表示。群落类型不同，其生物量测定的方法也有所不同。</w:t>
      </w:r>
    </w:p>
    <w:p>
      <w:pPr>
        <w:ind w:firstLine="480"/>
        <w:rPr>
          <w:rFonts w:cs="Times New Roman"/>
          <w:bCs/>
          <w:color w:val="000000" w:themeColor="text1"/>
          <w:kern w:val="0"/>
          <w:szCs w:val="24"/>
          <w:highlight w:val="none"/>
          <w14:textFill>
            <w14:solidFill>
              <w14:schemeClr w14:val="tx1"/>
            </w14:solidFill>
          </w14:textFill>
        </w:rPr>
      </w:pPr>
      <w:r>
        <w:rPr>
          <w:rFonts w:cs="Times New Roman"/>
          <w:bCs/>
          <w:color w:val="000000" w:themeColor="text1"/>
          <w:kern w:val="0"/>
          <w:szCs w:val="24"/>
          <w:highlight w:val="none"/>
          <w14:textFill>
            <w14:solidFill>
              <w14:schemeClr w14:val="tx1"/>
            </w14:solidFill>
          </w14:textFill>
        </w:rPr>
        <w:t>1、森林群落生物量</w:t>
      </w:r>
    </w:p>
    <w:p>
      <w:pPr>
        <w:ind w:firstLine="480"/>
        <w:rPr>
          <w:rFonts w:cs="Times New Roman"/>
          <w:bCs/>
          <w:color w:val="000000" w:themeColor="text1"/>
          <w:kern w:val="0"/>
          <w:szCs w:val="24"/>
          <w:highlight w:val="none"/>
          <w14:textFill>
            <w14:solidFill>
              <w14:schemeClr w14:val="tx1"/>
            </w14:solidFill>
          </w14:textFill>
        </w:rPr>
      </w:pPr>
      <w:r>
        <w:rPr>
          <w:rFonts w:cs="Times New Roman"/>
          <w:bCs/>
          <w:color w:val="000000" w:themeColor="text1"/>
          <w:kern w:val="0"/>
          <w:szCs w:val="24"/>
          <w:highlight w:val="none"/>
          <w14:textFill>
            <w14:solidFill>
              <w14:schemeClr w14:val="tx1"/>
            </w14:solidFill>
          </w14:textFill>
        </w:rPr>
        <w:t>森林生物量目前常用材积推算法来估算，用此方法估算出的生物量被称为材积源生物量。由于在作材积分析时需要对森林群落样地的林木进行砍伐取样，在实际操作中</w:t>
      </w:r>
      <w:r>
        <w:rPr>
          <w:rFonts w:hint="eastAsia" w:cs="Times New Roman"/>
          <w:bCs/>
          <w:color w:val="000000" w:themeColor="text1"/>
          <w:kern w:val="0"/>
          <w:szCs w:val="24"/>
          <w:highlight w:val="none"/>
          <w14:textFill>
            <w14:solidFill>
              <w14:schemeClr w14:val="tx1"/>
            </w14:solidFill>
          </w14:textFill>
        </w:rPr>
        <w:t>要涉及</w:t>
      </w:r>
      <w:r>
        <w:rPr>
          <w:rFonts w:cs="Times New Roman"/>
          <w:bCs/>
          <w:color w:val="000000" w:themeColor="text1"/>
          <w:kern w:val="0"/>
          <w:szCs w:val="24"/>
          <w:highlight w:val="none"/>
          <w14:textFill>
            <w14:solidFill>
              <w14:schemeClr w14:val="tx1"/>
            </w14:solidFill>
          </w14:textFill>
        </w:rPr>
        <w:t>取样木砍伐的审批手续及样木赔偿付费等问题，因此，本次森林生物量的估算采取借用中国科学院生态环境研究中心专家建立的我国森林生物量的基本参数，以79.2t/hm</w:t>
      </w:r>
      <w:r>
        <w:rPr>
          <w:rFonts w:cs="Times New Roman"/>
          <w:bCs/>
          <w:color w:val="000000" w:themeColor="text1"/>
          <w:kern w:val="0"/>
          <w:szCs w:val="24"/>
          <w:highlight w:val="none"/>
          <w:vertAlign w:val="superscript"/>
          <w14:textFill>
            <w14:solidFill>
              <w14:schemeClr w14:val="tx1"/>
            </w14:solidFill>
          </w14:textFill>
        </w:rPr>
        <w:t>2</w:t>
      </w:r>
      <w:r>
        <w:rPr>
          <w:rFonts w:cs="Times New Roman"/>
          <w:bCs/>
          <w:color w:val="000000" w:themeColor="text1"/>
          <w:kern w:val="0"/>
          <w:szCs w:val="24"/>
          <w:highlight w:val="none"/>
          <w14:textFill>
            <w14:solidFill>
              <w14:schemeClr w14:val="tx1"/>
            </w14:solidFill>
          </w14:textFill>
        </w:rPr>
        <w:t>作为本次森林生物量估算的基础。考虑到上述参数未将森林群落的林下灌木、草本之生物量计入，因此，又借用中山大学学者在我国南方地区（广州林区）所进行的森林生物量测定中增加的灌木草本层生物量之补充，即在材积源生物量中增加10t/hm</w:t>
      </w:r>
      <w:r>
        <w:rPr>
          <w:rFonts w:cs="Times New Roman"/>
          <w:bCs/>
          <w:color w:val="000000" w:themeColor="text1"/>
          <w:kern w:val="0"/>
          <w:szCs w:val="24"/>
          <w:highlight w:val="none"/>
          <w:vertAlign w:val="superscript"/>
          <w14:textFill>
            <w14:solidFill>
              <w14:schemeClr w14:val="tx1"/>
            </w14:solidFill>
          </w14:textFill>
        </w:rPr>
        <w:t>2</w:t>
      </w:r>
      <w:r>
        <w:rPr>
          <w:rFonts w:cs="Times New Roman"/>
          <w:bCs/>
          <w:color w:val="000000" w:themeColor="text1"/>
          <w:kern w:val="0"/>
          <w:szCs w:val="24"/>
          <w:highlight w:val="none"/>
          <w14:textFill>
            <w14:solidFill>
              <w14:schemeClr w14:val="tx1"/>
            </w14:solidFill>
          </w14:textFill>
        </w:rPr>
        <w:t>，即以（79.2＋10）t/hm</w:t>
      </w:r>
      <w:r>
        <w:rPr>
          <w:rFonts w:cs="Times New Roman"/>
          <w:bCs/>
          <w:color w:val="000000" w:themeColor="text1"/>
          <w:kern w:val="0"/>
          <w:szCs w:val="24"/>
          <w:highlight w:val="none"/>
          <w:vertAlign w:val="superscript"/>
          <w14:textFill>
            <w14:solidFill>
              <w14:schemeClr w14:val="tx1"/>
            </w14:solidFill>
          </w14:textFill>
        </w:rPr>
        <w:t>2</w:t>
      </w:r>
      <w:r>
        <w:rPr>
          <w:rFonts w:cs="Times New Roman"/>
          <w:bCs/>
          <w:color w:val="000000" w:themeColor="text1"/>
          <w:kern w:val="0"/>
          <w:szCs w:val="24"/>
          <w:highlight w:val="none"/>
          <w14:textFill>
            <w14:solidFill>
              <w14:schemeClr w14:val="tx1"/>
            </w14:solidFill>
          </w14:textFill>
        </w:rPr>
        <w:t>来作为本评价范围森林群落生物量的基数。</w:t>
      </w:r>
    </w:p>
    <w:p>
      <w:pPr>
        <w:ind w:firstLine="480"/>
        <w:rPr>
          <w:rFonts w:cs="Times New Roman"/>
          <w:bCs/>
          <w:color w:val="000000" w:themeColor="text1"/>
          <w:kern w:val="0"/>
          <w:szCs w:val="24"/>
          <w:highlight w:val="none"/>
          <w14:textFill>
            <w14:solidFill>
              <w14:schemeClr w14:val="tx1"/>
            </w14:solidFill>
          </w14:textFill>
        </w:rPr>
      </w:pPr>
      <w:r>
        <w:rPr>
          <w:rFonts w:cs="Times New Roman"/>
          <w:bCs/>
          <w:color w:val="000000" w:themeColor="text1"/>
          <w:kern w:val="0"/>
          <w:szCs w:val="24"/>
          <w:highlight w:val="none"/>
          <w14:textFill>
            <w14:solidFill>
              <w14:schemeClr w14:val="tx1"/>
            </w14:solidFill>
          </w14:textFill>
        </w:rPr>
        <w:t>2、灌丛和灌草丛生物量</w:t>
      </w:r>
    </w:p>
    <w:p>
      <w:pPr>
        <w:ind w:firstLine="480"/>
        <w:rPr>
          <w:rFonts w:cs="Times New Roman"/>
          <w:bCs/>
          <w:color w:val="000000" w:themeColor="text1"/>
          <w:kern w:val="0"/>
          <w:szCs w:val="24"/>
          <w:highlight w:val="none"/>
          <w14:textFill>
            <w14:solidFill>
              <w14:schemeClr w14:val="tx1"/>
            </w14:solidFill>
          </w14:textFill>
        </w:rPr>
      </w:pPr>
      <w:r>
        <w:rPr>
          <w:rFonts w:cs="Times New Roman"/>
          <w:bCs/>
          <w:color w:val="000000" w:themeColor="text1"/>
          <w:kern w:val="0"/>
          <w:szCs w:val="24"/>
          <w:highlight w:val="none"/>
          <w14:textFill>
            <w14:solidFill>
              <w14:schemeClr w14:val="tx1"/>
            </w14:solidFill>
          </w14:textFill>
        </w:rPr>
        <w:t>灌丛和灌草丛生物量采用收获法测定。本次野外实地调查中，选择不同灌丛和灌草丛类型，进行了典型样方生物量测定，考虑到不同灌丛类型其生物量有很大的差异，故分别对本区内两种类型的灌丛进行生物量的测定。灌丛共作4个5×5m的生物量样方，在每个样方内均匀取样4m</w:t>
      </w:r>
      <w:r>
        <w:rPr>
          <w:rFonts w:cs="Times New Roman"/>
          <w:bCs/>
          <w:color w:val="000000" w:themeColor="text1"/>
          <w:kern w:val="0"/>
          <w:szCs w:val="24"/>
          <w:highlight w:val="none"/>
          <w:vertAlign w:val="superscript"/>
          <w14:textFill>
            <w14:solidFill>
              <w14:schemeClr w14:val="tx1"/>
            </w14:solidFill>
          </w14:textFill>
        </w:rPr>
        <w:t>2</w:t>
      </w:r>
      <w:r>
        <w:rPr>
          <w:rFonts w:cs="Times New Roman"/>
          <w:bCs/>
          <w:color w:val="000000" w:themeColor="text1"/>
          <w:kern w:val="0"/>
          <w:szCs w:val="24"/>
          <w:highlight w:val="none"/>
          <w14:textFill>
            <w14:solidFill>
              <w14:schemeClr w14:val="tx1"/>
            </w14:solidFill>
          </w14:textFill>
        </w:rPr>
        <w:t>的生物量（鲜重），并将部分鲜样称重后带回实验室内恒温箱中80℃烘干至恒重，计算含水量及干物质重量，将生物量鲜重换算成干重，得到灌丛地上部分平均生物量为16.28t/hm</w:t>
      </w:r>
      <w:r>
        <w:rPr>
          <w:rFonts w:cs="Times New Roman"/>
          <w:bCs/>
          <w:color w:val="000000" w:themeColor="text1"/>
          <w:kern w:val="0"/>
          <w:szCs w:val="24"/>
          <w:highlight w:val="none"/>
          <w:vertAlign w:val="superscript"/>
          <w14:textFill>
            <w14:solidFill>
              <w14:schemeClr w14:val="tx1"/>
            </w14:solidFill>
          </w14:textFill>
        </w:rPr>
        <w:t>2</w:t>
      </w:r>
      <w:r>
        <w:rPr>
          <w:rFonts w:cs="Times New Roman"/>
          <w:bCs/>
          <w:color w:val="000000" w:themeColor="text1"/>
          <w:kern w:val="0"/>
          <w:szCs w:val="24"/>
          <w:highlight w:val="none"/>
          <w14:textFill>
            <w14:solidFill>
              <w14:schemeClr w14:val="tx1"/>
            </w14:solidFill>
          </w14:textFill>
        </w:rPr>
        <w:t>；灌草丛取4个1×1m的生物量样方，在每个样方内均匀取样1m</w:t>
      </w:r>
      <w:r>
        <w:rPr>
          <w:rFonts w:cs="Times New Roman"/>
          <w:bCs/>
          <w:color w:val="000000" w:themeColor="text1"/>
          <w:kern w:val="0"/>
          <w:szCs w:val="24"/>
          <w:highlight w:val="none"/>
          <w:vertAlign w:val="superscript"/>
          <w14:textFill>
            <w14:solidFill>
              <w14:schemeClr w14:val="tx1"/>
            </w14:solidFill>
          </w14:textFill>
        </w:rPr>
        <w:t>2</w:t>
      </w:r>
      <w:r>
        <w:rPr>
          <w:rFonts w:cs="Times New Roman"/>
          <w:bCs/>
          <w:color w:val="000000" w:themeColor="text1"/>
          <w:kern w:val="0"/>
          <w:szCs w:val="24"/>
          <w:highlight w:val="none"/>
          <w14:textFill>
            <w14:solidFill>
              <w14:schemeClr w14:val="tx1"/>
            </w14:solidFill>
          </w14:textFill>
        </w:rPr>
        <w:t>的生物量（鲜重），并将部分鲜样称重后带回实验室内恒温箱中80℃烘干至恒重，计算含水量及干物质重量，将生物量鲜重换算成干重，得到灌草丛地上部分平均生物量为4.52t/hm</w:t>
      </w:r>
      <w:r>
        <w:rPr>
          <w:rFonts w:cs="Times New Roman"/>
          <w:bCs/>
          <w:color w:val="000000" w:themeColor="text1"/>
          <w:kern w:val="0"/>
          <w:szCs w:val="24"/>
          <w:highlight w:val="none"/>
          <w:vertAlign w:val="superscript"/>
          <w14:textFill>
            <w14:solidFill>
              <w14:schemeClr w14:val="tx1"/>
            </w14:solidFill>
          </w14:textFill>
        </w:rPr>
        <w:t>2</w:t>
      </w:r>
      <w:r>
        <w:rPr>
          <w:rFonts w:cs="Times New Roman"/>
          <w:bCs/>
          <w:color w:val="000000" w:themeColor="text1"/>
          <w:kern w:val="0"/>
          <w:szCs w:val="24"/>
          <w:highlight w:val="none"/>
          <w14:textFill>
            <w14:solidFill>
              <w14:schemeClr w14:val="tx1"/>
            </w14:solidFill>
          </w14:textFill>
        </w:rPr>
        <w:t>。由于现场测定仅</w:t>
      </w:r>
      <w:r>
        <w:rPr>
          <w:rFonts w:hint="eastAsia" w:cs="Times New Roman"/>
          <w:bCs/>
          <w:color w:val="000000" w:themeColor="text1"/>
          <w:kern w:val="0"/>
          <w:szCs w:val="24"/>
          <w:highlight w:val="none"/>
          <w14:textFill>
            <w14:solidFill>
              <w14:schemeClr w14:val="tx1"/>
            </w14:solidFill>
          </w14:textFill>
        </w:rPr>
        <w:t>做</w:t>
      </w:r>
      <w:r>
        <w:rPr>
          <w:rFonts w:cs="Times New Roman"/>
          <w:bCs/>
          <w:color w:val="000000" w:themeColor="text1"/>
          <w:kern w:val="0"/>
          <w:szCs w:val="24"/>
          <w:highlight w:val="none"/>
          <w14:textFill>
            <w14:solidFill>
              <w14:schemeClr w14:val="tx1"/>
            </w14:solidFill>
          </w14:textFill>
        </w:rPr>
        <w:t>了灌丛和灌草丛的地上部分生物量的测定，地下部分生物量则利用已有的生物量资料中地上部分（T）与地下部分（R）之比例系数（T/R）为1.44的系数来推算出本评价范围内灌丛和灌草丛生物量的地下部分（屠玉麟，贵州中部喀斯特灌丛群落生物量研究，《中国岩溶》．Vol.14.No.3.1995）。因此，灌丛的生物量即为地上部分与地下部分之和：（16.28＋16.28/1.44）=27.58t/hm</w:t>
      </w:r>
      <w:r>
        <w:rPr>
          <w:rFonts w:cs="Times New Roman"/>
          <w:bCs/>
          <w:color w:val="000000" w:themeColor="text1"/>
          <w:kern w:val="0"/>
          <w:szCs w:val="24"/>
          <w:highlight w:val="none"/>
          <w:vertAlign w:val="superscript"/>
          <w14:textFill>
            <w14:solidFill>
              <w14:schemeClr w14:val="tx1"/>
            </w14:solidFill>
          </w14:textFill>
        </w:rPr>
        <w:t>2</w:t>
      </w:r>
      <w:r>
        <w:rPr>
          <w:rFonts w:cs="Times New Roman"/>
          <w:bCs/>
          <w:color w:val="000000" w:themeColor="text1"/>
          <w:kern w:val="0"/>
          <w:szCs w:val="24"/>
          <w:highlight w:val="none"/>
          <w14:textFill>
            <w14:solidFill>
              <w14:schemeClr w14:val="tx1"/>
            </w14:solidFill>
          </w14:textFill>
        </w:rPr>
        <w:t>，灌草丛的生物量即为地上部分与地下部分之和：（4.52＋4.52/1.44）=7.66t/hm</w:t>
      </w:r>
      <w:r>
        <w:rPr>
          <w:rFonts w:cs="Times New Roman"/>
          <w:bCs/>
          <w:color w:val="000000" w:themeColor="text1"/>
          <w:kern w:val="0"/>
          <w:szCs w:val="24"/>
          <w:highlight w:val="none"/>
          <w:vertAlign w:val="superscript"/>
          <w14:textFill>
            <w14:solidFill>
              <w14:schemeClr w14:val="tx1"/>
            </w14:solidFill>
          </w14:textFill>
        </w:rPr>
        <w:t>2</w:t>
      </w:r>
      <w:r>
        <w:rPr>
          <w:rFonts w:cs="Times New Roman"/>
          <w:bCs/>
          <w:color w:val="000000" w:themeColor="text1"/>
          <w:kern w:val="0"/>
          <w:szCs w:val="24"/>
          <w:highlight w:val="none"/>
          <w14:textFill>
            <w14:solidFill>
              <w14:schemeClr w14:val="tx1"/>
            </w14:solidFill>
          </w14:textFill>
        </w:rPr>
        <w:t>。</w:t>
      </w:r>
    </w:p>
    <w:p>
      <w:pPr>
        <w:ind w:firstLine="480"/>
        <w:rPr>
          <w:rFonts w:cs="Times New Roman"/>
          <w:bCs/>
          <w:color w:val="000000" w:themeColor="text1"/>
          <w:kern w:val="0"/>
          <w:szCs w:val="24"/>
          <w:highlight w:val="none"/>
          <w14:textFill>
            <w14:solidFill>
              <w14:schemeClr w14:val="tx1"/>
            </w14:solidFill>
          </w14:textFill>
        </w:rPr>
      </w:pPr>
      <w:r>
        <w:rPr>
          <w:rFonts w:cs="Times New Roman"/>
          <w:bCs/>
          <w:color w:val="000000" w:themeColor="text1"/>
          <w:kern w:val="0"/>
          <w:szCs w:val="24"/>
          <w:highlight w:val="none"/>
          <w14:textFill>
            <w14:solidFill>
              <w14:schemeClr w14:val="tx1"/>
            </w14:solidFill>
          </w14:textFill>
        </w:rPr>
        <w:t>3、农田植被的生物量</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农田植被生物量由三部分组成，即作物</w:t>
      </w:r>
      <w:r>
        <w:rPr>
          <w:rFonts w:hint="eastAsia" w:cs="Times New Roman"/>
          <w:bCs/>
          <w:color w:val="000000" w:themeColor="text1"/>
          <w:szCs w:val="24"/>
          <w:highlight w:val="none"/>
          <w:lang w:eastAsia="zh-CN"/>
          <w14:textFill>
            <w14:solidFill>
              <w14:schemeClr w14:val="tx1"/>
            </w14:solidFill>
          </w14:textFill>
        </w:rPr>
        <w:t>籽粒</w:t>
      </w:r>
      <w:r>
        <w:rPr>
          <w:rFonts w:cs="Times New Roman"/>
          <w:bCs/>
          <w:color w:val="000000" w:themeColor="text1"/>
          <w:szCs w:val="24"/>
          <w:highlight w:val="none"/>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秸秆和</w:t>
      </w:r>
      <w:r>
        <w:rPr>
          <w:rFonts w:cs="Times New Roman"/>
          <w:bCs/>
          <w:color w:val="000000" w:themeColor="text1"/>
          <w:szCs w:val="24"/>
          <w:highlight w:val="none"/>
          <w14:textFill>
            <w14:solidFill>
              <w14:schemeClr w14:val="tx1"/>
            </w14:solidFill>
          </w14:textFill>
        </w:rPr>
        <w:t>根茬。由于目前尚无宣汉县农田</w:t>
      </w:r>
      <w:r>
        <w:rPr>
          <w:rFonts w:hint="eastAsia" w:cs="Times New Roman"/>
          <w:bCs/>
          <w:color w:val="000000" w:themeColor="text1"/>
          <w:szCs w:val="24"/>
          <w:highlight w:val="none"/>
          <w14:textFill>
            <w14:solidFill>
              <w14:schemeClr w14:val="tx1"/>
            </w14:solidFill>
          </w14:textFill>
        </w:rPr>
        <w:t>的秸秆</w:t>
      </w:r>
      <w:r>
        <w:rPr>
          <w:rFonts w:cs="Times New Roman"/>
          <w:bCs/>
          <w:color w:val="000000" w:themeColor="text1"/>
          <w:szCs w:val="24"/>
          <w:highlight w:val="none"/>
          <w14:textFill>
            <w14:solidFill>
              <w14:schemeClr w14:val="tx1"/>
            </w14:solidFill>
          </w14:textFill>
        </w:rPr>
        <w:t>、根茬单位面积产量数据，农田植被生物量基数参考周边已有案例。</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10</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评价范围内的植被生物量现状值</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3"/>
        <w:gridCol w:w="1699"/>
        <w:gridCol w:w="1883"/>
        <w:gridCol w:w="1689"/>
        <w:gridCol w:w="15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9" w:type="pct"/>
            <w:vMerge w:val="restart"/>
            <w:tcBorders>
              <w:tl2br w:val="nil"/>
              <w:tr2bl w:val="nil"/>
            </w:tcBorders>
            <w:vAlign w:val="center"/>
          </w:tcPr>
          <w:p>
            <w:pPr>
              <w:adjustRightInd/>
              <w:snapToGrid/>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植被类型</w:t>
            </w:r>
          </w:p>
        </w:tc>
        <w:tc>
          <w:tcPr>
            <w:tcW w:w="3090" w:type="pct"/>
            <w:gridSpan w:val="3"/>
            <w:tcBorders>
              <w:tl2br w:val="nil"/>
              <w:tr2bl w:val="nil"/>
            </w:tcBorders>
            <w:vAlign w:val="center"/>
          </w:tcPr>
          <w:p>
            <w:pPr>
              <w:adjustRightInd/>
              <w:snapToGrid/>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项目评价范围</w:t>
            </w:r>
          </w:p>
        </w:tc>
        <w:tc>
          <w:tcPr>
            <w:tcW w:w="910" w:type="pct"/>
            <w:tcBorders>
              <w:tl2br w:val="nil"/>
              <w:tr2bl w:val="nil"/>
            </w:tcBorders>
            <w:vAlign w:val="center"/>
          </w:tcPr>
          <w:p>
            <w:pPr>
              <w:adjustRightInd/>
              <w:snapToGrid/>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9" w:type="pct"/>
            <w:vMerge w:val="continue"/>
            <w:tcBorders>
              <w:tl2br w:val="nil"/>
              <w:tr2bl w:val="nil"/>
            </w:tcBorders>
            <w:vAlign w:val="center"/>
          </w:tcPr>
          <w:p>
            <w:pPr>
              <w:adjustRightInd/>
              <w:snapToGrid/>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p>
        </w:tc>
        <w:tc>
          <w:tcPr>
            <w:tcW w:w="996" w:type="pct"/>
            <w:tcBorders>
              <w:tl2br w:val="nil"/>
              <w:tr2bl w:val="nil"/>
            </w:tcBorders>
            <w:vAlign w:val="center"/>
          </w:tcPr>
          <w:p>
            <w:pPr>
              <w:adjustRightInd/>
              <w:snapToGrid/>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面积</w:t>
            </w:r>
            <w:r>
              <w:rPr>
                <w:rFonts w:hint="eastAsia" w:cs="Times New Roman"/>
                <w:b/>
                <w:color w:val="000000" w:themeColor="text1"/>
                <w:kern w:val="0"/>
                <w:sz w:val="21"/>
                <w:szCs w:val="21"/>
                <w:highlight w:val="none"/>
                <w14:textFill>
                  <w14:solidFill>
                    <w14:schemeClr w14:val="tx1"/>
                  </w14:solidFill>
                </w14:textFill>
              </w:rPr>
              <w:t>（</w:t>
            </w:r>
            <w:r>
              <w:rPr>
                <w:rFonts w:cs="Times New Roman"/>
                <w:b/>
                <w:color w:val="000000" w:themeColor="text1"/>
                <w:kern w:val="0"/>
                <w:sz w:val="21"/>
                <w:szCs w:val="21"/>
                <w:highlight w:val="none"/>
                <w14:textFill>
                  <w14:solidFill>
                    <w14:schemeClr w14:val="tx1"/>
                  </w14:solidFill>
                </w14:textFill>
              </w:rPr>
              <w:t>hm</w:t>
            </w:r>
            <w:r>
              <w:rPr>
                <w:rFonts w:cs="Times New Roman"/>
                <w:b/>
                <w:color w:val="000000" w:themeColor="text1"/>
                <w:kern w:val="0"/>
                <w:sz w:val="21"/>
                <w:szCs w:val="21"/>
                <w:highlight w:val="none"/>
                <w:vertAlign w:val="superscript"/>
                <w14:textFill>
                  <w14:solidFill>
                    <w14:schemeClr w14:val="tx1"/>
                  </w14:solidFill>
                </w14:textFill>
              </w:rPr>
              <w:t>2</w:t>
            </w:r>
            <w:r>
              <w:rPr>
                <w:rFonts w:hint="eastAsia" w:cs="Times New Roman"/>
                <w:b/>
                <w:color w:val="000000" w:themeColor="text1"/>
                <w:kern w:val="0"/>
                <w:sz w:val="21"/>
                <w:szCs w:val="21"/>
                <w:highlight w:val="none"/>
                <w:vertAlign w:val="superscript"/>
                <w14:textFill>
                  <w14:solidFill>
                    <w14:schemeClr w14:val="tx1"/>
                  </w14:solidFill>
                </w14:textFill>
              </w:rPr>
              <w:t>）</w:t>
            </w:r>
          </w:p>
        </w:tc>
        <w:tc>
          <w:tcPr>
            <w:tcW w:w="1104" w:type="pct"/>
            <w:tcBorders>
              <w:tl2br w:val="nil"/>
              <w:tr2bl w:val="nil"/>
            </w:tcBorders>
            <w:vAlign w:val="center"/>
          </w:tcPr>
          <w:p>
            <w:pPr>
              <w:adjustRightInd/>
              <w:snapToGrid/>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基数</w:t>
            </w:r>
            <w:r>
              <w:rPr>
                <w:rFonts w:cs="Times New Roman"/>
                <w:b/>
                <w:color w:val="000000" w:themeColor="text1"/>
                <w:kern w:val="0"/>
                <w:szCs w:val="24"/>
                <w:highlight w:val="none"/>
                <w14:textFill>
                  <w14:solidFill>
                    <w14:schemeClr w14:val="tx1"/>
                  </w14:solidFill>
                </w14:textFill>
              </w:rPr>
              <w:t>（t/hm²）</w:t>
            </w:r>
          </w:p>
        </w:tc>
        <w:tc>
          <w:tcPr>
            <w:tcW w:w="990" w:type="pct"/>
            <w:tcBorders>
              <w:tl2br w:val="nil"/>
              <w:tr2bl w:val="nil"/>
            </w:tcBorders>
            <w:vAlign w:val="center"/>
          </w:tcPr>
          <w:p>
            <w:pPr>
              <w:adjustRightInd/>
              <w:snapToGrid/>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生物量</w:t>
            </w:r>
            <w:r>
              <w:rPr>
                <w:rFonts w:hint="eastAsia" w:cs="Times New Roman"/>
                <w:b/>
                <w:color w:val="000000" w:themeColor="text1"/>
                <w:kern w:val="0"/>
                <w:sz w:val="21"/>
                <w:szCs w:val="21"/>
                <w:highlight w:val="none"/>
                <w14:textFill>
                  <w14:solidFill>
                    <w14:schemeClr w14:val="tx1"/>
                  </w14:solidFill>
                </w14:textFill>
              </w:rPr>
              <w:t>（</w:t>
            </w:r>
            <w:r>
              <w:rPr>
                <w:rFonts w:cs="Times New Roman"/>
                <w:b/>
                <w:color w:val="000000" w:themeColor="text1"/>
                <w:kern w:val="0"/>
                <w:sz w:val="21"/>
                <w:szCs w:val="21"/>
                <w:highlight w:val="none"/>
                <w14:textFill>
                  <w14:solidFill>
                    <w14:schemeClr w14:val="tx1"/>
                  </w14:solidFill>
                </w14:textFill>
              </w:rPr>
              <w:t>t</w:t>
            </w:r>
            <w:r>
              <w:rPr>
                <w:rFonts w:hint="eastAsia" w:cs="Times New Roman"/>
                <w:b/>
                <w:color w:val="000000" w:themeColor="text1"/>
                <w:kern w:val="0"/>
                <w:sz w:val="21"/>
                <w:szCs w:val="21"/>
                <w:highlight w:val="none"/>
                <w14:textFill>
                  <w14:solidFill>
                    <w14:schemeClr w14:val="tx1"/>
                  </w14:solidFill>
                </w14:textFill>
              </w:rPr>
              <w:t>）</w:t>
            </w:r>
          </w:p>
        </w:tc>
        <w:tc>
          <w:tcPr>
            <w:tcW w:w="910" w:type="pct"/>
            <w:tcBorders>
              <w:tl2br w:val="nil"/>
              <w:tr2bl w:val="nil"/>
            </w:tcBorders>
            <w:vAlign w:val="center"/>
          </w:tcPr>
          <w:p>
            <w:pPr>
              <w:adjustRightInd/>
              <w:snapToGrid/>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百分比（%）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9"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水田植被</w:t>
            </w:r>
          </w:p>
        </w:tc>
        <w:tc>
          <w:tcPr>
            <w:tcW w:w="996"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143.34</w:t>
            </w:r>
          </w:p>
        </w:tc>
        <w:tc>
          <w:tcPr>
            <w:tcW w:w="1104"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10.51</w:t>
            </w:r>
          </w:p>
        </w:tc>
        <w:tc>
          <w:tcPr>
            <w:tcW w:w="990"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1506.49</w:t>
            </w:r>
          </w:p>
        </w:tc>
        <w:tc>
          <w:tcPr>
            <w:tcW w:w="910"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5.51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9"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旱地植被</w:t>
            </w:r>
          </w:p>
        </w:tc>
        <w:tc>
          <w:tcPr>
            <w:tcW w:w="996"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115.88</w:t>
            </w:r>
          </w:p>
        </w:tc>
        <w:tc>
          <w:tcPr>
            <w:tcW w:w="1104"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10.31</w:t>
            </w:r>
          </w:p>
        </w:tc>
        <w:tc>
          <w:tcPr>
            <w:tcW w:w="990"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1194.72</w:t>
            </w:r>
          </w:p>
        </w:tc>
        <w:tc>
          <w:tcPr>
            <w:tcW w:w="910"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4.37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9"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森林植被</w:t>
            </w:r>
          </w:p>
        </w:tc>
        <w:tc>
          <w:tcPr>
            <w:tcW w:w="996"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263.73</w:t>
            </w:r>
          </w:p>
        </w:tc>
        <w:tc>
          <w:tcPr>
            <w:tcW w:w="1104"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89.2</w:t>
            </w:r>
          </w:p>
        </w:tc>
        <w:tc>
          <w:tcPr>
            <w:tcW w:w="990"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23524.98</w:t>
            </w:r>
          </w:p>
        </w:tc>
        <w:tc>
          <w:tcPr>
            <w:tcW w:w="910"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86.05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9"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灌丛植被</w:t>
            </w:r>
          </w:p>
        </w:tc>
        <w:tc>
          <w:tcPr>
            <w:tcW w:w="996"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36.49</w:t>
            </w:r>
          </w:p>
        </w:tc>
        <w:tc>
          <w:tcPr>
            <w:tcW w:w="1104"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27.58</w:t>
            </w:r>
          </w:p>
        </w:tc>
        <w:tc>
          <w:tcPr>
            <w:tcW w:w="990"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1006.48</w:t>
            </w:r>
          </w:p>
        </w:tc>
        <w:tc>
          <w:tcPr>
            <w:tcW w:w="910"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3.68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9"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灌草丛植被</w:t>
            </w:r>
          </w:p>
        </w:tc>
        <w:tc>
          <w:tcPr>
            <w:tcW w:w="996"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13.72</w:t>
            </w:r>
          </w:p>
        </w:tc>
        <w:tc>
          <w:tcPr>
            <w:tcW w:w="1104"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7.66</w:t>
            </w:r>
          </w:p>
        </w:tc>
        <w:tc>
          <w:tcPr>
            <w:tcW w:w="990"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105.08</w:t>
            </w:r>
          </w:p>
        </w:tc>
        <w:tc>
          <w:tcPr>
            <w:tcW w:w="910"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0.38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9"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合计</w:t>
            </w:r>
          </w:p>
        </w:tc>
        <w:tc>
          <w:tcPr>
            <w:tcW w:w="996"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573.16</w:t>
            </w:r>
          </w:p>
        </w:tc>
        <w:tc>
          <w:tcPr>
            <w:tcW w:w="1104"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p>
        </w:tc>
        <w:tc>
          <w:tcPr>
            <w:tcW w:w="990"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27337.75</w:t>
            </w:r>
          </w:p>
        </w:tc>
        <w:tc>
          <w:tcPr>
            <w:tcW w:w="910"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100.00</w:t>
            </w:r>
          </w:p>
        </w:tc>
      </w:tr>
    </w:tbl>
    <w:p>
      <w:pPr>
        <w:spacing w:before="120" w:beforeLines="50"/>
        <w:ind w:firstLine="480"/>
        <w:rPr>
          <w:rFonts w:cs="Times New Roman"/>
          <w:bCs/>
          <w:color w:val="000000" w:themeColor="text1"/>
          <w:kern w:val="0"/>
          <w:szCs w:val="24"/>
          <w:highlight w:val="none"/>
          <w14:textFill>
            <w14:solidFill>
              <w14:schemeClr w14:val="tx1"/>
            </w14:solidFill>
          </w14:textFill>
        </w:rPr>
      </w:pPr>
      <w:r>
        <w:rPr>
          <w:rFonts w:cs="Times New Roman"/>
          <w:bCs/>
          <w:color w:val="000000" w:themeColor="text1"/>
          <w:kern w:val="0"/>
          <w:szCs w:val="24"/>
          <w:highlight w:val="none"/>
          <w14:textFill>
            <w14:solidFill>
              <w14:schemeClr w14:val="tx1"/>
            </w14:solidFill>
          </w14:textFill>
        </w:rPr>
        <w:t>由表4.3-1</w:t>
      </w:r>
      <w:r>
        <w:rPr>
          <w:rFonts w:hint="eastAsia" w:cs="Times New Roman"/>
          <w:bCs/>
          <w:color w:val="000000" w:themeColor="text1"/>
          <w:kern w:val="0"/>
          <w:szCs w:val="24"/>
          <w:highlight w:val="none"/>
          <w14:textFill>
            <w14:solidFill>
              <w14:schemeClr w14:val="tx1"/>
            </w14:solidFill>
          </w14:textFill>
        </w:rPr>
        <w:t>0</w:t>
      </w:r>
      <w:r>
        <w:rPr>
          <w:rFonts w:cs="Times New Roman"/>
          <w:bCs/>
          <w:color w:val="000000" w:themeColor="text1"/>
          <w:kern w:val="0"/>
          <w:szCs w:val="24"/>
          <w:highlight w:val="none"/>
          <w14:textFill>
            <w14:solidFill>
              <w14:schemeClr w14:val="tx1"/>
            </w14:solidFill>
          </w14:textFill>
        </w:rPr>
        <w:t>可知，在评价范围内植物总生物量中，森林植被生物量所占比重最大，达到86.05%，可见森林植被对区域生物量的贡献之大，同时也表明森林植被是本评价范围最重要的生态系统，森林生态效益不可忽视，在维持区域生态平衡方面有绝对的意义。</w:t>
      </w:r>
    </w:p>
    <w:p>
      <w:pPr>
        <w:pStyle w:val="5"/>
        <w:spacing w:before="12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景观生态体系现状调查</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景观（Landscape）的定义有多种表述，但大部分都是反映内陆地形、地貌或景色的，或是反映某一地理区域的综合地形特征。而景观生态学（LandscapeEcology）将景观定义为：“一个空间异质性的区域，由相互作用的拼块（patch）或生态系统组成，以相似的形式重复出现的生态体系”。为了深入认识评价范围内的环境特征，下面用景观生态学的原理和方法来研究生态体系的组成、特征、生产力及其稳定性。</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1、景观生态体系组成与特征</w:t>
      </w:r>
    </w:p>
    <w:p>
      <w:pPr>
        <w:ind w:firstLine="480"/>
        <w:rPr>
          <w:rFonts w:cs="Times New Roman"/>
          <w:bCs/>
          <w:color w:val="000000" w:themeColor="text1"/>
          <w:kern w:val="0"/>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按照生态学中景观的概念描述可知，景观生态体系的组成即生态系统或土地利</w:t>
      </w:r>
      <w:r>
        <w:rPr>
          <w:rFonts w:cs="Times New Roman"/>
          <w:bCs/>
          <w:color w:val="000000" w:themeColor="text1"/>
          <w:kern w:val="0"/>
          <w:szCs w:val="24"/>
          <w:highlight w:val="none"/>
          <w14:textFill>
            <w14:solidFill>
              <w14:schemeClr w14:val="tx1"/>
            </w14:solidFill>
          </w14:textFill>
        </w:rPr>
        <w:t>用类型组成，因而可以用评价范围内的主要土地利用类型——森林、灌丛、灌草丛、耕地、河流水面、建设用地等生态系统作为景观体系的基本单元——拼块来进行景观分析。</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（1）马尾松、麻栎、青冈及乔木经济树种等为主的森林拼块</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属于人工栽培或干预后经过一段时间自然生长发育形成，具有一定人工性，属于环境资源拼块。该拼块广泛分布，连通程度较高。该拼块面积为</w:t>
      </w:r>
      <w:r>
        <w:rPr>
          <w:rFonts w:cs="Times New Roman"/>
          <w:bCs/>
          <w:color w:val="000000" w:themeColor="text1"/>
          <w:kern w:val="0"/>
          <w:szCs w:val="24"/>
          <w:highlight w:val="none"/>
          <w:lang w:bidi="ar"/>
          <w14:textFill>
            <w14:solidFill>
              <w14:schemeClr w14:val="tx1"/>
            </w14:solidFill>
          </w14:textFill>
        </w:rPr>
        <w:t>263.73</w:t>
      </w:r>
      <w:r>
        <w:rPr>
          <w:rFonts w:cs="Times New Roman"/>
          <w:bCs/>
          <w:color w:val="000000" w:themeColor="text1"/>
          <w:szCs w:val="24"/>
          <w:highlight w:val="none"/>
          <w14:textFill>
            <w14:solidFill>
              <w14:schemeClr w14:val="tx1"/>
            </w14:solidFill>
          </w14:textFill>
        </w:rPr>
        <w:t>hm²，约占评价范围总面积的41.66%，是评价区内最重要的景观拼块，对评价区内生态起着绝对作用。</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野桐、盐肤木、马桑、黄荆、火棘、荚蒾及灌木经济树种等为主的灌丛拼块属于人类活动影响下形成的干扰拼块，多分布在林地边缘地带或荒坡田坎，由于人类活动频繁，受干扰程度高，水土流失和生物多样性受损较严重。该拼块面积为</w:t>
      </w:r>
      <w:r>
        <w:rPr>
          <w:rFonts w:cs="Times New Roman"/>
          <w:bCs/>
          <w:color w:val="000000" w:themeColor="text1"/>
          <w:kern w:val="0"/>
          <w:szCs w:val="24"/>
          <w:highlight w:val="none"/>
          <w:lang w:bidi="ar"/>
          <w14:textFill>
            <w14:solidFill>
              <w14:schemeClr w14:val="tx1"/>
            </w14:solidFill>
          </w14:textFill>
        </w:rPr>
        <w:t>36.49</w:t>
      </w:r>
      <w:r>
        <w:rPr>
          <w:rFonts w:cs="Times New Roman"/>
          <w:bCs/>
          <w:color w:val="000000" w:themeColor="text1"/>
          <w:szCs w:val="24"/>
          <w:highlight w:val="none"/>
          <w14:textFill>
            <w14:solidFill>
              <w14:schemeClr w14:val="tx1"/>
            </w14:solidFill>
          </w14:textFill>
        </w:rPr>
        <w:t>hm²，占评价范围总面积的</w:t>
      </w:r>
      <w:r>
        <w:rPr>
          <w:rFonts w:cs="Times New Roman"/>
          <w:bCs/>
          <w:color w:val="000000" w:themeColor="text1"/>
          <w:kern w:val="0"/>
          <w:szCs w:val="24"/>
          <w:highlight w:val="none"/>
          <w14:textFill>
            <w14:solidFill>
              <w14:schemeClr w14:val="tx1"/>
            </w14:solidFill>
          </w14:textFill>
        </w:rPr>
        <w:t>5.76</w:t>
      </w:r>
      <w:r>
        <w:rPr>
          <w:rFonts w:cs="Times New Roman"/>
          <w:bCs/>
          <w:color w:val="000000" w:themeColor="text1"/>
          <w:szCs w:val="24"/>
          <w:highlight w:val="none"/>
          <w14:textFill>
            <w14:solidFill>
              <w14:schemeClr w14:val="tx1"/>
            </w14:solidFill>
          </w14:textFill>
        </w:rPr>
        <w:t>%。</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（3）芒、白茅等为主的灌草丛拼块</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属于人类活动影响下形成的干扰拼块，分布广泛，由于人类活动频繁，受干扰程度高，水土流失和生物多样性受损较严重。该拼块面积为</w:t>
      </w:r>
      <w:r>
        <w:rPr>
          <w:rFonts w:cs="Times New Roman"/>
          <w:bCs/>
          <w:color w:val="000000" w:themeColor="text1"/>
          <w:kern w:val="0"/>
          <w:szCs w:val="24"/>
          <w:highlight w:val="none"/>
          <w:lang w:bidi="ar"/>
          <w14:textFill>
            <w14:solidFill>
              <w14:schemeClr w14:val="tx1"/>
            </w14:solidFill>
          </w14:textFill>
        </w:rPr>
        <w:t>13.72</w:t>
      </w:r>
      <w:r>
        <w:rPr>
          <w:rFonts w:cs="Times New Roman"/>
          <w:bCs/>
          <w:color w:val="000000" w:themeColor="text1"/>
          <w:szCs w:val="24"/>
          <w:highlight w:val="none"/>
          <w14:textFill>
            <w14:solidFill>
              <w14:schemeClr w14:val="tx1"/>
            </w14:solidFill>
          </w14:textFill>
        </w:rPr>
        <w:t>hm²，占评价区总面积的</w:t>
      </w:r>
      <w:r>
        <w:rPr>
          <w:rFonts w:cs="Times New Roman"/>
          <w:bCs/>
          <w:color w:val="000000" w:themeColor="text1"/>
          <w:kern w:val="0"/>
          <w:szCs w:val="24"/>
          <w:highlight w:val="none"/>
          <w14:textFill>
            <w14:solidFill>
              <w14:schemeClr w14:val="tx1"/>
            </w14:solidFill>
          </w14:textFill>
        </w:rPr>
        <w:t>2.17%</w:t>
      </w:r>
      <w:r>
        <w:rPr>
          <w:rFonts w:cs="Times New Roman"/>
          <w:bCs/>
          <w:color w:val="000000" w:themeColor="text1"/>
          <w:szCs w:val="24"/>
          <w:highlight w:val="none"/>
          <w14:textFill>
            <w14:solidFill>
              <w14:schemeClr w14:val="tx1"/>
            </w14:solidFill>
          </w14:textFill>
        </w:rPr>
        <w:t>。</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（4）以水稻、玉米、红苕、棉花、花生、小麦、马铃薯、豌豆为主的耕地植被拼块</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属于人工引进的种植拼块。水田拼块一般较平坦，生境湿润，旱地拼块的生境、外貌及结构与水田均有明显区别，其生境一般比较干燥，地面具有一定坡度，作物种类比较多样化，并形成多种组合。该拼块面积为</w:t>
      </w:r>
      <w:r>
        <w:rPr>
          <w:rFonts w:cs="Times New Roman"/>
          <w:bCs/>
          <w:color w:val="000000" w:themeColor="text1"/>
          <w:kern w:val="0"/>
          <w:szCs w:val="24"/>
          <w:highlight w:val="none"/>
          <w:lang w:bidi="ar"/>
          <w14:textFill>
            <w14:solidFill>
              <w14:schemeClr w14:val="tx1"/>
            </w14:solidFill>
          </w14:textFill>
        </w:rPr>
        <w:t>259.22</w:t>
      </w:r>
      <w:r>
        <w:rPr>
          <w:rFonts w:cs="Times New Roman"/>
          <w:bCs/>
          <w:color w:val="000000" w:themeColor="text1"/>
          <w:szCs w:val="24"/>
          <w:highlight w:val="none"/>
          <w14:textFill>
            <w14:solidFill>
              <w14:schemeClr w14:val="tx1"/>
            </w14:solidFill>
          </w14:textFill>
        </w:rPr>
        <w:t>hm²，占评价区面积的</w:t>
      </w:r>
      <w:r>
        <w:rPr>
          <w:rFonts w:cs="Times New Roman"/>
          <w:bCs/>
          <w:color w:val="000000" w:themeColor="text1"/>
          <w:kern w:val="0"/>
          <w:szCs w:val="24"/>
          <w:highlight w:val="none"/>
          <w14:textFill>
            <w14:solidFill>
              <w14:schemeClr w14:val="tx1"/>
            </w14:solidFill>
          </w14:textFill>
        </w:rPr>
        <w:t>40.95</w:t>
      </w:r>
      <w:r>
        <w:rPr>
          <w:rFonts w:cs="Times New Roman"/>
          <w:bCs/>
          <w:color w:val="000000" w:themeColor="text1"/>
          <w:szCs w:val="24"/>
          <w:highlight w:val="none"/>
          <w14:textFill>
            <w14:solidFill>
              <w14:schemeClr w14:val="tx1"/>
            </w14:solidFill>
          </w14:textFill>
        </w:rPr>
        <w:t>%。</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（5）建设用地为主的人工生态系统拼块</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该拼块是人工建造引进的拼块，为人类的聚居地，是拼块中受人类干扰最明显的组分之一，表现在拼块外貌和结构上不再具有自然属性，更具社会性，该拼块在区内分布比较局限，在村寨所在地有成片分布。该拼块面积约为</w:t>
      </w:r>
      <w:r>
        <w:rPr>
          <w:rFonts w:cs="Times New Roman"/>
          <w:bCs/>
          <w:color w:val="000000" w:themeColor="text1"/>
          <w:kern w:val="0"/>
          <w:szCs w:val="24"/>
          <w:highlight w:val="none"/>
          <w:lang w:bidi="ar"/>
          <w14:textFill>
            <w14:solidFill>
              <w14:schemeClr w14:val="tx1"/>
            </w14:solidFill>
          </w14:textFill>
        </w:rPr>
        <w:t>49.22</w:t>
      </w:r>
      <w:r>
        <w:rPr>
          <w:rFonts w:cs="Times New Roman"/>
          <w:bCs/>
          <w:color w:val="000000" w:themeColor="text1"/>
          <w:szCs w:val="24"/>
          <w:highlight w:val="none"/>
          <w14:textFill>
            <w14:solidFill>
              <w14:schemeClr w14:val="tx1"/>
            </w14:solidFill>
          </w14:textFill>
        </w:rPr>
        <w:t>hm²，占评价区总面积的7.78%。</w:t>
      </w:r>
    </w:p>
    <w:p>
      <w:pPr>
        <w:numPr>
          <w:ilvl w:val="0"/>
          <w:numId w:val="13"/>
        </w:numPr>
        <w:ind w:firstLine="480" w:firstLineChars="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水面拼块</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主要为评价范围内自然河流、沟渠及人工水塘，该拼块面积约为</w:t>
      </w:r>
      <w:r>
        <w:rPr>
          <w:rFonts w:cs="Times New Roman"/>
          <w:bCs/>
          <w:color w:val="000000" w:themeColor="text1"/>
          <w:kern w:val="0"/>
          <w:szCs w:val="24"/>
          <w:highlight w:val="none"/>
          <w:lang w:bidi="ar"/>
          <w14:textFill>
            <w14:solidFill>
              <w14:schemeClr w14:val="tx1"/>
            </w14:solidFill>
          </w14:textFill>
        </w:rPr>
        <w:t>10.67</w:t>
      </w:r>
      <w:r>
        <w:rPr>
          <w:rFonts w:cs="Times New Roman"/>
          <w:bCs/>
          <w:color w:val="000000" w:themeColor="text1"/>
          <w:szCs w:val="24"/>
          <w:highlight w:val="none"/>
          <w14:textFill>
            <w14:solidFill>
              <w14:schemeClr w14:val="tx1"/>
            </w14:solidFill>
          </w14:textFill>
        </w:rPr>
        <w:t>hm²，占评价区总面积的1.69%。</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以上拼块类型构成了本区景观生态体系，它们之间既相互联系又相互制约。</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以马尾松、麻栎、青冈及乔木经济树种的森林拼块，以野桐、盐肤木、马桑、黄荆、火棘、荚蒾及灌木经济树种为主的灌丛拼块等陆地生态系统决定了以河流水面为主的水生生态系统状况，同时对以水稻、玉米、红苕、棉花、花生、小麦、马铃薯、豌豆为主的耕地植被的生产力水平有着重要影响。环境资源拼块自然生产能力和稳定性的维护是决定本区生态环境质量的主导性因素，该类型拼块的总面积为324.61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，占所有拼块总面积的51.28%；人为活动影响产生的拼块总面积为308.44hm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，占所有拼块总面积的48.73%。</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评价范围内以上各景观拼块相应特征见表4.3-1</w:t>
      </w:r>
      <w:r>
        <w:rPr>
          <w:rFonts w:hint="eastAsia" w:cs="Times New Roman"/>
          <w:bCs/>
          <w:color w:val="000000" w:themeColor="text1"/>
          <w:szCs w:val="24"/>
          <w:highlight w:val="none"/>
          <w14:textFill>
            <w14:solidFill>
              <w14:schemeClr w14:val="tx1"/>
            </w14:solidFill>
          </w14:textFill>
        </w:rPr>
        <w:t>1</w:t>
      </w:r>
      <w:r>
        <w:rPr>
          <w:rFonts w:cs="Times New Roman"/>
          <w:bCs/>
          <w:color w:val="000000" w:themeColor="text1"/>
          <w:szCs w:val="24"/>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表 </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11</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评价范围拼块类型、数量及面积表</w:t>
      </w:r>
    </w:p>
    <w:tbl>
      <w:tblPr>
        <w:tblStyle w:val="41"/>
        <w:tblW w:w="5000" w:type="pct"/>
        <w:jc w:val="center"/>
        <w:tblLayout w:type="autofit"/>
        <w:tblCellMar>
          <w:top w:w="15" w:type="dxa"/>
          <w:left w:w="15" w:type="dxa"/>
          <w:bottom w:w="15" w:type="dxa"/>
          <w:right w:w="15" w:type="dxa"/>
        </w:tblCellMar>
      </w:tblPr>
      <w:tblGrid>
        <w:gridCol w:w="3122"/>
        <w:gridCol w:w="2786"/>
        <w:gridCol w:w="2432"/>
      </w:tblGrid>
      <w:tr>
        <w:tblPrEx>
          <w:tblCellMar>
            <w:top w:w="15" w:type="dxa"/>
            <w:left w:w="15" w:type="dxa"/>
            <w:bottom w:w="15" w:type="dxa"/>
            <w:right w:w="15" w:type="dxa"/>
          </w:tblCellMar>
        </w:tblPrEx>
        <w:trPr>
          <w:trHeight w:val="315" w:hRule="atLeast"/>
          <w:jc w:val="center"/>
        </w:trPr>
        <w:tc>
          <w:tcPr>
            <w:tcW w:w="1872" w:type="pct"/>
            <w:tcBorders>
              <w:top w:val="single" w:color="000000" w:sz="4" w:space="0"/>
              <w:left w:val="single" w:color="000000" w:sz="4" w:space="0"/>
              <w:bottom w:val="single" w:color="000000" w:sz="4" w:space="0"/>
              <w:right w:val="single" w:color="000000" w:sz="4" w:space="0"/>
            </w:tcBorders>
            <w:vAlign w:val="center"/>
          </w:tcPr>
          <w:p>
            <w:pPr>
              <w:pStyle w:val="118"/>
              <w:rPr>
                <w:b/>
                <w:bCs/>
                <w:color w:val="000000" w:themeColor="text1"/>
                <w:highlight w:val="none"/>
                <w:lang w:bidi="ar"/>
                <w14:textFill>
                  <w14:solidFill>
                    <w14:schemeClr w14:val="tx1"/>
                  </w14:solidFill>
                </w14:textFill>
              </w:rPr>
            </w:pPr>
            <w:r>
              <w:rPr>
                <w:b/>
                <w:bCs/>
                <w:color w:val="000000" w:themeColor="text1"/>
                <w:highlight w:val="none"/>
                <w:lang w:bidi="ar"/>
                <w14:textFill>
                  <w14:solidFill>
                    <w14:schemeClr w14:val="tx1"/>
                  </w14:solidFill>
                </w14:textFill>
              </w:rPr>
              <w:t>拼块类型</w:t>
            </w:r>
          </w:p>
        </w:tc>
        <w:tc>
          <w:tcPr>
            <w:tcW w:w="1670" w:type="pct"/>
            <w:tcBorders>
              <w:top w:val="single" w:color="000000" w:sz="4" w:space="0"/>
              <w:left w:val="single" w:color="000000" w:sz="4" w:space="0"/>
              <w:bottom w:val="single" w:color="000000" w:sz="4" w:space="0"/>
              <w:right w:val="single" w:color="000000" w:sz="4" w:space="0"/>
            </w:tcBorders>
            <w:vAlign w:val="center"/>
          </w:tcPr>
          <w:p>
            <w:pPr>
              <w:pStyle w:val="118"/>
              <w:rPr>
                <w:b/>
                <w:bCs/>
                <w:color w:val="000000" w:themeColor="text1"/>
                <w:highlight w:val="none"/>
                <w:lang w:bidi="ar"/>
                <w14:textFill>
                  <w14:solidFill>
                    <w14:schemeClr w14:val="tx1"/>
                  </w14:solidFill>
                </w14:textFill>
              </w:rPr>
            </w:pPr>
            <w:r>
              <w:rPr>
                <w:b/>
                <w:bCs/>
                <w:color w:val="000000" w:themeColor="text1"/>
                <w:highlight w:val="none"/>
                <w:lang w:bidi="ar"/>
                <w14:textFill>
                  <w14:solidFill>
                    <w14:schemeClr w14:val="tx1"/>
                  </w14:solidFill>
                </w14:textFill>
              </w:rPr>
              <w:t>面积（hm</w:t>
            </w:r>
            <w:r>
              <w:rPr>
                <w:b/>
                <w:bCs/>
                <w:color w:val="000000" w:themeColor="text1"/>
                <w:highlight w:val="none"/>
                <w:vertAlign w:val="superscript"/>
                <w:lang w:bidi="ar"/>
                <w14:textFill>
                  <w14:solidFill>
                    <w14:schemeClr w14:val="tx1"/>
                  </w14:solidFill>
                </w14:textFill>
              </w:rPr>
              <w:t>2</w:t>
            </w:r>
            <w:r>
              <w:rPr>
                <w:b/>
                <w:bCs/>
                <w:color w:val="000000" w:themeColor="text1"/>
                <w:highlight w:val="none"/>
                <w:lang w:bidi="ar"/>
                <w14:textFill>
                  <w14:solidFill>
                    <w14:schemeClr w14:val="tx1"/>
                  </w14:solidFill>
                </w14:textFill>
              </w:rPr>
              <w:t>）</w:t>
            </w:r>
          </w:p>
        </w:tc>
        <w:tc>
          <w:tcPr>
            <w:tcW w:w="1458" w:type="pct"/>
            <w:tcBorders>
              <w:top w:val="single" w:color="000000" w:sz="4" w:space="0"/>
              <w:left w:val="single" w:color="000000" w:sz="4" w:space="0"/>
              <w:bottom w:val="single" w:color="000000" w:sz="4" w:space="0"/>
              <w:right w:val="single" w:color="000000" w:sz="4" w:space="0"/>
            </w:tcBorders>
            <w:vAlign w:val="center"/>
          </w:tcPr>
          <w:p>
            <w:pPr>
              <w:pStyle w:val="118"/>
              <w:rPr>
                <w:b/>
                <w:bCs/>
                <w:color w:val="000000" w:themeColor="text1"/>
                <w:highlight w:val="none"/>
                <w:lang w:bidi="ar"/>
                <w14:textFill>
                  <w14:solidFill>
                    <w14:schemeClr w14:val="tx1"/>
                  </w14:solidFill>
                </w14:textFill>
              </w:rPr>
            </w:pPr>
            <w:r>
              <w:rPr>
                <w:b/>
                <w:bCs/>
                <w:color w:val="000000" w:themeColor="text1"/>
                <w:highlight w:val="none"/>
                <w:lang w:bidi="ar"/>
                <w14:textFill>
                  <w14:solidFill>
                    <w14:schemeClr w14:val="tx1"/>
                  </w14:solidFill>
                </w14:textFill>
              </w:rPr>
              <w:t>百分比（%）</w:t>
            </w:r>
          </w:p>
        </w:tc>
      </w:tr>
      <w:tr>
        <w:tblPrEx>
          <w:tblCellMar>
            <w:top w:w="15" w:type="dxa"/>
            <w:left w:w="15" w:type="dxa"/>
            <w:bottom w:w="15" w:type="dxa"/>
            <w:right w:w="15" w:type="dxa"/>
          </w:tblCellMar>
        </w:tblPrEx>
        <w:trPr>
          <w:trHeight w:val="315" w:hRule="atLeast"/>
          <w:jc w:val="center"/>
        </w:trPr>
        <w:tc>
          <w:tcPr>
            <w:tcW w:w="1872" w:type="pct"/>
            <w:tcBorders>
              <w:top w:val="single" w:color="000000" w:sz="4" w:space="0"/>
              <w:left w:val="single" w:color="000000" w:sz="4" w:space="0"/>
              <w:bottom w:val="single" w:color="000000" w:sz="4" w:space="0"/>
              <w:right w:val="single" w:color="000000"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森林拼块</w:t>
            </w:r>
          </w:p>
        </w:tc>
        <w:tc>
          <w:tcPr>
            <w:tcW w:w="1670" w:type="pct"/>
            <w:tcBorders>
              <w:top w:val="single" w:color="000000" w:sz="4" w:space="0"/>
              <w:left w:val="single" w:color="000000" w:sz="4" w:space="0"/>
              <w:bottom w:val="single" w:color="000000" w:sz="4" w:space="0"/>
              <w:right w:val="single" w:color="000000"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 xml:space="preserve">263.73 </w:t>
            </w:r>
          </w:p>
        </w:tc>
        <w:tc>
          <w:tcPr>
            <w:tcW w:w="1458" w:type="pct"/>
            <w:tcBorders>
              <w:top w:val="single" w:color="000000" w:sz="4" w:space="0"/>
              <w:left w:val="single" w:color="000000" w:sz="4" w:space="0"/>
              <w:bottom w:val="single" w:color="000000" w:sz="4" w:space="0"/>
              <w:right w:val="single" w:color="000000"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 xml:space="preserve">41.66 </w:t>
            </w:r>
          </w:p>
        </w:tc>
      </w:tr>
      <w:tr>
        <w:tblPrEx>
          <w:tblCellMar>
            <w:top w:w="15" w:type="dxa"/>
            <w:left w:w="15" w:type="dxa"/>
            <w:bottom w:w="15" w:type="dxa"/>
            <w:right w:w="15" w:type="dxa"/>
          </w:tblCellMar>
        </w:tblPrEx>
        <w:trPr>
          <w:trHeight w:val="405" w:hRule="atLeast"/>
          <w:jc w:val="center"/>
        </w:trPr>
        <w:tc>
          <w:tcPr>
            <w:tcW w:w="1872" w:type="pct"/>
            <w:tcBorders>
              <w:top w:val="single" w:color="000000" w:sz="4" w:space="0"/>
              <w:left w:val="single" w:color="000000" w:sz="4" w:space="0"/>
              <w:bottom w:val="single" w:color="000000" w:sz="4" w:space="0"/>
              <w:right w:val="single" w:color="000000"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灌丛拼块</w:t>
            </w:r>
          </w:p>
        </w:tc>
        <w:tc>
          <w:tcPr>
            <w:tcW w:w="1670" w:type="pct"/>
            <w:tcBorders>
              <w:top w:val="single" w:color="000000" w:sz="4" w:space="0"/>
              <w:left w:val="single" w:color="000000" w:sz="4" w:space="0"/>
              <w:bottom w:val="single" w:color="000000" w:sz="4" w:space="0"/>
              <w:right w:val="single" w:color="000000"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 xml:space="preserve">36.49 </w:t>
            </w:r>
          </w:p>
        </w:tc>
        <w:tc>
          <w:tcPr>
            <w:tcW w:w="1458" w:type="pct"/>
            <w:tcBorders>
              <w:top w:val="single" w:color="000000" w:sz="4" w:space="0"/>
              <w:left w:val="single" w:color="000000" w:sz="4" w:space="0"/>
              <w:bottom w:val="single" w:color="000000" w:sz="4" w:space="0"/>
              <w:right w:val="single" w:color="000000"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 xml:space="preserve">5.76 </w:t>
            </w:r>
          </w:p>
        </w:tc>
      </w:tr>
      <w:tr>
        <w:tblPrEx>
          <w:tblCellMar>
            <w:top w:w="15" w:type="dxa"/>
            <w:left w:w="15" w:type="dxa"/>
            <w:bottom w:w="15" w:type="dxa"/>
            <w:right w:w="15" w:type="dxa"/>
          </w:tblCellMar>
        </w:tblPrEx>
        <w:trPr>
          <w:trHeight w:val="385" w:hRule="atLeast"/>
          <w:jc w:val="center"/>
        </w:trPr>
        <w:tc>
          <w:tcPr>
            <w:tcW w:w="1872" w:type="pct"/>
            <w:tcBorders>
              <w:top w:val="single" w:color="000000" w:sz="4" w:space="0"/>
              <w:left w:val="single" w:color="000000" w:sz="4" w:space="0"/>
              <w:bottom w:val="single" w:color="000000" w:sz="4" w:space="0"/>
              <w:right w:val="single" w:color="000000"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灌草丛拼块</w:t>
            </w:r>
          </w:p>
        </w:tc>
        <w:tc>
          <w:tcPr>
            <w:tcW w:w="1670" w:type="pct"/>
            <w:tcBorders>
              <w:top w:val="single" w:color="000000" w:sz="4" w:space="0"/>
              <w:left w:val="single" w:color="000000" w:sz="4" w:space="0"/>
              <w:bottom w:val="single" w:color="000000" w:sz="4" w:space="0"/>
              <w:right w:val="single" w:color="000000"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 xml:space="preserve">13.72 </w:t>
            </w:r>
          </w:p>
        </w:tc>
        <w:tc>
          <w:tcPr>
            <w:tcW w:w="1458" w:type="pct"/>
            <w:tcBorders>
              <w:top w:val="single" w:color="000000" w:sz="4" w:space="0"/>
              <w:left w:val="single" w:color="000000" w:sz="4" w:space="0"/>
              <w:bottom w:val="single" w:color="000000" w:sz="4" w:space="0"/>
              <w:right w:val="single" w:color="000000"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 xml:space="preserve">2.17 </w:t>
            </w:r>
          </w:p>
        </w:tc>
      </w:tr>
      <w:tr>
        <w:tblPrEx>
          <w:tblCellMar>
            <w:top w:w="15" w:type="dxa"/>
            <w:left w:w="15" w:type="dxa"/>
            <w:bottom w:w="15" w:type="dxa"/>
            <w:right w:w="15" w:type="dxa"/>
          </w:tblCellMar>
        </w:tblPrEx>
        <w:trPr>
          <w:trHeight w:val="330" w:hRule="atLeast"/>
          <w:jc w:val="center"/>
        </w:trPr>
        <w:tc>
          <w:tcPr>
            <w:tcW w:w="1872" w:type="pct"/>
            <w:tcBorders>
              <w:top w:val="single" w:color="000000" w:sz="4" w:space="0"/>
              <w:left w:val="single" w:color="000000" w:sz="4" w:space="0"/>
              <w:bottom w:val="single" w:color="auto" w:sz="4" w:space="0"/>
              <w:right w:val="single" w:color="000000"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耕地植被拼块</w:t>
            </w:r>
          </w:p>
        </w:tc>
        <w:tc>
          <w:tcPr>
            <w:tcW w:w="1670" w:type="pct"/>
            <w:tcBorders>
              <w:top w:val="single" w:color="000000" w:sz="4" w:space="0"/>
              <w:left w:val="single" w:color="000000" w:sz="4" w:space="0"/>
              <w:bottom w:val="single" w:color="000000" w:sz="4" w:space="0"/>
              <w:right w:val="single" w:color="000000"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 xml:space="preserve">259.22 </w:t>
            </w:r>
          </w:p>
        </w:tc>
        <w:tc>
          <w:tcPr>
            <w:tcW w:w="1458" w:type="pct"/>
            <w:tcBorders>
              <w:top w:val="single" w:color="000000" w:sz="4" w:space="0"/>
              <w:left w:val="single" w:color="000000" w:sz="4" w:space="0"/>
              <w:bottom w:val="single" w:color="000000" w:sz="4" w:space="0"/>
              <w:right w:val="single" w:color="000000"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 xml:space="preserve">40.95 </w:t>
            </w:r>
          </w:p>
        </w:tc>
      </w:tr>
      <w:tr>
        <w:tblPrEx>
          <w:tblCellMar>
            <w:top w:w="15" w:type="dxa"/>
            <w:left w:w="15" w:type="dxa"/>
            <w:bottom w:w="15" w:type="dxa"/>
            <w:right w:w="15" w:type="dxa"/>
          </w:tblCellMar>
        </w:tblPrEx>
        <w:trPr>
          <w:trHeight w:val="330" w:hRule="atLeast"/>
          <w:jc w:val="center"/>
        </w:trPr>
        <w:tc>
          <w:tcPr>
            <w:tcW w:w="187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人工生态系统拼块</w:t>
            </w:r>
          </w:p>
        </w:tc>
        <w:tc>
          <w:tcPr>
            <w:tcW w:w="1670" w:type="pct"/>
            <w:tcBorders>
              <w:top w:val="single" w:color="000000" w:sz="4" w:space="0"/>
              <w:left w:val="single" w:color="auto" w:sz="4" w:space="0"/>
              <w:bottom w:val="single" w:color="000000" w:sz="4" w:space="0"/>
              <w:right w:val="single" w:color="000000"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49.22</w:t>
            </w:r>
          </w:p>
        </w:tc>
        <w:tc>
          <w:tcPr>
            <w:tcW w:w="1458" w:type="pct"/>
            <w:tcBorders>
              <w:top w:val="single" w:color="000000" w:sz="4" w:space="0"/>
              <w:left w:val="single" w:color="000000" w:sz="4" w:space="0"/>
              <w:bottom w:val="single" w:color="000000" w:sz="4" w:space="0"/>
              <w:right w:val="single" w:color="000000"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 xml:space="preserve">7.78 </w:t>
            </w:r>
          </w:p>
        </w:tc>
      </w:tr>
      <w:tr>
        <w:tblPrEx>
          <w:tblCellMar>
            <w:top w:w="15" w:type="dxa"/>
            <w:left w:w="15" w:type="dxa"/>
            <w:bottom w:w="15" w:type="dxa"/>
            <w:right w:w="15" w:type="dxa"/>
          </w:tblCellMar>
        </w:tblPrEx>
        <w:trPr>
          <w:trHeight w:val="330" w:hRule="atLeast"/>
          <w:jc w:val="center"/>
        </w:trPr>
        <w:tc>
          <w:tcPr>
            <w:tcW w:w="187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水面拼块</w:t>
            </w:r>
          </w:p>
        </w:tc>
        <w:tc>
          <w:tcPr>
            <w:tcW w:w="1670" w:type="pct"/>
            <w:tcBorders>
              <w:top w:val="single" w:color="000000" w:sz="4" w:space="0"/>
              <w:left w:val="single" w:color="auto" w:sz="4" w:space="0"/>
              <w:bottom w:val="single" w:color="000000" w:sz="4" w:space="0"/>
              <w:right w:val="single" w:color="000000" w:sz="4" w:space="0"/>
            </w:tcBorders>
            <w:vAlign w:val="bottom"/>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10.67</w:t>
            </w:r>
          </w:p>
        </w:tc>
        <w:tc>
          <w:tcPr>
            <w:tcW w:w="1458" w:type="pct"/>
            <w:tcBorders>
              <w:top w:val="single" w:color="000000" w:sz="4" w:space="0"/>
              <w:left w:val="single" w:color="000000" w:sz="4" w:space="0"/>
              <w:bottom w:val="single" w:color="000000" w:sz="4" w:space="0"/>
              <w:right w:val="single" w:color="000000"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 xml:space="preserve">1.69 </w:t>
            </w:r>
          </w:p>
        </w:tc>
      </w:tr>
      <w:tr>
        <w:tblPrEx>
          <w:tblCellMar>
            <w:top w:w="15" w:type="dxa"/>
            <w:left w:w="15" w:type="dxa"/>
            <w:bottom w:w="15" w:type="dxa"/>
            <w:right w:w="15" w:type="dxa"/>
          </w:tblCellMar>
        </w:tblPrEx>
        <w:trPr>
          <w:trHeight w:val="330" w:hRule="atLeast"/>
          <w:jc w:val="center"/>
        </w:trPr>
        <w:tc>
          <w:tcPr>
            <w:tcW w:w="187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总计</w:t>
            </w:r>
          </w:p>
        </w:tc>
        <w:tc>
          <w:tcPr>
            <w:tcW w:w="1670" w:type="pct"/>
            <w:tcBorders>
              <w:top w:val="single" w:color="000000" w:sz="4" w:space="0"/>
              <w:left w:val="single" w:color="auto" w:sz="4" w:space="0"/>
              <w:bottom w:val="single" w:color="000000" w:sz="4" w:space="0"/>
              <w:right w:val="single" w:color="000000" w:sz="4" w:space="0"/>
            </w:tcBorders>
            <w:vAlign w:val="bottom"/>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 xml:space="preserve">633.06 </w:t>
            </w:r>
          </w:p>
        </w:tc>
        <w:tc>
          <w:tcPr>
            <w:tcW w:w="1458" w:type="pct"/>
            <w:tcBorders>
              <w:top w:val="single" w:color="000000" w:sz="4" w:space="0"/>
              <w:left w:val="single" w:color="000000" w:sz="4" w:space="0"/>
              <w:bottom w:val="single" w:color="000000" w:sz="4" w:space="0"/>
              <w:right w:val="single" w:color="000000"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 xml:space="preserve">100.00 </w:t>
            </w:r>
          </w:p>
        </w:tc>
      </w:tr>
    </w:tbl>
    <w:p>
      <w:pPr>
        <w:spacing w:line="480" w:lineRule="exact"/>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2、景观生态体系现状质量评价</w:t>
      </w:r>
    </w:p>
    <w:p>
      <w:pPr>
        <w:spacing w:line="500" w:lineRule="exact"/>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景观稳定性是景观的各种参数的长期变化呈水平状态，或是在水平线上下摆动的幅度和周期性具有统计特征（Format，1990），它的稳定性本质上是景观各组分，即气候、地貌、岩石、土壤、植被、水文等稳定性的综合体现，它们之间既有一定联系，又有一定区别。因此，在评价景观的稳定性时应考虑到景观组分间的相互联系与相互作用，在实际中评价景观的稳定性时，主要考虑的是植被组分的变化。</w:t>
      </w:r>
    </w:p>
    <w:p>
      <w:pPr>
        <w:spacing w:line="500" w:lineRule="exact"/>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评价范围环境是一个以自然环境为主、受人类活动干扰强烈的区域环境，其环境质量状况是由区内自然环境各个因子与人类社会之间的相互作用来决定的。根据景观生态学中景观生态结构与功能相匹配的原理，景观结构的合理性将决定区域净功能状况的优劣，即决定景观生态体系的质量状况。因此，采取区内景观生态体系空间结构合理程度的方法，来判断区内景观生态体系的稳定性。具体方法采用《环境影响评价技术导则——生态影响》（HJ19-2011）中推荐的优势度计算法，各参数计算公式如下：</w:t>
      </w:r>
    </w:p>
    <w:p>
      <w:pPr>
        <w:spacing w:line="500" w:lineRule="exact"/>
        <w:ind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密度Rd=I拼块的数目/拼块的总数×100﹪；</w:t>
      </w:r>
    </w:p>
    <w:p>
      <w:pPr>
        <w:spacing w:line="500" w:lineRule="exact"/>
        <w:ind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频率Rf=拼块I出现的小样方数/小样方总数×100﹪；</w:t>
      </w:r>
    </w:p>
    <w:p>
      <w:pPr>
        <w:spacing w:line="500" w:lineRule="exact"/>
        <w:ind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景观比例Lp＝拼块I的面积/样地总面积×100﹪；</w:t>
      </w:r>
    </w:p>
    <w:p>
      <w:pPr>
        <w:spacing w:line="500" w:lineRule="exact"/>
        <w:ind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景观优势度Do＝12〔（Rd+Rf）/2＋Lp〕×100﹪。</w:t>
      </w:r>
    </w:p>
    <w:p>
      <w:pPr>
        <w:spacing w:line="500" w:lineRule="exact"/>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在景观频率的评判中，采取在微机上的土地利用图上取样的方法，共选取200个小样方。统计各类拼块出现的小样方数，得出各个拼块的频度，计算出主要拼块的优势度，结果见表4.3-1</w:t>
      </w:r>
      <w:r>
        <w:rPr>
          <w:rFonts w:hint="eastAsia" w:cs="Times New Roman"/>
          <w:bCs/>
          <w:color w:val="000000" w:themeColor="text1"/>
          <w:szCs w:val="24"/>
          <w:highlight w:val="none"/>
          <w14:textFill>
            <w14:solidFill>
              <w14:schemeClr w14:val="tx1"/>
            </w14:solidFill>
          </w14:textFill>
        </w:rPr>
        <w:t>2</w:t>
      </w:r>
      <w:r>
        <w:rPr>
          <w:rFonts w:cs="Times New Roman"/>
          <w:bCs/>
          <w:color w:val="000000" w:themeColor="text1"/>
          <w:szCs w:val="24"/>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12</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评价范围各拼块优势度值</w:t>
      </w:r>
    </w:p>
    <w:tbl>
      <w:tblPr>
        <w:tblStyle w:val="41"/>
        <w:tblW w:w="5000" w:type="pct"/>
        <w:jc w:val="center"/>
        <w:tblLayout w:type="autofit"/>
        <w:tblCellMar>
          <w:top w:w="15" w:type="dxa"/>
          <w:left w:w="15" w:type="dxa"/>
          <w:bottom w:w="15" w:type="dxa"/>
          <w:right w:w="15" w:type="dxa"/>
        </w:tblCellMar>
      </w:tblPr>
      <w:tblGrid>
        <w:gridCol w:w="1641"/>
        <w:gridCol w:w="1535"/>
        <w:gridCol w:w="1611"/>
        <w:gridCol w:w="1960"/>
        <w:gridCol w:w="1593"/>
      </w:tblGrid>
      <w:tr>
        <w:tblPrEx>
          <w:tblCellMar>
            <w:top w:w="15" w:type="dxa"/>
            <w:left w:w="15" w:type="dxa"/>
            <w:bottom w:w="15" w:type="dxa"/>
            <w:right w:w="15" w:type="dxa"/>
          </w:tblCellMar>
        </w:tblPrEx>
        <w:trPr>
          <w:trHeight w:val="340" w:hRule="exact"/>
          <w:jc w:val="center"/>
        </w:trPr>
        <w:tc>
          <w:tcPr>
            <w:tcW w:w="984"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拼块类型</w:t>
            </w:r>
          </w:p>
        </w:tc>
        <w:tc>
          <w:tcPr>
            <w:tcW w:w="920"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密度Rd（%）</w:t>
            </w:r>
          </w:p>
        </w:tc>
        <w:tc>
          <w:tcPr>
            <w:tcW w:w="966"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频率Rf（%）</w:t>
            </w:r>
          </w:p>
        </w:tc>
        <w:tc>
          <w:tcPr>
            <w:tcW w:w="1175"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景观比例Lp（%）</w:t>
            </w:r>
          </w:p>
        </w:tc>
        <w:tc>
          <w:tcPr>
            <w:tcW w:w="955"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优势度Do（%）</w:t>
            </w:r>
          </w:p>
        </w:tc>
      </w:tr>
      <w:tr>
        <w:tblPrEx>
          <w:tblCellMar>
            <w:top w:w="15" w:type="dxa"/>
            <w:left w:w="15" w:type="dxa"/>
            <w:bottom w:w="15" w:type="dxa"/>
            <w:right w:w="15" w:type="dxa"/>
          </w:tblCellMar>
        </w:tblPrEx>
        <w:trPr>
          <w:trHeight w:val="340" w:hRule="exact"/>
          <w:jc w:val="center"/>
        </w:trPr>
        <w:tc>
          <w:tcPr>
            <w:tcW w:w="984"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森林</w:t>
            </w:r>
          </w:p>
        </w:tc>
        <w:tc>
          <w:tcPr>
            <w:tcW w:w="920"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26.64 </w:t>
            </w:r>
          </w:p>
        </w:tc>
        <w:tc>
          <w:tcPr>
            <w:tcW w:w="966"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41.95 </w:t>
            </w:r>
          </w:p>
        </w:tc>
        <w:tc>
          <w:tcPr>
            <w:tcW w:w="1175"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43.65 </w:t>
            </w:r>
          </w:p>
        </w:tc>
        <w:tc>
          <w:tcPr>
            <w:tcW w:w="955"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38.97 </w:t>
            </w:r>
          </w:p>
        </w:tc>
      </w:tr>
      <w:tr>
        <w:tblPrEx>
          <w:tblCellMar>
            <w:top w:w="15" w:type="dxa"/>
            <w:left w:w="15" w:type="dxa"/>
            <w:bottom w:w="15" w:type="dxa"/>
            <w:right w:w="15" w:type="dxa"/>
          </w:tblCellMar>
        </w:tblPrEx>
        <w:trPr>
          <w:trHeight w:val="340" w:hRule="exact"/>
          <w:jc w:val="center"/>
        </w:trPr>
        <w:tc>
          <w:tcPr>
            <w:tcW w:w="984"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灌丛</w:t>
            </w:r>
          </w:p>
        </w:tc>
        <w:tc>
          <w:tcPr>
            <w:tcW w:w="920"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8.55 </w:t>
            </w:r>
          </w:p>
        </w:tc>
        <w:tc>
          <w:tcPr>
            <w:tcW w:w="966"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5.82 </w:t>
            </w:r>
          </w:p>
        </w:tc>
        <w:tc>
          <w:tcPr>
            <w:tcW w:w="1175"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5.72 </w:t>
            </w:r>
          </w:p>
        </w:tc>
        <w:tc>
          <w:tcPr>
            <w:tcW w:w="955"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6.45 </w:t>
            </w:r>
          </w:p>
        </w:tc>
      </w:tr>
      <w:tr>
        <w:tblPrEx>
          <w:tblCellMar>
            <w:top w:w="15" w:type="dxa"/>
            <w:left w:w="15" w:type="dxa"/>
            <w:bottom w:w="15" w:type="dxa"/>
            <w:right w:w="15" w:type="dxa"/>
          </w:tblCellMar>
        </w:tblPrEx>
        <w:trPr>
          <w:trHeight w:val="340" w:hRule="exact"/>
          <w:jc w:val="center"/>
        </w:trPr>
        <w:tc>
          <w:tcPr>
            <w:tcW w:w="984"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灌草丛</w:t>
            </w:r>
          </w:p>
        </w:tc>
        <w:tc>
          <w:tcPr>
            <w:tcW w:w="920"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3.78 </w:t>
            </w:r>
          </w:p>
        </w:tc>
        <w:tc>
          <w:tcPr>
            <w:tcW w:w="966"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2.11 </w:t>
            </w:r>
          </w:p>
        </w:tc>
        <w:tc>
          <w:tcPr>
            <w:tcW w:w="1175"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2.22 </w:t>
            </w:r>
          </w:p>
        </w:tc>
        <w:tc>
          <w:tcPr>
            <w:tcW w:w="955"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2.58 </w:t>
            </w:r>
          </w:p>
        </w:tc>
      </w:tr>
      <w:tr>
        <w:tblPrEx>
          <w:tblCellMar>
            <w:top w:w="15" w:type="dxa"/>
            <w:left w:w="15" w:type="dxa"/>
            <w:bottom w:w="15" w:type="dxa"/>
            <w:right w:w="15" w:type="dxa"/>
          </w:tblCellMar>
        </w:tblPrEx>
        <w:trPr>
          <w:trHeight w:val="340" w:hRule="exact"/>
          <w:jc w:val="center"/>
        </w:trPr>
        <w:tc>
          <w:tcPr>
            <w:tcW w:w="984"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耕地</w:t>
            </w:r>
          </w:p>
        </w:tc>
        <w:tc>
          <w:tcPr>
            <w:tcW w:w="920"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27.63 </w:t>
            </w:r>
          </w:p>
        </w:tc>
        <w:tc>
          <w:tcPr>
            <w:tcW w:w="966"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40.30 </w:t>
            </w:r>
          </w:p>
        </w:tc>
        <w:tc>
          <w:tcPr>
            <w:tcW w:w="1175"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38.01 </w:t>
            </w:r>
          </w:p>
        </w:tc>
        <w:tc>
          <w:tcPr>
            <w:tcW w:w="955"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35.99 </w:t>
            </w:r>
          </w:p>
        </w:tc>
      </w:tr>
      <w:tr>
        <w:tblPrEx>
          <w:tblCellMar>
            <w:top w:w="15" w:type="dxa"/>
            <w:left w:w="15" w:type="dxa"/>
            <w:bottom w:w="15" w:type="dxa"/>
            <w:right w:w="15" w:type="dxa"/>
          </w:tblCellMar>
        </w:tblPrEx>
        <w:trPr>
          <w:trHeight w:val="340" w:hRule="exact"/>
          <w:jc w:val="center"/>
        </w:trPr>
        <w:tc>
          <w:tcPr>
            <w:tcW w:w="984"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人工生态系统</w:t>
            </w:r>
          </w:p>
        </w:tc>
        <w:tc>
          <w:tcPr>
            <w:tcW w:w="920"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28.23 </w:t>
            </w:r>
          </w:p>
        </w:tc>
        <w:tc>
          <w:tcPr>
            <w:tcW w:w="966"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8.03 </w:t>
            </w:r>
          </w:p>
        </w:tc>
        <w:tc>
          <w:tcPr>
            <w:tcW w:w="1175"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8.48 </w:t>
            </w:r>
          </w:p>
        </w:tc>
        <w:tc>
          <w:tcPr>
            <w:tcW w:w="955"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13.31 </w:t>
            </w:r>
          </w:p>
        </w:tc>
      </w:tr>
      <w:tr>
        <w:tblPrEx>
          <w:tblCellMar>
            <w:top w:w="15" w:type="dxa"/>
            <w:left w:w="15" w:type="dxa"/>
            <w:bottom w:w="15" w:type="dxa"/>
            <w:right w:w="15" w:type="dxa"/>
          </w:tblCellMar>
        </w:tblPrEx>
        <w:trPr>
          <w:trHeight w:val="340" w:hRule="exact"/>
          <w:jc w:val="center"/>
        </w:trPr>
        <w:tc>
          <w:tcPr>
            <w:tcW w:w="984"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水面</w:t>
            </w:r>
          </w:p>
        </w:tc>
        <w:tc>
          <w:tcPr>
            <w:tcW w:w="920"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5.17 </w:t>
            </w:r>
          </w:p>
        </w:tc>
        <w:tc>
          <w:tcPr>
            <w:tcW w:w="966"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1.79 </w:t>
            </w:r>
          </w:p>
        </w:tc>
        <w:tc>
          <w:tcPr>
            <w:tcW w:w="1175"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1.92 </w:t>
            </w:r>
          </w:p>
        </w:tc>
        <w:tc>
          <w:tcPr>
            <w:tcW w:w="955"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2.70 </w:t>
            </w:r>
          </w:p>
        </w:tc>
      </w:tr>
    </w:tbl>
    <w:p>
      <w:pPr>
        <w:spacing w:before="120"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从4.3-1</w:t>
      </w:r>
      <w:r>
        <w:rPr>
          <w:rFonts w:hint="eastAsia" w:cs="Times New Roman"/>
          <w:bCs/>
          <w:color w:val="000000" w:themeColor="text1"/>
          <w:szCs w:val="24"/>
          <w:highlight w:val="none"/>
          <w14:textFill>
            <w14:solidFill>
              <w14:schemeClr w14:val="tx1"/>
            </w14:solidFill>
          </w14:textFill>
        </w:rPr>
        <w:t>2</w:t>
      </w:r>
      <w:r>
        <w:rPr>
          <w:rFonts w:cs="Times New Roman"/>
          <w:bCs/>
          <w:color w:val="000000" w:themeColor="text1"/>
          <w:szCs w:val="24"/>
          <w:highlight w:val="none"/>
          <w14:textFill>
            <w14:solidFill>
              <w14:schemeClr w14:val="tx1"/>
            </w14:solidFill>
          </w14:textFill>
        </w:rPr>
        <w:t>可以看出，在本次评价范围，各类拼块的优势度值差异较大，具有一定连通度，但它们之间都存在一定差异。其中森林拼块的优势度Do值最高，为38.97 %，景观比例Lp为43.65%，出现的频率为41.95 %；其次是耕地拼块，优势度Do值35.99 %，景观比例Lp为38.01%，出现的频率Rf为40.30%，其他拼块</w:t>
      </w:r>
      <w:r>
        <w:rPr>
          <w:rFonts w:hint="eastAsia" w:cs="Times New Roman"/>
          <w:bCs/>
          <w:color w:val="000000" w:themeColor="text1"/>
          <w:szCs w:val="24"/>
          <w:highlight w:val="none"/>
          <w14:textFill>
            <w14:solidFill>
              <w14:schemeClr w14:val="tx1"/>
            </w14:solidFill>
          </w14:textFill>
        </w:rPr>
        <w:t>所占比重</w:t>
      </w:r>
      <w:r>
        <w:rPr>
          <w:rFonts w:cs="Times New Roman"/>
          <w:bCs/>
          <w:color w:val="000000" w:themeColor="text1"/>
          <w:szCs w:val="24"/>
          <w:highlight w:val="none"/>
          <w14:textFill>
            <w14:solidFill>
              <w14:schemeClr w14:val="tx1"/>
            </w14:solidFill>
          </w14:textFill>
        </w:rPr>
        <w:t>均低于20%。</w:t>
      </w:r>
    </w:p>
    <w:p>
      <w:pPr>
        <w:pStyle w:val="5"/>
        <w:spacing w:before="120"/>
        <w:ind w:firstLine="480"/>
        <w:rPr>
          <w:color w:val="000000" w:themeColor="text1"/>
          <w:highlight w:val="none"/>
          <w:lang w:eastAsia="zh-CN"/>
          <w14:textFill>
            <w14:solidFill>
              <w14:schemeClr w14:val="tx1"/>
            </w14:solidFill>
          </w14:textFill>
        </w:rPr>
      </w:pPr>
      <w:r>
        <w:rPr>
          <w:color w:val="000000" w:themeColor="text1"/>
          <w:highlight w:val="none"/>
          <w:lang w:eastAsia="zh-CN"/>
          <w14:textFill>
            <w14:solidFill>
              <w14:schemeClr w14:val="tx1"/>
            </w14:solidFill>
          </w14:textFill>
        </w:rPr>
        <w:t>生态系统类型调查与评价</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地形地貌、土地利用类型以及植被类型的不同，将评价范围内生态系统划分为不同的类型。调查显示，评价范围内生态系统类型主要包括针叶林生态系统、阔叶林生态系统、阔叶灌丛生态系统、草丛生态系统、河流生态系统、湖泊生态系统、耕地生态系统、居住地生态系统、工矿交通生态系统。生态系统整体开发强度大，区域内森林多为人工林，少量为次生林。</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根据现场调查，评价范围内的森林生态系统占一定优势，面积263.73hm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占比41.66%。森林生态系统是以乔木为主的生物群落以及其非生物环境综合组成的陆地生态系统，生态系统中的植物以乔木为主，也有少量灌木和草本植物，还有不同种类的动物资源。森林生态系统生态服务功能高，在涵养水源、净化空气、保持水土、吸烟滞尘、改变区域水热状况等方面有着突出的作用。</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评价区生态系统类型分布特征及解译结果见下表。</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13</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生态系统类型面积统计表</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03"/>
        <w:gridCol w:w="2812"/>
        <w:gridCol w:w="27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tblHeader/>
          <w:jc w:val="center"/>
        </w:trPr>
        <w:tc>
          <w:tcPr>
            <w:tcW w:w="1761" w:type="pct"/>
            <w:vMerge w:val="restart"/>
            <w:shd w:val="clear" w:color="auto" w:fill="auto"/>
            <w:noWrap/>
            <w:vAlign w:val="center"/>
          </w:tcPr>
          <w:p>
            <w:pPr>
              <w:widowControl/>
              <w:adjustRightInd/>
              <w:snapToGrid/>
              <w:spacing w:line="240" w:lineRule="auto"/>
              <w:ind w:firstLine="0" w:firstLineChars="0"/>
              <w:jc w:val="center"/>
              <w:textAlignment w:val="bottom"/>
              <w:rPr>
                <w:rFonts w:cs="Times New Roman"/>
                <w:b/>
                <w:color w:val="000000" w:themeColor="text1"/>
                <w:kern w:val="0"/>
                <w:sz w:val="21"/>
                <w:szCs w:val="21"/>
                <w:highlight w:val="none"/>
                <w:lang w:bidi="ar"/>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生态系统类型</w:t>
            </w:r>
          </w:p>
        </w:tc>
        <w:tc>
          <w:tcPr>
            <w:tcW w:w="3239" w:type="pct"/>
            <w:gridSpan w:val="2"/>
            <w:shd w:val="clear" w:color="000000" w:fill="FFFFFF"/>
            <w:noWrap/>
            <w:vAlign w:val="center"/>
          </w:tcPr>
          <w:p>
            <w:pPr>
              <w:widowControl/>
              <w:adjustRightInd/>
              <w:snapToGrid/>
              <w:spacing w:line="240" w:lineRule="auto"/>
              <w:ind w:firstLine="0" w:firstLineChars="0"/>
              <w:jc w:val="center"/>
              <w:textAlignment w:val="bottom"/>
              <w:rPr>
                <w:rFonts w:cs="Times New Roman"/>
                <w:b/>
                <w:color w:val="000000" w:themeColor="text1"/>
                <w:kern w:val="0"/>
                <w:sz w:val="21"/>
                <w:szCs w:val="21"/>
                <w:highlight w:val="none"/>
                <w:lang w:bidi="ar"/>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评价区范围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tblHeader/>
          <w:jc w:val="center"/>
        </w:trPr>
        <w:tc>
          <w:tcPr>
            <w:tcW w:w="1761" w:type="pct"/>
            <w:vMerge w:val="continue"/>
            <w:shd w:val="clear" w:color="auto" w:fill="auto"/>
            <w:vAlign w:val="center"/>
          </w:tcPr>
          <w:p>
            <w:pPr>
              <w:widowControl/>
              <w:adjustRightInd/>
              <w:snapToGrid/>
              <w:spacing w:line="240" w:lineRule="auto"/>
              <w:ind w:firstLine="0" w:firstLineChars="0"/>
              <w:jc w:val="center"/>
              <w:textAlignment w:val="bottom"/>
              <w:rPr>
                <w:rFonts w:cs="Times New Roman"/>
                <w:b/>
                <w:color w:val="000000" w:themeColor="text1"/>
                <w:kern w:val="0"/>
                <w:sz w:val="21"/>
                <w:szCs w:val="21"/>
                <w:highlight w:val="none"/>
                <w:lang w:bidi="ar"/>
                <w14:textFill>
                  <w14:solidFill>
                    <w14:schemeClr w14:val="tx1"/>
                  </w14:solidFill>
                </w14:textFill>
              </w:rPr>
            </w:pPr>
          </w:p>
        </w:tc>
        <w:tc>
          <w:tcPr>
            <w:tcW w:w="1649" w:type="pct"/>
            <w:shd w:val="clear" w:color="000000" w:fill="FFFFFF"/>
            <w:noWrap/>
            <w:vAlign w:val="center"/>
          </w:tcPr>
          <w:p>
            <w:pPr>
              <w:widowControl/>
              <w:adjustRightInd/>
              <w:snapToGrid/>
              <w:spacing w:line="240" w:lineRule="auto"/>
              <w:ind w:firstLine="0" w:firstLineChars="0"/>
              <w:jc w:val="center"/>
              <w:textAlignment w:val="bottom"/>
              <w:rPr>
                <w:rFonts w:cs="Times New Roman"/>
                <w:b/>
                <w:color w:val="000000" w:themeColor="text1"/>
                <w:kern w:val="0"/>
                <w:sz w:val="21"/>
                <w:szCs w:val="21"/>
                <w:highlight w:val="none"/>
                <w:lang w:bidi="ar"/>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面积（hm</w:t>
            </w:r>
            <w:r>
              <w:rPr>
                <w:rFonts w:cs="Times New Roman"/>
                <w:b/>
                <w:color w:val="000000" w:themeColor="text1"/>
                <w:kern w:val="0"/>
                <w:sz w:val="21"/>
                <w:szCs w:val="21"/>
                <w:highlight w:val="none"/>
                <w:vertAlign w:val="superscript"/>
                <w:lang w:bidi="ar"/>
                <w14:textFill>
                  <w14:solidFill>
                    <w14:schemeClr w14:val="tx1"/>
                  </w14:solidFill>
                </w14:textFill>
              </w:rPr>
              <w:t>2</w:t>
            </w:r>
            <w:r>
              <w:rPr>
                <w:rFonts w:cs="Times New Roman"/>
                <w:b/>
                <w:color w:val="000000" w:themeColor="text1"/>
                <w:kern w:val="0"/>
                <w:sz w:val="21"/>
                <w:szCs w:val="21"/>
                <w:highlight w:val="none"/>
                <w:lang w:bidi="ar"/>
                <w14:textFill>
                  <w14:solidFill>
                    <w14:schemeClr w14:val="tx1"/>
                  </w14:solidFill>
                </w14:textFill>
              </w:rPr>
              <w:t>）</w:t>
            </w:r>
          </w:p>
        </w:tc>
        <w:tc>
          <w:tcPr>
            <w:tcW w:w="1590" w:type="pct"/>
            <w:shd w:val="clear" w:color="000000" w:fill="FFFFFF"/>
            <w:noWrap/>
            <w:vAlign w:val="center"/>
          </w:tcPr>
          <w:p>
            <w:pPr>
              <w:widowControl/>
              <w:adjustRightInd/>
              <w:snapToGrid/>
              <w:spacing w:line="240" w:lineRule="auto"/>
              <w:ind w:firstLine="0" w:firstLineChars="0"/>
              <w:jc w:val="center"/>
              <w:textAlignment w:val="bottom"/>
              <w:rPr>
                <w:rFonts w:cs="Times New Roman"/>
                <w:b/>
                <w:color w:val="000000" w:themeColor="text1"/>
                <w:kern w:val="0"/>
                <w:sz w:val="21"/>
                <w:szCs w:val="21"/>
                <w:highlight w:val="none"/>
                <w:lang w:bidi="ar"/>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占比（%）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1761" w:type="pct"/>
            <w:shd w:val="clear" w:color="auto" w:fill="auto"/>
            <w:noWrap/>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针叶林生态系统</w:t>
            </w:r>
          </w:p>
        </w:tc>
        <w:tc>
          <w:tcPr>
            <w:tcW w:w="1649" w:type="pct"/>
            <w:shd w:val="clear" w:color="000000" w:fill="FFFFFF"/>
            <w:noWrap/>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195.55 </w:t>
            </w:r>
          </w:p>
        </w:tc>
        <w:tc>
          <w:tcPr>
            <w:tcW w:w="1590" w:type="pct"/>
            <w:shd w:val="clear" w:color="000000" w:fill="FFFFFF"/>
            <w:noWrap/>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30.89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1761" w:type="pct"/>
            <w:shd w:val="clear" w:color="auto" w:fill="auto"/>
            <w:noWrap/>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阔叶林生态系统</w:t>
            </w:r>
          </w:p>
        </w:tc>
        <w:tc>
          <w:tcPr>
            <w:tcW w:w="1649" w:type="pct"/>
            <w:shd w:val="clear" w:color="000000" w:fill="FFFFFF"/>
            <w:noWrap/>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68.19 </w:t>
            </w:r>
          </w:p>
        </w:tc>
        <w:tc>
          <w:tcPr>
            <w:tcW w:w="1590" w:type="pct"/>
            <w:shd w:val="clear" w:color="000000" w:fill="FFFFFF"/>
            <w:noWrap/>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10.77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1761" w:type="pct"/>
            <w:shd w:val="clear" w:color="auto" w:fill="auto"/>
            <w:noWrap/>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阔叶灌丛生态系统</w:t>
            </w:r>
          </w:p>
        </w:tc>
        <w:tc>
          <w:tcPr>
            <w:tcW w:w="1649" w:type="pct"/>
            <w:shd w:val="clear" w:color="000000" w:fill="FFFFFF"/>
            <w:noWrap/>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36.49 </w:t>
            </w:r>
          </w:p>
        </w:tc>
        <w:tc>
          <w:tcPr>
            <w:tcW w:w="1590" w:type="pct"/>
            <w:shd w:val="clear" w:color="000000" w:fill="FFFFFF"/>
            <w:noWrap/>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5.76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1761" w:type="pct"/>
            <w:shd w:val="clear" w:color="auto" w:fill="auto"/>
            <w:noWrap/>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草丛生态系统</w:t>
            </w:r>
          </w:p>
        </w:tc>
        <w:tc>
          <w:tcPr>
            <w:tcW w:w="1649" w:type="pct"/>
            <w:shd w:val="clear" w:color="000000" w:fill="FFFFFF"/>
            <w:noWrap/>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13.72 </w:t>
            </w:r>
          </w:p>
        </w:tc>
        <w:tc>
          <w:tcPr>
            <w:tcW w:w="1590" w:type="pct"/>
            <w:shd w:val="clear" w:color="000000" w:fill="FFFFFF"/>
            <w:noWrap/>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2.17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1761" w:type="pct"/>
            <w:shd w:val="clear" w:color="auto" w:fill="auto"/>
            <w:noWrap/>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湖泊生态系统</w:t>
            </w:r>
          </w:p>
        </w:tc>
        <w:tc>
          <w:tcPr>
            <w:tcW w:w="1649" w:type="pct"/>
            <w:shd w:val="clear" w:color="000000" w:fill="FFFFFF"/>
            <w:noWrap/>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8.24 </w:t>
            </w:r>
          </w:p>
        </w:tc>
        <w:tc>
          <w:tcPr>
            <w:tcW w:w="1590" w:type="pct"/>
            <w:shd w:val="clear" w:color="000000" w:fill="FFFFFF"/>
            <w:noWrap/>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1.30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1761" w:type="pct"/>
            <w:shd w:val="clear" w:color="auto" w:fill="auto"/>
            <w:noWrap/>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河流生态系统</w:t>
            </w:r>
          </w:p>
        </w:tc>
        <w:tc>
          <w:tcPr>
            <w:tcW w:w="1649" w:type="pct"/>
            <w:shd w:val="clear" w:color="000000" w:fill="FFFFFF"/>
            <w:noWrap/>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2.43 </w:t>
            </w:r>
          </w:p>
        </w:tc>
        <w:tc>
          <w:tcPr>
            <w:tcW w:w="1590" w:type="pct"/>
            <w:shd w:val="clear" w:color="000000" w:fill="FFFFFF"/>
            <w:noWrap/>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0.38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1761" w:type="pct"/>
            <w:shd w:val="clear" w:color="auto" w:fill="auto"/>
            <w:noWrap/>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耕地生态系统</w:t>
            </w:r>
          </w:p>
        </w:tc>
        <w:tc>
          <w:tcPr>
            <w:tcW w:w="1649" w:type="pct"/>
            <w:shd w:val="clear" w:color="000000" w:fill="FFFFFF"/>
            <w:noWrap/>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259.22 </w:t>
            </w:r>
          </w:p>
        </w:tc>
        <w:tc>
          <w:tcPr>
            <w:tcW w:w="1590" w:type="pct"/>
            <w:shd w:val="clear" w:color="000000" w:fill="FFFFFF"/>
            <w:noWrap/>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40.95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1761" w:type="pct"/>
            <w:shd w:val="clear" w:color="auto" w:fill="auto"/>
            <w:noWrap/>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居住地生态系统</w:t>
            </w:r>
          </w:p>
        </w:tc>
        <w:tc>
          <w:tcPr>
            <w:tcW w:w="1649" w:type="pct"/>
            <w:shd w:val="clear" w:color="000000" w:fill="FFFFFF"/>
            <w:noWrap/>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27.01 </w:t>
            </w:r>
          </w:p>
        </w:tc>
        <w:tc>
          <w:tcPr>
            <w:tcW w:w="1590" w:type="pct"/>
            <w:shd w:val="clear" w:color="000000" w:fill="FFFFFF"/>
            <w:noWrap/>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4.27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1761" w:type="pct"/>
            <w:shd w:val="clear" w:color="auto" w:fill="auto"/>
            <w:noWrap/>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工矿交通生态系统</w:t>
            </w:r>
          </w:p>
        </w:tc>
        <w:tc>
          <w:tcPr>
            <w:tcW w:w="1649" w:type="pct"/>
            <w:shd w:val="clear" w:color="000000" w:fill="FFFFFF"/>
            <w:noWrap/>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22.22 </w:t>
            </w:r>
          </w:p>
        </w:tc>
        <w:tc>
          <w:tcPr>
            <w:tcW w:w="1590" w:type="pct"/>
            <w:shd w:val="clear" w:color="000000" w:fill="FFFFFF"/>
            <w:noWrap/>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3.51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1761" w:type="pct"/>
            <w:shd w:val="clear" w:color="auto" w:fill="auto"/>
            <w:noWrap/>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合计</w:t>
            </w:r>
          </w:p>
        </w:tc>
        <w:tc>
          <w:tcPr>
            <w:tcW w:w="1649" w:type="pct"/>
            <w:shd w:val="clear" w:color="000000" w:fill="FFFFFF"/>
            <w:noWrap/>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633.06 </w:t>
            </w:r>
          </w:p>
        </w:tc>
        <w:tc>
          <w:tcPr>
            <w:tcW w:w="1590" w:type="pct"/>
            <w:shd w:val="clear" w:color="000000" w:fill="FFFFFF"/>
            <w:noWrap/>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100.00 </w:t>
            </w:r>
          </w:p>
        </w:tc>
      </w:tr>
    </w:tbl>
    <w:p>
      <w:pPr>
        <w:pStyle w:val="5"/>
        <w:spacing w:before="120"/>
        <w:ind w:firstLine="480"/>
        <w:rPr>
          <w:color w:val="000000" w:themeColor="text1"/>
          <w:highlight w:val="none"/>
          <w:lang w:eastAsia="zh-CN"/>
          <w14:textFill>
            <w14:solidFill>
              <w14:schemeClr w14:val="tx1"/>
            </w14:solidFill>
          </w14:textFill>
        </w:rPr>
      </w:pPr>
      <w:r>
        <w:rPr>
          <w:color w:val="000000" w:themeColor="text1"/>
          <w:highlight w:val="none"/>
          <w:lang w:eastAsia="zh-CN"/>
          <w14:textFill>
            <w14:solidFill>
              <w14:schemeClr w14:val="tx1"/>
            </w14:solidFill>
          </w14:textFill>
        </w:rPr>
        <w:t>生态系统服务功能评价</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生态系统服务功能主要有水源涵养、土壤保持、生物多样性保护功能等，项目区处于亚热带季风气候区，水热条件较好，植被总体覆盖度较高，生态系统服务功能主要为土壤保持功能、水源涵养功能、生物多样性保护功能，本次评价基于《生态保护红线划定指南》（环办生态〔2017〕48号）中关于生态系统服务重要性的评估方法，针对土壤保持功能、水源涵养功能、生物多样性保护功能进行分级评价。</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1、土壤保持功能分级评价</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将反映土壤保持功能各因素的单因子分布数据，用地理信息系统进行乘积运算，公式如下：</w:t>
      </w:r>
    </w:p>
    <w:p>
      <w:pPr>
        <w:widowControl/>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drawing>
          <wp:inline distT="0" distB="0" distL="0" distR="0">
            <wp:extent cx="1557020" cy="271780"/>
            <wp:effectExtent l="0" t="0" r="5080" b="0"/>
            <wp:docPr id="29244155" name="图片 2924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44155" name="图片 2924415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1557020" cy="271780"/>
                    </a:xfrm>
                    <a:prstGeom prst="rect">
                      <a:avLst/>
                    </a:prstGeom>
                    <a:noFill/>
                    <a:ln>
                      <a:noFill/>
                    </a:ln>
                  </pic:spPr>
                </pic:pic>
              </a:graphicData>
            </a:graphic>
          </wp:inline>
        </w:drawing>
      </w:r>
    </w:p>
    <w:p>
      <w:pPr>
        <w:widowControl/>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式中：</w:t>
      </w:r>
      <w:r>
        <w:rPr>
          <w:rFonts w:cs="Times New Roman"/>
          <w:bCs/>
          <w:color w:val="000000" w:themeColor="text1"/>
          <w:szCs w:val="24"/>
          <w:highlight w:val="none"/>
          <w14:textFill>
            <w14:solidFill>
              <w14:schemeClr w14:val="tx1"/>
            </w14:solidFill>
          </w14:textFill>
        </w:rPr>
        <w:drawing>
          <wp:inline distT="0" distB="0" distL="0" distR="0">
            <wp:extent cx="271780" cy="244475"/>
            <wp:effectExtent l="0" t="0" r="0" b="3175"/>
            <wp:docPr id="390614178" name="图片 39061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614178" name="图片 39061417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271780" cy="244475"/>
                    </a:xfrm>
                    <a:prstGeom prst="rect">
                      <a:avLst/>
                    </a:prstGeom>
                    <a:noFill/>
                    <a:ln>
                      <a:noFill/>
                    </a:ln>
                  </pic:spPr>
                </pic:pic>
              </a:graphicData>
            </a:graphic>
          </wp:inline>
        </w:drawing>
      </w:r>
      <w:r>
        <w:rPr>
          <w:rFonts w:cs="Times New Roman"/>
          <w:bCs/>
          <w:color w:val="000000" w:themeColor="text1"/>
          <w:szCs w:val="24"/>
          <w:highlight w:val="none"/>
          <w14:textFill>
            <w14:solidFill>
              <w14:schemeClr w14:val="tx1"/>
            </w14:solidFill>
          </w14:textFill>
        </w:rPr>
        <w:t>为土壤保持服务；NPPmean为评价区多年生态系统净初级生产力平均值；Fslo为根据最大最小值法归一化到0-1之间的评价区坡度栅格数据。</w:t>
      </w:r>
    </w:p>
    <w:p>
      <w:pPr>
        <w:widowControl/>
        <w:ind w:firstLine="480"/>
        <w:jc w:val="left"/>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分别计算评价区NPPmean和Fslo等指标后，按照公式</w:t>
      </w:r>
      <w:r>
        <w:rPr>
          <w:rFonts w:cs="Times New Roman"/>
          <w:bCs/>
          <w:color w:val="000000" w:themeColor="text1"/>
          <w:szCs w:val="24"/>
          <w:highlight w:val="none"/>
          <w14:textFill>
            <w14:solidFill>
              <w14:schemeClr w14:val="tx1"/>
            </w14:solidFill>
          </w14:textFill>
        </w:rPr>
        <w:drawing>
          <wp:inline distT="0" distB="0" distL="0" distR="0">
            <wp:extent cx="1557020" cy="271780"/>
            <wp:effectExtent l="0" t="0" r="5080" b="0"/>
            <wp:docPr id="208011039" name="图片 20801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11039" name="图片 20801103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1557020" cy="271780"/>
                    </a:xfrm>
                    <a:prstGeom prst="rect">
                      <a:avLst/>
                    </a:prstGeom>
                    <a:noFill/>
                    <a:ln>
                      <a:noFill/>
                    </a:ln>
                  </pic:spPr>
                </pic:pic>
              </a:graphicData>
            </a:graphic>
          </wp:inline>
        </w:drawing>
      </w:r>
      <w:r>
        <w:rPr>
          <w:rFonts w:cs="Times New Roman"/>
          <w:bCs/>
          <w:color w:val="000000" w:themeColor="text1"/>
          <w:szCs w:val="24"/>
          <w:highlight w:val="none"/>
          <w14:textFill>
            <w14:solidFill>
              <w14:schemeClr w14:val="tx1"/>
            </w14:solidFill>
          </w14:textFill>
        </w:rPr>
        <w:t>，计算求得评价区内</w:t>
      </w:r>
      <w:r>
        <w:rPr>
          <w:rFonts w:cs="Times New Roman"/>
          <w:bCs/>
          <w:color w:val="000000" w:themeColor="text1"/>
          <w:szCs w:val="24"/>
          <w:highlight w:val="none"/>
          <w14:textFill>
            <w14:solidFill>
              <w14:schemeClr w14:val="tx1"/>
            </w14:solidFill>
          </w14:textFill>
        </w:rPr>
        <w:drawing>
          <wp:inline distT="0" distB="0" distL="0" distR="0">
            <wp:extent cx="271780" cy="244475"/>
            <wp:effectExtent l="0" t="0" r="0" b="3175"/>
            <wp:docPr id="373431116" name="图片 37343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431116" name="图片 37343111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271780" cy="244475"/>
                    </a:xfrm>
                    <a:prstGeom prst="rect">
                      <a:avLst/>
                    </a:prstGeom>
                    <a:noFill/>
                    <a:ln>
                      <a:noFill/>
                    </a:ln>
                  </pic:spPr>
                </pic:pic>
              </a:graphicData>
            </a:graphic>
          </wp:inline>
        </w:drawing>
      </w:r>
      <w:r>
        <w:rPr>
          <w:rFonts w:cs="Times New Roman"/>
          <w:bCs/>
          <w:color w:val="000000" w:themeColor="text1"/>
          <w:szCs w:val="24"/>
          <w:highlight w:val="none"/>
          <w14:textFill>
            <w14:solidFill>
              <w14:schemeClr w14:val="tx1"/>
            </w14:solidFill>
          </w14:textFill>
        </w:rPr>
        <w:t>值分布情况。</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经过计算分析，土壤保持功能重要性等级比例最大的为极重要，面积259.93hm²，比例为41.06%，主要为森林及高覆盖度灌丛植被区且坡度平缓区，生态系统净初级生产力较高；其次为较重要，面积</w:t>
      </w:r>
      <w:r>
        <w:rPr>
          <w:rFonts w:cs="Times New Roman"/>
          <w:color w:val="000000" w:themeColor="text1"/>
          <w:kern w:val="0"/>
          <w:szCs w:val="24"/>
          <w:highlight w:val="none"/>
          <w:lang w:bidi="ar"/>
          <w14:textFill>
            <w14:solidFill>
              <w14:schemeClr w14:val="tx1"/>
            </w14:solidFill>
          </w14:textFill>
        </w:rPr>
        <w:t>259.22</w:t>
      </w:r>
      <w:r>
        <w:rPr>
          <w:rFonts w:cs="Times New Roman"/>
          <w:bCs/>
          <w:color w:val="000000" w:themeColor="text1"/>
          <w:szCs w:val="24"/>
          <w:highlight w:val="none"/>
          <w14:textFill>
            <w14:solidFill>
              <w14:schemeClr w14:val="tx1"/>
            </w14:solidFill>
          </w14:textFill>
        </w:rPr>
        <w:t xml:space="preserve"> hm²，比例为40.95%，主要为耕地区；重要性等级比例最小的为中度重要，面积</w:t>
      </w:r>
      <w:r>
        <w:rPr>
          <w:rFonts w:cs="Times New Roman"/>
          <w:color w:val="000000" w:themeColor="text1"/>
          <w:kern w:val="0"/>
          <w:szCs w:val="24"/>
          <w:highlight w:val="none"/>
          <w:lang w:bidi="ar"/>
          <w14:textFill>
            <w14:solidFill>
              <w14:schemeClr w14:val="tx1"/>
            </w14:solidFill>
          </w14:textFill>
        </w:rPr>
        <w:t>19.03</w:t>
      </w:r>
      <w:r>
        <w:rPr>
          <w:rFonts w:cs="Times New Roman"/>
          <w:bCs/>
          <w:color w:val="000000" w:themeColor="text1"/>
          <w:szCs w:val="24"/>
          <w:highlight w:val="none"/>
          <w14:textFill>
            <w14:solidFill>
              <w14:schemeClr w14:val="tx1"/>
            </w14:solidFill>
          </w14:textFill>
        </w:rPr>
        <w:t>hm²，比例为3.01%，主要为中高覆盖度灌丛植被区且坡度陡峭区、草地分布区且有一定坡度地段，详见表4.3-1</w:t>
      </w:r>
      <w:r>
        <w:rPr>
          <w:rFonts w:hint="eastAsia" w:cs="Times New Roman"/>
          <w:bCs/>
          <w:color w:val="000000" w:themeColor="text1"/>
          <w:szCs w:val="24"/>
          <w:highlight w:val="none"/>
          <w14:textFill>
            <w14:solidFill>
              <w14:schemeClr w14:val="tx1"/>
            </w14:solidFill>
          </w14:textFill>
        </w:rPr>
        <w:t>4</w:t>
      </w:r>
      <w:r>
        <w:rPr>
          <w:rFonts w:cs="Times New Roman"/>
          <w:bCs/>
          <w:color w:val="000000" w:themeColor="text1"/>
          <w:szCs w:val="24"/>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14</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土壤保持功能重要性评价分布表</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9"/>
        <w:gridCol w:w="1516"/>
        <w:gridCol w:w="1451"/>
        <w:gridCol w:w="43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97" w:type="pct"/>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分级</w:t>
            </w:r>
          </w:p>
        </w:tc>
        <w:tc>
          <w:tcPr>
            <w:tcW w:w="889" w:type="pct"/>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面积（hm²）</w:t>
            </w:r>
          </w:p>
        </w:tc>
        <w:tc>
          <w:tcPr>
            <w:tcW w:w="851" w:type="pct"/>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比例（%）</w:t>
            </w:r>
          </w:p>
        </w:tc>
        <w:tc>
          <w:tcPr>
            <w:tcW w:w="2563" w:type="pct"/>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分布特征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97"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一般重要</w:t>
            </w:r>
          </w:p>
        </w:tc>
        <w:tc>
          <w:tcPr>
            <w:tcW w:w="889"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59.9</w:t>
            </w:r>
          </w:p>
        </w:tc>
        <w:tc>
          <w:tcPr>
            <w:tcW w:w="851"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 xml:space="preserve">9.46 </w:t>
            </w:r>
          </w:p>
        </w:tc>
        <w:tc>
          <w:tcPr>
            <w:tcW w:w="2563"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非植被区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97"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较重要</w:t>
            </w:r>
          </w:p>
        </w:tc>
        <w:tc>
          <w:tcPr>
            <w:tcW w:w="889"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259.22</w:t>
            </w:r>
          </w:p>
        </w:tc>
        <w:tc>
          <w:tcPr>
            <w:tcW w:w="851"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 xml:space="preserve">40.95 </w:t>
            </w:r>
          </w:p>
        </w:tc>
        <w:tc>
          <w:tcPr>
            <w:tcW w:w="2563"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耕地区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2" w:hRule="exact"/>
          <w:jc w:val="center"/>
        </w:trPr>
        <w:tc>
          <w:tcPr>
            <w:tcW w:w="697"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中度重要</w:t>
            </w:r>
          </w:p>
        </w:tc>
        <w:tc>
          <w:tcPr>
            <w:tcW w:w="889"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19.03</w:t>
            </w:r>
          </w:p>
        </w:tc>
        <w:tc>
          <w:tcPr>
            <w:tcW w:w="851"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 xml:space="preserve">3.01 </w:t>
            </w:r>
          </w:p>
        </w:tc>
        <w:tc>
          <w:tcPr>
            <w:tcW w:w="2563"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中高覆盖度灌丛植被区且坡度陡峭区、草地分布区且有一定坡度地段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2" w:hRule="exact"/>
          <w:jc w:val="center"/>
        </w:trPr>
        <w:tc>
          <w:tcPr>
            <w:tcW w:w="697"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高度重要</w:t>
            </w:r>
          </w:p>
        </w:tc>
        <w:tc>
          <w:tcPr>
            <w:tcW w:w="889"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34.98</w:t>
            </w:r>
          </w:p>
        </w:tc>
        <w:tc>
          <w:tcPr>
            <w:tcW w:w="851"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 xml:space="preserve">5.53 </w:t>
            </w:r>
          </w:p>
        </w:tc>
        <w:tc>
          <w:tcPr>
            <w:tcW w:w="2563"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森林及高覆盖度灌丛植被区且坡度陡峭区、中高覆盖度灌丛植被区且坡度较缓地段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97"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极重要</w:t>
            </w:r>
          </w:p>
        </w:tc>
        <w:tc>
          <w:tcPr>
            <w:tcW w:w="889"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259.93</w:t>
            </w:r>
          </w:p>
        </w:tc>
        <w:tc>
          <w:tcPr>
            <w:tcW w:w="851"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 xml:space="preserve">41.06 </w:t>
            </w:r>
          </w:p>
        </w:tc>
        <w:tc>
          <w:tcPr>
            <w:tcW w:w="2563"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森林及高覆盖度灌丛植被区且坡度平缓区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97"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总计</w:t>
            </w:r>
          </w:p>
        </w:tc>
        <w:tc>
          <w:tcPr>
            <w:tcW w:w="889"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633.06</w:t>
            </w:r>
          </w:p>
        </w:tc>
        <w:tc>
          <w:tcPr>
            <w:tcW w:w="851"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 xml:space="preserve">100.00 </w:t>
            </w:r>
          </w:p>
        </w:tc>
        <w:tc>
          <w:tcPr>
            <w:tcW w:w="2563"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bl>
    <w:p>
      <w:pPr>
        <w:spacing w:before="120"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2、水源涵养功能分级评价</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水源涵养功能重要性评价采用基于降水和蒸散的水量分解模型法</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drawing>
          <wp:inline distT="0" distB="0" distL="0" distR="0">
            <wp:extent cx="1747520" cy="1095375"/>
            <wp:effectExtent l="0" t="0" r="5080" b="9525"/>
            <wp:docPr id="294121020" name="图片 29412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121020" name="图片 29412102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1747520" cy="1095375"/>
                    </a:xfrm>
                    <a:prstGeom prst="rect">
                      <a:avLst/>
                    </a:prstGeom>
                    <a:noFill/>
                    <a:ln>
                      <a:noFill/>
                    </a:ln>
                  </pic:spPr>
                </pic:pic>
              </a:graphicData>
            </a:graphic>
          </wp:inline>
        </w:drawing>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式中：WY为地表总产水量，作为水源涵养服务能力的代用指标，P为多年平均年降水量，ET为蒸</w:t>
      </w:r>
      <w:r>
        <w:rPr>
          <w:rFonts w:hint="eastAsia" w:cs="Times New Roman"/>
          <w:bCs/>
          <w:color w:val="000000" w:themeColor="text1"/>
          <w:szCs w:val="24"/>
          <w:highlight w:val="none"/>
          <w14:textFill>
            <w14:solidFill>
              <w14:schemeClr w14:val="tx1"/>
            </w14:solidFill>
          </w14:textFill>
        </w:rPr>
        <w:t>发</w:t>
      </w:r>
      <w:r>
        <w:rPr>
          <w:rFonts w:cs="Times New Roman"/>
          <w:bCs/>
          <w:color w:val="000000" w:themeColor="text1"/>
          <w:szCs w:val="24"/>
          <w:highlight w:val="none"/>
          <w14:textFill>
            <w14:solidFill>
              <w14:schemeClr w14:val="tx1"/>
            </w14:solidFill>
          </w14:textFill>
        </w:rPr>
        <w:t>量，PET为多年平均潜在蒸发量，ω为下垫面（土地覆盖）影响系数，依据土地利用类型取值。</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由于项目区面积较小，项目区水源涵养功能重要性分布差异主要受到ω下垫面的影响。其中，极重要的面积最大，达到</w:t>
      </w:r>
      <w:r>
        <w:rPr>
          <w:rFonts w:cs="Times New Roman"/>
          <w:color w:val="000000" w:themeColor="text1"/>
          <w:kern w:val="0"/>
          <w:szCs w:val="24"/>
          <w:highlight w:val="none"/>
          <w:lang w:bidi="ar"/>
          <w14:textFill>
            <w14:solidFill>
              <w14:schemeClr w14:val="tx1"/>
            </w14:solidFill>
          </w14:textFill>
        </w:rPr>
        <w:t>263.73</w:t>
      </w:r>
      <w:r>
        <w:rPr>
          <w:rFonts w:cs="Times New Roman"/>
          <w:bCs/>
          <w:color w:val="000000" w:themeColor="text1"/>
          <w:szCs w:val="24"/>
          <w:highlight w:val="none"/>
          <w14:textFill>
            <w14:solidFill>
              <w14:schemeClr w14:val="tx1"/>
            </w14:solidFill>
          </w14:textFill>
        </w:rPr>
        <w:t>hm²，占总面积的比例为41.66%，较重要的面积最小，为</w:t>
      </w:r>
      <w:r>
        <w:rPr>
          <w:rFonts w:cs="Times New Roman"/>
          <w:color w:val="000000" w:themeColor="text1"/>
          <w:kern w:val="0"/>
          <w:szCs w:val="24"/>
          <w:highlight w:val="none"/>
          <w:lang w:bidi="ar"/>
          <w14:textFill>
            <w14:solidFill>
              <w14:schemeClr w14:val="tx1"/>
            </w14:solidFill>
          </w14:textFill>
        </w:rPr>
        <w:t>13.72</w:t>
      </w:r>
      <w:r>
        <w:rPr>
          <w:rFonts w:cs="Times New Roman"/>
          <w:bCs/>
          <w:color w:val="000000" w:themeColor="text1"/>
          <w:szCs w:val="24"/>
          <w:highlight w:val="none"/>
          <w14:textFill>
            <w14:solidFill>
              <w14:schemeClr w14:val="tx1"/>
            </w14:solidFill>
          </w14:textFill>
        </w:rPr>
        <w:t xml:space="preserve"> hm²，占总面积的比例为2.17%，详见表4.3-1</w:t>
      </w:r>
      <w:r>
        <w:rPr>
          <w:rFonts w:hint="eastAsia" w:cs="Times New Roman"/>
          <w:bCs/>
          <w:color w:val="000000" w:themeColor="text1"/>
          <w:szCs w:val="24"/>
          <w:highlight w:val="none"/>
          <w14:textFill>
            <w14:solidFill>
              <w14:schemeClr w14:val="tx1"/>
            </w14:solidFill>
          </w14:textFill>
        </w:rPr>
        <w:t>5</w:t>
      </w:r>
      <w:r>
        <w:rPr>
          <w:rFonts w:cs="Times New Roman"/>
          <w:bCs/>
          <w:color w:val="000000" w:themeColor="text1"/>
          <w:szCs w:val="24"/>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15</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评价区水源涵养功能重要性评价分布表</w:t>
      </w:r>
    </w:p>
    <w:tbl>
      <w:tblPr>
        <w:tblStyle w:val="38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5"/>
        <w:gridCol w:w="2067"/>
        <w:gridCol w:w="2213"/>
        <w:gridCol w:w="27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906" w:type="pct"/>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分级</w:t>
            </w:r>
          </w:p>
        </w:tc>
        <w:tc>
          <w:tcPr>
            <w:tcW w:w="1212" w:type="pct"/>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面积（hm²）</w:t>
            </w:r>
          </w:p>
        </w:tc>
        <w:tc>
          <w:tcPr>
            <w:tcW w:w="1298" w:type="pct"/>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比例（%）</w:t>
            </w:r>
          </w:p>
        </w:tc>
        <w:tc>
          <w:tcPr>
            <w:tcW w:w="1584" w:type="pct"/>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分布特征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906"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一般重要</w:t>
            </w:r>
          </w:p>
        </w:tc>
        <w:tc>
          <w:tcPr>
            <w:tcW w:w="1212" w:type="pct"/>
            <w:vAlign w:val="center"/>
          </w:tcPr>
          <w:p>
            <w:pPr>
              <w:widowControl/>
              <w:adjustRightInd/>
              <w:snapToGrid/>
              <w:spacing w:line="240" w:lineRule="auto"/>
              <w:ind w:firstLine="0" w:firstLineChars="0"/>
              <w:jc w:val="center"/>
              <w:textAlignment w:val="center"/>
              <w:rPr>
                <w:rFonts w:cs="Times New Roman"/>
                <w:bCs/>
                <w:color w:val="000000" w:themeColor="text1"/>
                <w:sz w:val="21"/>
                <w:szCs w:val="21"/>
                <w:highlight w:val="none"/>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59.90 </w:t>
            </w:r>
          </w:p>
        </w:tc>
        <w:tc>
          <w:tcPr>
            <w:tcW w:w="1298" w:type="pct"/>
            <w:vAlign w:val="center"/>
          </w:tcPr>
          <w:p>
            <w:pPr>
              <w:widowControl/>
              <w:adjustRightInd/>
              <w:snapToGrid/>
              <w:spacing w:line="240" w:lineRule="auto"/>
              <w:ind w:firstLine="0" w:firstLineChars="0"/>
              <w:jc w:val="center"/>
              <w:textAlignment w:val="center"/>
              <w:rPr>
                <w:rFonts w:cs="Times New Roman"/>
                <w:bCs/>
                <w:color w:val="000000" w:themeColor="text1"/>
                <w:sz w:val="21"/>
                <w:szCs w:val="21"/>
                <w:highlight w:val="none"/>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9.46 </w:t>
            </w:r>
          </w:p>
        </w:tc>
        <w:tc>
          <w:tcPr>
            <w:tcW w:w="1584"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非植被区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906"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较重要</w:t>
            </w:r>
          </w:p>
        </w:tc>
        <w:tc>
          <w:tcPr>
            <w:tcW w:w="1212" w:type="pct"/>
            <w:vAlign w:val="center"/>
          </w:tcPr>
          <w:p>
            <w:pPr>
              <w:widowControl/>
              <w:adjustRightInd/>
              <w:snapToGrid/>
              <w:spacing w:line="240" w:lineRule="auto"/>
              <w:ind w:firstLine="0" w:firstLineChars="0"/>
              <w:jc w:val="center"/>
              <w:textAlignment w:val="center"/>
              <w:rPr>
                <w:rFonts w:cs="Times New Roman"/>
                <w:bCs/>
                <w:color w:val="000000" w:themeColor="text1"/>
                <w:sz w:val="21"/>
                <w:szCs w:val="21"/>
                <w:highlight w:val="none"/>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13.72 </w:t>
            </w:r>
          </w:p>
        </w:tc>
        <w:tc>
          <w:tcPr>
            <w:tcW w:w="1298" w:type="pct"/>
            <w:vAlign w:val="center"/>
          </w:tcPr>
          <w:p>
            <w:pPr>
              <w:widowControl/>
              <w:adjustRightInd/>
              <w:snapToGrid/>
              <w:spacing w:line="240" w:lineRule="auto"/>
              <w:ind w:firstLine="0" w:firstLineChars="0"/>
              <w:jc w:val="center"/>
              <w:textAlignment w:val="center"/>
              <w:rPr>
                <w:rFonts w:cs="Times New Roman"/>
                <w:bCs/>
                <w:color w:val="000000" w:themeColor="text1"/>
                <w:sz w:val="21"/>
                <w:szCs w:val="21"/>
                <w:highlight w:val="none"/>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2.17 </w:t>
            </w:r>
          </w:p>
        </w:tc>
        <w:tc>
          <w:tcPr>
            <w:tcW w:w="1584"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极低覆盖度&lt;10%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906"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中度重要</w:t>
            </w:r>
          </w:p>
        </w:tc>
        <w:tc>
          <w:tcPr>
            <w:tcW w:w="1212" w:type="pct"/>
            <w:vAlign w:val="center"/>
          </w:tcPr>
          <w:p>
            <w:pPr>
              <w:widowControl/>
              <w:adjustRightInd/>
              <w:snapToGrid/>
              <w:spacing w:line="240" w:lineRule="auto"/>
              <w:ind w:firstLine="0" w:firstLineChars="0"/>
              <w:jc w:val="center"/>
              <w:textAlignment w:val="center"/>
              <w:rPr>
                <w:rFonts w:cs="Times New Roman"/>
                <w:bCs/>
                <w:color w:val="000000" w:themeColor="text1"/>
                <w:sz w:val="21"/>
                <w:szCs w:val="21"/>
                <w:highlight w:val="none"/>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259.22 </w:t>
            </w:r>
          </w:p>
        </w:tc>
        <w:tc>
          <w:tcPr>
            <w:tcW w:w="1298" w:type="pct"/>
            <w:vAlign w:val="center"/>
          </w:tcPr>
          <w:p>
            <w:pPr>
              <w:widowControl/>
              <w:adjustRightInd/>
              <w:snapToGrid/>
              <w:spacing w:line="240" w:lineRule="auto"/>
              <w:ind w:firstLine="0" w:firstLineChars="0"/>
              <w:jc w:val="center"/>
              <w:textAlignment w:val="center"/>
              <w:rPr>
                <w:rFonts w:cs="Times New Roman"/>
                <w:bCs/>
                <w:color w:val="000000" w:themeColor="text1"/>
                <w:sz w:val="21"/>
                <w:szCs w:val="21"/>
                <w:highlight w:val="none"/>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40.95 </w:t>
            </w:r>
          </w:p>
        </w:tc>
        <w:tc>
          <w:tcPr>
            <w:tcW w:w="1584"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中低覆盖度10%-30%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906"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高度重要</w:t>
            </w:r>
          </w:p>
        </w:tc>
        <w:tc>
          <w:tcPr>
            <w:tcW w:w="1212" w:type="pct"/>
            <w:vAlign w:val="center"/>
          </w:tcPr>
          <w:p>
            <w:pPr>
              <w:widowControl/>
              <w:adjustRightInd/>
              <w:snapToGrid/>
              <w:spacing w:line="240" w:lineRule="auto"/>
              <w:ind w:firstLine="0" w:firstLineChars="0"/>
              <w:jc w:val="center"/>
              <w:textAlignment w:val="center"/>
              <w:rPr>
                <w:rFonts w:cs="Times New Roman"/>
                <w:bCs/>
                <w:color w:val="000000" w:themeColor="text1"/>
                <w:sz w:val="21"/>
                <w:szCs w:val="21"/>
                <w:highlight w:val="none"/>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36.49 </w:t>
            </w:r>
          </w:p>
        </w:tc>
        <w:tc>
          <w:tcPr>
            <w:tcW w:w="1298" w:type="pct"/>
            <w:vAlign w:val="center"/>
          </w:tcPr>
          <w:p>
            <w:pPr>
              <w:widowControl/>
              <w:adjustRightInd/>
              <w:snapToGrid/>
              <w:spacing w:line="240" w:lineRule="auto"/>
              <w:ind w:firstLine="0" w:firstLineChars="0"/>
              <w:jc w:val="center"/>
              <w:textAlignment w:val="center"/>
              <w:rPr>
                <w:rFonts w:cs="Times New Roman"/>
                <w:bCs/>
                <w:color w:val="000000" w:themeColor="text1"/>
                <w:sz w:val="21"/>
                <w:szCs w:val="21"/>
                <w:highlight w:val="none"/>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5.76 </w:t>
            </w:r>
          </w:p>
        </w:tc>
        <w:tc>
          <w:tcPr>
            <w:tcW w:w="1584"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中覆盖度30%-50%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906"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极重要</w:t>
            </w:r>
          </w:p>
        </w:tc>
        <w:tc>
          <w:tcPr>
            <w:tcW w:w="1212" w:type="pct"/>
            <w:vAlign w:val="center"/>
          </w:tcPr>
          <w:p>
            <w:pPr>
              <w:widowControl/>
              <w:adjustRightInd/>
              <w:snapToGrid/>
              <w:spacing w:line="240" w:lineRule="auto"/>
              <w:ind w:firstLine="0" w:firstLineChars="0"/>
              <w:jc w:val="center"/>
              <w:textAlignment w:val="center"/>
              <w:rPr>
                <w:rFonts w:cs="Times New Roman"/>
                <w:bCs/>
                <w:color w:val="000000" w:themeColor="text1"/>
                <w:sz w:val="21"/>
                <w:szCs w:val="21"/>
                <w:highlight w:val="none"/>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263.73 </w:t>
            </w:r>
          </w:p>
        </w:tc>
        <w:tc>
          <w:tcPr>
            <w:tcW w:w="1298" w:type="pct"/>
            <w:vAlign w:val="center"/>
          </w:tcPr>
          <w:p>
            <w:pPr>
              <w:widowControl/>
              <w:adjustRightInd/>
              <w:snapToGrid/>
              <w:spacing w:line="240" w:lineRule="auto"/>
              <w:ind w:firstLine="0" w:firstLineChars="0"/>
              <w:jc w:val="center"/>
              <w:textAlignment w:val="center"/>
              <w:rPr>
                <w:rFonts w:cs="Times New Roman"/>
                <w:bCs/>
                <w:color w:val="000000" w:themeColor="text1"/>
                <w:sz w:val="21"/>
                <w:szCs w:val="21"/>
                <w:highlight w:val="none"/>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41.66 </w:t>
            </w:r>
          </w:p>
        </w:tc>
        <w:tc>
          <w:tcPr>
            <w:tcW w:w="1584"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中高覆盖度50%-70%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906"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合计</w:t>
            </w:r>
          </w:p>
        </w:tc>
        <w:tc>
          <w:tcPr>
            <w:tcW w:w="1212" w:type="pct"/>
            <w:vAlign w:val="center"/>
          </w:tcPr>
          <w:p>
            <w:pPr>
              <w:widowControl/>
              <w:adjustRightInd/>
              <w:snapToGrid/>
              <w:spacing w:line="240" w:lineRule="auto"/>
              <w:ind w:firstLine="0" w:firstLineChars="0"/>
              <w:jc w:val="center"/>
              <w:textAlignment w:val="center"/>
              <w:rPr>
                <w:rFonts w:cs="Times New Roman"/>
                <w:bCs/>
                <w:color w:val="000000" w:themeColor="text1"/>
                <w:sz w:val="21"/>
                <w:szCs w:val="21"/>
                <w:highlight w:val="none"/>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633.06 </w:t>
            </w:r>
          </w:p>
        </w:tc>
        <w:tc>
          <w:tcPr>
            <w:tcW w:w="1298" w:type="pct"/>
            <w:vAlign w:val="center"/>
          </w:tcPr>
          <w:p>
            <w:pPr>
              <w:widowControl/>
              <w:adjustRightInd/>
              <w:snapToGrid/>
              <w:spacing w:line="240" w:lineRule="auto"/>
              <w:ind w:firstLine="0" w:firstLineChars="0"/>
              <w:jc w:val="center"/>
              <w:textAlignment w:val="center"/>
              <w:rPr>
                <w:rFonts w:cs="Times New Roman"/>
                <w:bCs/>
                <w:color w:val="000000" w:themeColor="text1"/>
                <w:sz w:val="21"/>
                <w:szCs w:val="21"/>
                <w:highlight w:val="none"/>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100.00 </w:t>
            </w:r>
          </w:p>
        </w:tc>
        <w:tc>
          <w:tcPr>
            <w:tcW w:w="1584"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bl>
    <w:p>
      <w:pPr>
        <w:spacing w:before="120"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3、生物多样性保护功能分级评价</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采用基于生境多样性的方法进行评价：</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drawing>
          <wp:inline distT="0" distB="0" distL="0" distR="0">
            <wp:extent cx="2113280" cy="250190"/>
            <wp:effectExtent l="0" t="0" r="1270" b="0"/>
            <wp:docPr id="96364969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649692" name="图片 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2113280" cy="250190"/>
                    </a:xfrm>
                    <a:prstGeom prst="rect">
                      <a:avLst/>
                    </a:prstGeom>
                    <a:noFill/>
                    <a:ln>
                      <a:noFill/>
                    </a:ln>
                  </pic:spPr>
                </pic:pic>
              </a:graphicData>
            </a:graphic>
          </wp:inline>
        </w:drawing>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式中：Sbio为生物多样性保护服务，NPPmean参数的计算方法同上，Ftem为气温参数，由多年（10</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30年）平均年降水量数据插值获得，得到的结果归一化到0~1之间。Falt为海拔参数，由评价区海拔进行归一化获得。Fpre参数根据降水量分布数据，利用计算机进行归一化处理得到，其分布规律与水源涵养功能重要性评价中平均降水量P值分布规律相同。</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经过计算分析，土壤保持功能等级比例最大的极重要，面积</w:t>
      </w:r>
      <w:r>
        <w:rPr>
          <w:rFonts w:cs="Times New Roman"/>
          <w:color w:val="000000" w:themeColor="text1"/>
          <w:kern w:val="0"/>
          <w:szCs w:val="24"/>
          <w:highlight w:val="none"/>
          <w:lang w:bidi="ar"/>
          <w14:textFill>
            <w14:solidFill>
              <w14:schemeClr w14:val="tx1"/>
            </w14:solidFill>
          </w14:textFill>
        </w:rPr>
        <w:t>268.93</w:t>
      </w:r>
      <w:r>
        <w:rPr>
          <w:rFonts w:cs="Times New Roman"/>
          <w:bCs/>
          <w:color w:val="000000" w:themeColor="text1"/>
          <w:szCs w:val="24"/>
          <w:highlight w:val="none"/>
          <w14:textFill>
            <w14:solidFill>
              <w14:schemeClr w14:val="tx1"/>
            </w14:solidFill>
          </w14:textFill>
        </w:rPr>
        <w:t>hm²，比例为42.48%，重要性等级比例最小的为中度重要，面积</w:t>
      </w:r>
      <w:r>
        <w:rPr>
          <w:rFonts w:cs="Times New Roman"/>
          <w:color w:val="000000" w:themeColor="text1"/>
          <w:kern w:val="0"/>
          <w:szCs w:val="24"/>
          <w:highlight w:val="none"/>
          <w:lang w:bidi="ar"/>
          <w14:textFill>
            <w14:solidFill>
              <w14:schemeClr w14:val="tx1"/>
            </w14:solidFill>
          </w14:textFill>
        </w:rPr>
        <w:t>20.3</w:t>
      </w:r>
      <w:r>
        <w:rPr>
          <w:rFonts w:cs="Times New Roman"/>
          <w:bCs/>
          <w:color w:val="000000" w:themeColor="text1"/>
          <w:szCs w:val="24"/>
          <w:highlight w:val="none"/>
          <w14:textFill>
            <w14:solidFill>
              <w14:schemeClr w14:val="tx1"/>
            </w14:solidFill>
          </w14:textFill>
        </w:rPr>
        <w:t>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，比例为3.21%，详见表4.3-1</w:t>
      </w:r>
      <w:r>
        <w:rPr>
          <w:rFonts w:hint="eastAsia" w:cs="Times New Roman"/>
          <w:bCs/>
          <w:color w:val="000000" w:themeColor="text1"/>
          <w:szCs w:val="24"/>
          <w:highlight w:val="none"/>
          <w14:textFill>
            <w14:solidFill>
              <w14:schemeClr w14:val="tx1"/>
            </w14:solidFill>
          </w14:textFill>
        </w:rPr>
        <w:t>6</w:t>
      </w:r>
      <w:r>
        <w:rPr>
          <w:rFonts w:cs="Times New Roman"/>
          <w:bCs/>
          <w:color w:val="000000" w:themeColor="text1"/>
          <w:szCs w:val="24"/>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表 </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16</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评价区生物多样性保护功能评价分布表</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7"/>
        <w:gridCol w:w="1603"/>
        <w:gridCol w:w="1640"/>
        <w:gridCol w:w="38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843" w:type="pct"/>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重要性</w:t>
            </w:r>
          </w:p>
        </w:tc>
        <w:tc>
          <w:tcPr>
            <w:tcW w:w="940" w:type="pct"/>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面积（hm</w:t>
            </w:r>
            <w:r>
              <w:rPr>
                <w:rFonts w:cs="Times New Roman"/>
                <w:b/>
                <w:color w:val="000000" w:themeColor="text1"/>
                <w:sz w:val="21"/>
                <w:szCs w:val="21"/>
                <w:highlight w:val="none"/>
                <w:vertAlign w:val="superscript"/>
                <w14:textFill>
                  <w14:solidFill>
                    <w14:schemeClr w14:val="tx1"/>
                  </w14:solidFill>
                </w14:textFill>
              </w:rPr>
              <w:t>2</w:t>
            </w:r>
            <w:r>
              <w:rPr>
                <w:rFonts w:cs="Times New Roman"/>
                <w:b/>
                <w:color w:val="000000" w:themeColor="text1"/>
                <w:sz w:val="21"/>
                <w:szCs w:val="21"/>
                <w:highlight w:val="none"/>
                <w14:textFill>
                  <w14:solidFill>
                    <w14:schemeClr w14:val="tx1"/>
                  </w14:solidFill>
                </w14:textFill>
              </w:rPr>
              <w:t>）</w:t>
            </w:r>
          </w:p>
        </w:tc>
        <w:tc>
          <w:tcPr>
            <w:tcW w:w="962" w:type="pct"/>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比例（%）</w:t>
            </w:r>
          </w:p>
        </w:tc>
        <w:tc>
          <w:tcPr>
            <w:tcW w:w="2255" w:type="pct"/>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分布特征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843"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一般重要</w:t>
            </w:r>
          </w:p>
        </w:tc>
        <w:tc>
          <w:tcPr>
            <w:tcW w:w="940" w:type="pct"/>
            <w:vAlign w:val="center"/>
          </w:tcPr>
          <w:p>
            <w:pPr>
              <w:widowControl/>
              <w:adjustRightInd/>
              <w:snapToGrid/>
              <w:spacing w:line="240" w:lineRule="auto"/>
              <w:ind w:firstLine="0" w:firstLineChars="0"/>
              <w:jc w:val="center"/>
              <w:textAlignment w:val="bottom"/>
              <w:rPr>
                <w:rFonts w:cs="Times New Roman"/>
                <w:bCs/>
                <w:color w:val="000000" w:themeColor="text1"/>
                <w:sz w:val="21"/>
                <w:szCs w:val="21"/>
                <w:highlight w:val="none"/>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59.9</w:t>
            </w:r>
          </w:p>
        </w:tc>
        <w:tc>
          <w:tcPr>
            <w:tcW w:w="962" w:type="pct"/>
            <w:vAlign w:val="center"/>
          </w:tcPr>
          <w:p>
            <w:pPr>
              <w:widowControl/>
              <w:adjustRightInd/>
              <w:snapToGrid/>
              <w:spacing w:line="240" w:lineRule="auto"/>
              <w:ind w:firstLine="0" w:firstLineChars="0"/>
              <w:jc w:val="center"/>
              <w:textAlignment w:val="bottom"/>
              <w:rPr>
                <w:rFonts w:cs="Times New Roman"/>
                <w:bCs/>
                <w:color w:val="000000" w:themeColor="text1"/>
                <w:sz w:val="21"/>
                <w:szCs w:val="21"/>
                <w:highlight w:val="none"/>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9.46</w:t>
            </w:r>
          </w:p>
        </w:tc>
        <w:tc>
          <w:tcPr>
            <w:tcW w:w="2255"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非植被区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843"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较重要</w:t>
            </w:r>
          </w:p>
        </w:tc>
        <w:tc>
          <w:tcPr>
            <w:tcW w:w="940" w:type="pct"/>
            <w:vAlign w:val="center"/>
          </w:tcPr>
          <w:p>
            <w:pPr>
              <w:widowControl/>
              <w:adjustRightInd/>
              <w:snapToGrid/>
              <w:spacing w:line="240" w:lineRule="auto"/>
              <w:ind w:firstLine="0" w:firstLineChars="0"/>
              <w:jc w:val="center"/>
              <w:textAlignment w:val="center"/>
              <w:rPr>
                <w:rFonts w:cs="Times New Roman"/>
                <w:bCs/>
                <w:color w:val="000000" w:themeColor="text1"/>
                <w:sz w:val="21"/>
                <w:szCs w:val="21"/>
                <w:highlight w:val="none"/>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259.22</w:t>
            </w:r>
          </w:p>
        </w:tc>
        <w:tc>
          <w:tcPr>
            <w:tcW w:w="962" w:type="pct"/>
            <w:vAlign w:val="center"/>
          </w:tcPr>
          <w:p>
            <w:pPr>
              <w:widowControl/>
              <w:adjustRightInd/>
              <w:snapToGrid/>
              <w:spacing w:line="240" w:lineRule="auto"/>
              <w:ind w:firstLine="0" w:firstLineChars="0"/>
              <w:jc w:val="center"/>
              <w:textAlignment w:val="bottom"/>
              <w:rPr>
                <w:rFonts w:cs="Times New Roman"/>
                <w:bCs/>
                <w:color w:val="000000" w:themeColor="text1"/>
                <w:sz w:val="21"/>
                <w:szCs w:val="21"/>
                <w:highlight w:val="none"/>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40.95</w:t>
            </w:r>
          </w:p>
        </w:tc>
        <w:tc>
          <w:tcPr>
            <w:tcW w:w="2255"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耕地区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843"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中度重要</w:t>
            </w:r>
          </w:p>
        </w:tc>
        <w:tc>
          <w:tcPr>
            <w:tcW w:w="940" w:type="pct"/>
            <w:vAlign w:val="center"/>
          </w:tcPr>
          <w:p>
            <w:pPr>
              <w:widowControl/>
              <w:adjustRightInd/>
              <w:snapToGrid/>
              <w:spacing w:line="240" w:lineRule="auto"/>
              <w:ind w:firstLine="0" w:firstLineChars="0"/>
              <w:jc w:val="center"/>
              <w:textAlignment w:val="center"/>
              <w:rPr>
                <w:rFonts w:cs="Times New Roman"/>
                <w:bCs/>
                <w:color w:val="000000" w:themeColor="text1"/>
                <w:sz w:val="21"/>
                <w:szCs w:val="21"/>
                <w:highlight w:val="none"/>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20.3</w:t>
            </w:r>
          </w:p>
        </w:tc>
        <w:tc>
          <w:tcPr>
            <w:tcW w:w="962" w:type="pct"/>
            <w:vAlign w:val="center"/>
          </w:tcPr>
          <w:p>
            <w:pPr>
              <w:widowControl/>
              <w:adjustRightInd/>
              <w:snapToGrid/>
              <w:spacing w:line="240" w:lineRule="auto"/>
              <w:ind w:firstLine="0" w:firstLineChars="0"/>
              <w:jc w:val="center"/>
              <w:textAlignment w:val="bottom"/>
              <w:rPr>
                <w:rFonts w:cs="Times New Roman"/>
                <w:bCs/>
                <w:color w:val="000000" w:themeColor="text1"/>
                <w:sz w:val="21"/>
                <w:szCs w:val="21"/>
                <w:highlight w:val="none"/>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3.21</w:t>
            </w:r>
          </w:p>
        </w:tc>
        <w:tc>
          <w:tcPr>
            <w:tcW w:w="2255"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草地及低覆盖度灌丛植被分布区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843"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高度重要</w:t>
            </w:r>
          </w:p>
        </w:tc>
        <w:tc>
          <w:tcPr>
            <w:tcW w:w="940" w:type="pct"/>
            <w:vAlign w:val="center"/>
          </w:tcPr>
          <w:p>
            <w:pPr>
              <w:widowControl/>
              <w:adjustRightInd/>
              <w:snapToGrid/>
              <w:spacing w:line="240" w:lineRule="auto"/>
              <w:ind w:firstLine="0" w:firstLineChars="0"/>
              <w:jc w:val="center"/>
              <w:textAlignment w:val="center"/>
              <w:rPr>
                <w:rFonts w:cs="Times New Roman"/>
                <w:bCs/>
                <w:color w:val="000000" w:themeColor="text1"/>
                <w:sz w:val="21"/>
                <w:szCs w:val="21"/>
                <w:highlight w:val="none"/>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24.71</w:t>
            </w:r>
          </w:p>
        </w:tc>
        <w:tc>
          <w:tcPr>
            <w:tcW w:w="962" w:type="pct"/>
            <w:vAlign w:val="center"/>
          </w:tcPr>
          <w:p>
            <w:pPr>
              <w:widowControl/>
              <w:adjustRightInd/>
              <w:snapToGrid/>
              <w:spacing w:line="240" w:lineRule="auto"/>
              <w:ind w:firstLine="0" w:firstLineChars="0"/>
              <w:jc w:val="center"/>
              <w:textAlignment w:val="bottom"/>
              <w:rPr>
                <w:rFonts w:cs="Times New Roman"/>
                <w:bCs/>
                <w:color w:val="000000" w:themeColor="text1"/>
                <w:sz w:val="21"/>
                <w:szCs w:val="21"/>
                <w:highlight w:val="none"/>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3.90</w:t>
            </w:r>
          </w:p>
        </w:tc>
        <w:tc>
          <w:tcPr>
            <w:tcW w:w="2255"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中高覆盖度灌丛植被区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843"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极重要</w:t>
            </w:r>
          </w:p>
        </w:tc>
        <w:tc>
          <w:tcPr>
            <w:tcW w:w="940" w:type="pct"/>
            <w:vAlign w:val="center"/>
          </w:tcPr>
          <w:p>
            <w:pPr>
              <w:widowControl/>
              <w:adjustRightInd/>
              <w:snapToGrid/>
              <w:spacing w:line="240" w:lineRule="auto"/>
              <w:ind w:firstLine="0" w:firstLineChars="0"/>
              <w:jc w:val="center"/>
              <w:textAlignment w:val="center"/>
              <w:rPr>
                <w:rFonts w:cs="Times New Roman"/>
                <w:bCs/>
                <w:color w:val="000000" w:themeColor="text1"/>
                <w:sz w:val="21"/>
                <w:szCs w:val="21"/>
                <w:highlight w:val="none"/>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268.93</w:t>
            </w:r>
          </w:p>
        </w:tc>
        <w:tc>
          <w:tcPr>
            <w:tcW w:w="962" w:type="pct"/>
            <w:vAlign w:val="center"/>
          </w:tcPr>
          <w:p>
            <w:pPr>
              <w:widowControl/>
              <w:adjustRightInd/>
              <w:snapToGrid/>
              <w:spacing w:line="240" w:lineRule="auto"/>
              <w:ind w:firstLine="0" w:firstLineChars="0"/>
              <w:jc w:val="center"/>
              <w:textAlignment w:val="bottom"/>
              <w:rPr>
                <w:rFonts w:cs="Times New Roman"/>
                <w:bCs/>
                <w:color w:val="000000" w:themeColor="text1"/>
                <w:sz w:val="21"/>
                <w:szCs w:val="21"/>
                <w:highlight w:val="none"/>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42.48</w:t>
            </w:r>
          </w:p>
        </w:tc>
        <w:tc>
          <w:tcPr>
            <w:tcW w:w="2255"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森林及高覆盖度灌丛植被区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843"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合计</w:t>
            </w:r>
          </w:p>
        </w:tc>
        <w:tc>
          <w:tcPr>
            <w:tcW w:w="940" w:type="pct"/>
            <w:vAlign w:val="center"/>
          </w:tcPr>
          <w:p>
            <w:pPr>
              <w:widowControl/>
              <w:adjustRightInd/>
              <w:snapToGrid/>
              <w:spacing w:line="240" w:lineRule="auto"/>
              <w:ind w:firstLine="0" w:firstLineChars="0"/>
              <w:jc w:val="center"/>
              <w:textAlignment w:val="bottom"/>
              <w:rPr>
                <w:rFonts w:cs="Times New Roman"/>
                <w:bCs/>
                <w:color w:val="000000" w:themeColor="text1"/>
                <w:sz w:val="21"/>
                <w:szCs w:val="21"/>
                <w:highlight w:val="none"/>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633.06</w:t>
            </w:r>
          </w:p>
        </w:tc>
        <w:tc>
          <w:tcPr>
            <w:tcW w:w="962" w:type="pct"/>
            <w:vAlign w:val="center"/>
          </w:tcPr>
          <w:p>
            <w:pPr>
              <w:widowControl/>
              <w:adjustRightInd/>
              <w:snapToGrid/>
              <w:spacing w:line="240" w:lineRule="auto"/>
              <w:ind w:firstLine="0" w:firstLineChars="0"/>
              <w:jc w:val="center"/>
              <w:textAlignment w:val="bottom"/>
              <w:rPr>
                <w:rFonts w:cs="Times New Roman"/>
                <w:bCs/>
                <w:color w:val="000000" w:themeColor="text1"/>
                <w:sz w:val="21"/>
                <w:szCs w:val="21"/>
                <w:highlight w:val="none"/>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100.00</w:t>
            </w:r>
          </w:p>
        </w:tc>
        <w:tc>
          <w:tcPr>
            <w:tcW w:w="2255" w:type="pc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bl>
    <w:p>
      <w:pPr>
        <w:spacing w:before="120"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综上可见，评价区自然生态系统在水土保持功能、水源涵养功能、生物多样性保护功能等方面具有重要作用，为周边野生动物提供了一定的生存繁衍空间，在维持区域生态平衡中也具有良好的作用，也是维护评价区生态安全的重要屏障。</w:t>
      </w:r>
    </w:p>
    <w:p>
      <w:pPr>
        <w:pStyle w:val="5"/>
        <w:spacing w:before="12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物种多样性分析</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评价区地处亚热带常绿阔叶林区域，气候温暖湿润，区内丘陵、低山分布其间，植被类型主要有马尾松、麻栎、青冈、栓皮栎等森林植被以及马桑、黄荆、火棘、荚蒾、芒、白茅等为主的灌草丛植被，群落结构和组成相对复杂，但均为当地常见类型，分布较广。</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物种多样性是物种丰富度和分布均匀性的综合反映，体现了群落结构类型、组织水平、发展阶段、稳定程度和生境差异。本项目采用“物种丰富度指数”（Margalef）来测量植被群落的物种多样性。</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公式：D=(S-1)/lnN</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其中：s为群落中物种数目N为观察到的个体总数</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评价区各群落优势种物种优势度情况见下表。</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表 </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17</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评价范围各群落物种丰富度指数</w:t>
      </w:r>
    </w:p>
    <w:tbl>
      <w:tblPr>
        <w:tblStyle w:val="38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46"/>
        <w:gridCol w:w="3432"/>
        <w:gridCol w:w="19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1845" w:type="pct"/>
            <w:vAlign w:val="center"/>
          </w:tcPr>
          <w:p>
            <w:pPr>
              <w:tabs>
                <w:tab w:val="left" w:pos="1440"/>
              </w:tabs>
              <w:adjustRightInd/>
              <w:snapToGrid/>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群落名称</w:t>
            </w:r>
          </w:p>
        </w:tc>
        <w:tc>
          <w:tcPr>
            <w:tcW w:w="2012" w:type="pct"/>
            <w:vAlign w:val="center"/>
          </w:tcPr>
          <w:p>
            <w:pPr>
              <w:tabs>
                <w:tab w:val="left" w:pos="1440"/>
              </w:tabs>
              <w:adjustRightInd/>
              <w:snapToGrid/>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优势种</w:t>
            </w:r>
          </w:p>
        </w:tc>
        <w:tc>
          <w:tcPr>
            <w:tcW w:w="1142" w:type="pct"/>
            <w:vAlign w:val="center"/>
          </w:tcPr>
          <w:p>
            <w:pPr>
              <w:tabs>
                <w:tab w:val="left" w:pos="1440"/>
              </w:tabs>
              <w:adjustRightInd/>
              <w:snapToGrid/>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Margalef指数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1845" w:type="pct"/>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spacing w:val="15"/>
                <w:sz w:val="21"/>
                <w:szCs w:val="21"/>
                <w:highlight w:val="none"/>
                <w14:textFill>
                  <w14:solidFill>
                    <w14:schemeClr w14:val="tx1"/>
                  </w14:solidFill>
                </w14:textFill>
              </w:rPr>
              <w:t>马尾松群落</w:t>
            </w:r>
          </w:p>
        </w:tc>
        <w:tc>
          <w:tcPr>
            <w:tcW w:w="2012" w:type="pct"/>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spacing w:val="15"/>
                <w:sz w:val="21"/>
                <w:szCs w:val="21"/>
                <w:highlight w:val="none"/>
                <w14:textFill>
                  <w14:solidFill>
                    <w14:schemeClr w14:val="tx1"/>
                  </w14:solidFill>
                </w14:textFill>
              </w:rPr>
              <w:t>马尾松</w:t>
            </w:r>
          </w:p>
        </w:tc>
        <w:tc>
          <w:tcPr>
            <w:tcW w:w="1142" w:type="pct"/>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0.732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1845" w:type="pct"/>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spacing w:val="15"/>
                <w:sz w:val="21"/>
                <w:szCs w:val="21"/>
                <w:highlight w:val="none"/>
                <w14:textFill>
                  <w14:solidFill>
                    <w14:schemeClr w14:val="tx1"/>
                  </w14:solidFill>
                </w14:textFill>
              </w:rPr>
              <w:t>麻栎、青冈群落</w:t>
            </w:r>
          </w:p>
        </w:tc>
        <w:tc>
          <w:tcPr>
            <w:tcW w:w="2012" w:type="pct"/>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spacing w:val="15"/>
                <w:sz w:val="21"/>
                <w:szCs w:val="21"/>
                <w:highlight w:val="none"/>
                <w14:textFill>
                  <w14:solidFill>
                    <w14:schemeClr w14:val="tx1"/>
                  </w14:solidFill>
                </w14:textFill>
              </w:rPr>
              <w:t>麻栎、青冈</w:t>
            </w:r>
          </w:p>
        </w:tc>
        <w:tc>
          <w:tcPr>
            <w:tcW w:w="1142" w:type="pct"/>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0.801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1845" w:type="pct"/>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spacing w:val="15"/>
                <w:sz w:val="21"/>
                <w:szCs w:val="21"/>
                <w:highlight w:val="none"/>
                <w14:textFill>
                  <w14:solidFill>
                    <w14:schemeClr w14:val="tx1"/>
                  </w14:solidFill>
                </w14:textFill>
              </w:rPr>
              <w:t>野桐、盐肤木灌丛</w:t>
            </w:r>
          </w:p>
        </w:tc>
        <w:tc>
          <w:tcPr>
            <w:tcW w:w="2012" w:type="pct"/>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spacing w:val="15"/>
                <w:sz w:val="21"/>
                <w:szCs w:val="21"/>
                <w:highlight w:val="none"/>
                <w14:textFill>
                  <w14:solidFill>
                    <w14:schemeClr w14:val="tx1"/>
                  </w14:solidFill>
                </w14:textFill>
              </w:rPr>
              <w:t>野桐、盐肤木</w:t>
            </w:r>
          </w:p>
        </w:tc>
        <w:tc>
          <w:tcPr>
            <w:tcW w:w="1142" w:type="pct"/>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0.602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1845" w:type="pct"/>
            <w:vAlign w:val="center"/>
          </w:tcPr>
          <w:p>
            <w:pPr>
              <w:snapToGrid/>
              <w:spacing w:line="240" w:lineRule="auto"/>
              <w:ind w:firstLine="0" w:firstLineChars="0"/>
              <w:jc w:val="center"/>
              <w:textAlignment w:val="baseline"/>
              <w:rPr>
                <w:rFonts w:cs="Times New Roman"/>
                <w:bCs/>
                <w:color w:val="000000" w:themeColor="text1"/>
                <w:spacing w:val="15"/>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马桑+黄荆+火棘+荚蒾灌丛</w:t>
            </w:r>
          </w:p>
        </w:tc>
        <w:tc>
          <w:tcPr>
            <w:tcW w:w="2012" w:type="pct"/>
            <w:vAlign w:val="center"/>
          </w:tcPr>
          <w:p>
            <w:pPr>
              <w:snapToGrid/>
              <w:spacing w:line="240" w:lineRule="auto"/>
              <w:ind w:firstLine="0" w:firstLineChars="0"/>
              <w:jc w:val="center"/>
              <w:textAlignment w:val="baseline"/>
              <w:rPr>
                <w:rFonts w:cs="Times New Roman"/>
                <w:bCs/>
                <w:color w:val="000000" w:themeColor="text1"/>
                <w:spacing w:val="15"/>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马桑、黄荆、火棘、荚蒾</w:t>
            </w:r>
          </w:p>
        </w:tc>
        <w:tc>
          <w:tcPr>
            <w:tcW w:w="1142" w:type="pct"/>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0.581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1845" w:type="pct"/>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芒、</w:t>
            </w:r>
            <w:r>
              <w:rPr>
                <w:rFonts w:cs="Times New Roman"/>
                <w:bCs/>
                <w:color w:val="000000" w:themeColor="text1"/>
                <w:spacing w:val="-4"/>
                <w:sz w:val="21"/>
                <w:szCs w:val="21"/>
                <w:highlight w:val="none"/>
                <w14:textFill>
                  <w14:solidFill>
                    <w14:schemeClr w14:val="tx1"/>
                  </w14:solidFill>
                </w14:textFill>
              </w:rPr>
              <w:t>白茅草丛</w:t>
            </w:r>
            <w:r>
              <w:rPr>
                <w:rFonts w:cs="Times New Roman"/>
                <w:bCs/>
                <w:color w:val="000000" w:themeColor="text1"/>
                <w:kern w:val="0"/>
                <w:sz w:val="21"/>
                <w:szCs w:val="21"/>
                <w:highlight w:val="none"/>
                <w14:textFill>
                  <w14:solidFill>
                    <w14:schemeClr w14:val="tx1"/>
                  </w14:solidFill>
                </w14:textFill>
              </w:rPr>
              <w:t>群系</w:t>
            </w:r>
          </w:p>
        </w:tc>
        <w:tc>
          <w:tcPr>
            <w:tcW w:w="2012" w:type="pct"/>
            <w:vAlign w:val="center"/>
          </w:tcPr>
          <w:p>
            <w:pPr>
              <w:snapToGrid/>
              <w:spacing w:line="240" w:lineRule="auto"/>
              <w:ind w:firstLine="0" w:firstLineChars="0"/>
              <w:jc w:val="center"/>
              <w:textAlignment w:val="baseline"/>
              <w:rPr>
                <w:rFonts w:cs="Times New Roman"/>
                <w:bCs/>
                <w:color w:val="000000" w:themeColor="text1"/>
                <w:spacing w:val="15"/>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芒、</w:t>
            </w:r>
            <w:r>
              <w:rPr>
                <w:rFonts w:cs="Times New Roman"/>
                <w:bCs/>
                <w:color w:val="000000" w:themeColor="text1"/>
                <w:spacing w:val="-4"/>
                <w:sz w:val="21"/>
                <w:szCs w:val="21"/>
                <w:highlight w:val="none"/>
                <w14:textFill>
                  <w14:solidFill>
                    <w14:schemeClr w14:val="tx1"/>
                  </w14:solidFill>
                </w14:textFill>
              </w:rPr>
              <w:t>白茅、五节芒</w:t>
            </w:r>
          </w:p>
        </w:tc>
        <w:tc>
          <w:tcPr>
            <w:tcW w:w="1142" w:type="pct"/>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0.340</w:t>
            </w:r>
          </w:p>
        </w:tc>
      </w:tr>
    </w:tbl>
    <w:p>
      <w:pPr>
        <w:spacing w:before="120"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由上表可见，项目处于亚热带常绿阔叶林区域，水热条件较好，植被总体覆盖度较高，评价区主要群落物种丰富度指数介于0.340-0.801之间，表明评价区物种多样性水平较高，总体结构较复杂。</w:t>
      </w:r>
    </w:p>
    <w:p>
      <w:pPr>
        <w:pStyle w:val="5"/>
        <w:spacing w:before="12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陆生野生动物现状调查</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1、项目评价范围内陆生野生脊椎动物现状和特点</w:t>
      </w:r>
    </w:p>
    <w:p>
      <w:pPr>
        <w:ind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动物调查采用样线调查法，设置调查样线6条，样线长为1-3km，单侧观察宽度为50m，样线分别设置在林地、耕地居民点等地，涵盖了不同的生境条件，尽量在评价区内均匀分布。由于项目评价范围现有土地开发利用程度较高，人类活动对当地野生动物影响较大，野生动物组成比较简单，种类较少，多为鸟类和小型啮齿类动物，鸟类繁殖期多在食物资源丰富的春夏季，啮齿类动物多无固定繁殖期，蛇类越冬期主要在11-次年4月，本次评价以项目所在区域宣汉县陆生野生动物分布情况为准。</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18</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野生动物野外调查样线分布表</w:t>
      </w:r>
    </w:p>
    <w:tbl>
      <w:tblPr>
        <w:tblStyle w:val="38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719"/>
        <w:gridCol w:w="2684"/>
        <w:gridCol w:w="39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1033" w:type="pct"/>
            <w:vAlign w:val="center"/>
          </w:tcPr>
          <w:p>
            <w:pPr>
              <w:widowControl/>
              <w:adjustRightInd/>
              <w:snapToGrid/>
              <w:spacing w:line="240" w:lineRule="auto"/>
              <w:ind w:firstLine="0" w:firstLineChars="0"/>
              <w:jc w:val="center"/>
              <w:textAlignment w:val="bottom"/>
              <w:rPr>
                <w:rFonts w:cs="Times New Roman"/>
                <w:b/>
                <w:color w:val="000000" w:themeColor="text1"/>
                <w:kern w:val="0"/>
                <w:sz w:val="21"/>
                <w:szCs w:val="21"/>
                <w:highlight w:val="none"/>
                <w:lang w:bidi="ar"/>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样带编号</w:t>
            </w:r>
          </w:p>
        </w:tc>
        <w:tc>
          <w:tcPr>
            <w:tcW w:w="1613" w:type="pct"/>
            <w:vAlign w:val="center"/>
          </w:tcPr>
          <w:p>
            <w:pPr>
              <w:widowControl/>
              <w:adjustRightInd/>
              <w:snapToGrid/>
              <w:spacing w:line="240" w:lineRule="auto"/>
              <w:ind w:firstLine="0" w:firstLineChars="0"/>
              <w:jc w:val="center"/>
              <w:textAlignment w:val="bottom"/>
              <w:rPr>
                <w:rFonts w:cs="Times New Roman"/>
                <w:b/>
                <w:color w:val="000000" w:themeColor="text1"/>
                <w:kern w:val="0"/>
                <w:sz w:val="21"/>
                <w:szCs w:val="21"/>
                <w:highlight w:val="none"/>
                <w:lang w:bidi="ar"/>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生态环境</w:t>
            </w:r>
          </w:p>
        </w:tc>
        <w:tc>
          <w:tcPr>
            <w:tcW w:w="2354" w:type="pct"/>
            <w:vAlign w:val="center"/>
          </w:tcPr>
          <w:p>
            <w:pPr>
              <w:widowControl/>
              <w:adjustRightInd/>
              <w:snapToGrid/>
              <w:spacing w:line="240" w:lineRule="auto"/>
              <w:ind w:firstLine="0" w:firstLineChars="0"/>
              <w:jc w:val="center"/>
              <w:textAlignment w:val="bottom"/>
              <w:rPr>
                <w:rFonts w:cs="Times New Roman"/>
                <w:b/>
                <w:color w:val="000000" w:themeColor="text1"/>
                <w:kern w:val="0"/>
                <w:sz w:val="21"/>
                <w:szCs w:val="21"/>
                <w:highlight w:val="none"/>
                <w:lang w:bidi="ar"/>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主要野生动物类型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6" w:hRule="atLeast"/>
          <w:jc w:val="center"/>
        </w:trPr>
        <w:tc>
          <w:tcPr>
            <w:tcW w:w="1033" w:type="pct"/>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01-03</w:t>
            </w:r>
          </w:p>
        </w:tc>
        <w:tc>
          <w:tcPr>
            <w:tcW w:w="1613" w:type="pct"/>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林地</w:t>
            </w:r>
          </w:p>
        </w:tc>
        <w:tc>
          <w:tcPr>
            <w:tcW w:w="2354" w:type="pct"/>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鸟类、爬行类、兽类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1033" w:type="pct"/>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04-06</w:t>
            </w:r>
          </w:p>
        </w:tc>
        <w:tc>
          <w:tcPr>
            <w:tcW w:w="1613" w:type="pct"/>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耕地、居民点</w:t>
            </w:r>
          </w:p>
        </w:tc>
        <w:tc>
          <w:tcPr>
            <w:tcW w:w="2354" w:type="pct"/>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鸟类、两栖类、爬行类、兽类</w:t>
            </w:r>
          </w:p>
        </w:tc>
      </w:tr>
    </w:tbl>
    <w:p>
      <w:pPr>
        <w:spacing w:line="480" w:lineRule="exact"/>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2、物种组成</w:t>
      </w:r>
    </w:p>
    <w:p>
      <w:pPr>
        <w:spacing w:line="500" w:lineRule="exact"/>
        <w:ind w:left="60" w:right="100" w:firstLine="468" w:firstLineChars="195"/>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根据现场调查、访问，参考保护区科考报告资料，评价区及周边不完全统计有野生脊椎动物17目31科55种，其中两栖类1目3科5种，爬行类1目2科6种，哺乳类6目8科14种，鸟类9目18科30种。</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表 </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19</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评价区野生脊椎动物物种组成</w:t>
      </w:r>
    </w:p>
    <w:tbl>
      <w:tblPr>
        <w:tblStyle w:val="383"/>
        <w:tblW w:w="82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13"/>
        <w:gridCol w:w="1138"/>
        <w:gridCol w:w="1138"/>
        <w:gridCol w:w="1298"/>
        <w:gridCol w:w="1353"/>
        <w:gridCol w:w="1228"/>
        <w:gridCol w:w="8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313" w:type="dxa"/>
            <w:vAlign w:val="center"/>
          </w:tcPr>
          <w:p>
            <w:pPr>
              <w:widowControl/>
              <w:adjustRightInd/>
              <w:snapToGrid/>
              <w:spacing w:line="240" w:lineRule="auto"/>
              <w:ind w:firstLine="0" w:firstLineChars="0"/>
              <w:jc w:val="center"/>
              <w:textAlignment w:val="bottom"/>
              <w:rPr>
                <w:rFonts w:cs="Times New Roman"/>
                <w:b/>
                <w:color w:val="000000" w:themeColor="text1"/>
                <w:kern w:val="0"/>
                <w:sz w:val="21"/>
                <w:szCs w:val="21"/>
                <w:highlight w:val="none"/>
                <w:lang w:bidi="ar"/>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类别</w:t>
            </w:r>
          </w:p>
        </w:tc>
        <w:tc>
          <w:tcPr>
            <w:tcW w:w="1138" w:type="dxa"/>
            <w:vAlign w:val="center"/>
          </w:tcPr>
          <w:p>
            <w:pPr>
              <w:widowControl/>
              <w:adjustRightInd/>
              <w:snapToGrid/>
              <w:spacing w:line="240" w:lineRule="auto"/>
              <w:ind w:firstLine="0" w:firstLineChars="0"/>
              <w:jc w:val="center"/>
              <w:textAlignment w:val="bottom"/>
              <w:rPr>
                <w:rFonts w:cs="Times New Roman"/>
                <w:b/>
                <w:color w:val="000000" w:themeColor="text1"/>
                <w:kern w:val="0"/>
                <w:sz w:val="21"/>
                <w:szCs w:val="21"/>
                <w:highlight w:val="none"/>
                <w:lang w:bidi="ar"/>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目数</w:t>
            </w:r>
          </w:p>
        </w:tc>
        <w:tc>
          <w:tcPr>
            <w:tcW w:w="1138" w:type="dxa"/>
            <w:vAlign w:val="center"/>
          </w:tcPr>
          <w:p>
            <w:pPr>
              <w:widowControl/>
              <w:adjustRightInd/>
              <w:snapToGrid/>
              <w:spacing w:line="240" w:lineRule="auto"/>
              <w:ind w:firstLine="0" w:firstLineChars="0"/>
              <w:jc w:val="center"/>
              <w:textAlignment w:val="bottom"/>
              <w:rPr>
                <w:rFonts w:cs="Times New Roman"/>
                <w:b/>
                <w:color w:val="000000" w:themeColor="text1"/>
                <w:kern w:val="0"/>
                <w:sz w:val="21"/>
                <w:szCs w:val="21"/>
                <w:highlight w:val="none"/>
                <w:lang w:bidi="ar"/>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科数</w:t>
            </w:r>
          </w:p>
        </w:tc>
        <w:tc>
          <w:tcPr>
            <w:tcW w:w="1298" w:type="dxa"/>
            <w:vAlign w:val="center"/>
          </w:tcPr>
          <w:p>
            <w:pPr>
              <w:widowControl/>
              <w:adjustRightInd/>
              <w:snapToGrid/>
              <w:spacing w:line="240" w:lineRule="auto"/>
              <w:ind w:firstLine="0" w:firstLineChars="0"/>
              <w:jc w:val="center"/>
              <w:textAlignment w:val="bottom"/>
              <w:rPr>
                <w:rFonts w:cs="Times New Roman"/>
                <w:b/>
                <w:color w:val="000000" w:themeColor="text1"/>
                <w:kern w:val="0"/>
                <w:sz w:val="21"/>
                <w:szCs w:val="21"/>
                <w:highlight w:val="none"/>
                <w:lang w:bidi="ar"/>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物种数</w:t>
            </w:r>
          </w:p>
        </w:tc>
        <w:tc>
          <w:tcPr>
            <w:tcW w:w="1353" w:type="dxa"/>
            <w:vAlign w:val="center"/>
          </w:tcPr>
          <w:p>
            <w:pPr>
              <w:widowControl/>
              <w:adjustRightInd/>
              <w:snapToGrid/>
              <w:spacing w:line="240" w:lineRule="auto"/>
              <w:ind w:firstLine="0" w:firstLineChars="0"/>
              <w:jc w:val="center"/>
              <w:textAlignment w:val="bottom"/>
              <w:rPr>
                <w:rFonts w:cs="Times New Roman"/>
                <w:b/>
                <w:color w:val="000000" w:themeColor="text1"/>
                <w:kern w:val="0"/>
                <w:sz w:val="21"/>
                <w:szCs w:val="21"/>
                <w:highlight w:val="none"/>
                <w:lang w:bidi="ar"/>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国家Ⅰ级</w:t>
            </w:r>
          </w:p>
        </w:tc>
        <w:tc>
          <w:tcPr>
            <w:tcW w:w="1228" w:type="dxa"/>
            <w:vAlign w:val="center"/>
          </w:tcPr>
          <w:p>
            <w:pPr>
              <w:widowControl/>
              <w:adjustRightInd/>
              <w:snapToGrid/>
              <w:spacing w:line="240" w:lineRule="auto"/>
              <w:ind w:firstLine="0" w:firstLineChars="0"/>
              <w:jc w:val="center"/>
              <w:textAlignment w:val="bottom"/>
              <w:rPr>
                <w:rFonts w:cs="Times New Roman"/>
                <w:b/>
                <w:color w:val="000000" w:themeColor="text1"/>
                <w:kern w:val="0"/>
                <w:sz w:val="21"/>
                <w:szCs w:val="21"/>
                <w:highlight w:val="none"/>
                <w:lang w:bidi="ar"/>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国家Ⅱ级</w:t>
            </w:r>
          </w:p>
        </w:tc>
        <w:tc>
          <w:tcPr>
            <w:tcW w:w="818" w:type="dxa"/>
            <w:vAlign w:val="center"/>
          </w:tcPr>
          <w:p>
            <w:pPr>
              <w:widowControl/>
              <w:adjustRightInd/>
              <w:snapToGrid/>
              <w:spacing w:line="240" w:lineRule="auto"/>
              <w:ind w:firstLine="0" w:firstLineChars="0"/>
              <w:jc w:val="center"/>
              <w:textAlignment w:val="bottom"/>
              <w:rPr>
                <w:rFonts w:cs="Times New Roman"/>
                <w:b/>
                <w:color w:val="000000" w:themeColor="text1"/>
                <w:kern w:val="0"/>
                <w:sz w:val="21"/>
                <w:szCs w:val="21"/>
                <w:highlight w:val="none"/>
                <w:lang w:bidi="ar"/>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313" w:type="dxa"/>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两栖类</w:t>
            </w:r>
          </w:p>
        </w:tc>
        <w:tc>
          <w:tcPr>
            <w:tcW w:w="1138" w:type="dxa"/>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1</w:t>
            </w:r>
          </w:p>
        </w:tc>
        <w:tc>
          <w:tcPr>
            <w:tcW w:w="1138" w:type="dxa"/>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3</w:t>
            </w:r>
          </w:p>
        </w:tc>
        <w:tc>
          <w:tcPr>
            <w:tcW w:w="1298" w:type="dxa"/>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5</w:t>
            </w:r>
          </w:p>
        </w:tc>
        <w:tc>
          <w:tcPr>
            <w:tcW w:w="1353" w:type="dxa"/>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w:t>
            </w:r>
          </w:p>
        </w:tc>
        <w:tc>
          <w:tcPr>
            <w:tcW w:w="1228" w:type="dxa"/>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w:t>
            </w:r>
          </w:p>
        </w:tc>
        <w:tc>
          <w:tcPr>
            <w:tcW w:w="818" w:type="dxa"/>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313" w:type="dxa"/>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爬行类</w:t>
            </w:r>
          </w:p>
        </w:tc>
        <w:tc>
          <w:tcPr>
            <w:tcW w:w="1138" w:type="dxa"/>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1</w:t>
            </w:r>
          </w:p>
        </w:tc>
        <w:tc>
          <w:tcPr>
            <w:tcW w:w="1138" w:type="dxa"/>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2</w:t>
            </w:r>
          </w:p>
        </w:tc>
        <w:tc>
          <w:tcPr>
            <w:tcW w:w="1298" w:type="dxa"/>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6</w:t>
            </w:r>
          </w:p>
        </w:tc>
        <w:tc>
          <w:tcPr>
            <w:tcW w:w="1353" w:type="dxa"/>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w:t>
            </w:r>
          </w:p>
        </w:tc>
        <w:tc>
          <w:tcPr>
            <w:tcW w:w="1228" w:type="dxa"/>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w:t>
            </w:r>
          </w:p>
        </w:tc>
        <w:tc>
          <w:tcPr>
            <w:tcW w:w="818" w:type="dxa"/>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313" w:type="dxa"/>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鸟类</w:t>
            </w:r>
          </w:p>
        </w:tc>
        <w:tc>
          <w:tcPr>
            <w:tcW w:w="1138" w:type="dxa"/>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9</w:t>
            </w:r>
          </w:p>
        </w:tc>
        <w:tc>
          <w:tcPr>
            <w:tcW w:w="1138" w:type="dxa"/>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18</w:t>
            </w:r>
          </w:p>
        </w:tc>
        <w:tc>
          <w:tcPr>
            <w:tcW w:w="1298" w:type="dxa"/>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30</w:t>
            </w:r>
          </w:p>
        </w:tc>
        <w:tc>
          <w:tcPr>
            <w:tcW w:w="1353" w:type="dxa"/>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w:t>
            </w:r>
          </w:p>
        </w:tc>
        <w:tc>
          <w:tcPr>
            <w:tcW w:w="1228" w:type="dxa"/>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w:t>
            </w:r>
          </w:p>
        </w:tc>
        <w:tc>
          <w:tcPr>
            <w:tcW w:w="818" w:type="dxa"/>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313" w:type="dxa"/>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兽类</w:t>
            </w:r>
          </w:p>
        </w:tc>
        <w:tc>
          <w:tcPr>
            <w:tcW w:w="1138" w:type="dxa"/>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6</w:t>
            </w:r>
          </w:p>
        </w:tc>
        <w:tc>
          <w:tcPr>
            <w:tcW w:w="1138" w:type="dxa"/>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8</w:t>
            </w:r>
          </w:p>
        </w:tc>
        <w:tc>
          <w:tcPr>
            <w:tcW w:w="1298" w:type="dxa"/>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14</w:t>
            </w:r>
          </w:p>
        </w:tc>
        <w:tc>
          <w:tcPr>
            <w:tcW w:w="1353" w:type="dxa"/>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w:t>
            </w:r>
          </w:p>
        </w:tc>
        <w:tc>
          <w:tcPr>
            <w:tcW w:w="1228" w:type="dxa"/>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w:t>
            </w:r>
          </w:p>
        </w:tc>
        <w:tc>
          <w:tcPr>
            <w:tcW w:w="818" w:type="dxa"/>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313" w:type="dxa"/>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合计</w:t>
            </w:r>
          </w:p>
        </w:tc>
        <w:tc>
          <w:tcPr>
            <w:tcW w:w="1138" w:type="dxa"/>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17</w:t>
            </w:r>
          </w:p>
        </w:tc>
        <w:tc>
          <w:tcPr>
            <w:tcW w:w="1138" w:type="dxa"/>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31</w:t>
            </w:r>
          </w:p>
        </w:tc>
        <w:tc>
          <w:tcPr>
            <w:tcW w:w="1298" w:type="dxa"/>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55</w:t>
            </w:r>
          </w:p>
        </w:tc>
        <w:tc>
          <w:tcPr>
            <w:tcW w:w="1353" w:type="dxa"/>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w:t>
            </w:r>
          </w:p>
        </w:tc>
        <w:tc>
          <w:tcPr>
            <w:tcW w:w="1228" w:type="dxa"/>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w:t>
            </w:r>
          </w:p>
        </w:tc>
        <w:tc>
          <w:tcPr>
            <w:tcW w:w="818" w:type="dxa"/>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w:t>
            </w:r>
          </w:p>
        </w:tc>
      </w:tr>
    </w:tbl>
    <w:p>
      <w:pPr>
        <w:spacing w:before="120"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A</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兽类的组成及分布</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根据野外调查和文献资料核实，评价区共有兽类6目8科11属14种，即食虫目1科1种、翼手目1科1种、</w:t>
      </w:r>
      <w:r>
        <w:rPr>
          <w:rFonts w:cs="Times New Roman"/>
          <w:bCs/>
          <w:color w:val="000000" w:themeColor="text1"/>
          <w:kern w:val="0"/>
          <w:sz w:val="21"/>
          <w:szCs w:val="21"/>
          <w:highlight w:val="none"/>
          <w:lang w:bidi="ar"/>
          <w14:textFill>
            <w14:solidFill>
              <w14:schemeClr w14:val="tx1"/>
            </w14:solidFill>
          </w14:textFill>
        </w:rPr>
        <w:t>偶蹄目</w:t>
      </w:r>
      <w:r>
        <w:rPr>
          <w:rFonts w:cs="Times New Roman"/>
          <w:bCs/>
          <w:color w:val="000000" w:themeColor="text1"/>
          <w:szCs w:val="24"/>
          <w:highlight w:val="none"/>
          <w14:textFill>
            <w14:solidFill>
              <w14:schemeClr w14:val="tx1"/>
            </w14:solidFill>
          </w14:textFill>
        </w:rPr>
        <w:t>2科2种，食肉目1科1种、啮齿目2科8种、兔形目1科1属1种。从目一级水平看，啮齿目优势明显。由于人类活动影响，评价区的兽类主要以常见的小型兽类为主，基本难以寻觅大、中型兽类的痕迹，本次调查未发现保护兽类动物的踪迹。</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（1）区系分析</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区内有分布的14种兽类中，东洋界种类有5种，占该区域实际调查到有分布的兽类总种数的35.71%；古北界种类有3种，占21.43%，广布种有6种，占42.86%。</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（2）生态分布</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根据该区域的环境特征和兽类的生活特性，该区域兽类主要分为如下几种生态类型：</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溪流区兽类：指生活在评价区内溪流和沿岸的物种，主要包括：黄鼬、草兔、社鼠等。</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林区兽类：主要是指生活在森林环境的物种，森林环境在该区域主要分布于坡地中上部。为该区最广的生境类型，主要分布的兽类有隐纹花松鼠、社鼠等。</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灌草丛区兽类：该区域的生境类型主要包括灌丛、草丛和农耕地等，分布海拔相对较低，生活于其中的兽类主要包括：黄鼬、草兔、社鼠等，其中的优势种类为草兔、社鼠等。</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（3）保护物种</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评价区内未发现国家级和省级重点保护兽类，同时评价区的相关资料也未记载相关国家级和省级重点保护兽类。</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B</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鸟类的组成及分布</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根据文献查阅及现场调研，评价范围内共有鸟类30种，隶10目18科。其中，从类群构成看，雀形目鸟类16种，占评价区鸟类总种数的53.33%。</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（1）区系分析</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评价区内鸟类中属古北界的有10种，占评价区内鸟类总数的33.33%；属东洋界的有9种，占评价区内鸟类总数的30%；属广布种的有11种，占评价区内鸟类总数的36.67%。调查评价区内鸟类以广布种占优势。</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（2）居留类型</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评价区内有留鸟17种，占鸟类总数的56.67%；夏候鸟12种，约占40%；冬候鸟1种，各占3.33%。调查评价区内鸟类以留鸟为主。</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（3）生态分布</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根据评价区植被分布的特点，将评价区鸟类分布的生境划分为以下几种类型：</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溪流区鸟类：该区域的生境类型主要包括水域、草丛、灌丛等基本类型，分布海拔相对较低，活动于其中的鸟类主要包括：鹳形目的种类。该区的优势种类是：白鹭、赤麻鸭等。</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森林区鸟类：森林环境在该区域较广泛。生活于该区的鸟类较多，主要为雉科、鸦科、雀科等。优势种类有雉鸡、山斑鸠、大杜鹃、树麻雀、噪鹃等。</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草灌丛、农区鸟类：该类生境在评价区内分布较狭窄。该区段生活的鸟类主要是鸡形目及雀形目的部分鸟类。其中的优势种类主要有家燕、毛脚燕、普通翠鸟等。</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（4）保护物种</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据调查和访问，评价区未发现属于国家级保护和四川省级保护的鸟类。</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C</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爬行动物的组成及分布</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根据野外调查和相关资料，确认评价范围内共分布有爬行动物6种，分属1目2科，分别为游蛇科5种，</w:t>
      </w:r>
      <w:r>
        <w:rPr>
          <w:rFonts w:cs="Times New Roman"/>
          <w:bCs/>
          <w:color w:val="000000" w:themeColor="text1"/>
          <w:spacing w:val="-2"/>
          <w:kern w:val="0"/>
          <w:szCs w:val="24"/>
          <w:highlight w:val="none"/>
          <w:lang w:bidi="ar"/>
          <w14:textFill>
            <w14:solidFill>
              <w14:schemeClr w14:val="tx1"/>
            </w14:solidFill>
          </w14:textFill>
        </w:rPr>
        <w:t>石龙子</w:t>
      </w:r>
      <w:r>
        <w:rPr>
          <w:rFonts w:cs="Times New Roman"/>
          <w:bCs/>
          <w:color w:val="000000" w:themeColor="text1"/>
          <w:kern w:val="0"/>
          <w:szCs w:val="24"/>
          <w:highlight w:val="none"/>
          <w:lang w:bidi="ar"/>
          <w14:textFill>
            <w14:solidFill>
              <w14:schemeClr w14:val="tx1"/>
            </w14:solidFill>
          </w14:textFill>
        </w:rPr>
        <w:t>科</w:t>
      </w:r>
      <w:r>
        <w:rPr>
          <w:rFonts w:cs="Times New Roman"/>
          <w:bCs/>
          <w:color w:val="000000" w:themeColor="text1"/>
          <w:szCs w:val="24"/>
          <w:highlight w:val="none"/>
          <w14:textFill>
            <w14:solidFill>
              <w14:schemeClr w14:val="tx1"/>
            </w14:solidFill>
          </w14:textFill>
        </w:rPr>
        <w:t>1种。评价范围内生境较广泛，主要有翠青蛇、赤链蛇、乌梢蛇、王锦蛇等种类。从物种的目级组成看，评价区的爬行类均为有鳞目蛇亚目的种类。从科级组成看，评价区爬行类以游蛇科种类占优势。</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（1）区系分布</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评价范围分布的6种爬行动物东洋界物种有3种，古北种1种，广布种2种。</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（2）生态分布</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评价区的爬行动物大多栖息在灌草丛中。</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（3）保护物种</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调查中未发现属于国家级保护和四川省级保护的爬行类物种。</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D</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两栖动物的组成及分布</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据不完全统计，评价范围内分布有两栖动物5种，隶属于1目3科，分别为蟾蜍科2种，蛙科2种，叉舌蛙科1种。</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（1）区系分析</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评价区内的两栖类以东洋界为主，仅有1个古北种和1个广布种。</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（2）生态分布</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中华蟾蜍、黑眶蟾蜍、黑斑侧褶蛙等生活在河沟两侧或其附近环境植被较为茂密、阴湿的灌草丛区域；花臭蛙主要生活在大小溪两岸潮湿的岩石上；泽陆蛙主要在水域地区。</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（3）保护物种</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调查中未发现属于国家级保护和省级保护的两栖类物种。</w:t>
      </w:r>
    </w:p>
    <w:p>
      <w:pPr>
        <w:pStyle w:val="5"/>
        <w:spacing w:before="120"/>
        <w:ind w:firstLine="480"/>
        <w:rPr>
          <w:color w:val="000000" w:themeColor="text1"/>
          <w:highlight w:val="none"/>
          <w:lang w:eastAsia="zh-CN"/>
          <w14:textFill>
            <w14:solidFill>
              <w14:schemeClr w14:val="tx1"/>
            </w14:solidFill>
          </w14:textFill>
        </w:rPr>
      </w:pPr>
      <w:r>
        <w:rPr>
          <w:color w:val="000000" w:themeColor="text1"/>
          <w:highlight w:val="none"/>
          <w:lang w:eastAsia="zh-CN"/>
          <w14:textFill>
            <w14:solidFill>
              <w14:schemeClr w14:val="tx1"/>
            </w14:solidFill>
          </w14:textFill>
        </w:rPr>
        <w:t>重要物种、迁徙物种、重要生境调查</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1、项目评价范围内重点保护野生植物和古树名木</w:t>
      </w:r>
    </w:p>
    <w:p>
      <w:pPr>
        <w:ind w:right="100" w:firstLine="468"/>
        <w:rPr>
          <w:rFonts w:cs="Times New Roman"/>
          <w:bCs/>
          <w:color w:val="000000" w:themeColor="text1"/>
          <w:szCs w:val="24"/>
          <w:highlight w:val="none"/>
          <w14:textFill>
            <w14:solidFill>
              <w14:schemeClr w14:val="tx1"/>
            </w14:solidFill>
          </w14:textFill>
        </w:rPr>
      </w:pPr>
      <w:r>
        <w:rPr>
          <w:rFonts w:cs="Times New Roman"/>
          <w:bCs/>
          <w:color w:val="000000" w:themeColor="text1"/>
          <w:spacing w:val="-6"/>
          <w:szCs w:val="24"/>
          <w:highlight w:val="none"/>
          <w14:textFill>
            <w14:solidFill>
              <w14:schemeClr w14:val="tx1"/>
            </w14:solidFill>
          </w14:textFill>
        </w:rPr>
        <w:t>根据现场调查及相关文献资料查阅，本次评价范围内的林地主要为人工林，区域植物种类主要为马尾松、栎雷及其他常见灌草植物和经济林木等。</w:t>
      </w:r>
      <w:r>
        <w:rPr>
          <w:rFonts w:cs="Times New Roman"/>
          <w:bCs/>
          <w:color w:val="000000" w:themeColor="text1"/>
          <w:szCs w:val="24"/>
          <w:highlight w:val="none"/>
          <w14:textFill>
            <w14:solidFill>
              <w14:schemeClr w14:val="tx1"/>
            </w14:solidFill>
          </w14:textFill>
        </w:rPr>
        <w:t>按照现行的《中华人民共和国野生植物保护条例（1999）</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pacing w:val="-6"/>
          <w:szCs w:val="24"/>
          <w:highlight w:val="none"/>
          <w14:textFill>
            <w14:solidFill>
              <w14:schemeClr w14:val="tx1"/>
            </w14:solidFill>
          </w14:textFill>
        </w:rPr>
        <w:t>国家重点保护野生植物名录》</w:t>
      </w:r>
      <w:r>
        <w:rPr>
          <w:rFonts w:hint="eastAsia" w:cs="Times New Roman"/>
          <w:bCs/>
          <w:color w:val="000000" w:themeColor="text1"/>
          <w:spacing w:val="-6"/>
          <w:szCs w:val="24"/>
          <w:highlight w:val="none"/>
          <w14:textFill>
            <w14:solidFill>
              <w14:schemeClr w14:val="tx1"/>
            </w14:solidFill>
          </w14:textFill>
        </w:rPr>
        <w:t>（</w:t>
      </w:r>
      <w:r>
        <w:rPr>
          <w:rFonts w:cs="Times New Roman"/>
          <w:bCs/>
          <w:color w:val="000000" w:themeColor="text1"/>
          <w:spacing w:val="-6"/>
          <w:szCs w:val="24"/>
          <w:highlight w:val="none"/>
          <w14:textFill>
            <w14:solidFill>
              <w14:schemeClr w14:val="tx1"/>
            </w14:solidFill>
          </w14:textFill>
        </w:rPr>
        <w:t>国家林业和草原局农业农村部公告2021</w:t>
      </w:r>
      <w:r>
        <w:rPr>
          <w:rFonts w:cs="Times New Roman"/>
          <w:bCs/>
          <w:color w:val="000000" w:themeColor="text1"/>
          <w:spacing w:val="-9"/>
          <w:szCs w:val="24"/>
          <w:highlight w:val="none"/>
          <w14:textFill>
            <w14:solidFill>
              <w14:schemeClr w14:val="tx1"/>
            </w14:solidFill>
          </w14:textFill>
        </w:rPr>
        <w:t>年</w:t>
      </w:r>
      <w:r>
        <w:rPr>
          <w:rFonts w:cs="Times New Roman"/>
          <w:bCs/>
          <w:color w:val="000000" w:themeColor="text1"/>
          <w:spacing w:val="-5"/>
          <w:szCs w:val="24"/>
          <w:highlight w:val="none"/>
          <w14:textFill>
            <w14:solidFill>
              <w14:schemeClr w14:val="tx1"/>
            </w14:solidFill>
          </w14:textFill>
        </w:rPr>
        <w:t>第15号</w:t>
      </w:r>
      <w:r>
        <w:rPr>
          <w:rFonts w:hint="eastAsia" w:cs="Times New Roman"/>
          <w:bCs/>
          <w:color w:val="000000" w:themeColor="text1"/>
          <w:spacing w:val="-5"/>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w:t>
      </w:r>
      <w:r>
        <w:rPr>
          <w:rFonts w:cs="Times New Roman"/>
          <w:bCs/>
          <w:color w:val="000000" w:themeColor="text1"/>
          <w:spacing w:val="-6"/>
          <w:szCs w:val="24"/>
          <w:highlight w:val="none"/>
          <w14:textFill>
            <w14:solidFill>
              <w14:schemeClr w14:val="tx1"/>
            </w14:solidFill>
          </w14:textFill>
        </w:rPr>
        <w:t>《四川省重点保护野生植物名录</w:t>
      </w:r>
      <w:r>
        <w:rPr>
          <w:rFonts w:hint="eastAsia" w:cs="Times New Roman"/>
          <w:bCs/>
          <w:color w:val="000000" w:themeColor="text1"/>
          <w:spacing w:val="-6"/>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全国古树名木普查建档技术规定（2001）》以及相关科考资料，评价区无重点保护野生植物和古树名木等重要物种分布。</w:t>
      </w:r>
      <w:r>
        <w:rPr>
          <w:rFonts w:cs="Times New Roman"/>
          <w:bCs/>
          <w:color w:val="000000" w:themeColor="text1"/>
          <w:spacing w:val="-6"/>
          <w:szCs w:val="24"/>
          <w:highlight w:val="none"/>
          <w14:textFill>
            <w14:solidFill>
              <w14:schemeClr w14:val="tx1"/>
            </w14:solidFill>
          </w14:textFill>
        </w:rPr>
        <w:t>后续应加强评价范围内保护植物的跟踪调查，对及时发现的重点保护植物采取就地保护措施</w:t>
      </w:r>
      <w:r>
        <w:rPr>
          <w:rFonts w:cs="Times New Roman"/>
          <w:bCs/>
          <w:color w:val="000000" w:themeColor="text1"/>
          <w:szCs w:val="24"/>
          <w:highlight w:val="none"/>
          <w14:textFill>
            <w14:solidFill>
              <w14:schemeClr w14:val="tx1"/>
            </w14:solidFill>
          </w14:textFill>
        </w:rPr>
        <w:t>，对发现的名木古树采取挂牌保护。</w:t>
      </w:r>
    </w:p>
    <w:p>
      <w:pPr>
        <w:ind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2、项目评价范围内重点保护野生动物</w:t>
      </w:r>
    </w:p>
    <w:p>
      <w:pPr>
        <w:ind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根据实际调查及现场复核，参照《国家重点保护野生动物名录2021</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四川省重点保护野生动物名录</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四川省新增重点保护野生动物名录》及相关科考资料，在项目评价范围，未发现属于国家级保护和四川省级保护的野生动物及栖息地，无分布生境，也无重要野生动物的迁徙通道。</w:t>
      </w:r>
    </w:p>
    <w:p>
      <w:pPr>
        <w:ind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3、项目评价范围内重要生境</w:t>
      </w:r>
    </w:p>
    <w:p>
      <w:pPr>
        <w:ind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项目评价范围无重要生境分布。</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4、公益林分布情况</w:t>
      </w:r>
    </w:p>
    <w:p>
      <w:pPr>
        <w:spacing w:line="500" w:lineRule="exact"/>
        <w:ind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根据项目评价范围与宣汉县林地一张图叠加分析，项目试采站占地范围不涉及公益林，项目评价范围内涉及公益林，外输管线</w:t>
      </w:r>
      <w:r>
        <w:rPr>
          <w:rFonts w:hint="eastAsia" w:cs="Times New Roman"/>
          <w:bCs/>
          <w:color w:val="000000" w:themeColor="text1"/>
          <w:szCs w:val="24"/>
          <w:highlight w:val="none"/>
          <w14:textFill>
            <w14:solidFill>
              <w14:schemeClr w14:val="tx1"/>
            </w14:solidFill>
          </w14:textFill>
        </w:rPr>
        <w:t>穿越公益林</w:t>
      </w:r>
      <w:r>
        <w:rPr>
          <w:rFonts w:cs="Times New Roman"/>
          <w:bCs/>
          <w:color w:val="000000" w:themeColor="text1"/>
          <w:szCs w:val="24"/>
          <w:highlight w:val="none"/>
          <w14:textFill>
            <w14:solidFill>
              <w14:schemeClr w14:val="tx1"/>
            </w14:solidFill>
          </w14:textFill>
        </w:rPr>
        <w:t>约</w:t>
      </w:r>
      <w:r>
        <w:rPr>
          <w:rFonts w:hint="eastAsia" w:cs="Times New Roman"/>
          <w:bCs/>
          <w:color w:val="000000" w:themeColor="text1"/>
          <w:szCs w:val="24"/>
          <w:highlight w:val="none"/>
          <w14:textFill>
            <w14:solidFill>
              <w14:schemeClr w14:val="tx1"/>
            </w14:solidFill>
          </w14:textFill>
        </w:rPr>
        <w:t>350</w:t>
      </w:r>
      <w:r>
        <w:rPr>
          <w:rFonts w:cs="Times New Roman"/>
          <w:bCs/>
          <w:color w:val="000000" w:themeColor="text1"/>
          <w:szCs w:val="24"/>
          <w:highlight w:val="none"/>
          <w14:textFill>
            <w14:solidFill>
              <w14:schemeClr w14:val="tx1"/>
            </w14:solidFill>
          </w14:textFill>
        </w:rPr>
        <w:t>m。评价范围内公益林面积</w:t>
      </w:r>
      <w:r>
        <w:rPr>
          <w:rFonts w:hint="eastAsia" w:cs="Times New Roman"/>
          <w:bCs/>
          <w:color w:val="000000" w:themeColor="text1"/>
          <w:szCs w:val="24"/>
          <w:highlight w:val="none"/>
          <w14:textFill>
            <w14:solidFill>
              <w14:schemeClr w14:val="tx1"/>
            </w14:solidFill>
          </w14:textFill>
        </w:rPr>
        <w:t>61.3124</w:t>
      </w:r>
      <w:r>
        <w:rPr>
          <w:rFonts w:cs="Times New Roman"/>
          <w:bCs/>
          <w:color w:val="000000" w:themeColor="text1"/>
          <w:szCs w:val="24"/>
          <w:highlight w:val="none"/>
          <w14:textFill>
            <w14:solidFill>
              <w14:schemeClr w14:val="tx1"/>
            </w14:solidFill>
          </w14:textFill>
        </w:rPr>
        <w:t>公顷，占评价范围面积的</w:t>
      </w:r>
      <w:r>
        <w:rPr>
          <w:rFonts w:hint="eastAsia" w:cs="Times New Roman"/>
          <w:bCs/>
          <w:color w:val="000000" w:themeColor="text1"/>
          <w:szCs w:val="24"/>
          <w:highlight w:val="none"/>
          <w14:textFill>
            <w14:solidFill>
              <w14:schemeClr w14:val="tx1"/>
            </w14:solidFill>
          </w14:textFill>
        </w:rPr>
        <w:t>9.69</w:t>
      </w:r>
      <w:r>
        <w:rPr>
          <w:rFonts w:cs="Times New Roman"/>
          <w:bCs/>
          <w:color w:val="000000" w:themeColor="text1"/>
          <w:szCs w:val="24"/>
          <w:highlight w:val="none"/>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保护等级全部为国家二级公益林，树种为马尾松及柏木，郁闭度为0.6-0.8，林种全部为水土保持林，</w:t>
      </w:r>
      <w:r>
        <w:rPr>
          <w:rFonts w:cs="Times New Roman"/>
          <w:bCs/>
          <w:color w:val="000000" w:themeColor="text1"/>
          <w:szCs w:val="24"/>
          <w:highlight w:val="none"/>
          <w14:textFill>
            <w14:solidFill>
              <w14:schemeClr w14:val="tx1"/>
            </w14:solidFill>
          </w14:textFill>
        </w:rPr>
        <w:t>其生态系统服务功能主要是水源涵养、土壤保持、生物多样性保护功能等，与周边植被从现状看无明显差异。</w:t>
      </w:r>
    </w:p>
    <w:p>
      <w:pPr>
        <w:ind w:right="100"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保护要求：根据《</w:t>
      </w:r>
      <w:r>
        <w:rPr>
          <w:rFonts w:cs="Times New Roman"/>
          <w:bCs/>
          <w:color w:val="000000" w:themeColor="text1"/>
          <w:szCs w:val="24"/>
          <w:highlight w:val="none"/>
          <w14:textFill>
            <w14:solidFill>
              <w14:schemeClr w14:val="tx1"/>
            </w14:solidFill>
          </w14:textFill>
        </w:rPr>
        <w:t>国家级公益林管理办法</w:t>
      </w:r>
      <w:r>
        <w:rPr>
          <w:rFonts w:hint="eastAsia" w:cs="Times New Roman"/>
          <w:bCs/>
          <w:color w:val="000000" w:themeColor="text1"/>
          <w:szCs w:val="24"/>
          <w:highlight w:val="none"/>
          <w14:textFill>
            <w14:solidFill>
              <w14:schemeClr w14:val="tx1"/>
            </w14:solidFill>
          </w14:textFill>
        </w:rPr>
        <w:t>》（林资发〔2017〕34号），“第九条  严格控制勘查、开采矿藏和工程建设使用国家级公益林地。确需使用的，严格按照《建设项目使用林地审核审批管理办法》有关规定办理使用林地手续。涉及林木采伐的，按相关规定依法办理林木采伐手续。”因此，本项目在开工之前，应取得林业部门使用林地审核审批同意书方可建设</w:t>
      </w:r>
      <w:r>
        <w:rPr>
          <w:rFonts w:cs="Times New Roman"/>
          <w:bCs/>
          <w:color w:val="000000" w:themeColor="text1"/>
          <w:szCs w:val="24"/>
          <w:highlight w:val="none"/>
          <w14:textFill>
            <w14:solidFill>
              <w14:schemeClr w14:val="tx1"/>
            </w14:solidFill>
          </w14:textFill>
        </w:rPr>
        <w:t>。</w:t>
      </w:r>
    </w:p>
    <w:p>
      <w:pPr>
        <w:ind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详见下图：</w:t>
      </w:r>
    </w:p>
    <w:p>
      <w:pPr>
        <w:pStyle w:val="6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274945" cy="3732530"/>
            <wp:effectExtent l="0" t="0" r="1905" b="1270"/>
            <wp:docPr id="17" name="图片 17" descr="项目评价范围公益林分布图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项目评价范围公益林分布图11111"/>
                    <pic:cNvPicPr>
                      <a:picLocks noChangeAspect="1"/>
                    </pic:cNvPicPr>
                  </pic:nvPicPr>
                  <pic:blipFill>
                    <a:blip r:embed="rId83"/>
                    <a:stretch>
                      <a:fillRect/>
                    </a:stretch>
                  </pic:blipFill>
                  <pic:spPr>
                    <a:xfrm>
                      <a:off x="0" y="0"/>
                      <a:ext cx="5274945" cy="3732530"/>
                    </a:xfrm>
                    <a:prstGeom prst="rect">
                      <a:avLst/>
                    </a:prstGeom>
                  </pic:spPr>
                </pic:pic>
              </a:graphicData>
            </a:graphic>
          </wp:inline>
        </w:drawing>
      </w:r>
    </w:p>
    <w:p>
      <w:pPr>
        <w:pStyle w:val="1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评价范围公益林分布图</w:t>
      </w:r>
    </w:p>
    <w:p>
      <w:pPr>
        <w:numPr>
          <w:ilvl w:val="0"/>
          <w:numId w:val="14"/>
        </w:numPr>
        <w:adjustRightInd/>
        <w:snapToGrid/>
        <w:spacing w:line="480" w:lineRule="exact"/>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天然林分布情况</w:t>
      </w:r>
    </w:p>
    <w:p>
      <w:pPr>
        <w:spacing w:line="500" w:lineRule="exact"/>
        <w:ind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根据项目评价范围与宣汉县林地一张图叠加分析，项目试采站占地范围不涉及天然林，项目评价范围内涉及天然林，外输管线</w:t>
      </w:r>
      <w:r>
        <w:rPr>
          <w:rFonts w:hint="eastAsia" w:cs="Times New Roman"/>
          <w:bCs/>
          <w:color w:val="000000" w:themeColor="text1"/>
          <w:szCs w:val="24"/>
          <w:highlight w:val="none"/>
          <w14:textFill>
            <w14:solidFill>
              <w14:schemeClr w14:val="tx1"/>
            </w14:solidFill>
          </w14:textFill>
        </w:rPr>
        <w:t>穿越天然林</w:t>
      </w:r>
      <w:r>
        <w:rPr>
          <w:rFonts w:cs="Times New Roman"/>
          <w:bCs/>
          <w:color w:val="000000" w:themeColor="text1"/>
          <w:szCs w:val="24"/>
          <w:highlight w:val="none"/>
          <w14:textFill>
            <w14:solidFill>
              <w14:schemeClr w14:val="tx1"/>
            </w14:solidFill>
          </w14:textFill>
        </w:rPr>
        <w:t>约</w:t>
      </w:r>
      <w:r>
        <w:rPr>
          <w:rFonts w:hint="eastAsia" w:cs="Times New Roman"/>
          <w:bCs/>
          <w:color w:val="000000" w:themeColor="text1"/>
          <w:szCs w:val="24"/>
          <w:highlight w:val="none"/>
          <w14:textFill>
            <w14:solidFill>
              <w14:schemeClr w14:val="tx1"/>
            </w14:solidFill>
          </w14:textFill>
        </w:rPr>
        <w:t>18</w:t>
      </w:r>
      <w:r>
        <w:rPr>
          <w:rFonts w:cs="Times New Roman"/>
          <w:bCs/>
          <w:color w:val="000000" w:themeColor="text1"/>
          <w:szCs w:val="24"/>
          <w:highlight w:val="none"/>
          <w14:textFill>
            <w14:solidFill>
              <w14:schemeClr w14:val="tx1"/>
            </w14:solidFill>
          </w14:textFill>
        </w:rPr>
        <w:t>0m。评价范围内天然林面积</w:t>
      </w:r>
      <w:r>
        <w:rPr>
          <w:rFonts w:hint="eastAsia" w:cs="Times New Roman"/>
          <w:bCs/>
          <w:color w:val="000000" w:themeColor="text1"/>
          <w:szCs w:val="24"/>
          <w:highlight w:val="none"/>
          <w14:textFill>
            <w14:solidFill>
              <w14:schemeClr w14:val="tx1"/>
            </w14:solidFill>
          </w14:textFill>
        </w:rPr>
        <w:t>72.0837</w:t>
      </w:r>
      <w:r>
        <w:rPr>
          <w:rFonts w:cs="Times New Roman"/>
          <w:bCs/>
          <w:color w:val="000000" w:themeColor="text1"/>
          <w:szCs w:val="24"/>
          <w:highlight w:val="none"/>
          <w14:textFill>
            <w14:solidFill>
              <w14:schemeClr w14:val="tx1"/>
            </w14:solidFill>
          </w14:textFill>
        </w:rPr>
        <w:t>公顷，占评价范围面积的</w:t>
      </w:r>
      <w:r>
        <w:rPr>
          <w:rFonts w:hint="eastAsia" w:cs="Times New Roman"/>
          <w:bCs/>
          <w:color w:val="000000" w:themeColor="text1"/>
          <w:szCs w:val="24"/>
          <w:highlight w:val="none"/>
          <w14:textFill>
            <w14:solidFill>
              <w14:schemeClr w14:val="tx1"/>
            </w14:solidFill>
          </w14:textFill>
        </w:rPr>
        <w:t>11.39</w:t>
      </w:r>
      <w:r>
        <w:rPr>
          <w:rFonts w:cs="Times New Roman"/>
          <w:bCs/>
          <w:color w:val="000000" w:themeColor="text1"/>
          <w:szCs w:val="24"/>
          <w:highlight w:val="none"/>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与上述国家级公益林有部分重复，其保护等级全部为国家二级公益林，树种为马尾松及柏木，郁闭度为0.6-0.7，龄组约20-30年，平均胸径约15cm，平均树高约13m，林种全部为水土保持林，</w:t>
      </w:r>
      <w:r>
        <w:rPr>
          <w:rFonts w:cs="Times New Roman"/>
          <w:bCs/>
          <w:color w:val="000000" w:themeColor="text1"/>
          <w:szCs w:val="24"/>
          <w:highlight w:val="none"/>
          <w14:textFill>
            <w14:solidFill>
              <w14:schemeClr w14:val="tx1"/>
            </w14:solidFill>
          </w14:textFill>
        </w:rPr>
        <w:t>其</w:t>
      </w:r>
      <w:r>
        <w:rPr>
          <w:rFonts w:hint="eastAsia" w:cs="Times New Roman"/>
          <w:bCs/>
          <w:color w:val="000000" w:themeColor="text1"/>
          <w:szCs w:val="24"/>
          <w:highlight w:val="none"/>
          <w:lang w:eastAsia="zh-CN"/>
          <w14:textFill>
            <w14:solidFill>
              <w14:schemeClr w14:val="tx1"/>
            </w14:solidFill>
          </w14:textFill>
        </w:rPr>
        <w:t>生态</w:t>
      </w:r>
      <w:r>
        <w:rPr>
          <w:rFonts w:cs="Times New Roman"/>
          <w:bCs/>
          <w:color w:val="000000" w:themeColor="text1"/>
          <w:szCs w:val="24"/>
          <w:highlight w:val="none"/>
          <w14:textFill>
            <w14:solidFill>
              <w14:schemeClr w14:val="tx1"/>
            </w14:solidFill>
          </w14:textFill>
        </w:rPr>
        <w:t>系统服务功能主要也是水源涵养、土壤保持、生物多样性保护功能等，与周边植被从现状看无明显差异。</w:t>
      </w:r>
    </w:p>
    <w:p>
      <w:pPr>
        <w:spacing w:line="500" w:lineRule="exact"/>
        <w:ind w:right="100"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保护要求：根据《建设项目使用林地审核审批管理办法》</w:t>
      </w:r>
      <w:r>
        <w:rPr>
          <w:rFonts w:hint="eastAsia" w:cs="Times New Roman"/>
          <w:bCs/>
          <w:color w:val="000000" w:themeColor="text1"/>
          <w:szCs w:val="24"/>
          <w:highlight w:val="none"/>
          <w:lang w:eastAsia="zh-CN"/>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国家林业局第35号令</w:t>
      </w:r>
      <w:r>
        <w:rPr>
          <w:rFonts w:hint="eastAsia" w:cs="Times New Roman"/>
          <w:bCs/>
          <w:color w:val="000000" w:themeColor="text1"/>
          <w:szCs w:val="24"/>
          <w:highlight w:val="none"/>
          <w:lang w:eastAsia="zh-CN"/>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“第三条 建设项目应当不占或者少占林地，必须使用林地的，应当符合林地保护利用规划，合理和节约集约利用林地。建设项目限制使用生态区位重要和生态脆弱地区的林地，限制使用天然林和单位面积蓄积量高的林地，限制经营性建设项目使用林地。”</w:t>
      </w:r>
    </w:p>
    <w:p>
      <w:pPr>
        <w:spacing w:line="500" w:lineRule="exact"/>
        <w:ind w:right="100"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因本项目</w:t>
      </w:r>
      <w:r>
        <w:rPr>
          <w:rFonts w:cs="Times New Roman"/>
          <w:bCs/>
          <w:color w:val="000000" w:themeColor="text1"/>
          <w:szCs w:val="24"/>
          <w:highlight w:val="none"/>
          <w14:textFill>
            <w14:solidFill>
              <w14:schemeClr w14:val="tx1"/>
            </w14:solidFill>
          </w14:textFill>
        </w:rPr>
        <w:t>外输管线</w:t>
      </w:r>
      <w:r>
        <w:rPr>
          <w:rFonts w:hint="eastAsia" w:cs="Times New Roman"/>
          <w:bCs/>
          <w:color w:val="000000" w:themeColor="text1"/>
          <w:szCs w:val="24"/>
          <w:highlight w:val="none"/>
          <w14:textFill>
            <w14:solidFill>
              <w14:schemeClr w14:val="tx1"/>
            </w14:solidFill>
          </w14:textFill>
        </w:rPr>
        <w:t>穿越天然林</w:t>
      </w:r>
      <w:r>
        <w:rPr>
          <w:rFonts w:cs="Times New Roman"/>
          <w:bCs/>
          <w:color w:val="000000" w:themeColor="text1"/>
          <w:szCs w:val="24"/>
          <w:highlight w:val="none"/>
          <w14:textFill>
            <w14:solidFill>
              <w14:schemeClr w14:val="tx1"/>
            </w14:solidFill>
          </w14:textFill>
        </w:rPr>
        <w:t>约</w:t>
      </w:r>
      <w:r>
        <w:rPr>
          <w:rFonts w:hint="eastAsia" w:cs="Times New Roman"/>
          <w:bCs/>
          <w:color w:val="000000" w:themeColor="text1"/>
          <w:szCs w:val="24"/>
          <w:highlight w:val="none"/>
          <w14:textFill>
            <w14:solidFill>
              <w14:schemeClr w14:val="tx1"/>
            </w14:solidFill>
          </w14:textFill>
        </w:rPr>
        <w:t>18</w:t>
      </w:r>
      <w:r>
        <w:rPr>
          <w:rFonts w:cs="Times New Roman"/>
          <w:bCs/>
          <w:color w:val="000000" w:themeColor="text1"/>
          <w:szCs w:val="24"/>
          <w:highlight w:val="none"/>
          <w14:textFill>
            <w14:solidFill>
              <w14:schemeClr w14:val="tx1"/>
            </w14:solidFill>
          </w14:textFill>
        </w:rPr>
        <w:t>0m</w:t>
      </w:r>
      <w:r>
        <w:rPr>
          <w:rFonts w:hint="eastAsia" w:cs="Times New Roman"/>
          <w:bCs/>
          <w:color w:val="000000" w:themeColor="text1"/>
          <w:szCs w:val="24"/>
          <w:highlight w:val="none"/>
          <w14:textFill>
            <w14:solidFill>
              <w14:schemeClr w14:val="tx1"/>
            </w14:solidFill>
          </w14:textFill>
        </w:rPr>
        <w:t>，因此，本项目在开工之前，应编制使用林地可行性报告，并对项目穿越天然林进行选线对比分析，论证项目符合林地保护利用规划，符合合理和节约集约利用林地的要求，在取得林业部门使用林地审核审批同意书方可建设。</w:t>
      </w:r>
    </w:p>
    <w:p>
      <w:pPr>
        <w:spacing w:after="120" w:afterLines="50" w:line="500" w:lineRule="exact"/>
        <w:ind w:right="102"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评价区分布的天然林</w:t>
      </w:r>
      <w:r>
        <w:rPr>
          <w:rFonts w:cs="Times New Roman"/>
          <w:bCs/>
          <w:color w:val="000000" w:themeColor="text1"/>
          <w:szCs w:val="24"/>
          <w:highlight w:val="none"/>
          <w14:textFill>
            <w14:solidFill>
              <w14:schemeClr w14:val="tx1"/>
            </w14:solidFill>
          </w14:textFill>
        </w:rPr>
        <w:t>详见下图：</w:t>
      </w:r>
    </w:p>
    <w:p>
      <w:pPr>
        <w:pStyle w:val="60"/>
        <w:rPr>
          <w:color w:val="000000" w:themeColor="text1"/>
          <w:highlight w:val="none"/>
          <w14:textFill>
            <w14:solidFill>
              <w14:schemeClr w14:val="tx1"/>
            </w14:solidFill>
          </w14:textFill>
        </w:rPr>
      </w:pPr>
      <w:r>
        <w:rPr>
          <w:rFonts w:eastAsia="宋体"/>
          <w:color w:val="000000" w:themeColor="text1"/>
          <w:highlight w:val="none"/>
          <w14:textFill>
            <w14:solidFill>
              <w14:schemeClr w14:val="tx1"/>
            </w14:solidFill>
          </w14:textFill>
        </w:rPr>
        <w:drawing>
          <wp:inline distT="0" distB="0" distL="114300" distR="114300">
            <wp:extent cx="5274945" cy="3732530"/>
            <wp:effectExtent l="0" t="0" r="1905" b="1270"/>
            <wp:docPr id="18" name="图片 18" descr="项目评价范围天然林分布图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项目评价范围天然林分布图1111"/>
                    <pic:cNvPicPr>
                      <a:picLocks noChangeAspect="1"/>
                    </pic:cNvPicPr>
                  </pic:nvPicPr>
                  <pic:blipFill>
                    <a:blip r:embed="rId84"/>
                    <a:stretch>
                      <a:fillRect/>
                    </a:stretch>
                  </pic:blipFill>
                  <pic:spPr>
                    <a:xfrm>
                      <a:off x="0" y="0"/>
                      <a:ext cx="5274945" cy="3732530"/>
                    </a:xfrm>
                    <a:prstGeom prst="rect">
                      <a:avLst/>
                    </a:prstGeom>
                  </pic:spPr>
                </pic:pic>
              </a:graphicData>
            </a:graphic>
          </wp:inline>
        </w:drawing>
      </w:r>
    </w:p>
    <w:p>
      <w:pPr>
        <w:pStyle w:val="1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t xml:space="preserve"> 评价范围天然林分布图</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6、生态红线分布情况</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通过项目红线与达州市“三线一单”成果图叠加分析，项目占地不涉及达州市生态保护红线。</w:t>
      </w:r>
    </w:p>
    <w:p>
      <w:pPr>
        <w:pStyle w:val="5"/>
        <w:spacing w:before="120"/>
        <w:ind w:firstLine="480"/>
        <w:rPr>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水生生物现状调查与评价</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本项目集输管道</w:t>
      </w:r>
      <w:r>
        <w:rPr>
          <w:rFonts w:hint="eastAsia" w:cs="Times New Roman"/>
          <w:bCs/>
          <w:color w:val="000000" w:themeColor="text1"/>
          <w:szCs w:val="24"/>
          <w:highlight w:val="none"/>
          <w14:textFill>
            <w14:solidFill>
              <w14:schemeClr w14:val="tx1"/>
            </w14:solidFill>
          </w14:textFill>
        </w:rPr>
        <w:t>未穿越州河，</w:t>
      </w:r>
      <w:r>
        <w:rPr>
          <w:rFonts w:cs="Times New Roman"/>
          <w:bCs/>
          <w:color w:val="000000" w:themeColor="text1"/>
          <w:szCs w:val="24"/>
          <w:highlight w:val="none"/>
          <w14:textFill>
            <w14:solidFill>
              <w14:schemeClr w14:val="tx1"/>
            </w14:solidFill>
          </w14:textFill>
        </w:rPr>
        <w:t>穿越小型沟渠13次，穿越沟渠宽度在2m</w:t>
      </w:r>
      <w:r>
        <w:rPr>
          <w:rFonts w:hint="eastAsia" w:cs="Times New Roman"/>
          <w:bCs/>
          <w:color w:val="000000" w:themeColor="text1"/>
          <w:szCs w:val="24"/>
          <w:highlight w:val="none"/>
          <w:lang w:eastAsia="zh-CN"/>
          <w14:textFill>
            <w14:solidFill>
              <w14:schemeClr w14:val="tx1"/>
            </w14:solidFill>
          </w14:textFill>
        </w:rPr>
        <w:t>～</w:t>
      </w:r>
      <w:r>
        <w:rPr>
          <w:rFonts w:cs="Times New Roman"/>
          <w:bCs/>
          <w:color w:val="000000" w:themeColor="text1"/>
          <w:szCs w:val="24"/>
          <w:highlight w:val="none"/>
          <w14:textFill>
            <w14:solidFill>
              <w14:schemeClr w14:val="tx1"/>
            </w14:solidFill>
          </w14:textFill>
        </w:rPr>
        <w:t>10m不等，穿越长度共计约200m。</w:t>
      </w:r>
      <w:r>
        <w:rPr>
          <w:rFonts w:hint="eastAsia" w:cs="Times New Roman"/>
          <w:bCs/>
          <w:color w:val="000000" w:themeColor="text1"/>
          <w:szCs w:val="24"/>
          <w:highlight w:val="none"/>
          <w14:textFill>
            <w14:solidFill>
              <w14:schemeClr w14:val="tx1"/>
            </w14:solidFill>
          </w14:textFill>
        </w:rPr>
        <w:t>不涉及重要水生生物的自然产卵场、索饵场、越冬场和洄游通道，项目不涉及保护生物多样性具有重要意义的区域（水生），不涉及水生生态敏感区。参考周边《G542 改建工程巴河特大桥对巴河、蹬子河大桥对蹬子河流域水生生物多样性影响评价报告</w:t>
      </w:r>
      <w:r>
        <w:rPr>
          <w:rFonts w:hint="eastAsia" w:cs="Times New Roman"/>
          <w:bCs/>
          <w:color w:val="000000" w:themeColor="text1"/>
          <w:szCs w:val="24"/>
          <w:highlight w:val="none"/>
          <w:lang w:eastAsia="zh-CN"/>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达州市高家坝大桥建设项目对州河流域水生生物多样性影响专题评价报告》等水生生态调查结果</w:t>
      </w:r>
      <w:r>
        <w:rPr>
          <w:rFonts w:hint="eastAsia" w:cs="Times New Roman"/>
          <w:bCs/>
          <w:color w:val="000000" w:themeColor="text1"/>
          <w:szCs w:val="24"/>
          <w:highlight w:val="none"/>
          <w:lang w:eastAsia="zh-CN"/>
          <w14:textFill>
            <w14:solidFill>
              <w14:schemeClr w14:val="tx1"/>
            </w14:solidFill>
          </w14:textFill>
        </w:rPr>
        <w:t>，将</w:t>
      </w:r>
      <w:r>
        <w:rPr>
          <w:rFonts w:hint="eastAsia" w:cs="Times New Roman"/>
          <w:bCs/>
          <w:color w:val="000000" w:themeColor="text1"/>
          <w:szCs w:val="24"/>
          <w:highlight w:val="none"/>
          <w14:textFill>
            <w14:solidFill>
              <w14:schemeClr w14:val="tx1"/>
            </w14:solidFill>
          </w14:textFill>
        </w:rPr>
        <w:t>评价区浮游动植物总体情况介绍如下。</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w:t>
      </w:r>
      <w:r>
        <w:rPr>
          <w:rFonts w:hint="eastAsia" w:cs="Times New Roman"/>
          <w:bCs/>
          <w:color w:val="000000" w:themeColor="text1"/>
          <w:szCs w:val="24"/>
          <w:highlight w:val="none"/>
          <w14:textFill>
            <w14:solidFill>
              <w14:schemeClr w14:val="tx1"/>
            </w14:solidFill>
          </w14:textFill>
        </w:rPr>
        <w:t>浮游植物</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评价河段浮游植物4门17科28属92种。其中硅藻门最多，有73种，占种类总数的79.35%；绿藻门有13种，占种类总数的14.13%；蓝藻门5种，占种类总数的5.43%，裸藻门有1种，占总种类数的1.09%。本次调查巴河的3个采样断面浮游植物的平均密度为2.43×104Ind./L，其中，硅藻的密度为1.98×104Ind./L，占81.48%；绿藻为2.32×103Ind./L，占9.55%；蓝藻为2.07×103Ind./L，占 8.52%；裸藻门为0.11×103Ind./L，占0.45%。巴河 3 个采样点的浮游植物平均生物量（湿重）为 0.3022mg/L。其中，硅藻的生物量为 0.2361mg/L，占 78.12%；绿藻为 0.0658mg/L，占 21.77%；蓝藻为 0.0003mg/L，占 0.1%。</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2</w:t>
      </w:r>
      <w:r>
        <w:rPr>
          <w:rFonts w:cs="Times New Roman"/>
          <w:bCs/>
          <w:color w:val="000000" w:themeColor="text1"/>
          <w:szCs w:val="24"/>
          <w:highlight w:val="none"/>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浮游动物</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评价河段浮游动物4大类15种，其中轮虫5种，占总种数的33.33%；原生动物和桡足类各有5种，各占总种数的26.67%；枝角类有2种，占总种数的 13.33%。浮游动物平均密度为 16ind./L、平均生物量为 0.0563mg/L。巴河浮游动物平均生物量相差不大，其中原生动物平均密度为6Ind./L、占 37.50%</w:t>
      </w:r>
      <w:r>
        <w:rPr>
          <w:rFonts w:hint="eastAsia" w:cs="Times New Roman"/>
          <w:bCs/>
          <w:color w:val="000000" w:themeColor="text1"/>
          <w:szCs w:val="24"/>
          <w:highlight w:val="none"/>
          <w:lang w:eastAsia="zh-CN"/>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轮虫为 4Ind./L、占 25%，枝角类为 3.3Ind./L、占 20.83%，桡足类 2.7Ind./L、占 16.67%；浮游动物平均生物量为 0.0563mg/L，原生动物为0.0103mg/L，占 18.34%，轮虫生物量为 0.0177mg/L，占 31.36%，枝角类生物量为 0.0163mg/L，占 28.99%，桡足类生物量为 0.012mg/L，占 21.30%。</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3</w:t>
      </w:r>
      <w:r>
        <w:rPr>
          <w:rFonts w:cs="Times New Roman"/>
          <w:bCs/>
          <w:color w:val="000000" w:themeColor="text1"/>
          <w:szCs w:val="24"/>
          <w:highlight w:val="none"/>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底栖动物</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评价河段底栖动物3门12科14种，其中环节动物2种，软体动物门3种，节肢动物门9种。蹬子河共观察到底栖动物3门10科12种，其中环节动物 2种，软体动物门2种，节肢动物门8种。各个采样断面的底栖动物种类基本一致，主要包括蛭纲的巴蛭，腹足纲的萝卜螺，甲壳纲的青虾，昆虫纲的扁蜉、小裳蜉、二翼蜉、蜉蝣、纹石蚕和摇蚊等。</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4</w:t>
      </w:r>
      <w:r>
        <w:rPr>
          <w:rFonts w:cs="Times New Roman"/>
          <w:bCs/>
          <w:color w:val="000000" w:themeColor="text1"/>
          <w:szCs w:val="24"/>
          <w:highlight w:val="none"/>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水生维管束植物</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评价河段无大面积水生维管束植物。仅有被子植物中的喜旱莲子草（Alternanthera philoxeroides）、水蓼（Polygonum hydropiper）、小叶狸藻</w:t>
      </w:r>
      <w:r>
        <w:rPr>
          <w:rFonts w:hint="eastAsia" w:cs="Times New Roman"/>
          <w:bCs/>
          <w:color w:val="000000" w:themeColor="text1"/>
          <w:szCs w:val="24"/>
          <w:highlight w:val="none"/>
          <w:lang w:eastAsia="zh-CN"/>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Utricularia gibba</w:t>
      </w:r>
      <w:r>
        <w:rPr>
          <w:rFonts w:hint="eastAsia" w:cs="Times New Roman"/>
          <w:bCs/>
          <w:color w:val="000000" w:themeColor="text1"/>
          <w:szCs w:val="24"/>
          <w:highlight w:val="none"/>
          <w:lang w:eastAsia="zh-CN"/>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、水葱</w:t>
      </w:r>
      <w:r>
        <w:rPr>
          <w:rFonts w:hint="eastAsia" w:cs="Times New Roman"/>
          <w:bCs/>
          <w:color w:val="000000" w:themeColor="text1"/>
          <w:szCs w:val="24"/>
          <w:highlight w:val="none"/>
          <w:lang w:eastAsia="zh-CN"/>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Scirpus prostrata</w:t>
      </w:r>
      <w:r>
        <w:rPr>
          <w:rFonts w:hint="eastAsia" w:cs="Times New Roman"/>
          <w:bCs/>
          <w:color w:val="000000" w:themeColor="text1"/>
          <w:szCs w:val="24"/>
          <w:highlight w:val="none"/>
          <w:lang w:eastAsia="zh-CN"/>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、牛毛毡</w:t>
      </w:r>
      <w:r>
        <w:rPr>
          <w:rFonts w:hint="eastAsia" w:cs="Times New Roman"/>
          <w:bCs/>
          <w:color w:val="000000" w:themeColor="text1"/>
          <w:szCs w:val="24"/>
          <w:highlight w:val="none"/>
          <w:lang w:eastAsia="zh-CN"/>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Eleocharis yokoscensis</w:t>
      </w:r>
      <w:r>
        <w:rPr>
          <w:rFonts w:hint="eastAsia" w:cs="Times New Roman"/>
          <w:bCs/>
          <w:color w:val="000000" w:themeColor="text1"/>
          <w:szCs w:val="24"/>
          <w:highlight w:val="none"/>
          <w:lang w:eastAsia="zh-CN"/>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、眼子菜（Potamogoton distinctus</w:t>
      </w:r>
      <w:r>
        <w:rPr>
          <w:rFonts w:hint="eastAsia" w:cs="Times New Roman"/>
          <w:bCs/>
          <w:color w:val="000000" w:themeColor="text1"/>
          <w:szCs w:val="24"/>
          <w:highlight w:val="none"/>
          <w:lang w:eastAsia="zh-CN"/>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、蓖齿眼子菜（P.pectinatus</w:t>
      </w:r>
      <w:r>
        <w:rPr>
          <w:rFonts w:hint="eastAsia" w:cs="Times New Roman"/>
          <w:bCs/>
          <w:color w:val="000000" w:themeColor="text1"/>
          <w:szCs w:val="24"/>
          <w:highlight w:val="none"/>
          <w:lang w:eastAsia="zh-CN"/>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等有零星分布。</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5</w:t>
      </w:r>
      <w:r>
        <w:rPr>
          <w:rFonts w:cs="Times New Roman"/>
          <w:bCs/>
          <w:color w:val="000000" w:themeColor="text1"/>
          <w:szCs w:val="24"/>
          <w:highlight w:val="none"/>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鱼类</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（1）鱼类种类组成</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评价河段分布鱼类有 73 种，隶属 5 目 13 科 53 属。鲤形目为主要类群，有 3 科 40 属 55 种，占总种数的 75.34%；鲇形目 4 科 4 属 11 种，占总种数的 15.07%；鲈形目 4 科 4 属 5 种，占总种数的 6.85%；鳉形目和合鳃目均为 1 科 1 属 1 种，占总种数的 1.37%。</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（2）鱼类生态类型</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按鱼类的生活习性及其主要生活环境，可将评价区分布的 73 种鱼类分为底栖性鱼类，中、下层鱼类和中、上层鱼类 3 种栖息习性，具体可分成下列生态类群：</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①流水吸附生态类群</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此类群部分种类具特化的吸盘或类似吸盘的附着结构，适于附着在急流河底物体上生活，以附着藻类、有机碎屑或以小型鱼类及软体动物等为食。这一类鱼类多分布于水流较急的支流及干流的激流段，能适应水流较快的流水滩河段，或到该生境摄食或产卵繁殖。通常来讲，这类群鱼类要么个体不大且身体扁平，或身体梭形并且尾鳍深分叉适应高流速环境。本生态类群种类不多，主要包括平鳍鳅科、鮡科和钝头鮠科的部分种类，如中华纹胸鮡、白缘</w:t>
      </w:r>
      <w:r>
        <w:rPr>
          <w:rFonts w:hint="eastAsia" w:cs="Times New Roman"/>
          <w:bCs/>
          <w:color w:val="000000" w:themeColor="text1"/>
          <w:szCs w:val="24"/>
          <w:highlight w:val="none"/>
          <w:lang w:eastAsia="zh-CN"/>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鱼央</w:t>
      </w:r>
      <w:r>
        <w:rPr>
          <w:rFonts w:hint="eastAsia" w:cs="Times New Roman"/>
          <w:bCs/>
          <w:color w:val="000000" w:themeColor="text1"/>
          <w:szCs w:val="24"/>
          <w:highlight w:val="none"/>
          <w:lang w:eastAsia="zh-CN"/>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等。</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②流水底层乱石、礁底栖性类群</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栖息环境为流水深沱，底层多乱石，水流较缓，如南方鲇、鮠科的大部分种类。为肉食性鱼类，生长快。</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③流水底层乱石、礁底栖性类群</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该类群的鱼类主要或完全生活在流水水体底层的各种岩洞缝隙中，主要以发达的口须觅食底栖穴动物，主要包括大鳍鱯、泥鳅、黄鳝等。</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④流水中、下层生态类群</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此类群主要或完全生活在江河流水环境中，身体较长、侧扁，适应于流水、急流水中穿梭游泳，活动掠食；头部呈锥形，适应于破水前进，躯干部较长，是产生强大运动的动力源，各鳍发达，尾鳍深叉形，都是适应水体中、下层快速游泳，在急流水体中、下层穿梭翻滚捕食低等动物和流水急流水带来的有机食物。它们或以水底砾石等物体表面附着藻类为食，或以有机碎屑为食，或以底栖无脊椎动物为食，或以软体动物为食，或主要以水草为食，或主要以鱼虾类为食，甚或为杂食性，或以浮游动植物为食。该类群有赤眼鳟、银鲴、黄尾鲴、宜宾鲴、草鱼、蛇鮈等，为较大的江河上游中分布鱼类优势类群。</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⑤缓流水和静水生态类群</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主要是一些小型种类，如棒花鱼、宽鳍鱲、马口鱼、银飘鱼、麦穗鱼等。此类群是一群生活在侧流、缓流水的鱼类，个体小，或身体极侧扁，游泳能力不强，各鳍均不甚发达。</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⑥流水中、上层生态类群</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栖息、摄食、繁殖等主要活动在水体的中、上层完成，如鲌、原鲌、近红鲌等种类。体长形，稍侧扁，腹部圆，适应于流水急流水体中、上层穿梭游泳，活动掠食；躯干部长，尾柄粗壮，是产生强大运动的动力源。</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（3）繁殖习性</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根据鱼类的产卵场环境条件、产卵习性及卵粒特点，可将工程影响河段鱼类的繁殖习性分成以下主要类型：</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①产漂流性卵</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此繁殖类群对环境要求较高，须满足一定的水温、水位、流速、流态、流程等水文条件才能完成繁殖和孵化。要求在多种急流水中上滩产卵排精，受精卵随水流漂浮发育，如急流水长度不够，受精卵将下沉窒息死亡。产漂流性卵鱼类需要湍急的水流条件，通常在汛期洪峰发生后产卵。这一类鱼卵比重略大于水，但产出后卵膜吸水膨胀，在水流的外力作用下，鱼卵悬浮在水层中顺水漂流。孵化出的早期仔鱼，仍然要顺水漂流，待身体发育到具备较强的溯游能力后、才能游到浅水或缓流处停歇。从卵产出到仔鱼具备溯游能力，一般需要 30h或 40h 以上，有的需要时间更长。</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此类群鱼类有赤眼鳟、鳊、寡鳞飘鱼、蛇鮈等。鱼类的产卵期主要集中为 3～8 月，多为 4～6 月。产卵水温在16～32°℃之间。产卵时除要求达到一定水温外，还需要一定的涨水刺激。</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②产粘性卵</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评价区绝大多数鱼类为产粘沉性卵类群。本类群鱼类多在春夏间季节产卵，也有部分种类晚至秋季，且对产卵水域流态底质有不同的适应性，多数种类都需要一定的流水刺激，少数鱼类可在静缓流水环境下繁殖。产出的卵或粘附于石砾、水草发育，或落于石缝间在激流冲击下发育。根据粘性程度不同又可以分为弱和强粘性卵两类。这一类群包括包括鲤科的宽鳍鱲、马口鱼、红鳍鲌、鲤、鲫、黄尾鲴、花骨、棒花鱼、麦穗鱼等；鳅科的泥鳅等。此外，鲇形目的长吻鮠、粗唇鮠、切尾拟鲿、中华纹胸鮡、鲇、南方鲇等也属于本类群。</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③静水产浮性卵</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乌鳢常产卵于缓流水体的草间，卵具油球，浮于水面，在水体中漂浮发育，亲鱼有护卵护幼的习性。</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④筑巢生殖</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主要有鮠类，在有流水的乱石或卵石处，较大的卵石或乱石挡住水流，水流绕石分流成小漩涡，黄颡类和鮠属鱼类常成对以卵石间隙为巢，产卵于小漩涡内，卵粒结成团，附着在石上，随微流水冲动发育。</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⑤产卵于软体动物体内</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为鳑鲏亚科的种类，通常产卵于蚌、蚬、淡水壳菜等软体动物壳内。</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（4）珍稀、重点保护和特有鱼类</w:t>
      </w:r>
      <w:r>
        <w:rPr>
          <w:rFonts w:cs="Times New Roman"/>
          <w:bCs/>
          <w:color w:val="000000" w:themeColor="text1"/>
          <w:szCs w:val="24"/>
          <w:highlight w:val="none"/>
          <w14:textFill>
            <w14:solidFill>
              <w14:schemeClr w14:val="tx1"/>
            </w14:solidFill>
          </w14:textFill>
        </w:rPr>
        <w:t>分布</w:t>
      </w:r>
      <w:r>
        <w:rPr>
          <w:rFonts w:hint="eastAsia" w:cs="Times New Roman"/>
          <w:bCs/>
          <w:color w:val="000000" w:themeColor="text1"/>
          <w:szCs w:val="24"/>
          <w:highlight w:val="none"/>
          <w14:textFill>
            <w14:solidFill>
              <w14:schemeClr w14:val="tx1"/>
            </w14:solidFill>
          </w14:textFill>
        </w:rPr>
        <w:t>情况</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评价河段未分布国家和省级重点保护野生鱼类、未分布珍稀和长江上游特有鱼类。</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（5）鱼类“</w:t>
      </w:r>
      <w:r>
        <w:rPr>
          <w:rFonts w:cs="Times New Roman"/>
          <w:bCs/>
          <w:color w:val="000000" w:themeColor="text1"/>
          <w:szCs w:val="24"/>
          <w:highlight w:val="none"/>
          <w14:textFill>
            <w14:solidFill>
              <w14:schemeClr w14:val="tx1"/>
            </w14:solidFill>
          </w14:textFill>
        </w:rPr>
        <w:t>三场</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分布</w:t>
      </w:r>
      <w:r>
        <w:rPr>
          <w:rFonts w:hint="eastAsia" w:cs="Times New Roman"/>
          <w:bCs/>
          <w:color w:val="000000" w:themeColor="text1"/>
          <w:szCs w:val="24"/>
          <w:highlight w:val="none"/>
          <w14:textFill>
            <w14:solidFill>
              <w14:schemeClr w14:val="tx1"/>
            </w14:solidFill>
          </w14:textFill>
        </w:rPr>
        <w:t>情况</w:t>
      </w:r>
    </w:p>
    <w:p>
      <w:pPr>
        <w:ind w:firstLine="480"/>
        <w:rPr>
          <w:color w:val="000000" w:themeColor="text1"/>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结合走访、历史资料</w:t>
      </w:r>
      <w:r>
        <w:rPr>
          <w:rFonts w:hint="eastAsia" w:cs="Times New Roman"/>
          <w:bCs/>
          <w:color w:val="000000" w:themeColor="text1"/>
          <w:szCs w:val="24"/>
          <w:highlight w:val="none"/>
          <w14:textFill>
            <w14:solidFill>
              <w14:schemeClr w14:val="tx1"/>
            </w14:solidFill>
          </w14:textFill>
        </w:rPr>
        <w:t>，评价河段</w:t>
      </w:r>
      <w:r>
        <w:rPr>
          <w:rFonts w:cs="Times New Roman"/>
          <w:bCs/>
          <w:color w:val="000000" w:themeColor="text1"/>
          <w:szCs w:val="24"/>
          <w:highlight w:val="none"/>
          <w14:textFill>
            <w14:solidFill>
              <w14:schemeClr w14:val="tx1"/>
            </w14:solidFill>
          </w14:textFill>
        </w:rPr>
        <w:t>不涉及鱼类“三场”</w:t>
      </w:r>
      <w:r>
        <w:rPr>
          <w:rFonts w:hint="eastAsia" w:cs="Times New Roman"/>
          <w:bCs/>
          <w:color w:val="000000" w:themeColor="text1"/>
          <w:szCs w:val="24"/>
          <w:highlight w:val="none"/>
          <w14:textFill>
            <w14:solidFill>
              <w14:schemeClr w14:val="tx1"/>
            </w14:solidFill>
          </w14:textFill>
        </w:rPr>
        <w:t>及洄游通道</w:t>
      </w:r>
      <w:r>
        <w:rPr>
          <w:rFonts w:cs="Times New Roman"/>
          <w:bCs/>
          <w:color w:val="000000" w:themeColor="text1"/>
          <w:szCs w:val="24"/>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p>
    <w:p>
      <w:pPr>
        <w:ind w:firstLine="480"/>
        <w:rPr>
          <w:color w:val="000000" w:themeColor="text1"/>
          <w:highlight w:val="none"/>
          <w14:textFill>
            <w14:solidFill>
              <w14:schemeClr w14:val="tx1"/>
            </w14:solidFill>
          </w14:textFill>
        </w:rPr>
        <w:sectPr>
          <w:pgSz w:w="11910" w:h="16840"/>
          <w:pgMar w:top="1440" w:right="1800" w:bottom="1440" w:left="1800" w:header="964" w:footer="964" w:gutter="0"/>
          <w:cols w:space="720" w:num="1"/>
          <w:docGrid w:linePitch="326" w:charSpace="0"/>
        </w:sectPr>
      </w:pPr>
    </w:p>
    <w:p>
      <w:pPr>
        <w:pStyle w:val="3"/>
        <w:rPr>
          <w:b/>
          <w:color w:val="000000" w:themeColor="text1"/>
          <w:highlight w:val="none"/>
          <w:lang w:eastAsia="zh-CN"/>
          <w14:textFill>
            <w14:solidFill>
              <w14:schemeClr w14:val="tx1"/>
            </w14:solidFill>
          </w14:textFill>
        </w:rPr>
      </w:pPr>
      <w:bookmarkStart w:id="251" w:name="_Toc21695"/>
      <w:r>
        <w:rPr>
          <w:color w:val="000000" w:themeColor="text1"/>
          <w:highlight w:val="none"/>
          <w:lang w:eastAsia="zh-CN"/>
          <w14:textFill>
            <w14:solidFill>
              <w14:schemeClr w14:val="tx1"/>
            </w14:solidFill>
          </w14:textFill>
        </w:rPr>
        <w:t>环境影响预测与评价</w:t>
      </w:r>
      <w:bookmarkEnd w:id="251"/>
    </w:p>
    <w:p>
      <w:pPr>
        <w:pStyle w:val="4"/>
        <w:spacing w:before="120"/>
        <w:rPr>
          <w:color w:val="000000" w:themeColor="text1"/>
          <w:highlight w:val="none"/>
          <w:lang w:eastAsia="zh-CN"/>
          <w14:textFill>
            <w14:solidFill>
              <w14:schemeClr w14:val="tx1"/>
            </w14:solidFill>
          </w14:textFill>
        </w:rPr>
      </w:pPr>
      <w:bookmarkStart w:id="252" w:name="_bookmark28"/>
      <w:bookmarkEnd w:id="252"/>
      <w:bookmarkStart w:id="253" w:name="5.1施工期环境影响分析"/>
      <w:bookmarkEnd w:id="253"/>
      <w:bookmarkStart w:id="254" w:name="_Toc25727"/>
      <w:r>
        <w:rPr>
          <w:color w:val="000000" w:themeColor="text1"/>
          <w:highlight w:val="none"/>
          <w:lang w:eastAsia="zh-CN"/>
          <w14:textFill>
            <w14:solidFill>
              <w14:schemeClr w14:val="tx1"/>
            </w14:solidFill>
          </w14:textFill>
        </w:rPr>
        <w:t>施工期环境影响分析</w:t>
      </w:r>
      <w:bookmarkEnd w:id="254"/>
    </w:p>
    <w:p>
      <w:pPr>
        <w:pStyle w:val="5"/>
        <w:spacing w:before="120"/>
        <w:ind w:firstLine="480"/>
        <w:rPr>
          <w:color w:val="000000" w:themeColor="text1"/>
          <w:highlight w:val="none"/>
          <w:lang w:eastAsia="zh-CN"/>
          <w14:textFill>
            <w14:solidFill>
              <w14:schemeClr w14:val="tx1"/>
            </w14:solidFill>
          </w14:textFill>
        </w:rPr>
      </w:pPr>
      <w:bookmarkStart w:id="255" w:name="_Toc120173150"/>
      <w:r>
        <w:rPr>
          <w:color w:val="000000" w:themeColor="text1"/>
          <w:highlight w:val="none"/>
          <w:lang w:eastAsia="zh-CN"/>
          <w14:textFill>
            <w14:solidFill>
              <w14:schemeClr w14:val="tx1"/>
            </w14:solidFill>
          </w14:textFill>
        </w:rPr>
        <w:t>施工期生态环境影响分析</w:t>
      </w:r>
      <w:bookmarkEnd w:id="255"/>
    </w:p>
    <w:p>
      <w:pPr>
        <w:pStyle w:val="6"/>
        <w:spacing w:before="12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对土地利用类型的影响</w:t>
      </w:r>
    </w:p>
    <w:p>
      <w:pPr>
        <w:snapToGrid/>
        <w:ind w:firstLine="480"/>
        <w:rPr>
          <w:rFonts w:cs="Times New Roman"/>
          <w:bCs/>
          <w:color w:val="000000" w:themeColor="text1"/>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本项目占地均为临时占地，占地面积共12.1005hm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，不涉及拆迁安置。试采站位于雷页1井场西侧，紧邻雷页1井场，临时占地面积为0.2805hm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；管线敷设临时占地为11.82hm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。具体占地情况见下表</w:t>
      </w:r>
      <w:r>
        <w:rPr>
          <w:rFonts w:cs="Times New Roman"/>
          <w:bCs/>
          <w:color w:val="000000" w:themeColor="text1"/>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工程占地类型一览表单位：</w:t>
      </w:r>
      <w:r>
        <w:rPr>
          <w:color w:val="000000" w:themeColor="text1"/>
          <w:highlight w:val="none"/>
          <w14:textFill>
            <w14:solidFill>
              <w14:schemeClr w14:val="tx1"/>
            </w14:solidFill>
          </w14:textFill>
        </w:rPr>
        <w:t>hm</w:t>
      </w:r>
      <w:r>
        <w:rPr>
          <w:color w:val="000000" w:themeColor="text1"/>
          <w:highlight w:val="none"/>
          <w:vertAlign w:val="superscript"/>
          <w14:textFill>
            <w14:solidFill>
              <w14:schemeClr w14:val="tx1"/>
            </w14:solidFill>
          </w14:textFill>
        </w:rPr>
        <w:t>2</w:t>
      </w:r>
    </w:p>
    <w:tbl>
      <w:tblPr>
        <w:tblStyle w:val="41"/>
        <w:tblW w:w="512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2"/>
        <w:gridCol w:w="883"/>
        <w:gridCol w:w="886"/>
        <w:gridCol w:w="1142"/>
        <w:gridCol w:w="1126"/>
        <w:gridCol w:w="854"/>
        <w:gridCol w:w="824"/>
        <w:gridCol w:w="887"/>
        <w:gridCol w:w="10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636" w:type="pct"/>
            <w:vMerge w:val="restart"/>
            <w:shd w:val="clear" w:color="auto" w:fill="auto"/>
            <w:vAlign w:val="center"/>
          </w:tcPr>
          <w:p>
            <w:pPr>
              <w:widowControl/>
              <w:spacing w:line="240" w:lineRule="auto"/>
              <w:ind w:firstLine="0" w:firstLineChars="0"/>
              <w:jc w:val="center"/>
              <w:textAlignment w:val="baseline"/>
              <w:rPr>
                <w:rFonts w:cs="Times New Roman"/>
                <w:b/>
                <w:bCs/>
                <w:color w:val="000000" w:themeColor="text1"/>
                <w:sz w:val="21"/>
                <w:szCs w:val="20"/>
                <w:highlight w:val="none"/>
                <w14:textFill>
                  <w14:solidFill>
                    <w14:schemeClr w14:val="tx1"/>
                  </w14:solidFill>
                </w14:textFill>
              </w:rPr>
            </w:pPr>
            <w:r>
              <w:rPr>
                <w:rFonts w:cs="Times New Roman"/>
                <w:b/>
                <w:bCs/>
                <w:color w:val="000000" w:themeColor="text1"/>
                <w:sz w:val="21"/>
                <w:szCs w:val="20"/>
                <w:highlight w:val="none"/>
                <w:lang w:bidi="ar"/>
                <w14:textFill>
                  <w14:solidFill>
                    <w14:schemeClr w14:val="tx1"/>
                  </w14:solidFill>
                </w14:textFill>
              </w:rPr>
              <w:t>名称</w:t>
            </w:r>
          </w:p>
        </w:tc>
        <w:tc>
          <w:tcPr>
            <w:tcW w:w="1013" w:type="pct"/>
            <w:gridSpan w:val="2"/>
            <w:shd w:val="clear" w:color="auto" w:fill="auto"/>
            <w:vAlign w:val="center"/>
          </w:tcPr>
          <w:p>
            <w:pPr>
              <w:widowControl/>
              <w:spacing w:line="240" w:lineRule="auto"/>
              <w:ind w:firstLine="0" w:firstLineChars="0"/>
              <w:jc w:val="center"/>
              <w:textAlignment w:val="baseline"/>
              <w:rPr>
                <w:rFonts w:cs="Times New Roman"/>
                <w:b/>
                <w:bCs/>
                <w:color w:val="000000" w:themeColor="text1"/>
                <w:sz w:val="21"/>
                <w:szCs w:val="20"/>
                <w:highlight w:val="none"/>
                <w14:textFill>
                  <w14:solidFill>
                    <w14:schemeClr w14:val="tx1"/>
                  </w14:solidFill>
                </w14:textFill>
              </w:rPr>
            </w:pPr>
            <w:r>
              <w:rPr>
                <w:rFonts w:cs="Times New Roman"/>
                <w:b/>
                <w:bCs/>
                <w:color w:val="000000" w:themeColor="text1"/>
                <w:sz w:val="21"/>
                <w:szCs w:val="20"/>
                <w:highlight w:val="none"/>
                <w:lang w:bidi="ar"/>
                <w14:textFill>
                  <w14:solidFill>
                    <w14:schemeClr w14:val="tx1"/>
                  </w14:solidFill>
                </w14:textFill>
              </w:rPr>
              <w:t>耕地</w:t>
            </w:r>
          </w:p>
        </w:tc>
        <w:tc>
          <w:tcPr>
            <w:tcW w:w="654" w:type="pct"/>
            <w:vMerge w:val="restart"/>
            <w:shd w:val="clear" w:color="auto" w:fill="auto"/>
            <w:vAlign w:val="center"/>
          </w:tcPr>
          <w:p>
            <w:pPr>
              <w:widowControl/>
              <w:spacing w:line="240" w:lineRule="auto"/>
              <w:ind w:firstLine="0" w:firstLineChars="0"/>
              <w:jc w:val="center"/>
              <w:textAlignment w:val="baseline"/>
              <w:rPr>
                <w:rFonts w:cs="Times New Roman"/>
                <w:b/>
                <w:bCs/>
                <w:color w:val="000000" w:themeColor="text1"/>
                <w:sz w:val="21"/>
                <w:szCs w:val="20"/>
                <w:highlight w:val="none"/>
                <w14:textFill>
                  <w14:solidFill>
                    <w14:schemeClr w14:val="tx1"/>
                  </w14:solidFill>
                </w14:textFill>
              </w:rPr>
            </w:pPr>
            <w:r>
              <w:rPr>
                <w:rFonts w:cs="Times New Roman"/>
                <w:b/>
                <w:bCs/>
                <w:color w:val="000000" w:themeColor="text1"/>
                <w:sz w:val="21"/>
                <w:szCs w:val="20"/>
                <w:highlight w:val="none"/>
                <w:lang w:bidi="ar"/>
                <w14:textFill>
                  <w14:solidFill>
                    <w14:schemeClr w14:val="tx1"/>
                  </w14:solidFill>
                </w14:textFill>
              </w:rPr>
              <w:t>乔木林地</w:t>
            </w:r>
          </w:p>
        </w:tc>
        <w:tc>
          <w:tcPr>
            <w:tcW w:w="645" w:type="pct"/>
            <w:vMerge w:val="restart"/>
            <w:shd w:val="clear" w:color="auto" w:fill="auto"/>
            <w:vAlign w:val="center"/>
          </w:tcPr>
          <w:p>
            <w:pPr>
              <w:widowControl/>
              <w:spacing w:line="240" w:lineRule="auto"/>
              <w:ind w:firstLine="0" w:firstLineChars="0"/>
              <w:jc w:val="center"/>
              <w:textAlignment w:val="baseline"/>
              <w:rPr>
                <w:rFonts w:cs="Times New Roman"/>
                <w:b/>
                <w:bCs/>
                <w:color w:val="000000" w:themeColor="text1"/>
                <w:sz w:val="21"/>
                <w:szCs w:val="20"/>
                <w:highlight w:val="none"/>
                <w:lang w:bidi="ar"/>
                <w14:textFill>
                  <w14:solidFill>
                    <w14:schemeClr w14:val="tx1"/>
                  </w14:solidFill>
                </w14:textFill>
              </w:rPr>
            </w:pPr>
            <w:r>
              <w:rPr>
                <w:rFonts w:cs="Times New Roman"/>
                <w:b/>
                <w:bCs/>
                <w:color w:val="000000" w:themeColor="text1"/>
                <w:sz w:val="21"/>
                <w:szCs w:val="20"/>
                <w:highlight w:val="none"/>
                <w:lang w:bidi="ar"/>
                <w14:textFill>
                  <w14:solidFill>
                    <w14:schemeClr w14:val="tx1"/>
                  </w14:solidFill>
                </w14:textFill>
              </w:rPr>
              <w:t>灌木林地</w:t>
            </w:r>
          </w:p>
        </w:tc>
        <w:tc>
          <w:tcPr>
            <w:tcW w:w="489" w:type="pct"/>
            <w:vMerge w:val="restart"/>
            <w:shd w:val="clear" w:color="auto" w:fill="auto"/>
            <w:vAlign w:val="center"/>
          </w:tcPr>
          <w:p>
            <w:pPr>
              <w:widowControl/>
              <w:spacing w:line="240" w:lineRule="auto"/>
              <w:ind w:firstLine="0" w:firstLineChars="0"/>
              <w:jc w:val="center"/>
              <w:textAlignment w:val="baseline"/>
              <w:rPr>
                <w:rFonts w:cs="Times New Roman"/>
                <w:b/>
                <w:bCs/>
                <w:color w:val="000000" w:themeColor="text1"/>
                <w:sz w:val="21"/>
                <w:szCs w:val="20"/>
                <w:highlight w:val="none"/>
                <w14:textFill>
                  <w14:solidFill>
                    <w14:schemeClr w14:val="tx1"/>
                  </w14:solidFill>
                </w14:textFill>
              </w:rPr>
            </w:pPr>
            <w:r>
              <w:rPr>
                <w:rFonts w:cs="Times New Roman"/>
                <w:b/>
                <w:bCs/>
                <w:color w:val="000000" w:themeColor="text1"/>
                <w:sz w:val="21"/>
                <w:szCs w:val="20"/>
                <w:highlight w:val="none"/>
                <w:lang w:bidi="ar"/>
                <w14:textFill>
                  <w14:solidFill>
                    <w14:schemeClr w14:val="tx1"/>
                  </w14:solidFill>
                </w14:textFill>
              </w:rPr>
              <w:t>草地</w:t>
            </w:r>
          </w:p>
        </w:tc>
        <w:tc>
          <w:tcPr>
            <w:tcW w:w="472" w:type="pct"/>
            <w:vMerge w:val="restart"/>
            <w:shd w:val="clear" w:color="auto" w:fill="auto"/>
            <w:vAlign w:val="center"/>
          </w:tcPr>
          <w:p>
            <w:pPr>
              <w:widowControl/>
              <w:spacing w:line="240" w:lineRule="auto"/>
              <w:ind w:firstLine="0" w:firstLineChars="0"/>
              <w:jc w:val="center"/>
              <w:textAlignment w:val="baseline"/>
              <w:rPr>
                <w:rFonts w:cs="Times New Roman"/>
                <w:b/>
                <w:bCs/>
                <w:color w:val="000000" w:themeColor="text1"/>
                <w:sz w:val="21"/>
                <w:szCs w:val="20"/>
                <w:highlight w:val="none"/>
                <w:lang w:bidi="ar"/>
                <w14:textFill>
                  <w14:solidFill>
                    <w14:schemeClr w14:val="tx1"/>
                  </w14:solidFill>
                </w14:textFill>
              </w:rPr>
            </w:pPr>
            <w:r>
              <w:rPr>
                <w:rFonts w:cs="Times New Roman"/>
                <w:b/>
                <w:bCs/>
                <w:color w:val="000000" w:themeColor="text1"/>
                <w:sz w:val="21"/>
                <w:szCs w:val="20"/>
                <w:highlight w:val="none"/>
                <w:lang w:bidi="ar"/>
                <w14:textFill>
                  <w14:solidFill>
                    <w14:schemeClr w14:val="tx1"/>
                  </w14:solidFill>
                </w14:textFill>
              </w:rPr>
              <w:t>水面</w:t>
            </w:r>
          </w:p>
        </w:tc>
        <w:tc>
          <w:tcPr>
            <w:tcW w:w="508" w:type="pct"/>
            <w:vMerge w:val="restart"/>
            <w:shd w:val="clear" w:color="auto" w:fill="auto"/>
            <w:vAlign w:val="center"/>
          </w:tcPr>
          <w:p>
            <w:pPr>
              <w:widowControl/>
              <w:spacing w:line="240" w:lineRule="auto"/>
              <w:ind w:firstLine="0" w:firstLineChars="0"/>
              <w:jc w:val="center"/>
              <w:textAlignment w:val="baseline"/>
              <w:rPr>
                <w:rFonts w:cs="Times New Roman"/>
                <w:b/>
                <w:bCs/>
                <w:color w:val="000000" w:themeColor="text1"/>
                <w:sz w:val="21"/>
                <w:szCs w:val="20"/>
                <w:highlight w:val="none"/>
                <w14:textFill>
                  <w14:solidFill>
                    <w14:schemeClr w14:val="tx1"/>
                  </w14:solidFill>
                </w14:textFill>
              </w:rPr>
            </w:pPr>
            <w:r>
              <w:rPr>
                <w:rFonts w:cs="Times New Roman"/>
                <w:b/>
                <w:bCs/>
                <w:color w:val="000000" w:themeColor="text1"/>
                <w:sz w:val="21"/>
                <w:szCs w:val="20"/>
                <w:highlight w:val="none"/>
                <w14:textFill>
                  <w14:solidFill>
                    <w14:schemeClr w14:val="tx1"/>
                  </w14:solidFill>
                </w14:textFill>
              </w:rPr>
              <w:t>其他</w:t>
            </w:r>
          </w:p>
        </w:tc>
        <w:tc>
          <w:tcPr>
            <w:tcW w:w="584" w:type="pct"/>
            <w:vMerge w:val="restart"/>
            <w:shd w:val="clear" w:color="auto" w:fill="auto"/>
            <w:vAlign w:val="center"/>
          </w:tcPr>
          <w:p>
            <w:pPr>
              <w:widowControl/>
              <w:spacing w:line="240" w:lineRule="auto"/>
              <w:ind w:firstLine="0" w:firstLineChars="0"/>
              <w:jc w:val="center"/>
              <w:textAlignment w:val="baseline"/>
              <w:rPr>
                <w:rFonts w:cs="Times New Roman"/>
                <w:b/>
                <w:bCs/>
                <w:color w:val="000000" w:themeColor="text1"/>
                <w:sz w:val="21"/>
                <w:szCs w:val="20"/>
                <w:highlight w:val="none"/>
                <w14:textFill>
                  <w14:solidFill>
                    <w14:schemeClr w14:val="tx1"/>
                  </w14:solidFill>
                </w14:textFill>
              </w:rPr>
            </w:pPr>
            <w:r>
              <w:rPr>
                <w:rFonts w:cs="Times New Roman"/>
                <w:b/>
                <w:bCs/>
                <w:color w:val="000000" w:themeColor="text1"/>
                <w:sz w:val="21"/>
                <w:szCs w:val="20"/>
                <w:highlight w:val="none"/>
                <w:lang w:bidi="ar"/>
                <w14:textFill>
                  <w14:solidFill>
                    <w14:schemeClr w14:val="tx1"/>
                  </w14:solidFill>
                </w14:textFill>
              </w:rPr>
              <w:t>合计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636" w:type="pct"/>
            <w:vMerge w:val="continue"/>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506" w:type="pct"/>
            <w:shd w:val="clear" w:color="auto" w:fill="auto"/>
            <w:vAlign w:val="center"/>
          </w:tcPr>
          <w:p>
            <w:pPr>
              <w:widowControl/>
              <w:spacing w:line="240" w:lineRule="auto"/>
              <w:ind w:firstLine="0" w:firstLineChars="0"/>
              <w:jc w:val="center"/>
              <w:textAlignment w:val="baseline"/>
              <w:rPr>
                <w:rFonts w:cs="Times New Roman"/>
                <w:b/>
                <w:bCs/>
                <w:color w:val="000000" w:themeColor="text1"/>
                <w:sz w:val="21"/>
                <w:szCs w:val="20"/>
                <w:highlight w:val="none"/>
                <w14:textFill>
                  <w14:solidFill>
                    <w14:schemeClr w14:val="tx1"/>
                  </w14:solidFill>
                </w14:textFill>
              </w:rPr>
            </w:pPr>
            <w:r>
              <w:rPr>
                <w:rFonts w:cs="Times New Roman"/>
                <w:b/>
                <w:bCs/>
                <w:color w:val="000000" w:themeColor="text1"/>
                <w:sz w:val="21"/>
                <w:szCs w:val="20"/>
                <w:highlight w:val="none"/>
                <w:lang w:bidi="ar"/>
                <w14:textFill>
                  <w14:solidFill>
                    <w14:schemeClr w14:val="tx1"/>
                  </w14:solidFill>
                </w14:textFill>
              </w:rPr>
              <w:t>水田</w:t>
            </w:r>
          </w:p>
        </w:tc>
        <w:tc>
          <w:tcPr>
            <w:tcW w:w="507" w:type="pct"/>
            <w:shd w:val="clear" w:color="auto" w:fill="auto"/>
            <w:vAlign w:val="center"/>
          </w:tcPr>
          <w:p>
            <w:pPr>
              <w:widowControl/>
              <w:spacing w:line="240" w:lineRule="auto"/>
              <w:ind w:firstLine="0" w:firstLineChars="0"/>
              <w:jc w:val="center"/>
              <w:textAlignment w:val="baseline"/>
              <w:rPr>
                <w:rFonts w:cs="Times New Roman"/>
                <w:b/>
                <w:bCs/>
                <w:color w:val="000000" w:themeColor="text1"/>
                <w:sz w:val="21"/>
                <w:szCs w:val="20"/>
                <w:highlight w:val="none"/>
                <w14:textFill>
                  <w14:solidFill>
                    <w14:schemeClr w14:val="tx1"/>
                  </w14:solidFill>
                </w14:textFill>
              </w:rPr>
            </w:pPr>
            <w:r>
              <w:rPr>
                <w:rFonts w:cs="Times New Roman"/>
                <w:b/>
                <w:bCs/>
                <w:color w:val="000000" w:themeColor="text1"/>
                <w:sz w:val="21"/>
                <w:szCs w:val="20"/>
                <w:highlight w:val="none"/>
                <w:lang w:bidi="ar"/>
                <w14:textFill>
                  <w14:solidFill>
                    <w14:schemeClr w14:val="tx1"/>
                  </w14:solidFill>
                </w14:textFill>
              </w:rPr>
              <w:t>旱地</w:t>
            </w:r>
          </w:p>
        </w:tc>
        <w:tc>
          <w:tcPr>
            <w:tcW w:w="654" w:type="pct"/>
            <w:vMerge w:val="continue"/>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645" w:type="pct"/>
            <w:vMerge w:val="continue"/>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489" w:type="pct"/>
            <w:vMerge w:val="continue"/>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472" w:type="pct"/>
            <w:vMerge w:val="continue"/>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508" w:type="pct"/>
            <w:vMerge w:val="continue"/>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584" w:type="pct"/>
            <w:vMerge w:val="continue"/>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6"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试采站</w:t>
            </w:r>
          </w:p>
        </w:tc>
        <w:tc>
          <w:tcPr>
            <w:tcW w:w="506"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0.0762</w:t>
            </w:r>
          </w:p>
        </w:tc>
        <w:tc>
          <w:tcPr>
            <w:tcW w:w="507"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w:t>
            </w:r>
          </w:p>
        </w:tc>
        <w:tc>
          <w:tcPr>
            <w:tcW w:w="654"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w:t>
            </w:r>
          </w:p>
        </w:tc>
        <w:tc>
          <w:tcPr>
            <w:tcW w:w="645"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w:t>
            </w:r>
          </w:p>
        </w:tc>
        <w:tc>
          <w:tcPr>
            <w:tcW w:w="489"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w:t>
            </w:r>
          </w:p>
        </w:tc>
        <w:tc>
          <w:tcPr>
            <w:tcW w:w="472"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0.2043</w:t>
            </w:r>
          </w:p>
        </w:tc>
        <w:tc>
          <w:tcPr>
            <w:tcW w:w="508"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w:t>
            </w:r>
          </w:p>
        </w:tc>
        <w:tc>
          <w:tcPr>
            <w:tcW w:w="584"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0.2805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6"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施工作业带</w:t>
            </w:r>
          </w:p>
        </w:tc>
        <w:tc>
          <w:tcPr>
            <w:tcW w:w="506"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5.3136</w:t>
            </w:r>
          </w:p>
        </w:tc>
        <w:tc>
          <w:tcPr>
            <w:tcW w:w="507"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0.8424</w:t>
            </w:r>
          </w:p>
        </w:tc>
        <w:tc>
          <w:tcPr>
            <w:tcW w:w="654"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2.5008</w:t>
            </w:r>
          </w:p>
        </w:tc>
        <w:tc>
          <w:tcPr>
            <w:tcW w:w="645"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0.2893</w:t>
            </w:r>
          </w:p>
        </w:tc>
        <w:tc>
          <w:tcPr>
            <w:tcW w:w="489"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0.2259</w:t>
            </w:r>
          </w:p>
        </w:tc>
        <w:tc>
          <w:tcPr>
            <w:tcW w:w="472"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0.0347</w:t>
            </w:r>
          </w:p>
        </w:tc>
        <w:tc>
          <w:tcPr>
            <w:tcW w:w="508"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0.2335</w:t>
            </w:r>
          </w:p>
        </w:tc>
        <w:tc>
          <w:tcPr>
            <w:tcW w:w="584"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9.44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6"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施工便道</w:t>
            </w:r>
          </w:p>
        </w:tc>
        <w:tc>
          <w:tcPr>
            <w:tcW w:w="506"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0.4304</w:t>
            </w:r>
          </w:p>
        </w:tc>
        <w:tc>
          <w:tcPr>
            <w:tcW w:w="507"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0.3696</w:t>
            </w:r>
          </w:p>
        </w:tc>
        <w:tc>
          <w:tcPr>
            <w:tcW w:w="654"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w:t>
            </w:r>
          </w:p>
        </w:tc>
        <w:tc>
          <w:tcPr>
            <w:tcW w:w="645"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w:t>
            </w:r>
          </w:p>
        </w:tc>
        <w:tc>
          <w:tcPr>
            <w:tcW w:w="489"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w:t>
            </w:r>
          </w:p>
        </w:tc>
        <w:tc>
          <w:tcPr>
            <w:tcW w:w="472"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w:t>
            </w:r>
          </w:p>
        </w:tc>
        <w:tc>
          <w:tcPr>
            <w:tcW w:w="508"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w:t>
            </w:r>
          </w:p>
        </w:tc>
        <w:tc>
          <w:tcPr>
            <w:tcW w:w="584"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6"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堆管场</w:t>
            </w:r>
          </w:p>
        </w:tc>
        <w:tc>
          <w:tcPr>
            <w:tcW w:w="506"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0.0765</w:t>
            </w:r>
          </w:p>
        </w:tc>
        <w:tc>
          <w:tcPr>
            <w:tcW w:w="507"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0.1235</w:t>
            </w:r>
          </w:p>
        </w:tc>
        <w:tc>
          <w:tcPr>
            <w:tcW w:w="654"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w:t>
            </w:r>
          </w:p>
        </w:tc>
        <w:tc>
          <w:tcPr>
            <w:tcW w:w="645"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w:t>
            </w:r>
          </w:p>
        </w:tc>
        <w:tc>
          <w:tcPr>
            <w:tcW w:w="489"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w:t>
            </w:r>
          </w:p>
        </w:tc>
        <w:tc>
          <w:tcPr>
            <w:tcW w:w="472"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w:t>
            </w:r>
          </w:p>
        </w:tc>
        <w:tc>
          <w:tcPr>
            <w:tcW w:w="508"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w:t>
            </w:r>
          </w:p>
        </w:tc>
        <w:tc>
          <w:tcPr>
            <w:tcW w:w="584"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6"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穿越点施工场地</w:t>
            </w:r>
          </w:p>
        </w:tc>
        <w:tc>
          <w:tcPr>
            <w:tcW w:w="506"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0.5488</w:t>
            </w:r>
          </w:p>
        </w:tc>
        <w:tc>
          <w:tcPr>
            <w:tcW w:w="507"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0.8312</w:t>
            </w:r>
          </w:p>
        </w:tc>
        <w:tc>
          <w:tcPr>
            <w:tcW w:w="654"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w:t>
            </w:r>
          </w:p>
        </w:tc>
        <w:tc>
          <w:tcPr>
            <w:tcW w:w="645"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w:t>
            </w:r>
          </w:p>
        </w:tc>
        <w:tc>
          <w:tcPr>
            <w:tcW w:w="489"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w:t>
            </w:r>
          </w:p>
        </w:tc>
        <w:tc>
          <w:tcPr>
            <w:tcW w:w="472"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w:t>
            </w:r>
          </w:p>
        </w:tc>
        <w:tc>
          <w:tcPr>
            <w:tcW w:w="508"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w:t>
            </w:r>
          </w:p>
        </w:tc>
        <w:tc>
          <w:tcPr>
            <w:tcW w:w="584"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1.38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6"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合计</w:t>
            </w:r>
          </w:p>
        </w:tc>
        <w:tc>
          <w:tcPr>
            <w:tcW w:w="506"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6.4455</w:t>
            </w:r>
          </w:p>
        </w:tc>
        <w:tc>
          <w:tcPr>
            <w:tcW w:w="507"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2.1667</w:t>
            </w:r>
          </w:p>
        </w:tc>
        <w:tc>
          <w:tcPr>
            <w:tcW w:w="654"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2.5008</w:t>
            </w:r>
          </w:p>
        </w:tc>
        <w:tc>
          <w:tcPr>
            <w:tcW w:w="645"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0.2893</w:t>
            </w:r>
          </w:p>
        </w:tc>
        <w:tc>
          <w:tcPr>
            <w:tcW w:w="489"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0.2259</w:t>
            </w:r>
          </w:p>
        </w:tc>
        <w:tc>
          <w:tcPr>
            <w:tcW w:w="472"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0.239</w:t>
            </w:r>
          </w:p>
        </w:tc>
        <w:tc>
          <w:tcPr>
            <w:tcW w:w="508"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0.2335</w:t>
            </w:r>
          </w:p>
        </w:tc>
        <w:tc>
          <w:tcPr>
            <w:tcW w:w="584" w:type="pct"/>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lang w:bidi="ar"/>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12.1005</w:t>
            </w:r>
          </w:p>
        </w:tc>
      </w:tr>
    </w:tbl>
    <w:p>
      <w:pPr>
        <w:spacing w:before="120"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由于施工占地将会改变占地区土地利用方式，减少地表植被。占地植被类型主要为耕地，面积8.6122hm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（全部为临时占地），占用乔木林地</w:t>
      </w:r>
      <w:r>
        <w:rPr>
          <w:rFonts w:cs="Times New Roman"/>
          <w:color w:val="000000" w:themeColor="text1"/>
          <w:szCs w:val="24"/>
          <w:highlight w:val="none"/>
          <w:lang w:bidi="ar"/>
          <w14:textFill>
            <w14:solidFill>
              <w14:schemeClr w14:val="tx1"/>
            </w14:solidFill>
          </w14:textFill>
        </w:rPr>
        <w:t>2.5008</w:t>
      </w:r>
      <w:r>
        <w:rPr>
          <w:rFonts w:cs="Times New Roman"/>
          <w:bCs/>
          <w:color w:val="000000" w:themeColor="text1"/>
          <w:szCs w:val="24"/>
          <w:highlight w:val="none"/>
          <w14:textFill>
            <w14:solidFill>
              <w14:schemeClr w14:val="tx1"/>
            </w14:solidFill>
          </w14:textFill>
        </w:rPr>
        <w:t>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，灌木林地</w:t>
      </w:r>
      <w:r>
        <w:rPr>
          <w:rFonts w:cs="Times New Roman"/>
          <w:color w:val="000000" w:themeColor="text1"/>
          <w:szCs w:val="24"/>
          <w:highlight w:val="none"/>
          <w:lang w:bidi="ar"/>
          <w14:textFill>
            <w14:solidFill>
              <w14:schemeClr w14:val="tx1"/>
            </w14:solidFill>
          </w14:textFill>
        </w:rPr>
        <w:t>0.2893</w:t>
      </w:r>
      <w:r>
        <w:rPr>
          <w:rFonts w:cs="Times New Roman"/>
          <w:bCs/>
          <w:color w:val="000000" w:themeColor="text1"/>
          <w:szCs w:val="24"/>
          <w:highlight w:val="none"/>
          <w14:textFill>
            <w14:solidFill>
              <w14:schemeClr w14:val="tx1"/>
            </w14:solidFill>
          </w14:textFill>
        </w:rPr>
        <w:t>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，草地</w:t>
      </w:r>
      <w:r>
        <w:rPr>
          <w:rFonts w:cs="Times New Roman"/>
          <w:color w:val="000000" w:themeColor="text1"/>
          <w:szCs w:val="24"/>
          <w:highlight w:val="none"/>
          <w:lang w:bidi="ar"/>
          <w14:textFill>
            <w14:solidFill>
              <w14:schemeClr w14:val="tx1"/>
            </w14:solidFill>
          </w14:textFill>
        </w:rPr>
        <w:t>0.2259</w:t>
      </w:r>
      <w:r>
        <w:rPr>
          <w:rFonts w:cs="Times New Roman"/>
          <w:bCs/>
          <w:color w:val="000000" w:themeColor="text1"/>
          <w:szCs w:val="24"/>
          <w:highlight w:val="none"/>
          <w14:textFill>
            <w14:solidFill>
              <w14:schemeClr w14:val="tx1"/>
            </w14:solidFill>
          </w14:textFill>
        </w:rPr>
        <w:t>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，水面</w:t>
      </w:r>
      <w:r>
        <w:rPr>
          <w:rFonts w:cs="Times New Roman"/>
          <w:color w:val="000000" w:themeColor="text1"/>
          <w:szCs w:val="24"/>
          <w:highlight w:val="none"/>
          <w:lang w:bidi="ar"/>
          <w14:textFill>
            <w14:solidFill>
              <w14:schemeClr w14:val="tx1"/>
            </w14:solidFill>
          </w14:textFill>
        </w:rPr>
        <w:t>0.239</w:t>
      </w:r>
      <w:r>
        <w:rPr>
          <w:rFonts w:cs="Times New Roman"/>
          <w:bCs/>
          <w:color w:val="000000" w:themeColor="text1"/>
          <w:szCs w:val="24"/>
          <w:highlight w:val="none"/>
          <w14:textFill>
            <w14:solidFill>
              <w14:schemeClr w14:val="tx1"/>
            </w14:solidFill>
          </w14:textFill>
        </w:rPr>
        <w:t>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，其他用地</w:t>
      </w:r>
      <w:r>
        <w:rPr>
          <w:rFonts w:cs="Times New Roman"/>
          <w:color w:val="000000" w:themeColor="text1"/>
          <w:szCs w:val="24"/>
          <w:highlight w:val="none"/>
          <w:lang w:bidi="ar"/>
          <w14:textFill>
            <w14:solidFill>
              <w14:schemeClr w14:val="tx1"/>
            </w14:solidFill>
          </w14:textFill>
        </w:rPr>
        <w:t>0.2335</w:t>
      </w:r>
      <w:r>
        <w:rPr>
          <w:rFonts w:cs="Times New Roman"/>
          <w:bCs/>
          <w:color w:val="000000" w:themeColor="text1"/>
          <w:szCs w:val="24"/>
          <w:highlight w:val="none"/>
          <w14:textFill>
            <w14:solidFill>
              <w14:schemeClr w14:val="tx1"/>
            </w14:solidFill>
          </w14:textFill>
        </w:rPr>
        <w:t>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。这些新增占地将使占用的地表植被被剥离，在一定时间内改变土地利用的类型，但施工时间较短，施工结束后临时占地区将采取土地</w:t>
      </w:r>
      <w:r>
        <w:rPr>
          <w:rFonts w:hint="eastAsia" w:cs="Times New Roman"/>
          <w:bCs/>
          <w:color w:val="000000" w:themeColor="text1"/>
          <w:szCs w:val="24"/>
          <w:highlight w:val="none"/>
          <w14:textFill>
            <w14:solidFill>
              <w14:schemeClr w14:val="tx1"/>
            </w14:solidFill>
          </w14:textFill>
        </w:rPr>
        <w:t>平整</w:t>
      </w:r>
      <w:r>
        <w:rPr>
          <w:rFonts w:cs="Times New Roman"/>
          <w:bCs/>
          <w:color w:val="000000" w:themeColor="text1"/>
          <w:szCs w:val="24"/>
          <w:highlight w:val="none"/>
          <w14:textFill>
            <w14:solidFill>
              <w14:schemeClr w14:val="tx1"/>
            </w14:solidFill>
          </w14:textFill>
        </w:rPr>
        <w:t>、植被恢复等措施，不会长期改变土地地类，综合来看，整体上不会改变评价区内现有的土地利用类型的基本格局。</w:t>
      </w:r>
    </w:p>
    <w:p>
      <w:pPr>
        <w:adjustRightInd/>
        <w:snapToGrid/>
        <w:ind w:firstLine="480"/>
        <w:rPr>
          <w:rFonts w:cs="Times New Roman"/>
          <w:bCs/>
          <w:color w:val="000000" w:themeColor="text1"/>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由于本项目在建设期间会剥离表土、产生一定的裸露地面，出现地表植被破坏，施工区较易产</w:t>
      </w:r>
      <w:r>
        <w:rPr>
          <w:rFonts w:cs="Times New Roman"/>
          <w:bCs/>
          <w:color w:val="000000" w:themeColor="text1"/>
          <w:highlight w:val="none"/>
          <w14:textFill>
            <w14:solidFill>
              <w14:schemeClr w14:val="tx1"/>
            </w14:solidFill>
          </w14:textFill>
        </w:rPr>
        <w:t>生水土流失等特点，在项目建设中应当尽可能减少对土地的占用，严格在征地红线范围内施工，最大限度节约土地资源。</w:t>
      </w:r>
    </w:p>
    <w:p>
      <w:pPr>
        <w:pStyle w:val="6"/>
        <w:spacing w:before="12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对植被及生物量的影响</w:t>
      </w:r>
    </w:p>
    <w:p>
      <w:pPr>
        <w:adjustRightInd/>
        <w:snapToGrid/>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（1）项目占地</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项目占地主要为</w:t>
      </w:r>
      <w:r>
        <w:rPr>
          <w:rFonts w:cs="Times New Roman"/>
          <w:bCs/>
          <w:color w:val="000000" w:themeColor="text1"/>
          <w:highlight w:val="none"/>
          <w14:textFill>
            <w14:solidFill>
              <w14:schemeClr w14:val="tx1"/>
            </w14:solidFill>
          </w14:textFill>
        </w:rPr>
        <w:t>试采站及边坡、施工便道、集输管线、表土堆场、生活营地</w:t>
      </w:r>
      <w:r>
        <w:rPr>
          <w:rFonts w:cs="Times New Roman"/>
          <w:bCs/>
          <w:color w:val="000000" w:themeColor="text1"/>
          <w:szCs w:val="24"/>
          <w:highlight w:val="none"/>
          <w14:textFill>
            <w14:solidFill>
              <w14:schemeClr w14:val="tx1"/>
            </w14:solidFill>
          </w14:textFill>
        </w:rPr>
        <w:t>，占地总面积12.1</w:t>
      </w:r>
      <w:r>
        <w:rPr>
          <w:rFonts w:hint="eastAsia" w:cs="Times New Roman"/>
          <w:bCs/>
          <w:color w:val="000000" w:themeColor="text1"/>
          <w:szCs w:val="24"/>
          <w:highlight w:val="none"/>
          <w14:textFill>
            <w14:solidFill>
              <w14:schemeClr w14:val="tx1"/>
            </w14:solidFill>
          </w14:textFill>
        </w:rPr>
        <w:t>005</w:t>
      </w:r>
      <w:r>
        <w:rPr>
          <w:rFonts w:cs="Times New Roman"/>
          <w:bCs/>
          <w:color w:val="000000" w:themeColor="text1"/>
          <w:szCs w:val="24"/>
          <w:highlight w:val="none"/>
          <w14:textFill>
            <w14:solidFill>
              <w14:schemeClr w14:val="tx1"/>
            </w14:solidFill>
          </w14:textFill>
        </w:rPr>
        <w:t>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，占地范围内不涉及国家保护野生植物和四川省重点保护野生植物。</w:t>
      </w:r>
    </w:p>
    <w:p>
      <w:pPr>
        <w:adjustRightInd/>
        <w:snapToGrid/>
        <w:ind w:firstLine="480"/>
        <w:rPr>
          <w:rFonts w:cs="Times New Roman"/>
          <w:bCs/>
          <w:color w:val="000000" w:themeColor="text1"/>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项目占地施工损毁的植被类型属于评价范围内普遍分布的类型，主要有马尾松、青冈、麻栎、野桐、盐肤木灌丛、马桑、黄荆、火棘、荚蒾、</w:t>
      </w:r>
      <w:r>
        <w:rPr>
          <w:rFonts w:cs="Times New Roman"/>
          <w:bCs/>
          <w:color w:val="000000" w:themeColor="text1"/>
          <w:highlight w:val="none"/>
          <w14:textFill>
            <w14:solidFill>
              <w14:schemeClr w14:val="tx1"/>
            </w14:solidFill>
          </w14:textFill>
        </w:rPr>
        <w:t>芒、白茅、耕地等植被，其物区系组成成分不会发生变化，损失的只是局部群落及部分</w:t>
      </w:r>
      <w:r>
        <w:rPr>
          <w:rFonts w:cs="Times New Roman"/>
          <w:bCs/>
          <w:color w:val="000000" w:themeColor="text1"/>
          <w:szCs w:val="24"/>
          <w:highlight w:val="none"/>
          <w14:textFill>
            <w14:solidFill>
              <w14:schemeClr w14:val="tx1"/>
            </w14:solidFill>
          </w14:textFill>
        </w:rPr>
        <w:t>生产力</w:t>
      </w:r>
      <w:r>
        <w:rPr>
          <w:rFonts w:cs="Times New Roman"/>
          <w:bCs/>
          <w:color w:val="000000" w:themeColor="text1"/>
          <w:highlight w:val="none"/>
          <w14:textFill>
            <w14:solidFill>
              <w14:schemeClr w14:val="tx1"/>
            </w14:solidFill>
          </w14:textFill>
        </w:rPr>
        <w:t>和生物量，项目占地损失总生产力49.68tc/a，损失总生物量为390.6t，占评价区总生产力和总生物量的比例为2.05%和1.43%，占比极低，主要因为项目占地面积小，且占地主要为生态效能较低的耕地。</w:t>
      </w:r>
      <w:r>
        <w:rPr>
          <w:rFonts w:cs="Times New Roman"/>
          <w:bCs/>
          <w:color w:val="000000" w:themeColor="text1"/>
          <w:szCs w:val="24"/>
          <w:highlight w:val="none"/>
          <w14:textFill>
            <w14:solidFill>
              <w14:schemeClr w14:val="tx1"/>
            </w14:solidFill>
          </w14:textFill>
        </w:rPr>
        <w:t>损失植被类型及生物量见表5.1-2</w:t>
      </w:r>
      <w:r>
        <w:rPr>
          <w:rFonts w:cs="Times New Roman"/>
          <w:bCs/>
          <w:color w:val="000000" w:themeColor="text1"/>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工程占地影响植被类型及生物量统计表</w:t>
      </w:r>
    </w:p>
    <w:tbl>
      <w:tblPr>
        <w:tblStyle w:val="41"/>
        <w:tblW w:w="8390" w:type="dxa"/>
        <w:jc w:val="center"/>
        <w:tblLayout w:type="fixed"/>
        <w:tblCellMar>
          <w:top w:w="0" w:type="dxa"/>
          <w:left w:w="108" w:type="dxa"/>
          <w:bottom w:w="0" w:type="dxa"/>
          <w:right w:w="108" w:type="dxa"/>
        </w:tblCellMar>
      </w:tblPr>
      <w:tblGrid>
        <w:gridCol w:w="434"/>
        <w:gridCol w:w="1636"/>
        <w:gridCol w:w="1068"/>
        <w:gridCol w:w="1469"/>
        <w:gridCol w:w="1173"/>
        <w:gridCol w:w="2610"/>
      </w:tblGrid>
      <w:tr>
        <w:tblPrEx>
          <w:tblCellMar>
            <w:top w:w="0" w:type="dxa"/>
            <w:left w:w="108" w:type="dxa"/>
            <w:bottom w:w="0" w:type="dxa"/>
            <w:right w:w="108" w:type="dxa"/>
          </w:tblCellMar>
        </w:tblPrEx>
        <w:trPr>
          <w:trHeight w:val="727" w:hRule="exact"/>
          <w:jc w:val="center"/>
        </w:trPr>
        <w:tc>
          <w:tcPr>
            <w:tcW w:w="434" w:type="dxa"/>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lang w:bidi="ar"/>
                <w14:textFill>
                  <w14:solidFill>
                    <w14:schemeClr w14:val="tx1"/>
                  </w14:solidFill>
                </w14:textFill>
              </w:rPr>
            </w:pPr>
            <w:r>
              <w:rPr>
                <w:b/>
                <w:bCs/>
                <w:color w:val="000000" w:themeColor="text1"/>
                <w:highlight w:val="none"/>
                <w:lang w:bidi="ar"/>
                <w14:textFill>
                  <w14:solidFill>
                    <w14:schemeClr w14:val="tx1"/>
                  </w14:solidFill>
                </w14:textFill>
              </w:rPr>
              <w:t>序号</w:t>
            </w:r>
          </w:p>
        </w:tc>
        <w:tc>
          <w:tcPr>
            <w:tcW w:w="1636" w:type="dxa"/>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lang w:bidi="ar"/>
                <w14:textFill>
                  <w14:solidFill>
                    <w14:schemeClr w14:val="tx1"/>
                  </w14:solidFill>
                </w14:textFill>
              </w:rPr>
            </w:pPr>
            <w:r>
              <w:rPr>
                <w:b/>
                <w:bCs/>
                <w:color w:val="000000" w:themeColor="text1"/>
                <w:highlight w:val="none"/>
                <w:lang w:bidi="ar"/>
                <w14:textFill>
                  <w14:solidFill>
                    <w14:schemeClr w14:val="tx1"/>
                  </w14:solidFill>
                </w14:textFill>
              </w:rPr>
              <w:t>名称</w:t>
            </w:r>
          </w:p>
        </w:tc>
        <w:tc>
          <w:tcPr>
            <w:tcW w:w="1068" w:type="dxa"/>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lang w:bidi="ar"/>
                <w14:textFill>
                  <w14:solidFill>
                    <w14:schemeClr w14:val="tx1"/>
                  </w14:solidFill>
                </w14:textFill>
              </w:rPr>
            </w:pPr>
            <w:r>
              <w:rPr>
                <w:b/>
                <w:bCs/>
                <w:color w:val="000000" w:themeColor="text1"/>
                <w:highlight w:val="none"/>
                <w:lang w:bidi="ar"/>
                <w14:textFill>
                  <w14:solidFill>
                    <w14:schemeClr w14:val="tx1"/>
                  </w14:solidFill>
                </w14:textFill>
              </w:rPr>
              <w:t>占地面积</w:t>
            </w:r>
            <w:r>
              <w:rPr>
                <w:rFonts w:hint="eastAsia"/>
                <w:b/>
                <w:bCs/>
                <w:color w:val="000000" w:themeColor="text1"/>
                <w:highlight w:val="none"/>
                <w:lang w:bidi="ar"/>
                <w14:textFill>
                  <w14:solidFill>
                    <w14:schemeClr w14:val="tx1"/>
                  </w14:solidFill>
                </w14:textFill>
              </w:rPr>
              <w:t>（</w:t>
            </w:r>
            <w:r>
              <w:rPr>
                <w:b/>
                <w:bCs/>
                <w:color w:val="000000" w:themeColor="text1"/>
                <w:highlight w:val="none"/>
                <w:lang w:bidi="ar"/>
                <w14:textFill>
                  <w14:solidFill>
                    <w14:schemeClr w14:val="tx1"/>
                  </w14:solidFill>
                </w14:textFill>
              </w:rPr>
              <w:t>hm</w:t>
            </w:r>
            <w:r>
              <w:rPr>
                <w:b/>
                <w:bCs/>
                <w:color w:val="000000" w:themeColor="text1"/>
                <w:highlight w:val="none"/>
                <w:vertAlign w:val="superscript"/>
                <w:lang w:bidi="ar"/>
                <w14:textFill>
                  <w14:solidFill>
                    <w14:schemeClr w14:val="tx1"/>
                  </w14:solidFill>
                </w14:textFill>
              </w:rPr>
              <w:t>2</w:t>
            </w:r>
            <w:r>
              <w:rPr>
                <w:rFonts w:hint="eastAsia"/>
                <w:b/>
                <w:bCs/>
                <w:color w:val="000000" w:themeColor="text1"/>
                <w:highlight w:val="none"/>
                <w:vertAlign w:val="superscript"/>
                <w:lang w:bidi="ar"/>
                <w14:textFill>
                  <w14:solidFill>
                    <w14:schemeClr w14:val="tx1"/>
                  </w14:solidFill>
                </w14:textFill>
              </w:rPr>
              <w:t>）</w:t>
            </w:r>
          </w:p>
        </w:tc>
        <w:tc>
          <w:tcPr>
            <w:tcW w:w="1469" w:type="dxa"/>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lang w:bidi="ar"/>
                <w14:textFill>
                  <w14:solidFill>
                    <w14:schemeClr w14:val="tx1"/>
                  </w14:solidFill>
                </w14:textFill>
              </w:rPr>
            </w:pPr>
            <w:r>
              <w:rPr>
                <w:b/>
                <w:bCs/>
                <w:color w:val="000000" w:themeColor="text1"/>
                <w:highlight w:val="none"/>
                <w:lang w:bidi="ar"/>
                <w14:textFill>
                  <w14:solidFill>
                    <w14:schemeClr w14:val="tx1"/>
                  </w14:solidFill>
                </w14:textFill>
              </w:rPr>
              <w:t>损失生产力（tC/（a））</w:t>
            </w:r>
          </w:p>
        </w:tc>
        <w:tc>
          <w:tcPr>
            <w:tcW w:w="1173" w:type="dxa"/>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lang w:bidi="ar"/>
                <w14:textFill>
                  <w14:solidFill>
                    <w14:schemeClr w14:val="tx1"/>
                  </w14:solidFill>
                </w14:textFill>
              </w:rPr>
            </w:pPr>
            <w:r>
              <w:rPr>
                <w:b/>
                <w:bCs/>
                <w:color w:val="000000" w:themeColor="text1"/>
                <w:highlight w:val="none"/>
                <w:lang w:bidi="ar"/>
                <w14:textFill>
                  <w14:solidFill>
                    <w14:schemeClr w14:val="tx1"/>
                  </w14:solidFill>
                </w14:textFill>
              </w:rPr>
              <w:t>损失生物量（t）</w:t>
            </w:r>
          </w:p>
        </w:tc>
        <w:tc>
          <w:tcPr>
            <w:tcW w:w="2610" w:type="dxa"/>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lang w:bidi="ar"/>
                <w14:textFill>
                  <w14:solidFill>
                    <w14:schemeClr w14:val="tx1"/>
                  </w14:solidFill>
                </w14:textFill>
              </w:rPr>
            </w:pPr>
            <w:r>
              <w:rPr>
                <w:b/>
                <w:bCs/>
                <w:color w:val="000000" w:themeColor="text1"/>
                <w:highlight w:val="none"/>
                <w:lang w:bidi="ar"/>
                <w14:textFill>
                  <w14:solidFill>
                    <w14:schemeClr w14:val="tx1"/>
                  </w14:solidFill>
                </w14:textFill>
              </w:rPr>
              <w:t>受影响的植被类型</w:t>
            </w:r>
          </w:p>
        </w:tc>
      </w:tr>
      <w:tr>
        <w:tblPrEx>
          <w:tblCellMar>
            <w:top w:w="0" w:type="dxa"/>
            <w:left w:w="108" w:type="dxa"/>
            <w:bottom w:w="0" w:type="dxa"/>
            <w:right w:w="108" w:type="dxa"/>
          </w:tblCellMar>
        </w:tblPrEx>
        <w:trPr>
          <w:trHeight w:val="437" w:hRule="exact"/>
          <w:jc w:val="center"/>
        </w:trPr>
        <w:tc>
          <w:tcPr>
            <w:tcW w:w="434"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1</w:t>
            </w:r>
          </w:p>
        </w:tc>
        <w:tc>
          <w:tcPr>
            <w:tcW w:w="1636"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针叶林植被</w:t>
            </w:r>
          </w:p>
        </w:tc>
        <w:tc>
          <w:tcPr>
            <w:tcW w:w="1068"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1.7008</w:t>
            </w:r>
          </w:p>
        </w:tc>
        <w:tc>
          <w:tcPr>
            <w:tcW w:w="1469"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 xml:space="preserve">6.24 </w:t>
            </w:r>
          </w:p>
        </w:tc>
        <w:tc>
          <w:tcPr>
            <w:tcW w:w="1173"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 xml:space="preserve">67.74 </w:t>
            </w:r>
          </w:p>
        </w:tc>
        <w:tc>
          <w:tcPr>
            <w:tcW w:w="2610"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马尾松</w:t>
            </w:r>
          </w:p>
        </w:tc>
      </w:tr>
      <w:tr>
        <w:tblPrEx>
          <w:tblCellMar>
            <w:top w:w="0" w:type="dxa"/>
            <w:left w:w="108" w:type="dxa"/>
            <w:bottom w:w="0" w:type="dxa"/>
            <w:right w:w="108" w:type="dxa"/>
          </w:tblCellMar>
        </w:tblPrEx>
        <w:trPr>
          <w:trHeight w:val="397" w:hRule="exact"/>
          <w:jc w:val="center"/>
        </w:trPr>
        <w:tc>
          <w:tcPr>
            <w:tcW w:w="434" w:type="dxa"/>
            <w:tcBorders>
              <w:top w:val="nil"/>
              <w:left w:val="single" w:color="auto" w:sz="4" w:space="0"/>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2</w:t>
            </w:r>
          </w:p>
        </w:tc>
        <w:tc>
          <w:tcPr>
            <w:tcW w:w="1636" w:type="dxa"/>
            <w:tcBorders>
              <w:top w:val="nil"/>
              <w:left w:val="nil"/>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阔叶林植被</w:t>
            </w:r>
          </w:p>
        </w:tc>
        <w:tc>
          <w:tcPr>
            <w:tcW w:w="1068" w:type="dxa"/>
            <w:tcBorders>
              <w:top w:val="nil"/>
              <w:left w:val="nil"/>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0.8</w:t>
            </w:r>
          </w:p>
        </w:tc>
        <w:tc>
          <w:tcPr>
            <w:tcW w:w="1469" w:type="dxa"/>
            <w:tcBorders>
              <w:top w:val="nil"/>
              <w:left w:val="nil"/>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 xml:space="preserve">5.14 </w:t>
            </w:r>
          </w:p>
        </w:tc>
        <w:tc>
          <w:tcPr>
            <w:tcW w:w="1173" w:type="dxa"/>
            <w:tcBorders>
              <w:top w:val="nil"/>
              <w:left w:val="nil"/>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 xml:space="preserve">22.34 </w:t>
            </w:r>
          </w:p>
        </w:tc>
        <w:tc>
          <w:tcPr>
            <w:tcW w:w="2610" w:type="dxa"/>
            <w:tcBorders>
              <w:top w:val="nil"/>
              <w:left w:val="nil"/>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青冈、麻栎</w:t>
            </w:r>
          </w:p>
        </w:tc>
      </w:tr>
      <w:tr>
        <w:tblPrEx>
          <w:tblCellMar>
            <w:top w:w="0" w:type="dxa"/>
            <w:left w:w="108" w:type="dxa"/>
            <w:bottom w:w="0" w:type="dxa"/>
            <w:right w:w="108" w:type="dxa"/>
          </w:tblCellMar>
        </w:tblPrEx>
        <w:trPr>
          <w:trHeight w:val="692" w:hRule="exact"/>
          <w:jc w:val="center"/>
        </w:trPr>
        <w:tc>
          <w:tcPr>
            <w:tcW w:w="434" w:type="dxa"/>
            <w:tcBorders>
              <w:top w:val="nil"/>
              <w:left w:val="single" w:color="auto" w:sz="4" w:space="0"/>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3</w:t>
            </w:r>
          </w:p>
        </w:tc>
        <w:tc>
          <w:tcPr>
            <w:tcW w:w="1636" w:type="dxa"/>
            <w:tcBorders>
              <w:top w:val="nil"/>
              <w:left w:val="nil"/>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灌丛植被</w:t>
            </w:r>
          </w:p>
        </w:tc>
        <w:tc>
          <w:tcPr>
            <w:tcW w:w="1068" w:type="dxa"/>
            <w:tcBorders>
              <w:top w:val="nil"/>
              <w:left w:val="nil"/>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0.2893</w:t>
            </w:r>
          </w:p>
        </w:tc>
        <w:tc>
          <w:tcPr>
            <w:tcW w:w="1469" w:type="dxa"/>
            <w:tcBorders>
              <w:top w:val="nil"/>
              <w:left w:val="nil"/>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 xml:space="preserve">1.06 </w:t>
            </w:r>
          </w:p>
        </w:tc>
        <w:tc>
          <w:tcPr>
            <w:tcW w:w="1173" w:type="dxa"/>
            <w:tcBorders>
              <w:top w:val="nil"/>
              <w:left w:val="nil"/>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 xml:space="preserve">223.07 </w:t>
            </w:r>
          </w:p>
        </w:tc>
        <w:tc>
          <w:tcPr>
            <w:tcW w:w="2610" w:type="dxa"/>
            <w:tcBorders>
              <w:top w:val="nil"/>
              <w:left w:val="nil"/>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野桐、盐肤木灌丛、马桑、黄荆、火棘、荚蒾</w:t>
            </w:r>
          </w:p>
        </w:tc>
      </w:tr>
      <w:tr>
        <w:tblPrEx>
          <w:tblCellMar>
            <w:top w:w="0" w:type="dxa"/>
            <w:left w:w="108" w:type="dxa"/>
            <w:bottom w:w="0" w:type="dxa"/>
            <w:right w:w="108" w:type="dxa"/>
          </w:tblCellMar>
        </w:tblPrEx>
        <w:trPr>
          <w:trHeight w:val="397" w:hRule="exact"/>
          <w:jc w:val="center"/>
        </w:trPr>
        <w:tc>
          <w:tcPr>
            <w:tcW w:w="434" w:type="dxa"/>
            <w:tcBorders>
              <w:top w:val="nil"/>
              <w:left w:val="single" w:color="auto" w:sz="4" w:space="0"/>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4</w:t>
            </w:r>
          </w:p>
        </w:tc>
        <w:tc>
          <w:tcPr>
            <w:tcW w:w="1636" w:type="dxa"/>
            <w:tcBorders>
              <w:top w:val="nil"/>
              <w:left w:val="nil"/>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灌草丛植被</w:t>
            </w:r>
          </w:p>
        </w:tc>
        <w:tc>
          <w:tcPr>
            <w:tcW w:w="1068" w:type="dxa"/>
            <w:tcBorders>
              <w:top w:val="nil"/>
              <w:left w:val="nil"/>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0.2259</w:t>
            </w:r>
          </w:p>
        </w:tc>
        <w:tc>
          <w:tcPr>
            <w:tcW w:w="1469" w:type="dxa"/>
            <w:tcBorders>
              <w:top w:val="nil"/>
              <w:left w:val="nil"/>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 xml:space="preserve">0.51 </w:t>
            </w:r>
          </w:p>
        </w:tc>
        <w:tc>
          <w:tcPr>
            <w:tcW w:w="1173" w:type="dxa"/>
            <w:tcBorders>
              <w:top w:val="nil"/>
              <w:left w:val="nil"/>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 xml:space="preserve">7.98 </w:t>
            </w:r>
          </w:p>
        </w:tc>
        <w:tc>
          <w:tcPr>
            <w:tcW w:w="2610" w:type="dxa"/>
            <w:tcBorders>
              <w:top w:val="nil"/>
              <w:left w:val="nil"/>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芒、白茅</w:t>
            </w:r>
          </w:p>
        </w:tc>
      </w:tr>
      <w:tr>
        <w:tblPrEx>
          <w:tblCellMar>
            <w:top w:w="0" w:type="dxa"/>
            <w:left w:w="108" w:type="dxa"/>
            <w:bottom w:w="0" w:type="dxa"/>
            <w:right w:w="108" w:type="dxa"/>
          </w:tblCellMar>
        </w:tblPrEx>
        <w:trPr>
          <w:trHeight w:val="464" w:hRule="exact"/>
          <w:jc w:val="center"/>
        </w:trPr>
        <w:tc>
          <w:tcPr>
            <w:tcW w:w="434" w:type="dxa"/>
            <w:tcBorders>
              <w:top w:val="nil"/>
              <w:left w:val="single" w:color="auto" w:sz="4" w:space="0"/>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5</w:t>
            </w:r>
          </w:p>
        </w:tc>
        <w:tc>
          <w:tcPr>
            <w:tcW w:w="1636" w:type="dxa"/>
            <w:tcBorders>
              <w:top w:val="nil"/>
              <w:left w:val="nil"/>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水田植被</w:t>
            </w:r>
          </w:p>
        </w:tc>
        <w:tc>
          <w:tcPr>
            <w:tcW w:w="1068" w:type="dxa"/>
            <w:tcBorders>
              <w:top w:val="nil"/>
              <w:left w:val="nil"/>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6.4455</w:t>
            </w:r>
          </w:p>
        </w:tc>
        <w:tc>
          <w:tcPr>
            <w:tcW w:w="1469" w:type="dxa"/>
            <w:tcBorders>
              <w:top w:val="nil"/>
              <w:left w:val="nil"/>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 xml:space="preserve">27.49 </w:t>
            </w:r>
          </w:p>
        </w:tc>
        <w:tc>
          <w:tcPr>
            <w:tcW w:w="1173" w:type="dxa"/>
            <w:tcBorders>
              <w:top w:val="nil"/>
              <w:left w:val="nil"/>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 xml:space="preserve">1.73 </w:t>
            </w:r>
          </w:p>
        </w:tc>
        <w:tc>
          <w:tcPr>
            <w:tcW w:w="2610" w:type="dxa"/>
            <w:tcBorders>
              <w:top w:val="nil"/>
              <w:left w:val="nil"/>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p>
        </w:tc>
      </w:tr>
      <w:tr>
        <w:tblPrEx>
          <w:tblCellMar>
            <w:top w:w="0" w:type="dxa"/>
            <w:left w:w="108" w:type="dxa"/>
            <w:bottom w:w="0" w:type="dxa"/>
            <w:right w:w="108" w:type="dxa"/>
          </w:tblCellMar>
        </w:tblPrEx>
        <w:trPr>
          <w:trHeight w:val="397" w:hRule="exact"/>
          <w:jc w:val="center"/>
        </w:trPr>
        <w:tc>
          <w:tcPr>
            <w:tcW w:w="434" w:type="dxa"/>
            <w:tcBorders>
              <w:top w:val="nil"/>
              <w:left w:val="single" w:color="auto" w:sz="4" w:space="0"/>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6</w:t>
            </w:r>
          </w:p>
        </w:tc>
        <w:tc>
          <w:tcPr>
            <w:tcW w:w="1636" w:type="dxa"/>
            <w:tcBorders>
              <w:top w:val="nil"/>
              <w:left w:val="nil"/>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旱地植被</w:t>
            </w:r>
          </w:p>
        </w:tc>
        <w:tc>
          <w:tcPr>
            <w:tcW w:w="1068" w:type="dxa"/>
            <w:tcBorders>
              <w:top w:val="nil"/>
              <w:left w:val="nil"/>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2.1667</w:t>
            </w:r>
          </w:p>
        </w:tc>
        <w:tc>
          <w:tcPr>
            <w:tcW w:w="1469" w:type="dxa"/>
            <w:tcBorders>
              <w:top w:val="nil"/>
              <w:left w:val="nil"/>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 xml:space="preserve">9.24 </w:t>
            </w:r>
          </w:p>
        </w:tc>
        <w:tc>
          <w:tcPr>
            <w:tcW w:w="1173" w:type="dxa"/>
            <w:tcBorders>
              <w:top w:val="nil"/>
              <w:left w:val="nil"/>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 xml:space="preserve">67.74 </w:t>
            </w:r>
          </w:p>
        </w:tc>
        <w:tc>
          <w:tcPr>
            <w:tcW w:w="2610" w:type="dxa"/>
            <w:tcBorders>
              <w:top w:val="nil"/>
              <w:left w:val="nil"/>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p>
        </w:tc>
      </w:tr>
      <w:tr>
        <w:tblPrEx>
          <w:tblCellMar>
            <w:top w:w="0" w:type="dxa"/>
            <w:left w:w="108" w:type="dxa"/>
            <w:bottom w:w="0" w:type="dxa"/>
            <w:right w:w="108" w:type="dxa"/>
          </w:tblCellMar>
        </w:tblPrEx>
        <w:trPr>
          <w:trHeight w:val="397" w:hRule="exact"/>
          <w:jc w:val="center"/>
        </w:trPr>
        <w:tc>
          <w:tcPr>
            <w:tcW w:w="2070" w:type="dxa"/>
            <w:gridSpan w:val="2"/>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合计</w:t>
            </w:r>
          </w:p>
        </w:tc>
        <w:tc>
          <w:tcPr>
            <w:tcW w:w="1068" w:type="dxa"/>
            <w:tcBorders>
              <w:top w:val="single" w:color="auto" w:sz="4" w:space="0"/>
              <w:left w:val="nil"/>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11.6282</w:t>
            </w:r>
          </w:p>
        </w:tc>
        <w:tc>
          <w:tcPr>
            <w:tcW w:w="1469" w:type="dxa"/>
            <w:tcBorders>
              <w:top w:val="nil"/>
              <w:left w:val="nil"/>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49.68</w:t>
            </w:r>
          </w:p>
        </w:tc>
        <w:tc>
          <w:tcPr>
            <w:tcW w:w="1173" w:type="dxa"/>
            <w:tcBorders>
              <w:top w:val="nil"/>
              <w:left w:val="nil"/>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390.6</w:t>
            </w:r>
          </w:p>
        </w:tc>
        <w:tc>
          <w:tcPr>
            <w:tcW w:w="2610" w:type="dxa"/>
            <w:tcBorders>
              <w:top w:val="nil"/>
              <w:left w:val="nil"/>
              <w:bottom w:val="single" w:color="auto" w:sz="4" w:space="0"/>
              <w:right w:val="single" w:color="auto" w:sz="4" w:space="0"/>
            </w:tcBorders>
            <w:vAlign w:val="center"/>
          </w:tcPr>
          <w:p>
            <w:pPr>
              <w:pStyle w:val="118"/>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　</w:t>
            </w:r>
          </w:p>
        </w:tc>
      </w:tr>
    </w:tbl>
    <w:p>
      <w:pPr>
        <w:adjustRightInd/>
        <w:snapToGrid/>
        <w:spacing w:before="120" w:beforeLines="50"/>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（2）人员进驻及施工活动</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在项目建设期间，大量人员和车辆、机械的进场和建设活动将给施工区的生态环境造成一定的影响。施工人员的活动等都会对生活在本区域内的植被产生影响，主要表现在施工人员活动产生的废水、废渣、废气等废弃物对生态环境的影响等方面。施工区表土剥离、废水处理设施等施工活动对生态环境的影响最大，但是由于施工是临时的，在施工结束后随着临时用地区土地整平、植被更新恢复措施的实施，其影响会得到逐步恢复的。</w:t>
      </w:r>
    </w:p>
    <w:p>
      <w:pPr>
        <w:ind w:firstLine="480"/>
        <w:jc w:val="left"/>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由上可见，项目施工占地12.1</w:t>
      </w:r>
      <w:r>
        <w:rPr>
          <w:rFonts w:hint="eastAsia" w:cs="Times New Roman"/>
          <w:bCs/>
          <w:color w:val="000000" w:themeColor="text1"/>
          <w:highlight w:val="none"/>
          <w14:textFill>
            <w14:solidFill>
              <w14:schemeClr w14:val="tx1"/>
            </w14:solidFill>
          </w14:textFill>
        </w:rPr>
        <w:t>005</w:t>
      </w:r>
      <w:r>
        <w:rPr>
          <w:rFonts w:cs="Times New Roman"/>
          <w:bCs/>
          <w:color w:val="000000" w:themeColor="text1"/>
          <w:highlight w:val="none"/>
          <w14:textFill>
            <w14:solidFill>
              <w14:schemeClr w14:val="tx1"/>
            </w14:solidFill>
          </w14:textFill>
        </w:rPr>
        <w:t>hm</w:t>
      </w:r>
      <w:r>
        <w:rPr>
          <w:rFonts w:cs="Times New Roman"/>
          <w:bCs/>
          <w:color w:val="000000" w:themeColor="text1"/>
          <w:highlight w:val="none"/>
          <w:vertAlign w:val="superscript"/>
          <w14:textFill>
            <w14:solidFill>
              <w14:schemeClr w14:val="tx1"/>
            </w14:solidFill>
          </w14:textFill>
        </w:rPr>
        <w:t>2</w:t>
      </w:r>
      <w:r>
        <w:rPr>
          <w:rFonts w:cs="Times New Roman"/>
          <w:bCs/>
          <w:color w:val="000000" w:themeColor="text1"/>
          <w:highlight w:val="none"/>
          <w14:textFill>
            <w14:solidFill>
              <w14:schemeClr w14:val="tx1"/>
            </w14:solidFill>
          </w14:textFill>
        </w:rPr>
        <w:t>，使得在栖息在这片土上的生物资源受到影响，部分草地植被因生境发生改变而死亡，以此为栖息地的其他动物、微生物则失去原栖息场所，导致动、植物资源量减少，生物量受到一定影响。但项目占地相对整个宣汉县比例则极小，不会对该地区造成较大影响，同时，退役后，随着设施拆除、封井及植被恢复措施的实施及植被自然演替更新，占地影响也将逐渐消失。</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尽管如此，本报告仍然建议，在项目实施过程中通过优化施工布置，最大程度减少项目建设造成的植被资源损失，尽量减少对评价区灌草丛生态系统的影响。</w:t>
      </w:r>
    </w:p>
    <w:p>
      <w:pPr>
        <w:pStyle w:val="6"/>
        <w:spacing w:before="0" w:beforeLines="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对景观生态的影响分析</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（1）对自然生态体系稳定性的影响</w:t>
      </w:r>
      <w:r>
        <w:rPr>
          <w:rFonts w:cs="Times New Roman"/>
          <w:bCs/>
          <w:color w:val="000000" w:themeColor="text1"/>
          <w:kern w:val="0"/>
          <w:szCs w:val="24"/>
          <w:highlight w:val="none"/>
          <w14:textFill>
            <w14:solidFill>
              <w14:schemeClr w14:val="tx1"/>
            </w14:solidFill>
          </w14:textFill>
        </w:rPr>
        <w:t>预测</w:t>
      </w:r>
    </w:p>
    <w:p>
      <w:pPr>
        <w:ind w:firstLine="480"/>
        <w:rPr>
          <w:rFonts w:cs="Times New Roman"/>
          <w:bCs/>
          <w:color w:val="000000" w:themeColor="text1"/>
          <w:highlight w:val="none"/>
          <w14:textFill>
            <w14:solidFill>
              <w14:schemeClr w14:val="tx1"/>
            </w14:solidFill>
          </w14:textFill>
        </w:rPr>
      </w:pPr>
      <w:r>
        <w:rPr>
          <w:rFonts w:hint="eastAsia" w:ascii="宋体" w:hAnsi="宋体" w:cs="宋体"/>
          <w:bCs/>
          <w:color w:val="000000" w:themeColor="text1"/>
          <w:highlight w:val="none"/>
          <w14:textFill>
            <w14:solidFill>
              <w14:schemeClr w14:val="tx1"/>
            </w14:solidFill>
          </w14:textFill>
        </w:rPr>
        <w:t>①</w:t>
      </w:r>
      <w:r>
        <w:rPr>
          <w:rFonts w:cs="Times New Roman"/>
          <w:bCs/>
          <w:color w:val="000000" w:themeColor="text1"/>
          <w:highlight w:val="none"/>
          <w14:textFill>
            <w14:solidFill>
              <w14:schemeClr w14:val="tx1"/>
            </w14:solidFill>
          </w14:textFill>
        </w:rPr>
        <w:t>恢复稳定性影响分析</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对景观生态体系稳定状况的影响可以从恢复稳定性和阻抗稳定性两方面进行分析。恢复稳定性的度量通常采取对植被生物量进行度量的方法进行度量。项目建设会使评价区内自然生态体系的植被生物总量减少</w:t>
      </w:r>
      <w:r>
        <w:rPr>
          <w:rFonts w:hint="eastAsia" w:cs="Times New Roman"/>
          <w:bCs/>
          <w:color w:val="000000" w:themeColor="text1"/>
          <w:highlight w:val="none"/>
          <w14:textFill>
            <w14:solidFill>
              <w14:schemeClr w14:val="tx1"/>
            </w14:solidFill>
          </w14:textFill>
        </w:rPr>
        <w:t>，对</w:t>
      </w:r>
      <w:r>
        <w:rPr>
          <w:rFonts w:cs="Times New Roman"/>
          <w:bCs/>
          <w:color w:val="000000" w:themeColor="text1"/>
          <w:highlight w:val="none"/>
          <w14:textFill>
            <w14:solidFill>
              <w14:schemeClr w14:val="tx1"/>
            </w14:solidFill>
          </w14:textFill>
        </w:rPr>
        <w:t>评价范围内景观生态体系有一定影响，退役后，随着设施拆除、植被恢复措施的实施及植被自然演替更新等，将会使</w:t>
      </w:r>
      <w:r>
        <w:rPr>
          <w:rFonts w:hint="eastAsia" w:cs="Times New Roman"/>
          <w:bCs/>
          <w:color w:val="000000" w:themeColor="text1"/>
          <w:highlight w:val="none"/>
          <w14:textFill>
            <w14:solidFill>
              <w14:schemeClr w14:val="tx1"/>
            </w14:solidFill>
          </w14:textFill>
        </w:rPr>
        <w:t>项目</w:t>
      </w:r>
      <w:r>
        <w:rPr>
          <w:rFonts w:cs="Times New Roman"/>
          <w:bCs/>
          <w:color w:val="000000" w:themeColor="text1"/>
          <w:highlight w:val="none"/>
          <w14:textFill>
            <w14:solidFill>
              <w14:schemeClr w14:val="tx1"/>
            </w14:solidFill>
          </w14:textFill>
        </w:rPr>
        <w:t>地区生态环境质量得到较大改善，植被会朝着正向演替方向发展，逐步恢复景观稳定性。</w:t>
      </w:r>
    </w:p>
    <w:p>
      <w:pPr>
        <w:ind w:firstLine="480"/>
        <w:rPr>
          <w:rFonts w:cs="Times New Roman"/>
          <w:bCs/>
          <w:color w:val="000000" w:themeColor="text1"/>
          <w:highlight w:val="none"/>
          <w14:textFill>
            <w14:solidFill>
              <w14:schemeClr w14:val="tx1"/>
            </w14:solidFill>
          </w14:textFill>
        </w:rPr>
      </w:pPr>
      <w:r>
        <w:rPr>
          <w:rFonts w:hint="eastAsia" w:ascii="宋体" w:hAnsi="宋体" w:cs="宋体"/>
          <w:bCs/>
          <w:color w:val="000000" w:themeColor="text1"/>
          <w:highlight w:val="none"/>
          <w14:textFill>
            <w14:solidFill>
              <w14:schemeClr w14:val="tx1"/>
            </w14:solidFill>
          </w14:textFill>
        </w:rPr>
        <w:t>②</w:t>
      </w:r>
      <w:r>
        <w:rPr>
          <w:rFonts w:cs="Times New Roman"/>
          <w:bCs/>
          <w:color w:val="000000" w:themeColor="text1"/>
          <w:highlight w:val="none"/>
          <w14:textFill>
            <w14:solidFill>
              <w14:schemeClr w14:val="tx1"/>
            </w14:solidFill>
          </w14:textFill>
        </w:rPr>
        <w:t>阻抗稳定性影响分析</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占地损失的自然物种芒、白茅等群系均属广布种，对物种种类没有影响，仅损失部分生物量。在景观异质性影响方面，本评价范围的草地拼块在项目实施后所发生的变化主要是拼块面积的变化，而在拼块数量（密度）、拼块频率等要素特征上发生变化较小，随着设施拆除、植被恢复措施的实施及植被自然演替更新等，评价范围内森林植被还将是当地的模地，模地不会动摇，景观的异质性不会发生质的变化。</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（2）景观生态体系质量影响</w:t>
      </w:r>
      <w:r>
        <w:rPr>
          <w:rFonts w:cs="Times New Roman"/>
          <w:bCs/>
          <w:color w:val="000000" w:themeColor="text1"/>
          <w:kern w:val="0"/>
          <w:szCs w:val="24"/>
          <w:highlight w:val="none"/>
          <w14:textFill>
            <w14:solidFill>
              <w14:schemeClr w14:val="tx1"/>
            </w14:solidFill>
          </w14:textFill>
        </w:rPr>
        <w:t>预测</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根据前文表4.3-13，森林拼块的景观优势度仍高于其他拼块，属模地。因此在评价范围内占有十分重要的地位。项目实施后，对当地的自然系统造成一定损害，受损后的景观体系情况，如下表。</w:t>
      </w:r>
    </w:p>
    <w:p>
      <w:pPr>
        <w:pStyle w:val="96"/>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表5.1-3评价范围自然体系受损前后的各类拼块的优势度值</w:t>
      </w:r>
    </w:p>
    <w:tbl>
      <w:tblPr>
        <w:tblStyle w:val="41"/>
        <w:tblW w:w="5000" w:type="pct"/>
        <w:jc w:val="center"/>
        <w:tblLayout w:type="autofit"/>
        <w:tblCellMar>
          <w:top w:w="15" w:type="dxa"/>
          <w:left w:w="15" w:type="dxa"/>
          <w:bottom w:w="15" w:type="dxa"/>
          <w:right w:w="15" w:type="dxa"/>
        </w:tblCellMar>
      </w:tblPr>
      <w:tblGrid>
        <w:gridCol w:w="1184"/>
        <w:gridCol w:w="1108"/>
        <w:gridCol w:w="1164"/>
        <w:gridCol w:w="1419"/>
        <w:gridCol w:w="1154"/>
        <w:gridCol w:w="1159"/>
        <w:gridCol w:w="1152"/>
      </w:tblGrid>
      <w:tr>
        <w:tblPrEx>
          <w:tblCellMar>
            <w:top w:w="15" w:type="dxa"/>
            <w:left w:w="15" w:type="dxa"/>
            <w:bottom w:w="15" w:type="dxa"/>
            <w:right w:w="15" w:type="dxa"/>
          </w:tblCellMar>
        </w:tblPrEx>
        <w:trPr>
          <w:trHeight w:val="596" w:hRule="exact"/>
          <w:jc w:val="center"/>
        </w:trPr>
        <w:tc>
          <w:tcPr>
            <w:tcW w:w="710"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拼块类型</w:t>
            </w:r>
          </w:p>
        </w:tc>
        <w:tc>
          <w:tcPr>
            <w:tcW w:w="664"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密度Rd（%）</w:t>
            </w:r>
          </w:p>
        </w:tc>
        <w:tc>
          <w:tcPr>
            <w:tcW w:w="698"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频率Rf（%）</w:t>
            </w:r>
          </w:p>
        </w:tc>
        <w:tc>
          <w:tcPr>
            <w:tcW w:w="851"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景观比例Lp（%）</w:t>
            </w:r>
          </w:p>
        </w:tc>
        <w:tc>
          <w:tcPr>
            <w:tcW w:w="692" w:type="pct"/>
            <w:tcBorders>
              <w:top w:val="single" w:color="000000" w:sz="4" w:space="0"/>
              <w:left w:val="single" w:color="000000" w:sz="4" w:space="0"/>
              <w:bottom w:val="single" w:color="000000" w:sz="4" w:space="0"/>
              <w:right w:val="single" w:color="000000" w:sz="4" w:space="0"/>
            </w:tcBorders>
            <w:vAlign w:val="center"/>
          </w:tcPr>
          <w:p>
            <w:pPr>
              <w:snapToGrid/>
              <w:spacing w:line="240" w:lineRule="auto"/>
              <w:ind w:firstLine="0" w:firstLineChars="0"/>
              <w:jc w:val="center"/>
              <w:textAlignment w:val="baseline"/>
              <w:rPr>
                <w:rFonts w:cs="Times New Roman"/>
                <w:b/>
                <w:color w:val="000000" w:themeColor="text1"/>
                <w:kern w:val="0"/>
                <w:sz w:val="21"/>
                <w:szCs w:val="21"/>
                <w:highlight w:val="none"/>
                <w:lang w:bidi="ar"/>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优势度Do</w:t>
            </w:r>
            <w:r>
              <w:rPr>
                <w:rFonts w:cs="Times New Roman"/>
                <w:b/>
                <w:color w:val="000000" w:themeColor="text1"/>
                <w:kern w:val="0"/>
                <w:sz w:val="21"/>
                <w:szCs w:val="21"/>
                <w:highlight w:val="none"/>
                <w:lang w:bidi="ar"/>
                <w14:textFill>
                  <w14:solidFill>
                    <w14:schemeClr w14:val="tx1"/>
                  </w14:solidFill>
                </w14:textFill>
              </w:rPr>
              <w:t>（%）</w:t>
            </w:r>
          </w:p>
        </w:tc>
        <w:tc>
          <w:tcPr>
            <w:tcW w:w="695" w:type="pct"/>
            <w:tcBorders>
              <w:top w:val="single" w:color="000000" w:sz="4" w:space="0"/>
              <w:left w:val="single" w:color="000000" w:sz="4" w:space="0"/>
              <w:bottom w:val="single" w:color="000000" w:sz="4" w:space="0"/>
              <w:right w:val="single" w:color="000000" w:sz="4" w:space="0"/>
            </w:tcBorders>
            <w:vAlign w:val="center"/>
          </w:tcPr>
          <w:p>
            <w:pPr>
              <w:snapToGrid/>
              <w:spacing w:line="240" w:lineRule="auto"/>
              <w:ind w:firstLine="0" w:firstLineChars="0"/>
              <w:jc w:val="center"/>
              <w:textAlignment w:val="baseline"/>
              <w:rPr>
                <w:rFonts w:cs="Times New Roman"/>
                <w:b/>
                <w:color w:val="000000" w:themeColor="text1"/>
                <w:kern w:val="0"/>
                <w:sz w:val="21"/>
                <w:szCs w:val="21"/>
                <w:highlight w:val="none"/>
                <w:lang w:bidi="ar"/>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原有优势度Do</w:t>
            </w:r>
            <w:r>
              <w:rPr>
                <w:rFonts w:cs="Times New Roman"/>
                <w:b/>
                <w:color w:val="000000" w:themeColor="text1"/>
                <w:kern w:val="0"/>
                <w:sz w:val="21"/>
                <w:szCs w:val="21"/>
                <w:highlight w:val="none"/>
                <w:lang w:bidi="ar"/>
                <w14:textFill>
                  <w14:solidFill>
                    <w14:schemeClr w14:val="tx1"/>
                  </w14:solidFill>
                </w14:textFill>
              </w:rPr>
              <w:t>（%）</w:t>
            </w:r>
          </w:p>
        </w:tc>
        <w:tc>
          <w:tcPr>
            <w:tcW w:w="692" w:type="pct"/>
            <w:tcBorders>
              <w:top w:val="single" w:color="000000" w:sz="4" w:space="0"/>
              <w:left w:val="single" w:color="000000" w:sz="4" w:space="0"/>
              <w:bottom w:val="single" w:color="000000" w:sz="4" w:space="0"/>
              <w:right w:val="single" w:color="000000" w:sz="4" w:space="0"/>
            </w:tcBorders>
            <w:vAlign w:val="center"/>
          </w:tcPr>
          <w:p>
            <w:pPr>
              <w:snapToGrid/>
              <w:spacing w:line="240" w:lineRule="auto"/>
              <w:ind w:firstLine="0" w:firstLineChars="0"/>
              <w:jc w:val="center"/>
              <w:textAlignment w:val="baseline"/>
              <w:rPr>
                <w:rFonts w:cs="Times New Roman"/>
                <w:b/>
                <w:color w:val="000000" w:themeColor="text1"/>
                <w:kern w:val="0"/>
                <w:sz w:val="21"/>
                <w:szCs w:val="21"/>
                <w:highlight w:val="none"/>
                <w:lang w:bidi="ar"/>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变幅Do</w:t>
            </w:r>
            <w:r>
              <w:rPr>
                <w:rFonts w:cs="Times New Roman"/>
                <w:b/>
                <w:color w:val="000000" w:themeColor="text1"/>
                <w:kern w:val="0"/>
                <w:sz w:val="21"/>
                <w:szCs w:val="21"/>
                <w:highlight w:val="none"/>
                <w:lang w:bidi="ar"/>
                <w14:textFill>
                  <w14:solidFill>
                    <w14:schemeClr w14:val="tx1"/>
                  </w14:solidFill>
                </w14:textFill>
              </w:rPr>
              <w:t>（%）</w:t>
            </w:r>
          </w:p>
        </w:tc>
      </w:tr>
      <w:tr>
        <w:tblPrEx>
          <w:tblCellMar>
            <w:top w:w="15" w:type="dxa"/>
            <w:left w:w="15" w:type="dxa"/>
            <w:bottom w:w="15" w:type="dxa"/>
            <w:right w:w="15" w:type="dxa"/>
          </w:tblCellMar>
        </w:tblPrEx>
        <w:trPr>
          <w:trHeight w:val="340" w:hRule="exact"/>
          <w:jc w:val="center"/>
        </w:trPr>
        <w:tc>
          <w:tcPr>
            <w:tcW w:w="710"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sz w:val="21"/>
                <w:szCs w:val="21"/>
                <w:highlight w:val="none"/>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森林</w:t>
            </w:r>
          </w:p>
        </w:tc>
        <w:tc>
          <w:tcPr>
            <w:tcW w:w="664"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26.39</w:t>
            </w:r>
          </w:p>
        </w:tc>
        <w:tc>
          <w:tcPr>
            <w:tcW w:w="698"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41.55</w:t>
            </w:r>
          </w:p>
        </w:tc>
        <w:tc>
          <w:tcPr>
            <w:tcW w:w="851"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43.24</w:t>
            </w:r>
          </w:p>
        </w:tc>
        <w:tc>
          <w:tcPr>
            <w:tcW w:w="692"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38.61</w:t>
            </w:r>
          </w:p>
        </w:tc>
        <w:tc>
          <w:tcPr>
            <w:tcW w:w="695"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38.97</w:t>
            </w:r>
          </w:p>
        </w:tc>
        <w:tc>
          <w:tcPr>
            <w:tcW w:w="692"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-0.36</w:t>
            </w:r>
          </w:p>
        </w:tc>
      </w:tr>
      <w:tr>
        <w:tblPrEx>
          <w:tblCellMar>
            <w:top w:w="15" w:type="dxa"/>
            <w:left w:w="15" w:type="dxa"/>
            <w:bottom w:w="15" w:type="dxa"/>
            <w:right w:w="15" w:type="dxa"/>
          </w:tblCellMar>
        </w:tblPrEx>
        <w:trPr>
          <w:trHeight w:val="340" w:hRule="exact"/>
          <w:jc w:val="center"/>
        </w:trPr>
        <w:tc>
          <w:tcPr>
            <w:tcW w:w="710"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sz w:val="21"/>
                <w:szCs w:val="21"/>
                <w:highlight w:val="none"/>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灌丛</w:t>
            </w:r>
          </w:p>
        </w:tc>
        <w:tc>
          <w:tcPr>
            <w:tcW w:w="664"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8.48</w:t>
            </w:r>
          </w:p>
        </w:tc>
        <w:tc>
          <w:tcPr>
            <w:tcW w:w="698"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5.77</w:t>
            </w:r>
          </w:p>
        </w:tc>
        <w:tc>
          <w:tcPr>
            <w:tcW w:w="851"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5.67</w:t>
            </w:r>
          </w:p>
        </w:tc>
        <w:tc>
          <w:tcPr>
            <w:tcW w:w="692"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6.4</w:t>
            </w:r>
          </w:p>
        </w:tc>
        <w:tc>
          <w:tcPr>
            <w:tcW w:w="695"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6.45</w:t>
            </w:r>
          </w:p>
        </w:tc>
        <w:tc>
          <w:tcPr>
            <w:tcW w:w="692"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-0.05</w:t>
            </w:r>
          </w:p>
        </w:tc>
      </w:tr>
      <w:tr>
        <w:tblPrEx>
          <w:tblCellMar>
            <w:top w:w="15" w:type="dxa"/>
            <w:left w:w="15" w:type="dxa"/>
            <w:bottom w:w="15" w:type="dxa"/>
            <w:right w:w="15" w:type="dxa"/>
          </w:tblCellMar>
        </w:tblPrEx>
        <w:trPr>
          <w:trHeight w:val="260" w:hRule="exact"/>
          <w:jc w:val="center"/>
        </w:trPr>
        <w:tc>
          <w:tcPr>
            <w:tcW w:w="710"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sz w:val="21"/>
                <w:szCs w:val="21"/>
                <w:highlight w:val="none"/>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灌草丛</w:t>
            </w:r>
          </w:p>
        </w:tc>
        <w:tc>
          <w:tcPr>
            <w:tcW w:w="664"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3.72</w:t>
            </w:r>
          </w:p>
        </w:tc>
        <w:tc>
          <w:tcPr>
            <w:tcW w:w="698"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2.08</w:t>
            </w:r>
          </w:p>
        </w:tc>
        <w:tc>
          <w:tcPr>
            <w:tcW w:w="851"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2.18</w:t>
            </w:r>
          </w:p>
        </w:tc>
        <w:tc>
          <w:tcPr>
            <w:tcW w:w="692"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2.54</w:t>
            </w:r>
          </w:p>
        </w:tc>
        <w:tc>
          <w:tcPr>
            <w:tcW w:w="695"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2.58</w:t>
            </w:r>
          </w:p>
        </w:tc>
        <w:tc>
          <w:tcPr>
            <w:tcW w:w="692"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-0.04</w:t>
            </w:r>
          </w:p>
        </w:tc>
      </w:tr>
      <w:tr>
        <w:tblPrEx>
          <w:tblCellMar>
            <w:top w:w="15" w:type="dxa"/>
            <w:left w:w="15" w:type="dxa"/>
            <w:bottom w:w="15" w:type="dxa"/>
            <w:right w:w="15" w:type="dxa"/>
          </w:tblCellMar>
        </w:tblPrEx>
        <w:trPr>
          <w:trHeight w:val="278" w:hRule="exact"/>
          <w:jc w:val="center"/>
        </w:trPr>
        <w:tc>
          <w:tcPr>
            <w:tcW w:w="710"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sz w:val="21"/>
                <w:szCs w:val="21"/>
                <w:highlight w:val="none"/>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耕地</w:t>
            </w:r>
          </w:p>
        </w:tc>
        <w:tc>
          <w:tcPr>
            <w:tcW w:w="664"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26.71</w:t>
            </w:r>
          </w:p>
        </w:tc>
        <w:tc>
          <w:tcPr>
            <w:tcW w:w="698"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38.96</w:t>
            </w:r>
          </w:p>
        </w:tc>
        <w:tc>
          <w:tcPr>
            <w:tcW w:w="851"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36.74</w:t>
            </w:r>
          </w:p>
        </w:tc>
        <w:tc>
          <w:tcPr>
            <w:tcW w:w="692"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34.79</w:t>
            </w:r>
          </w:p>
        </w:tc>
        <w:tc>
          <w:tcPr>
            <w:tcW w:w="695"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35.99</w:t>
            </w:r>
          </w:p>
        </w:tc>
        <w:tc>
          <w:tcPr>
            <w:tcW w:w="692"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-1.2</w:t>
            </w:r>
          </w:p>
        </w:tc>
      </w:tr>
      <w:tr>
        <w:tblPrEx>
          <w:tblCellMar>
            <w:top w:w="15" w:type="dxa"/>
            <w:left w:w="15" w:type="dxa"/>
            <w:bottom w:w="15" w:type="dxa"/>
            <w:right w:w="15" w:type="dxa"/>
          </w:tblCellMar>
        </w:tblPrEx>
        <w:trPr>
          <w:trHeight w:val="554" w:hRule="exact"/>
          <w:jc w:val="center"/>
        </w:trPr>
        <w:tc>
          <w:tcPr>
            <w:tcW w:w="710"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人工生态系统</w:t>
            </w:r>
          </w:p>
        </w:tc>
        <w:tc>
          <w:tcPr>
            <w:tcW w:w="664"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29.65</w:t>
            </w:r>
          </w:p>
        </w:tc>
        <w:tc>
          <w:tcPr>
            <w:tcW w:w="698"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9.89</w:t>
            </w:r>
          </w:p>
        </w:tc>
        <w:tc>
          <w:tcPr>
            <w:tcW w:w="851"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10.29</w:t>
            </w:r>
          </w:p>
        </w:tc>
        <w:tc>
          <w:tcPr>
            <w:tcW w:w="692"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15.03</w:t>
            </w:r>
          </w:p>
        </w:tc>
        <w:tc>
          <w:tcPr>
            <w:tcW w:w="695"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13.31</w:t>
            </w:r>
          </w:p>
        </w:tc>
        <w:tc>
          <w:tcPr>
            <w:tcW w:w="692"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1.72</w:t>
            </w:r>
          </w:p>
        </w:tc>
      </w:tr>
      <w:tr>
        <w:tblPrEx>
          <w:tblCellMar>
            <w:top w:w="15" w:type="dxa"/>
            <w:left w:w="15" w:type="dxa"/>
            <w:bottom w:w="15" w:type="dxa"/>
            <w:right w:w="15" w:type="dxa"/>
          </w:tblCellMar>
        </w:tblPrEx>
        <w:trPr>
          <w:trHeight w:val="394" w:hRule="exact"/>
          <w:jc w:val="center"/>
        </w:trPr>
        <w:tc>
          <w:tcPr>
            <w:tcW w:w="710"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水面</w:t>
            </w:r>
          </w:p>
        </w:tc>
        <w:tc>
          <w:tcPr>
            <w:tcW w:w="664"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5.05</w:t>
            </w:r>
          </w:p>
        </w:tc>
        <w:tc>
          <w:tcPr>
            <w:tcW w:w="698"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1.75</w:t>
            </w:r>
          </w:p>
        </w:tc>
        <w:tc>
          <w:tcPr>
            <w:tcW w:w="851"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1.88</w:t>
            </w:r>
          </w:p>
        </w:tc>
        <w:tc>
          <w:tcPr>
            <w:tcW w:w="692"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2.64</w:t>
            </w:r>
          </w:p>
        </w:tc>
        <w:tc>
          <w:tcPr>
            <w:tcW w:w="695"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2.7</w:t>
            </w:r>
          </w:p>
        </w:tc>
        <w:tc>
          <w:tcPr>
            <w:tcW w:w="692"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-0.06</w:t>
            </w:r>
          </w:p>
        </w:tc>
      </w:tr>
    </w:tbl>
    <w:p>
      <w:pPr>
        <w:spacing w:before="120"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由表5.1-3可以看出各拼块的优势度值变化较小，而人工生态系统拼块变幅是1.72%。</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森林拼块的景观优势度仍远高于其他拼块，属模地，生态环境不会发生质的变化</w:t>
      </w:r>
      <w:r>
        <w:rPr>
          <w:rFonts w:cs="Times New Roman"/>
          <w:bCs/>
          <w:color w:val="000000" w:themeColor="text1"/>
          <w:highlight w:val="none"/>
          <w14:textFill>
            <w14:solidFill>
              <w14:schemeClr w14:val="tx1"/>
            </w14:solidFill>
          </w14:textFill>
        </w:rPr>
        <w:t>。</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（3）对自然景观协调性影响预测</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项目施工在视觉上会对项目区产生一定的影响，占据一定的数据空间及景观节点，尤其是与周边绿色植被环境形成明显的视觉异质性；施工便道等线性工程会形成景观廊道，将不可避免</w:t>
      </w:r>
      <w:r>
        <w:rPr>
          <w:rFonts w:hint="eastAsia" w:cs="Times New Roman"/>
          <w:bCs/>
          <w:color w:val="000000" w:themeColor="text1"/>
          <w:highlight w:val="none"/>
          <w14:textFill>
            <w14:solidFill>
              <w14:schemeClr w14:val="tx1"/>
            </w14:solidFill>
          </w14:textFill>
        </w:rPr>
        <w:t>地</w:t>
      </w:r>
      <w:r>
        <w:rPr>
          <w:rFonts w:cs="Times New Roman"/>
          <w:bCs/>
          <w:color w:val="000000" w:themeColor="text1"/>
          <w:highlight w:val="none"/>
          <w14:textFill>
            <w14:solidFill>
              <w14:schemeClr w14:val="tx1"/>
            </w14:solidFill>
          </w14:textFill>
        </w:rPr>
        <w:t>改变沿线传统的视觉环境。本项目施工对周边原本连续的自然景观环境形成切割，对其空间连续性造成一定的破坏。切割山坡、植被，使绿色的背景呈现出明显的人工印迹。建议在项目退役后及时拆除临时建筑设施，恢复植被，尽量采用以当地乡土灌草先锋物种种植为首选的临时植被恢复工程，增加与周围自然景观的协调性。</w:t>
      </w:r>
    </w:p>
    <w:p>
      <w:pPr>
        <w:pStyle w:val="6"/>
        <w:spacing w:before="12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对生态系统类型影响分析</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根据项目《附图 生态系统类型图</w:t>
      </w:r>
      <w:r>
        <w:rPr>
          <w:rFonts w:cs="Times New Roman"/>
          <w:bCs/>
          <w:color w:val="000000" w:themeColor="text1"/>
          <w:szCs w:val="24"/>
          <w:highlight w:val="none"/>
          <w14:textFill>
            <w14:solidFill>
              <w14:schemeClr w14:val="tx1"/>
            </w14:solidFill>
          </w14:textFill>
        </w:rPr>
        <w:t>》，利用GIS软件，采用图形叠置分析可知，项目占用的生态系统类型主要为耕地生态系统和森林生态系统，面积分别为8.6122hm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和</w:t>
      </w:r>
      <w:r>
        <w:rPr>
          <w:rFonts w:cs="Times New Roman"/>
          <w:color w:val="000000" w:themeColor="text1"/>
          <w:szCs w:val="24"/>
          <w:highlight w:val="none"/>
          <w:lang w:bidi="ar"/>
          <w14:textFill>
            <w14:solidFill>
              <w14:schemeClr w14:val="tx1"/>
            </w14:solidFill>
          </w14:textFill>
        </w:rPr>
        <w:t>2.5008</w:t>
      </w:r>
      <w:r>
        <w:rPr>
          <w:rFonts w:cs="Times New Roman"/>
          <w:bCs/>
          <w:color w:val="000000" w:themeColor="text1"/>
          <w:szCs w:val="24"/>
          <w:highlight w:val="none"/>
          <w14:textFill>
            <w14:solidFill>
              <w14:schemeClr w14:val="tx1"/>
            </w14:solidFill>
          </w14:textFill>
        </w:rPr>
        <w:t>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项目占用的生态系统类型属于评价范围内普遍分布的类型，项目占地损失总生产力49.68tc/a，损失总生物量为390.6t，占评价区总生产</w:t>
      </w:r>
      <w:r>
        <w:rPr>
          <w:rFonts w:cs="Times New Roman"/>
          <w:bCs/>
          <w:color w:val="000000" w:themeColor="text1"/>
          <w:highlight w:val="none"/>
          <w14:textFill>
            <w14:solidFill>
              <w14:schemeClr w14:val="tx1"/>
            </w14:solidFill>
          </w14:textFill>
        </w:rPr>
        <w:t>力和总生物量的比例为2.05%和1.43%，占比极低。</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项目建设不会对该区域植被分布情况造成大的改变，项目对评价区内的自然生态系统的完整性和结构稳定性影响较小，随着退役后占地设施拆除和地形地貌以及植被恢复措施的实施，评价区内自然生态系统面积、结构和功能会得到进一步恢复；生态系统的结构与功能完整性</w:t>
      </w:r>
      <w:r>
        <w:rPr>
          <w:rFonts w:hint="eastAsia" w:cs="Times New Roman"/>
          <w:bCs/>
          <w:color w:val="000000" w:themeColor="text1"/>
          <w:highlight w:val="none"/>
          <w14:textFill>
            <w14:solidFill>
              <w14:schemeClr w14:val="tx1"/>
            </w14:solidFill>
          </w14:textFill>
        </w:rPr>
        <w:t>，以及</w:t>
      </w:r>
      <w:r>
        <w:rPr>
          <w:rFonts w:cs="Times New Roman"/>
          <w:bCs/>
          <w:color w:val="000000" w:themeColor="text1"/>
          <w:highlight w:val="none"/>
          <w14:textFill>
            <w14:solidFill>
              <w14:schemeClr w14:val="tx1"/>
            </w14:solidFill>
          </w14:textFill>
        </w:rPr>
        <w:t>生态服务功能的完整性并不会受到项目建设的直接影响，依然具有维持良性发展的潜力。</w:t>
      </w:r>
    </w:p>
    <w:p>
      <w:pPr>
        <w:pStyle w:val="6"/>
        <w:spacing w:before="12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对生态系统结构稳定性分析</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项目占地主要为</w:t>
      </w:r>
      <w:r>
        <w:rPr>
          <w:rFonts w:cs="Times New Roman"/>
          <w:bCs/>
          <w:color w:val="000000" w:themeColor="text1"/>
          <w:szCs w:val="24"/>
          <w:highlight w:val="none"/>
          <w14:textFill>
            <w14:solidFill>
              <w14:schemeClr w14:val="tx1"/>
            </w14:solidFill>
          </w14:textFill>
        </w:rPr>
        <w:t>试采站及边坡、施工便道、集输管线、表土堆场、生活营地</w:t>
      </w:r>
      <w:r>
        <w:rPr>
          <w:rFonts w:cs="Times New Roman"/>
          <w:bCs/>
          <w:color w:val="000000" w:themeColor="text1"/>
          <w:highlight w:val="none"/>
          <w14:textFill>
            <w14:solidFill>
              <w14:schemeClr w14:val="tx1"/>
            </w14:solidFill>
          </w14:textFill>
        </w:rPr>
        <w:t>，占地总面积12.1</w:t>
      </w:r>
      <w:r>
        <w:rPr>
          <w:rFonts w:hint="eastAsia" w:cs="Times New Roman"/>
          <w:bCs/>
          <w:color w:val="000000" w:themeColor="text1"/>
          <w:highlight w:val="none"/>
          <w14:textFill>
            <w14:solidFill>
              <w14:schemeClr w14:val="tx1"/>
            </w14:solidFill>
          </w14:textFill>
        </w:rPr>
        <w:t>005</w:t>
      </w:r>
      <w:r>
        <w:rPr>
          <w:rFonts w:cs="Times New Roman"/>
          <w:bCs/>
          <w:color w:val="000000" w:themeColor="text1"/>
          <w:highlight w:val="none"/>
          <w14:textFill>
            <w14:solidFill>
              <w14:schemeClr w14:val="tx1"/>
            </w14:solidFill>
          </w14:textFill>
        </w:rPr>
        <w:t>hm</w:t>
      </w:r>
      <w:r>
        <w:rPr>
          <w:rFonts w:cs="Times New Roman"/>
          <w:bCs/>
          <w:color w:val="000000" w:themeColor="text1"/>
          <w:highlight w:val="none"/>
          <w:vertAlign w:val="superscript"/>
          <w14:textFill>
            <w14:solidFill>
              <w14:schemeClr w14:val="tx1"/>
            </w14:solidFill>
          </w14:textFill>
        </w:rPr>
        <w:t>2</w:t>
      </w:r>
      <w:r>
        <w:rPr>
          <w:rFonts w:cs="Times New Roman"/>
          <w:bCs/>
          <w:color w:val="000000" w:themeColor="text1"/>
          <w:highlight w:val="none"/>
          <w14:textFill>
            <w14:solidFill>
              <w14:schemeClr w14:val="tx1"/>
            </w14:solidFill>
          </w14:textFill>
        </w:rPr>
        <w:t>，占评价范围总面积的1.91%，不会对该区域植被分布情况和植被群落结构造成任何改变，项目对评价区内的草地自然生态系统的类型完整性和结构稳定性影响可忽略不计，随着退役后占地设施拆除和地形地貌以及植被恢复措施的实施，评价区内各生态系统（尤其是灌丛和草地）面积、结构和功能会得到进一步恢复；各类生态系统的结构与功能完整性</w:t>
      </w:r>
      <w:r>
        <w:rPr>
          <w:rFonts w:hint="eastAsia" w:cs="Times New Roman"/>
          <w:bCs/>
          <w:color w:val="000000" w:themeColor="text1"/>
          <w:highlight w:val="none"/>
          <w14:textFill>
            <w14:solidFill>
              <w14:schemeClr w14:val="tx1"/>
            </w14:solidFill>
          </w14:textFill>
        </w:rPr>
        <w:t>，以及</w:t>
      </w:r>
      <w:r>
        <w:rPr>
          <w:rFonts w:cs="Times New Roman"/>
          <w:bCs/>
          <w:color w:val="000000" w:themeColor="text1"/>
          <w:highlight w:val="none"/>
          <w14:textFill>
            <w14:solidFill>
              <w14:schemeClr w14:val="tx1"/>
            </w14:solidFill>
          </w14:textFill>
        </w:rPr>
        <w:t>生态服务功能的完整性并不会受到项目施工运营的直接影响，依然具有维持良性发展的潜力。</w:t>
      </w:r>
    </w:p>
    <w:p>
      <w:pPr>
        <w:pStyle w:val="6"/>
        <w:spacing w:before="12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对生态系统完整性的影响分析</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1、对生态效能的影响</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项目施工占用的植被均属于当地常见的物种，项目建设虽然会对该区域的生态环境和生态效能产生一定影响，但是局部植被资源的减少对区域生态效能影响不大。同时，项目在设计与施工各个环节中采取多种水土保持措施，项目退役后通过地形地貌及植被更新恢复，可保持较稳定的生态系统，因此项目建设对生态效能的影响可忽略不计。</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2、对景观风貌的影响</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项目建设产生的表土剥离、运输等活动，均会影响土体的结构，降低原来地表的固土保水能力，改变其结构特征，自然景观受到一定影响，但在项目退役后，随着占地设施拆除及植被自然恢复，项目区范围内的动、植物的繁衍条件将得以恢复，景观风貌也会逐步恢复。</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3、对环境质量的影响</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项目建设过程中将造成一定的地表植被破坏，加剧水土流失；占地区表土剥离、运输、堆放等过程产生的扬尘和粉尘，造成小部分空气环境污染；施工中产生的废水、生活污水可能引起周边水质暂时的污染。但其不利影响是短暂的，项目建设过程中采取的技术措施可最大程度减少负面影响，项目建设对环境质量的影响很小。</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4、对物种多样性的影响</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项目占地范围自然植被类型主要有芒、白茅等灌草丛植被，群落结构和组成相对简单，且均为当地常见类型，分布较广，施工期对生物群落多样性、生态系统多样性及完整性的影响较小，项目占地不会对用地范围物种多样性和生态功能产生较大影响。</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综上所述，项目建设对项目区及周边区域生态效能、景观风貌、环境质量、物种多样性等生态因子影响很小，项目建设不会对区域生态完整性产生影响。</w:t>
      </w:r>
    </w:p>
    <w:p>
      <w:pPr>
        <w:pStyle w:val="6"/>
        <w:spacing w:before="12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对生态系统服务功能的影响分析</w:t>
      </w:r>
    </w:p>
    <w:p>
      <w:pPr>
        <w:pStyle w:val="380"/>
        <w:spacing w:line="360" w:lineRule="auto"/>
        <w:ind w:firstLine="480" w:firstLineChars="200"/>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（1）水土流失与水源涵养功能的影响</w:t>
      </w:r>
    </w:p>
    <w:p>
      <w:pPr>
        <w:pStyle w:val="380"/>
        <w:spacing w:line="360" w:lineRule="auto"/>
        <w:ind w:firstLine="480" w:firstLineChars="200"/>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评价区地表植被覆盖度高，但由于地形地貌的特殊性和降水量较大等特点使得水力侵蚀过程明显。项目建设对评价区水土流失的影响主要集中在项目建设期施工占地，如果不能及时采取相应的防护措施处理或治理，会造成新的水土流失。在项目施工过程中要</w:t>
      </w:r>
      <w:r>
        <w:rPr>
          <w:rFonts w:hint="eastAsia"/>
          <w:bCs/>
          <w:color w:val="000000" w:themeColor="text1"/>
          <w:sz w:val="24"/>
          <w:highlight w:val="none"/>
          <w14:textFill>
            <w14:solidFill>
              <w14:schemeClr w14:val="tx1"/>
            </w14:solidFill>
          </w14:textFill>
        </w:rPr>
        <w:t>尽量减少</w:t>
      </w:r>
      <w:r>
        <w:rPr>
          <w:bCs/>
          <w:color w:val="000000" w:themeColor="text1"/>
          <w:sz w:val="24"/>
          <w:highlight w:val="none"/>
          <w14:textFill>
            <w14:solidFill>
              <w14:schemeClr w14:val="tx1"/>
            </w14:solidFill>
          </w14:textFill>
        </w:rPr>
        <w:t>对周边区域地表植被的破坏，并对填挖高度进行严格</w:t>
      </w:r>
      <w:r>
        <w:rPr>
          <w:rFonts w:hint="eastAsia"/>
          <w:bCs/>
          <w:color w:val="000000" w:themeColor="text1"/>
          <w:sz w:val="24"/>
          <w:highlight w:val="none"/>
          <w14:textFill>
            <w14:solidFill>
              <w14:schemeClr w14:val="tx1"/>
            </w14:solidFill>
          </w14:textFill>
        </w:rPr>
        <w:t>的</w:t>
      </w:r>
      <w:r>
        <w:rPr>
          <w:bCs/>
          <w:color w:val="000000" w:themeColor="text1"/>
          <w:sz w:val="24"/>
          <w:highlight w:val="none"/>
          <w14:textFill>
            <w14:solidFill>
              <w14:schemeClr w14:val="tx1"/>
            </w14:solidFill>
          </w14:textFill>
        </w:rPr>
        <w:t>控制。</w:t>
      </w:r>
    </w:p>
    <w:p>
      <w:pPr>
        <w:pStyle w:val="380"/>
        <w:spacing w:line="360" w:lineRule="auto"/>
        <w:ind w:firstLine="480" w:firstLineChars="200"/>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森林和灌草丛等在评价区内发挥着较为重要的水源涵养功能，因此在施工结束及运营阶段应特别注重林草种植和植被恢复，通过增加植被覆盖，促进土壤蓄渗降水；而灌木的枯枝落叶层吸收水分等方式对水资源进行充分利用，尽量选择乡土阔叶植物作为恢复树种，注意因地制宜和加强管理。</w:t>
      </w:r>
    </w:p>
    <w:p>
      <w:pPr>
        <w:pStyle w:val="380"/>
        <w:spacing w:line="360" w:lineRule="auto"/>
        <w:ind w:firstLine="480" w:firstLineChars="200"/>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（2）</w:t>
      </w:r>
      <w:r>
        <w:rPr>
          <w:rFonts w:hint="eastAsia"/>
          <w:bCs/>
          <w:color w:val="000000" w:themeColor="text1"/>
          <w:sz w:val="24"/>
          <w:highlight w:val="none"/>
          <w14:textFill>
            <w14:solidFill>
              <w14:schemeClr w14:val="tx1"/>
            </w14:solidFill>
          </w14:textFill>
        </w:rPr>
        <w:t>对其他</w:t>
      </w:r>
      <w:r>
        <w:rPr>
          <w:bCs/>
          <w:color w:val="000000" w:themeColor="text1"/>
          <w:sz w:val="24"/>
          <w:highlight w:val="none"/>
          <w14:textFill>
            <w14:solidFill>
              <w14:schemeClr w14:val="tx1"/>
            </w14:solidFill>
          </w14:textFill>
        </w:rPr>
        <w:t>生态服务功能的影响</w:t>
      </w:r>
    </w:p>
    <w:p>
      <w:pPr>
        <w:pStyle w:val="380"/>
        <w:spacing w:line="360" w:lineRule="auto"/>
        <w:ind w:firstLine="480" w:firstLineChars="200"/>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评价区内陆生生态资源除具有防止水土流失和水源涵养功能外，还具有保育土壤功能、净化大气环境、固碳释放以及积累营养物质等多种生态服务功能。其中保育土壤主要是指森林中活地被物和凋落物层层截留降水，降低水滴对表土的冲击和地表径流的侵蚀作用；同时林木根系固持土壤，防止土壤崩塌泻溜，减少土壤肥力损失以及改善土壤结构的功能，这就要求施工和试采期间的闲置土地及裸地应及时种植植被，以减少土壤养分的流失。本项目建设尽管占用了部分灌草丛等自然生态系统，部分改变了土地利用类型，但对评价区内自然生态系统肩负的维持生物多样性、净化空气、调节小气候等生态服务功能的影响还是非常间接和有限的。</w:t>
      </w:r>
    </w:p>
    <w:p>
      <w:pPr>
        <w:adjustRightInd/>
        <w:snapToGrid/>
        <w:ind w:firstLine="480"/>
        <w:rPr>
          <w:rFonts w:cs="Times New Roman"/>
          <w:bCs/>
          <w:color w:val="000000" w:themeColor="text1"/>
          <w:szCs w:val="20"/>
          <w:highlight w:val="none"/>
          <w14:textFill>
            <w14:solidFill>
              <w14:schemeClr w14:val="tx1"/>
            </w14:solidFill>
          </w14:textFill>
        </w:rPr>
      </w:pPr>
      <w:r>
        <w:rPr>
          <w:rFonts w:cs="Times New Roman"/>
          <w:bCs/>
          <w:color w:val="000000" w:themeColor="text1"/>
          <w:highlight w:val="none"/>
          <w14:textFill>
            <w14:solidFill>
              <w14:schemeClr w14:val="tx1"/>
            </w14:solidFill>
          </w14:textFill>
        </w:rPr>
        <w:t>综上所述，本项目的建设对评价范围生态环境会有一定的影响，但不会显著改变评价范围的植物物种多样性状况、植被组成类型、动物多样性和种群结构组成。项目建设对景观生态系统的影响范围有限，评价范围内各类拼块构成、廊道类型和基质特点、各类环境资源拼块优势度等景观格局和动态不会发生明显变化；森林生态系统、灌丛和草地生态系统和河流生态系统的稳定性和景观完整性没有显著影响。在采取植被恢复、水土流失防治措施、野生动植物保护等措施的情况下，本项目造成的生态影响可得到有效减缓，生态系统的稳定性尚好</w:t>
      </w:r>
      <w:r>
        <w:rPr>
          <w:rFonts w:cs="Times New Roman"/>
          <w:bCs/>
          <w:color w:val="000000" w:themeColor="text1"/>
          <w:szCs w:val="20"/>
          <w:highlight w:val="none"/>
          <w14:textFill>
            <w14:solidFill>
              <w14:schemeClr w14:val="tx1"/>
            </w14:solidFill>
          </w14:textFill>
        </w:rPr>
        <w:t>。</w:t>
      </w:r>
    </w:p>
    <w:p>
      <w:pPr>
        <w:pStyle w:val="6"/>
        <w:spacing w:before="12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对物种多样性的影响分析</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项目占用的生态系统类型主要为耕地生态系统和森林生态系统，面积分别为8.6122hm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和</w:t>
      </w:r>
      <w:r>
        <w:rPr>
          <w:rFonts w:cs="Times New Roman"/>
          <w:color w:val="000000" w:themeColor="text1"/>
          <w:szCs w:val="24"/>
          <w:highlight w:val="none"/>
          <w:lang w:bidi="ar"/>
          <w14:textFill>
            <w14:solidFill>
              <w14:schemeClr w14:val="tx1"/>
            </w14:solidFill>
          </w14:textFill>
        </w:rPr>
        <w:t>2.5008</w:t>
      </w:r>
      <w:r>
        <w:rPr>
          <w:rFonts w:cs="Times New Roman"/>
          <w:bCs/>
          <w:color w:val="000000" w:themeColor="text1"/>
          <w:szCs w:val="24"/>
          <w:highlight w:val="none"/>
          <w14:textFill>
            <w14:solidFill>
              <w14:schemeClr w14:val="tx1"/>
            </w14:solidFill>
          </w14:textFill>
        </w:rPr>
        <w:t>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w:t>
      </w:r>
    </w:p>
    <w:p>
      <w:pPr>
        <w:ind w:firstLine="480"/>
        <w:rPr>
          <w:rFonts w:cs="Times New Roman"/>
          <w:bCs/>
          <w:color w:val="000000" w:themeColor="text1"/>
          <w:szCs w:val="20"/>
          <w:highlight w:val="none"/>
          <w14:textFill>
            <w14:solidFill>
              <w14:schemeClr w14:val="tx1"/>
            </w14:solidFill>
          </w14:textFill>
        </w:rPr>
      </w:pPr>
      <w:r>
        <w:rPr>
          <w:rFonts w:cs="Times New Roman"/>
          <w:bCs/>
          <w:color w:val="000000" w:themeColor="text1"/>
          <w:highlight w:val="none"/>
          <w14:textFill>
            <w14:solidFill>
              <w14:schemeClr w14:val="tx1"/>
            </w14:solidFill>
          </w14:textFill>
        </w:rPr>
        <w:t>项目建设影响的只是占地范围内的物种多样性，由原来的灌草丛生态系统临时变为工矿用地生态系统，损失的只是占地期限内占地范围的生物量和生产力，不会产生时间或空间的</w:t>
      </w:r>
      <w:r>
        <w:rPr>
          <w:rFonts w:hint="eastAsia" w:cs="Times New Roman"/>
          <w:bCs/>
          <w:color w:val="000000" w:themeColor="text1"/>
          <w:highlight w:val="none"/>
          <w14:textFill>
            <w14:solidFill>
              <w14:schemeClr w14:val="tx1"/>
            </w14:solidFill>
          </w14:textFill>
        </w:rPr>
        <w:t>累积</w:t>
      </w:r>
      <w:r>
        <w:rPr>
          <w:rFonts w:cs="Times New Roman"/>
          <w:bCs/>
          <w:color w:val="000000" w:themeColor="text1"/>
          <w:highlight w:val="none"/>
          <w14:textFill>
            <w14:solidFill>
              <w14:schemeClr w14:val="tx1"/>
            </w14:solidFill>
          </w14:textFill>
        </w:rPr>
        <w:t>作用，不会导致生境丧失、退化及破碎化、生态系 统退化、生物多样性下降等情况发生</w:t>
      </w:r>
      <w:r>
        <w:rPr>
          <w:rFonts w:cs="Times New Roman"/>
          <w:bCs/>
          <w:color w:val="000000" w:themeColor="text1"/>
          <w:szCs w:val="20"/>
          <w:highlight w:val="none"/>
          <w14:textFill>
            <w14:solidFill>
              <w14:schemeClr w14:val="tx1"/>
            </w14:solidFill>
          </w14:textFill>
        </w:rPr>
        <w:t>。</w:t>
      </w:r>
    </w:p>
    <w:p>
      <w:pPr>
        <w:pStyle w:val="6"/>
        <w:spacing w:before="12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对陆生野生动物的影响分析</w:t>
      </w:r>
    </w:p>
    <w:p>
      <w:pPr>
        <w:ind w:firstLine="480"/>
        <w:rPr>
          <w:rFonts w:cs="Times New Roman"/>
          <w:bCs/>
          <w:color w:val="000000" w:themeColor="text1"/>
          <w:highlight w:val="none"/>
          <w14:textFill>
            <w14:solidFill>
              <w14:schemeClr w14:val="tx1"/>
            </w14:solidFill>
          </w14:textFill>
        </w:rPr>
      </w:pPr>
      <w:r>
        <w:rPr>
          <w:rFonts w:hint="eastAsia" w:ascii="宋体" w:hAnsi="宋体" w:cs="宋体"/>
          <w:bCs/>
          <w:color w:val="000000" w:themeColor="text1"/>
          <w:highlight w:val="none"/>
          <w14:textFill>
            <w14:solidFill>
              <w14:schemeClr w14:val="tx1"/>
            </w14:solidFill>
          </w14:textFill>
        </w:rPr>
        <w:t>①</w:t>
      </w:r>
      <w:r>
        <w:rPr>
          <w:rFonts w:cs="Times New Roman"/>
          <w:bCs/>
          <w:color w:val="000000" w:themeColor="text1"/>
          <w:highlight w:val="none"/>
          <w14:textFill>
            <w14:solidFill>
              <w14:schemeClr w14:val="tx1"/>
            </w14:solidFill>
          </w14:textFill>
        </w:rPr>
        <w:t>施工占地</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项目占地类型主要为灌草丛。生活在这类土地的动物均为常见种，如鸟、兔、鼠类等，施工占地等会改变周边小生境，对其生存环境有短暂影响，对于依赖灌草丛为栖息、活动、隐蔽场所的野生动物来说，其生境在某种程度上会受到一定的影响，但在非施工区也可以找到相同或相似生境，可迁移到合适生境中生活，对其生存不会造成威胁，项目退役后这类动物还可迁回。对于迁移能力弱的动物，因占地面积较少，损失只局限于少数个体，不会对种群数量产生影响。</w:t>
      </w:r>
    </w:p>
    <w:p>
      <w:pPr>
        <w:ind w:firstLine="480"/>
        <w:rPr>
          <w:rFonts w:cs="Times New Roman"/>
          <w:bCs/>
          <w:color w:val="000000" w:themeColor="text1"/>
          <w:highlight w:val="none"/>
          <w14:textFill>
            <w14:solidFill>
              <w14:schemeClr w14:val="tx1"/>
            </w14:solidFill>
          </w14:textFill>
        </w:rPr>
      </w:pPr>
      <w:r>
        <w:rPr>
          <w:rFonts w:hint="eastAsia" w:ascii="宋体" w:hAnsi="宋体" w:cs="宋体"/>
          <w:bCs/>
          <w:color w:val="000000" w:themeColor="text1"/>
          <w:highlight w:val="none"/>
          <w14:textFill>
            <w14:solidFill>
              <w14:schemeClr w14:val="tx1"/>
            </w14:solidFill>
          </w14:textFill>
        </w:rPr>
        <w:t>②</w:t>
      </w:r>
      <w:r>
        <w:rPr>
          <w:rFonts w:cs="Times New Roman"/>
          <w:bCs/>
          <w:color w:val="000000" w:themeColor="text1"/>
          <w:highlight w:val="none"/>
          <w14:textFill>
            <w14:solidFill>
              <w14:schemeClr w14:val="tx1"/>
            </w14:solidFill>
          </w14:textFill>
        </w:rPr>
        <w:t>施工人员非法捕猎</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由于施工人员进入，可能有非法捕猎，直接杀死动物、鸟类。可通过加强教育宣传来杜绝此类行为。</w:t>
      </w:r>
    </w:p>
    <w:p>
      <w:pPr>
        <w:ind w:firstLine="480"/>
        <w:rPr>
          <w:rFonts w:cs="Times New Roman"/>
          <w:bCs/>
          <w:color w:val="000000" w:themeColor="text1"/>
          <w:highlight w:val="none"/>
          <w14:textFill>
            <w14:solidFill>
              <w14:schemeClr w14:val="tx1"/>
            </w14:solidFill>
          </w14:textFill>
        </w:rPr>
      </w:pPr>
      <w:r>
        <w:rPr>
          <w:rFonts w:hint="eastAsia" w:ascii="宋体" w:hAnsi="宋体" w:cs="宋体"/>
          <w:bCs/>
          <w:color w:val="000000" w:themeColor="text1"/>
          <w:highlight w:val="none"/>
          <w14:textFill>
            <w14:solidFill>
              <w14:schemeClr w14:val="tx1"/>
            </w14:solidFill>
          </w14:textFill>
        </w:rPr>
        <w:t>③</w:t>
      </w:r>
      <w:r>
        <w:rPr>
          <w:rFonts w:cs="Times New Roman"/>
          <w:bCs/>
          <w:color w:val="000000" w:themeColor="text1"/>
          <w:highlight w:val="none"/>
          <w14:textFill>
            <w14:solidFill>
              <w14:schemeClr w14:val="tx1"/>
            </w14:solidFill>
          </w14:textFill>
        </w:rPr>
        <w:t>施工活动</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项目施工可直接破坏一些分布在施工区域内动物的生存环境，如一些蛇类、蛙类和鼠类等的栖息洞穴；项目施工还可直接杀死一些生活在施工区域内的动物，这些动物主要是无迁移能力或迁移能力较弱的幼体及在施工时还栖息在洞穴内的部分蛇类、蛙类和鼠类等。由于施工区的范围有限，上述两种情况不会对动物组成和多度产生较大影响。项目施工</w:t>
      </w:r>
      <w:r>
        <w:rPr>
          <w:rFonts w:hint="eastAsia" w:cs="Times New Roman"/>
          <w:bCs/>
          <w:color w:val="000000" w:themeColor="text1"/>
          <w:highlight w:val="none"/>
          <w14:textFill>
            <w14:solidFill>
              <w14:schemeClr w14:val="tx1"/>
            </w14:solidFill>
          </w14:textFill>
        </w:rPr>
        <w:t>对其他</w:t>
      </w:r>
      <w:r>
        <w:rPr>
          <w:rFonts w:cs="Times New Roman"/>
          <w:bCs/>
          <w:color w:val="000000" w:themeColor="text1"/>
          <w:highlight w:val="none"/>
          <w14:textFill>
            <w14:solidFill>
              <w14:schemeClr w14:val="tx1"/>
            </w14:solidFill>
          </w14:textFill>
        </w:rPr>
        <w:t>动物的影响主要还是间接影响，即施工噪声迫使绝大多数动物的成体通过迁移方式远离施工区，但当施工结束后，施工区域内或施工区附近的植被逐渐恢复，这些动物又会逐渐返回。</w:t>
      </w:r>
    </w:p>
    <w:p>
      <w:pPr>
        <w:pStyle w:val="6"/>
        <w:spacing w:before="12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对重点保护野生动植物的影响分析</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根据实地调查，在项目评价区内未发现国家和省级重点保护野生动植物。</w:t>
      </w:r>
    </w:p>
    <w:p>
      <w:pPr>
        <w:pStyle w:val="6"/>
        <w:spacing w:before="12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对天然林、公益林及生态红线影响分析</w:t>
      </w:r>
    </w:p>
    <w:p>
      <w:pPr>
        <w:ind w:firstLine="480"/>
        <w:rPr>
          <w:rFonts w:cs="Times New Roman"/>
          <w:bCs/>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项目</w:t>
      </w:r>
      <w:r>
        <w:rPr>
          <w:rFonts w:cs="Times New Roman"/>
          <w:bCs/>
          <w:color w:val="000000" w:themeColor="text1"/>
          <w:szCs w:val="24"/>
          <w:highlight w:val="none"/>
          <w14:textFill>
            <w14:solidFill>
              <w14:schemeClr w14:val="tx1"/>
            </w14:solidFill>
          </w14:textFill>
        </w:rPr>
        <w:t>试采站</w:t>
      </w:r>
      <w:r>
        <w:rPr>
          <w:rFonts w:cs="Times New Roman"/>
          <w:color w:val="000000" w:themeColor="text1"/>
          <w:highlight w:val="none"/>
          <w14:textFill>
            <w14:solidFill>
              <w14:schemeClr w14:val="tx1"/>
            </w14:solidFill>
          </w14:textFill>
        </w:rPr>
        <w:t>占地不涉及天然林、公益林，外输管线</w:t>
      </w:r>
      <w:r>
        <w:rPr>
          <w:rFonts w:hint="eastAsia" w:cs="Times New Roman"/>
          <w:color w:val="000000" w:themeColor="text1"/>
          <w:highlight w:val="none"/>
          <w14:textFill>
            <w14:solidFill>
              <w14:schemeClr w14:val="tx1"/>
            </w14:solidFill>
          </w14:textFill>
        </w:rPr>
        <w:t>穿越</w:t>
      </w:r>
      <w:r>
        <w:rPr>
          <w:rFonts w:cs="Times New Roman"/>
          <w:bCs/>
          <w:color w:val="000000" w:themeColor="text1"/>
          <w:szCs w:val="24"/>
          <w:highlight w:val="none"/>
          <w14:textFill>
            <w14:solidFill>
              <w14:schemeClr w14:val="tx1"/>
            </w14:solidFill>
          </w14:textFill>
        </w:rPr>
        <w:t>公益林</w:t>
      </w:r>
      <w:r>
        <w:rPr>
          <w:rFonts w:hint="eastAsia" w:cs="Times New Roman"/>
          <w:bCs/>
          <w:color w:val="000000" w:themeColor="text1"/>
          <w:szCs w:val="24"/>
          <w:highlight w:val="none"/>
          <w14:textFill>
            <w14:solidFill>
              <w14:schemeClr w14:val="tx1"/>
            </w14:solidFill>
          </w14:textFill>
        </w:rPr>
        <w:t>约350m，穿越天然</w:t>
      </w:r>
      <w:r>
        <w:rPr>
          <w:rFonts w:cs="Times New Roman"/>
          <w:bCs/>
          <w:color w:val="000000" w:themeColor="text1"/>
          <w:szCs w:val="24"/>
          <w:highlight w:val="none"/>
          <w14:textFill>
            <w14:solidFill>
              <w14:schemeClr w14:val="tx1"/>
            </w14:solidFill>
          </w14:textFill>
        </w:rPr>
        <w:t>林约</w:t>
      </w:r>
      <w:r>
        <w:rPr>
          <w:rFonts w:hint="eastAsia" w:cs="Times New Roman"/>
          <w:bCs/>
          <w:color w:val="000000" w:themeColor="text1"/>
          <w:szCs w:val="24"/>
          <w:highlight w:val="none"/>
          <w14:textFill>
            <w14:solidFill>
              <w14:schemeClr w14:val="tx1"/>
            </w14:solidFill>
          </w14:textFill>
        </w:rPr>
        <w:t>180</w:t>
      </w:r>
      <w:r>
        <w:rPr>
          <w:rFonts w:cs="Times New Roman"/>
          <w:bCs/>
          <w:color w:val="000000" w:themeColor="text1"/>
          <w:szCs w:val="24"/>
          <w:highlight w:val="none"/>
          <w14:textFill>
            <w14:solidFill>
              <w14:schemeClr w14:val="tx1"/>
            </w14:solidFill>
          </w14:textFill>
        </w:rPr>
        <w:t>m</w:t>
      </w:r>
      <w:r>
        <w:rPr>
          <w:rFonts w:hint="eastAsia" w:cs="Times New Roman"/>
          <w:bCs/>
          <w:color w:val="000000" w:themeColor="text1"/>
          <w:szCs w:val="24"/>
          <w:highlight w:val="none"/>
          <w14:textFill>
            <w14:solidFill>
              <w14:schemeClr w14:val="tx1"/>
            </w14:solidFill>
          </w14:textFill>
        </w:rPr>
        <w:t>，</w:t>
      </w:r>
      <w:r>
        <w:rPr>
          <w:rFonts w:hint="eastAsia" w:cs="Times New Roman"/>
          <w:bCs/>
          <w:color w:val="000000" w:themeColor="text1"/>
          <w:highlight w:val="none"/>
          <w14:textFill>
            <w14:solidFill>
              <w14:schemeClr w14:val="tx1"/>
            </w14:solidFill>
          </w14:textFill>
        </w:rPr>
        <w:t>根据《四川省天然林保护条例（2009年修改）》《四川省林地保护管理办法》（川林发〔2010〕33号）、《四川省人民政府办公厅关于进一步加强天然林保护的通知》（川办函〔2016〕91号）的要求，本项目在占用公益林、天然林地前须取得相关林地占用手续后方可开工建设，本项目与公益林、天然林保护相关规定符合性分析如下。</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本项目与公益林、天然林保护相关规定符合性分析表</w:t>
      </w:r>
    </w:p>
    <w:tbl>
      <w:tblPr>
        <w:tblStyle w:val="41"/>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604"/>
        <w:gridCol w:w="1306"/>
        <w:gridCol w:w="3907"/>
        <w:gridCol w:w="1756"/>
        <w:gridCol w:w="6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604" w:type="dxa"/>
            <w:vAlign w:val="center"/>
          </w:tcPr>
          <w:p>
            <w:pPr>
              <w:spacing w:line="240" w:lineRule="auto"/>
              <w:ind w:firstLine="0" w:firstLineChars="0"/>
              <w:jc w:val="center"/>
              <w:rPr>
                <w:rFonts w:cs="Times New Roman"/>
                <w:b/>
                <w:bCs/>
                <w:color w:val="000000" w:themeColor="text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序号</w:t>
            </w:r>
          </w:p>
        </w:tc>
        <w:tc>
          <w:tcPr>
            <w:tcW w:w="1306" w:type="dxa"/>
            <w:vAlign w:val="center"/>
          </w:tcPr>
          <w:p>
            <w:pPr>
              <w:spacing w:line="240" w:lineRule="auto"/>
              <w:ind w:firstLine="0" w:firstLineChars="0"/>
              <w:jc w:val="center"/>
              <w:rPr>
                <w:rFonts w:cs="Times New Roman"/>
                <w:b/>
                <w:bCs/>
                <w:color w:val="000000" w:themeColor="text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天然林保护相关规定</w:t>
            </w:r>
          </w:p>
        </w:tc>
        <w:tc>
          <w:tcPr>
            <w:tcW w:w="3907" w:type="dxa"/>
            <w:vAlign w:val="center"/>
          </w:tcPr>
          <w:p>
            <w:pPr>
              <w:spacing w:line="240" w:lineRule="auto"/>
              <w:ind w:firstLine="0" w:firstLineChars="0"/>
              <w:jc w:val="center"/>
              <w:rPr>
                <w:rFonts w:cs="Times New Roman"/>
                <w:b/>
                <w:bCs/>
                <w:color w:val="000000" w:themeColor="text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要求</w:t>
            </w:r>
          </w:p>
        </w:tc>
        <w:tc>
          <w:tcPr>
            <w:tcW w:w="1756" w:type="dxa"/>
            <w:vAlign w:val="center"/>
          </w:tcPr>
          <w:p>
            <w:pPr>
              <w:spacing w:line="240" w:lineRule="auto"/>
              <w:ind w:firstLine="0" w:firstLineChars="0"/>
              <w:jc w:val="center"/>
              <w:rPr>
                <w:rFonts w:cs="Times New Roman"/>
                <w:b/>
                <w:bCs/>
                <w:color w:val="000000" w:themeColor="text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本项目情况</w:t>
            </w:r>
          </w:p>
        </w:tc>
        <w:tc>
          <w:tcPr>
            <w:tcW w:w="647" w:type="dxa"/>
            <w:vAlign w:val="center"/>
          </w:tcPr>
          <w:p>
            <w:pPr>
              <w:spacing w:line="240" w:lineRule="auto"/>
              <w:ind w:firstLine="0" w:firstLineChars="0"/>
              <w:jc w:val="center"/>
              <w:rPr>
                <w:rFonts w:cs="Times New Roman"/>
                <w:b/>
                <w:bCs/>
                <w:color w:val="000000" w:themeColor="text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cantSplit/>
          <w:jc w:val="center"/>
        </w:trPr>
        <w:tc>
          <w:tcPr>
            <w:tcW w:w="604" w:type="dxa"/>
            <w:vMerge w:val="restart"/>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1</w:t>
            </w:r>
          </w:p>
        </w:tc>
        <w:tc>
          <w:tcPr>
            <w:tcW w:w="1306" w:type="dxa"/>
            <w:vMerge w:val="restart"/>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《四川省天然林保护条例（2009年修改）》</w:t>
            </w:r>
          </w:p>
        </w:tc>
        <w:tc>
          <w:tcPr>
            <w:tcW w:w="3907" w:type="dxa"/>
            <w:vAlign w:val="center"/>
          </w:tcPr>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禁止对下列天然林进行采伐和从事可能导致天然林毁坏的活动：</w:t>
            </w:r>
          </w:p>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（一）面积在100公顷以上集中连片的原始林；</w:t>
            </w:r>
          </w:p>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（二）天然林保护规划确定禁止采伐的原始林；</w:t>
            </w:r>
          </w:p>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（三）位于江河两岸及水库库周的天然林；</w:t>
            </w:r>
          </w:p>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（四）位于山地灾害多发地带的天然林；</w:t>
            </w:r>
          </w:p>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（五）省人民政府确定的其他禁止采伐的天然林。</w:t>
            </w:r>
          </w:p>
        </w:tc>
        <w:tc>
          <w:tcPr>
            <w:tcW w:w="1756"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本项目</w:t>
            </w:r>
            <w:r>
              <w:rPr>
                <w:rFonts w:hint="eastAsia" w:cs="Times New Roman"/>
                <w:color w:val="000000" w:themeColor="text1"/>
                <w:sz w:val="21"/>
                <w:szCs w:val="21"/>
                <w:highlight w:val="none"/>
                <w14:textFill>
                  <w14:solidFill>
                    <w14:schemeClr w14:val="tx1"/>
                  </w14:solidFill>
                </w14:textFill>
              </w:rPr>
              <w:t>占用林地为耕地周边零星分布</w:t>
            </w:r>
            <w:r>
              <w:rPr>
                <w:rFonts w:cs="Times New Roman"/>
                <w:color w:val="000000" w:themeColor="text1"/>
                <w:sz w:val="21"/>
                <w:szCs w:val="21"/>
                <w:highlight w:val="none"/>
                <w14:textFill>
                  <w14:solidFill>
                    <w14:schemeClr w14:val="tx1"/>
                  </w14:solidFill>
                </w14:textFill>
              </w:rPr>
              <w:t>，不涉及左述天然林地</w:t>
            </w:r>
          </w:p>
        </w:tc>
        <w:tc>
          <w:tcPr>
            <w:tcW w:w="647"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cantSplit/>
          <w:jc w:val="center"/>
        </w:trPr>
        <w:tc>
          <w:tcPr>
            <w:tcW w:w="604" w:type="dxa"/>
            <w:vMerge w:val="continue"/>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p>
        </w:tc>
        <w:tc>
          <w:tcPr>
            <w:tcW w:w="1306" w:type="dxa"/>
            <w:vMerge w:val="continue"/>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p>
        </w:tc>
        <w:tc>
          <w:tcPr>
            <w:tcW w:w="3907" w:type="dxa"/>
            <w:vAlign w:val="center"/>
          </w:tcPr>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禁止对天然林进行商品性采伐</w:t>
            </w:r>
          </w:p>
        </w:tc>
        <w:tc>
          <w:tcPr>
            <w:tcW w:w="1756"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不涉及</w:t>
            </w:r>
          </w:p>
        </w:tc>
        <w:tc>
          <w:tcPr>
            <w:tcW w:w="647"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cantSplit/>
          <w:jc w:val="center"/>
        </w:trPr>
        <w:tc>
          <w:tcPr>
            <w:tcW w:w="604" w:type="dxa"/>
            <w:vMerge w:val="continue"/>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p>
        </w:tc>
        <w:tc>
          <w:tcPr>
            <w:tcW w:w="1306" w:type="dxa"/>
            <w:vMerge w:val="continue"/>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p>
        </w:tc>
        <w:tc>
          <w:tcPr>
            <w:tcW w:w="3907" w:type="dxa"/>
            <w:vAlign w:val="center"/>
          </w:tcPr>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禁止毁坏天然林开垦、采石、采砂、采土以及其他毁林行为</w:t>
            </w:r>
          </w:p>
        </w:tc>
        <w:tc>
          <w:tcPr>
            <w:tcW w:w="1756"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不涉及</w:t>
            </w:r>
          </w:p>
        </w:tc>
        <w:tc>
          <w:tcPr>
            <w:tcW w:w="647"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cantSplit/>
          <w:jc w:val="center"/>
        </w:trPr>
        <w:tc>
          <w:tcPr>
            <w:tcW w:w="604" w:type="dxa"/>
            <w:vMerge w:val="continue"/>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p>
        </w:tc>
        <w:tc>
          <w:tcPr>
            <w:tcW w:w="1306" w:type="dxa"/>
            <w:vMerge w:val="continue"/>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p>
        </w:tc>
        <w:tc>
          <w:tcPr>
            <w:tcW w:w="3907" w:type="dxa"/>
            <w:vAlign w:val="center"/>
          </w:tcPr>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勘查、开采矿藏和从事各项工程建设，确需征用、占用天然林林地的，应经省级以上林业主管部门审核同意，并依照有关法律法规的规定缴纳林地补偿、安置补助等费用，办理用地手续。征用、占用天然林林地勘查、开采矿藏或从事各项工程建设确需采伐林木的，应办理采伐许可证，依法对林木所有者或者经营者的林木损失进行补偿，并在林业主管部门指定的地块植树造林，恢复植被，或者按照国务院规定缴纳森林植被恢复费。</w:t>
            </w:r>
          </w:p>
        </w:tc>
        <w:tc>
          <w:tcPr>
            <w:tcW w:w="1756"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本项目为</w:t>
            </w:r>
            <w:r>
              <w:rPr>
                <w:rFonts w:hint="eastAsia" w:cs="Times New Roman"/>
                <w:color w:val="000000" w:themeColor="text1"/>
                <w:sz w:val="21"/>
                <w:szCs w:val="21"/>
                <w:highlight w:val="none"/>
                <w14:textFill>
                  <w14:solidFill>
                    <w14:schemeClr w14:val="tx1"/>
                  </w14:solidFill>
                </w14:textFill>
              </w:rPr>
              <w:t>天然气试采</w:t>
            </w:r>
            <w:r>
              <w:rPr>
                <w:rFonts w:cs="Times New Roman"/>
                <w:color w:val="000000" w:themeColor="text1"/>
                <w:sz w:val="21"/>
                <w:szCs w:val="21"/>
                <w:highlight w:val="none"/>
                <w14:textFill>
                  <w14:solidFill>
                    <w14:schemeClr w14:val="tx1"/>
                  </w14:solidFill>
                </w14:textFill>
              </w:rPr>
              <w:t>，建设单位在占用天然林地前须按照《建设项目使用林地审核审批管理办法》取得相关林地占用手续后、缴纳林地补偿、安置补助等费用后，方可开工建设</w:t>
            </w:r>
          </w:p>
        </w:tc>
        <w:tc>
          <w:tcPr>
            <w:tcW w:w="647"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cantSplit/>
          <w:jc w:val="center"/>
        </w:trPr>
        <w:tc>
          <w:tcPr>
            <w:tcW w:w="604" w:type="dxa"/>
            <w:vMerge w:val="restart"/>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2</w:t>
            </w:r>
          </w:p>
        </w:tc>
        <w:tc>
          <w:tcPr>
            <w:tcW w:w="1306" w:type="dxa"/>
            <w:vMerge w:val="restart"/>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《四川省林地保护管理办法》（川林发〔2010〕33号）</w:t>
            </w:r>
          </w:p>
        </w:tc>
        <w:tc>
          <w:tcPr>
            <w:tcW w:w="3907" w:type="dxa"/>
            <w:vAlign w:val="center"/>
          </w:tcPr>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勘查、开采矿藏和修建道路、水利、电力、通讯等各项建设工程，应当十分珍惜和节约使用林地，不占或者少占林地；必须占用或者征用林地的，经省级以上林业主管部门审核同意后，依照有关土地管理的法律、行政法规办理建设用地审批手续。</w:t>
            </w:r>
          </w:p>
        </w:tc>
        <w:tc>
          <w:tcPr>
            <w:tcW w:w="1756" w:type="dxa"/>
            <w:vMerge w:val="restart"/>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本项目为</w:t>
            </w:r>
            <w:r>
              <w:rPr>
                <w:rFonts w:hint="eastAsia" w:cs="Times New Roman"/>
                <w:color w:val="000000" w:themeColor="text1"/>
                <w:sz w:val="21"/>
                <w:szCs w:val="21"/>
                <w:highlight w:val="none"/>
                <w14:textFill>
                  <w14:solidFill>
                    <w14:schemeClr w14:val="tx1"/>
                  </w14:solidFill>
                </w14:textFill>
              </w:rPr>
              <w:t>天然气试采</w:t>
            </w:r>
            <w:r>
              <w:rPr>
                <w:rFonts w:cs="Times New Roman"/>
                <w:color w:val="000000" w:themeColor="text1"/>
                <w:sz w:val="21"/>
                <w:szCs w:val="21"/>
                <w:highlight w:val="none"/>
                <w14:textFill>
                  <w14:solidFill>
                    <w14:schemeClr w14:val="tx1"/>
                  </w14:solidFill>
                </w14:textFill>
              </w:rPr>
              <w:t>，</w:t>
            </w:r>
            <w:r>
              <w:rPr>
                <w:rFonts w:hint="eastAsia" w:cs="Times New Roman"/>
                <w:color w:val="000000" w:themeColor="text1"/>
                <w:sz w:val="21"/>
                <w:szCs w:val="21"/>
                <w:highlight w:val="none"/>
                <w14:textFill>
                  <w14:solidFill>
                    <w14:schemeClr w14:val="tx1"/>
                  </w14:solidFill>
                </w14:textFill>
              </w:rPr>
              <w:t>选址有极大限制（地下决定地上），</w:t>
            </w:r>
            <w:r>
              <w:rPr>
                <w:rFonts w:cs="Times New Roman"/>
                <w:color w:val="000000" w:themeColor="text1"/>
                <w:sz w:val="21"/>
                <w:szCs w:val="21"/>
                <w:highlight w:val="none"/>
                <w14:textFill>
                  <w14:solidFill>
                    <w14:schemeClr w14:val="tx1"/>
                  </w14:solidFill>
                </w14:textFill>
              </w:rPr>
              <w:t>建设单位在占用天然林</w:t>
            </w:r>
            <w:r>
              <w:rPr>
                <w:rFonts w:hint="eastAsia" w:cs="Times New Roman"/>
                <w:color w:val="000000" w:themeColor="text1"/>
                <w:sz w:val="21"/>
                <w:szCs w:val="21"/>
                <w:highlight w:val="none"/>
                <w14:textFill>
                  <w14:solidFill>
                    <w14:schemeClr w14:val="tx1"/>
                  </w14:solidFill>
                </w14:textFill>
              </w:rPr>
              <w:t>、公益林</w:t>
            </w:r>
            <w:r>
              <w:rPr>
                <w:rFonts w:cs="Times New Roman"/>
                <w:color w:val="000000" w:themeColor="text1"/>
                <w:sz w:val="21"/>
                <w:szCs w:val="21"/>
                <w:highlight w:val="none"/>
                <w14:textFill>
                  <w14:solidFill>
                    <w14:schemeClr w14:val="tx1"/>
                  </w14:solidFill>
                </w14:textFill>
              </w:rPr>
              <w:t>地前须按照《建设项目使用林地审核审批管理办法》取得相关林地占用手续后方可开工建设</w:t>
            </w:r>
          </w:p>
        </w:tc>
        <w:tc>
          <w:tcPr>
            <w:tcW w:w="647"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cantSplit/>
          <w:jc w:val="center"/>
        </w:trPr>
        <w:tc>
          <w:tcPr>
            <w:tcW w:w="604" w:type="dxa"/>
            <w:vMerge w:val="continue"/>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p>
        </w:tc>
        <w:tc>
          <w:tcPr>
            <w:tcW w:w="1306" w:type="dxa"/>
            <w:vMerge w:val="continue"/>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p>
        </w:tc>
        <w:tc>
          <w:tcPr>
            <w:tcW w:w="3907" w:type="dxa"/>
            <w:vAlign w:val="center"/>
          </w:tcPr>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选址无特殊要求和限制的建设项目，以及一般采矿、采石、采土等占用林地项目，应开展选址、占用林地面积和种类等的必要性及合理性论证。</w:t>
            </w:r>
          </w:p>
        </w:tc>
        <w:tc>
          <w:tcPr>
            <w:tcW w:w="1756" w:type="dxa"/>
            <w:vMerge w:val="continue"/>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p>
        </w:tc>
        <w:tc>
          <w:tcPr>
            <w:tcW w:w="647"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cantSplit/>
          <w:jc w:val="center"/>
        </w:trPr>
        <w:tc>
          <w:tcPr>
            <w:tcW w:w="604" w:type="dxa"/>
            <w:vMerge w:val="restart"/>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3</w:t>
            </w:r>
          </w:p>
        </w:tc>
        <w:tc>
          <w:tcPr>
            <w:tcW w:w="1306" w:type="dxa"/>
            <w:vMerge w:val="restart"/>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《四川省人民政府办公厅关于进一步加强天然林保护的通知》（川办函〔2016〕91号）</w:t>
            </w:r>
          </w:p>
        </w:tc>
        <w:tc>
          <w:tcPr>
            <w:tcW w:w="3907" w:type="dxa"/>
            <w:vAlign w:val="center"/>
          </w:tcPr>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严格天然林采伐管理。严格执行凭证采伐、限额采伐制度和全面禁止天然林商业性采伐规定。规范和加强天然林非商业性采伐管理，除占用征收林地和危险性林业有害生物除治采伐外，对天然林只能进行低强度择伐，禁止实施皆伐；按照节约和必要的原则，从严审批农村居民生产生活用材采伐天然林，完善和细化管理措施，严格监督检查。严禁借低产低效林改造、森林抚育、林业有害生物防治、森林防火等名义实施天然林商业性采伐。坚持保护优先、科学利用，完善天然林林地利用政策，积极推进森林可持续经营试点，在保障天然林正常生长的前提下，有序适度发展林下经济和生态旅游业，探索天然林资源保护经营的新路子。</w:t>
            </w:r>
          </w:p>
        </w:tc>
        <w:tc>
          <w:tcPr>
            <w:tcW w:w="1756"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本项目为</w:t>
            </w:r>
            <w:r>
              <w:rPr>
                <w:rFonts w:hint="eastAsia" w:cs="Times New Roman"/>
                <w:color w:val="000000" w:themeColor="text1"/>
                <w:sz w:val="21"/>
                <w:szCs w:val="21"/>
                <w:highlight w:val="none"/>
                <w14:textFill>
                  <w14:solidFill>
                    <w14:schemeClr w14:val="tx1"/>
                  </w14:solidFill>
                </w14:textFill>
              </w:rPr>
              <w:t>天然气试采，</w:t>
            </w:r>
            <w:r>
              <w:rPr>
                <w:rFonts w:cs="Times New Roman"/>
                <w:color w:val="000000" w:themeColor="text1"/>
                <w:sz w:val="21"/>
                <w:szCs w:val="21"/>
                <w:highlight w:val="none"/>
                <w14:textFill>
                  <w14:solidFill>
                    <w14:schemeClr w14:val="tx1"/>
                  </w14:solidFill>
                </w14:textFill>
              </w:rPr>
              <w:t>确需占用天然林</w:t>
            </w:r>
            <w:r>
              <w:rPr>
                <w:rFonts w:hint="eastAsia" w:cs="Times New Roman"/>
                <w:color w:val="000000" w:themeColor="text1"/>
                <w:sz w:val="21"/>
                <w:szCs w:val="21"/>
                <w:highlight w:val="none"/>
                <w14:textFill>
                  <w14:solidFill>
                    <w14:schemeClr w14:val="tx1"/>
                  </w14:solidFill>
                </w14:textFill>
              </w:rPr>
              <w:t>、公益林</w:t>
            </w:r>
            <w:r>
              <w:rPr>
                <w:rFonts w:cs="Times New Roman"/>
                <w:color w:val="000000" w:themeColor="text1"/>
                <w:sz w:val="21"/>
                <w:szCs w:val="21"/>
                <w:highlight w:val="none"/>
                <w14:textFill>
                  <w14:solidFill>
                    <w14:schemeClr w14:val="tx1"/>
                  </w14:solidFill>
                </w14:textFill>
              </w:rPr>
              <w:t>，不属于天然林商业性采伐</w:t>
            </w:r>
          </w:p>
        </w:tc>
        <w:tc>
          <w:tcPr>
            <w:tcW w:w="647"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cantSplit/>
          <w:jc w:val="center"/>
        </w:trPr>
        <w:tc>
          <w:tcPr>
            <w:tcW w:w="604" w:type="dxa"/>
            <w:vMerge w:val="continue"/>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p>
        </w:tc>
        <w:tc>
          <w:tcPr>
            <w:tcW w:w="1306" w:type="dxa"/>
            <w:vMerge w:val="continue"/>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p>
        </w:tc>
        <w:tc>
          <w:tcPr>
            <w:tcW w:w="3907" w:type="dxa"/>
            <w:vAlign w:val="center"/>
          </w:tcPr>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严格控制低产低效天然林改造。各地要严格遵循天然林形成规律，坚持“保护优先、自然修复为主”原则，加大封山育林力度，尽量减少人为干扰。对低产低效天然林实施改造要以提升生态功能为目的，严格执行相关技术规程和政策要求，严格确定改造对象，从严控制规模和范围，科学设计改造方式和强度，以封育改造和补植改造为主，严禁实施皆伐改造；改造过程中要保持原有生态系统要素完整性，不得全面伐除灌木和全面整地，严禁任何形式的毁林开垦或毁林造林。禁止将天然林改造为人工林和将国家公益林改造为商品林。严禁对原生型天然低效林进行改造；天然林中的国家一级公益林要严格保护，原则上不可实施任何方式的改造。遭受林业有害生物、森林火灾、风雪、滑坡、泥石流等自然灾害危害的林木清理采伐，应视其受害情况，科学确定需清除林木的方式和强度，有组织、有计划地实施。</w:t>
            </w:r>
          </w:p>
        </w:tc>
        <w:tc>
          <w:tcPr>
            <w:tcW w:w="1756"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不涉及</w:t>
            </w:r>
          </w:p>
        </w:tc>
        <w:tc>
          <w:tcPr>
            <w:tcW w:w="647"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cantSplit/>
          <w:jc w:val="center"/>
        </w:trPr>
        <w:tc>
          <w:tcPr>
            <w:tcW w:w="604" w:type="dxa"/>
            <w:vMerge w:val="continue"/>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p>
        </w:tc>
        <w:tc>
          <w:tcPr>
            <w:tcW w:w="1306" w:type="dxa"/>
            <w:vMerge w:val="continue"/>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p>
        </w:tc>
        <w:tc>
          <w:tcPr>
            <w:tcW w:w="3907" w:type="dxa"/>
            <w:vAlign w:val="center"/>
          </w:tcPr>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严格控制天然树木采挖移植。严禁以营利为目的采挖移植天然林树木。严禁移植天然大树进城。依法禁止采挖原生地天然濒危、珍稀树木，国家一级保护野生植物、古树名木以及名胜古迹、革命纪念地、国家公益林、自然保护区、风景名胜区、自然遗产地、省级以上森林公园、省级和国家级林木种质资源库、省级和国家重点林木良种基地等生态脆弱地区和生态区位重要地区的树木。</w:t>
            </w:r>
          </w:p>
        </w:tc>
        <w:tc>
          <w:tcPr>
            <w:tcW w:w="1756"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本项目为</w:t>
            </w:r>
            <w:r>
              <w:rPr>
                <w:rFonts w:hint="eastAsia" w:cs="Times New Roman"/>
                <w:color w:val="000000" w:themeColor="text1"/>
                <w:sz w:val="21"/>
                <w:szCs w:val="21"/>
                <w:highlight w:val="none"/>
                <w14:textFill>
                  <w14:solidFill>
                    <w14:schemeClr w14:val="tx1"/>
                  </w14:solidFill>
                </w14:textFill>
              </w:rPr>
              <w:t>天然气试采</w:t>
            </w:r>
            <w:r>
              <w:rPr>
                <w:rFonts w:cs="Times New Roman"/>
                <w:color w:val="000000" w:themeColor="text1"/>
                <w:sz w:val="21"/>
                <w:szCs w:val="21"/>
                <w:highlight w:val="none"/>
                <w14:textFill>
                  <w14:solidFill>
                    <w14:schemeClr w14:val="tx1"/>
                  </w14:solidFill>
                </w14:textFill>
              </w:rPr>
              <w:t>，</w:t>
            </w:r>
            <w:r>
              <w:rPr>
                <w:rFonts w:hint="eastAsia" w:cs="Times New Roman"/>
                <w:color w:val="000000" w:themeColor="text1"/>
                <w:sz w:val="21"/>
                <w:szCs w:val="21"/>
                <w:highlight w:val="none"/>
                <w14:textFill>
                  <w14:solidFill>
                    <w14:schemeClr w14:val="tx1"/>
                  </w14:solidFill>
                </w14:textFill>
              </w:rPr>
              <w:t>属于重点项目和重点勘察开采矿种，不属于以盈利为主要目的的砍伐林木（天然林、公益林）的项目，后期将</w:t>
            </w:r>
            <w:r>
              <w:rPr>
                <w:rFonts w:cs="Times New Roman"/>
                <w:color w:val="000000" w:themeColor="text1"/>
                <w:sz w:val="21"/>
                <w:szCs w:val="21"/>
                <w:highlight w:val="none"/>
                <w14:textFill>
                  <w14:solidFill>
                    <w14:schemeClr w14:val="tx1"/>
                  </w14:solidFill>
                </w14:textFill>
              </w:rPr>
              <w:t>依法办理使用林地审核审批手续</w:t>
            </w:r>
            <w:r>
              <w:rPr>
                <w:rFonts w:hint="eastAsia" w:cs="Times New Roman"/>
                <w:color w:val="000000" w:themeColor="text1"/>
                <w:sz w:val="21"/>
                <w:szCs w:val="21"/>
                <w:highlight w:val="none"/>
                <w14:textFill>
                  <w14:solidFill>
                    <w14:schemeClr w14:val="tx1"/>
                  </w14:solidFill>
                </w14:textFill>
              </w:rPr>
              <w:t>后建设</w:t>
            </w:r>
          </w:p>
        </w:tc>
        <w:tc>
          <w:tcPr>
            <w:tcW w:w="647"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cantSplit/>
          <w:jc w:val="center"/>
        </w:trPr>
        <w:tc>
          <w:tcPr>
            <w:tcW w:w="604" w:type="dxa"/>
            <w:vMerge w:val="continue"/>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p>
        </w:tc>
        <w:tc>
          <w:tcPr>
            <w:tcW w:w="1306" w:type="dxa"/>
            <w:vMerge w:val="continue"/>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p>
        </w:tc>
        <w:tc>
          <w:tcPr>
            <w:tcW w:w="3907" w:type="dxa"/>
            <w:vAlign w:val="center"/>
          </w:tcPr>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切实加强天然林林地保护管理。各地要认真执行林地保护利用规划，严格天然林林地用途管制，严格控制占用天然林林地。禁止开垦、挖塘等将天然林林地转化为其他农用地行为；严禁在天然林林地采石、挖沙、取土；在农业综合开发、土地整治过程中，不得挤占天然林林地。各类工程项目应不占或少占天然林林地、不砍或少砍天然林木，因基础设施、公共事业、民生建设项目以及省级及以上重点建设项目等确需占用的，必须依法办理使用林地审核审批手续。城市开发和工业园区建设应尽量避免占用天然林林地。严格控制在天然林林地上建立光伏电站、风电场等项目；除国家规定的重要矿种大中型矿山外，从严控制在天然原始林林地上设置露天采矿权；有关部门批准在天然林区设立矿业权、修建风电场、光伏电站等之前，应征求同级林业主管部门意见。</w:t>
            </w:r>
          </w:p>
        </w:tc>
        <w:tc>
          <w:tcPr>
            <w:tcW w:w="1756"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本项目为</w:t>
            </w:r>
            <w:r>
              <w:rPr>
                <w:rFonts w:hint="eastAsia" w:cs="Times New Roman"/>
                <w:color w:val="000000" w:themeColor="text1"/>
                <w:sz w:val="21"/>
                <w:szCs w:val="21"/>
                <w:highlight w:val="none"/>
                <w14:textFill>
                  <w14:solidFill>
                    <w14:schemeClr w14:val="tx1"/>
                  </w14:solidFill>
                </w14:textFill>
              </w:rPr>
              <w:t>天然气勘探</w:t>
            </w:r>
            <w:r>
              <w:rPr>
                <w:rFonts w:cs="Times New Roman"/>
                <w:color w:val="000000" w:themeColor="text1"/>
                <w:sz w:val="21"/>
                <w:szCs w:val="21"/>
                <w:highlight w:val="none"/>
                <w14:textFill>
                  <w14:solidFill>
                    <w14:schemeClr w14:val="tx1"/>
                  </w14:solidFill>
                </w14:textFill>
              </w:rPr>
              <w:t>，</w:t>
            </w:r>
            <w:r>
              <w:rPr>
                <w:rFonts w:hint="eastAsia" w:cs="Times New Roman"/>
                <w:color w:val="000000" w:themeColor="text1"/>
                <w:sz w:val="21"/>
                <w:szCs w:val="21"/>
                <w:highlight w:val="none"/>
                <w14:textFill>
                  <w14:solidFill>
                    <w14:schemeClr w14:val="tx1"/>
                  </w14:solidFill>
                </w14:textFill>
              </w:rPr>
              <w:t>属于重点项目和重点勘察开采矿种，</w:t>
            </w:r>
            <w:r>
              <w:rPr>
                <w:rFonts w:cs="Times New Roman"/>
                <w:color w:val="000000" w:themeColor="text1"/>
                <w:sz w:val="21"/>
                <w:szCs w:val="21"/>
                <w:highlight w:val="none"/>
                <w14:textFill>
                  <w14:solidFill>
                    <w14:schemeClr w14:val="tx1"/>
                  </w14:solidFill>
                </w14:textFill>
              </w:rPr>
              <w:t>依法办理使用林地审核审批手续</w:t>
            </w:r>
            <w:r>
              <w:rPr>
                <w:rFonts w:hint="eastAsia" w:cs="Times New Roman"/>
                <w:color w:val="000000" w:themeColor="text1"/>
                <w:sz w:val="21"/>
                <w:szCs w:val="21"/>
                <w:highlight w:val="none"/>
                <w14:textFill>
                  <w14:solidFill>
                    <w14:schemeClr w14:val="tx1"/>
                  </w14:solidFill>
                </w14:textFill>
              </w:rPr>
              <w:t>后建设</w:t>
            </w:r>
          </w:p>
        </w:tc>
        <w:tc>
          <w:tcPr>
            <w:tcW w:w="647"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cantSplit/>
          <w:jc w:val="center"/>
        </w:trPr>
        <w:tc>
          <w:tcPr>
            <w:tcW w:w="604" w:type="dxa"/>
            <w:vMerge w:val="restart"/>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4</w:t>
            </w:r>
          </w:p>
        </w:tc>
        <w:tc>
          <w:tcPr>
            <w:tcW w:w="1306" w:type="dxa"/>
            <w:vMerge w:val="restart"/>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《建设项目使用林地审核审批管理办法（2016年修改）》</w:t>
            </w:r>
          </w:p>
        </w:tc>
        <w:tc>
          <w:tcPr>
            <w:tcW w:w="3907" w:type="dxa"/>
            <w:vAlign w:val="center"/>
          </w:tcPr>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本办法所称建设项目使用林地，是指在林地上建造永久性、临时性的建筑物、构筑物，以及其他改变林地用途的建设行为。包括：</w:t>
            </w:r>
          </w:p>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（一）进行勘查、开采矿藏和各项建设工程占用林地。</w:t>
            </w:r>
          </w:p>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（二）建设项目临时占用林地。</w:t>
            </w:r>
          </w:p>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（三）森林经营单位在所经营的林地范围内修筑直接为林业生产服务的工程设施占用林地。</w:t>
            </w:r>
          </w:p>
        </w:tc>
        <w:tc>
          <w:tcPr>
            <w:tcW w:w="1756"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本项目为</w:t>
            </w:r>
            <w:r>
              <w:rPr>
                <w:rFonts w:hint="eastAsia" w:cs="Times New Roman"/>
                <w:color w:val="000000" w:themeColor="text1"/>
                <w:sz w:val="21"/>
                <w:szCs w:val="21"/>
                <w:highlight w:val="none"/>
                <w14:textFill>
                  <w14:solidFill>
                    <w14:schemeClr w14:val="tx1"/>
                  </w14:solidFill>
                </w14:textFill>
              </w:rPr>
              <w:t>天然气试采，</w:t>
            </w:r>
            <w:r>
              <w:rPr>
                <w:rFonts w:cs="Times New Roman"/>
                <w:color w:val="000000" w:themeColor="text1"/>
                <w:sz w:val="21"/>
                <w:szCs w:val="21"/>
                <w:highlight w:val="none"/>
                <w14:textFill>
                  <w14:solidFill>
                    <w14:schemeClr w14:val="tx1"/>
                  </w14:solidFill>
                </w14:textFill>
              </w:rPr>
              <w:t>确需占用林地</w:t>
            </w:r>
          </w:p>
        </w:tc>
        <w:tc>
          <w:tcPr>
            <w:tcW w:w="647"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cantSplit/>
          <w:jc w:val="center"/>
        </w:trPr>
        <w:tc>
          <w:tcPr>
            <w:tcW w:w="604" w:type="dxa"/>
            <w:vMerge w:val="continue"/>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p>
        </w:tc>
        <w:tc>
          <w:tcPr>
            <w:tcW w:w="1306" w:type="dxa"/>
            <w:vMerge w:val="continue"/>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p>
        </w:tc>
        <w:tc>
          <w:tcPr>
            <w:tcW w:w="3907" w:type="dxa"/>
            <w:vAlign w:val="center"/>
          </w:tcPr>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占用和临时占用林地的建设项目应当遵守林地分级管理的</w:t>
            </w:r>
          </w:p>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规定：</w:t>
            </w:r>
          </w:p>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（一）各类建设项目不得使用Ⅰ级保护林地。</w:t>
            </w:r>
          </w:p>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五）战略性新兴产业项目、勘查项目、大中型矿山、符合相关旅游规划的生态旅游开发项目，可以使用Ⅱ级及其以下保护林地。其他工矿、仓储建设项目和符合规划的经营性项目，可以使用Ⅲ级及其以下保护林地。</w:t>
            </w:r>
          </w:p>
        </w:tc>
        <w:tc>
          <w:tcPr>
            <w:tcW w:w="1756"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本项目为</w:t>
            </w:r>
            <w:r>
              <w:rPr>
                <w:rFonts w:hint="eastAsia" w:cs="Times New Roman"/>
                <w:color w:val="000000" w:themeColor="text1"/>
                <w:sz w:val="21"/>
                <w:szCs w:val="21"/>
                <w:highlight w:val="none"/>
                <w14:textFill>
                  <w14:solidFill>
                    <w14:schemeClr w14:val="tx1"/>
                  </w14:solidFill>
                </w14:textFill>
              </w:rPr>
              <w:t>天然气试采</w:t>
            </w:r>
            <w:r>
              <w:rPr>
                <w:rFonts w:cs="Times New Roman"/>
                <w:color w:val="000000" w:themeColor="text1"/>
                <w:sz w:val="21"/>
                <w:szCs w:val="21"/>
                <w:highlight w:val="none"/>
                <w14:textFill>
                  <w14:solidFill>
                    <w14:schemeClr w14:val="tx1"/>
                  </w14:solidFill>
                </w14:textFill>
              </w:rPr>
              <w:t>项目，确需占用林地，林地不涉及Ⅰ级保护林地</w:t>
            </w:r>
          </w:p>
        </w:tc>
        <w:tc>
          <w:tcPr>
            <w:tcW w:w="647"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bl>
    <w:p>
      <w:pPr>
        <w:spacing w:before="120" w:beforeLines="50"/>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项目占用公益林、天然林主要影响因素如下：</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（1）</w:t>
      </w:r>
      <w:r>
        <w:rPr>
          <w:rFonts w:hint="eastAsia" w:cs="Times New Roman"/>
          <w:color w:val="000000" w:themeColor="text1"/>
          <w:highlight w:val="none"/>
          <w14:textFill>
            <w14:solidFill>
              <w14:schemeClr w14:val="tx1"/>
            </w14:solidFill>
          </w14:textFill>
        </w:rPr>
        <w:t>试采</w:t>
      </w:r>
      <w:r>
        <w:rPr>
          <w:rFonts w:cs="Times New Roman"/>
          <w:color w:val="000000" w:themeColor="text1"/>
          <w:highlight w:val="none"/>
          <w14:textFill>
            <w14:solidFill>
              <w14:schemeClr w14:val="tx1"/>
            </w14:solidFill>
          </w14:textFill>
        </w:rPr>
        <w:t>过程中，如发生地下水漏失情况，可能导致周边分布的公益林、天然林植被吸水量降低，</w:t>
      </w:r>
      <w:r>
        <w:rPr>
          <w:rFonts w:hint="eastAsia" w:cs="Times New Roman"/>
          <w:color w:val="000000" w:themeColor="text1"/>
          <w:highlight w:val="none"/>
          <w14:textFill>
            <w14:solidFill>
              <w14:schemeClr w14:val="tx1"/>
            </w14:solidFill>
          </w14:textFill>
        </w:rPr>
        <w:t>但地</w:t>
      </w:r>
      <w:r>
        <w:rPr>
          <w:rFonts w:cs="Times New Roman"/>
          <w:color w:val="000000" w:themeColor="text1"/>
          <w:highlight w:val="none"/>
          <w14:textFill>
            <w14:solidFill>
              <w14:schemeClr w14:val="tx1"/>
            </w14:solidFill>
          </w14:textFill>
        </w:rPr>
        <w:t>下水漏失属于风险影响，一般情况不会发生。</w:t>
      </w:r>
    </w:p>
    <w:p>
      <w:pPr>
        <w:ind w:firstLine="480"/>
        <w:rPr>
          <w:rFonts w:cs="Times New Roman"/>
          <w:bCs/>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（2）废水排放、放喷废气沉降对土壤、大气的影响，从周边分布的公益林、天然林和项目的高程对比分析，天然林、公益林海拔较高，处于坡上高处，即使发生废水</w:t>
      </w:r>
      <w:r>
        <w:rPr>
          <w:rFonts w:cs="Times New Roman"/>
          <w:bCs/>
          <w:color w:val="000000" w:themeColor="text1"/>
          <w:highlight w:val="none"/>
          <w14:textFill>
            <w14:solidFill>
              <w14:schemeClr w14:val="tx1"/>
            </w14:solidFill>
          </w14:textFill>
        </w:rPr>
        <w:t>发生溢出漫流或者放喷废气沉降情况，也不会直接影响天然林、公益林。</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（3）</w:t>
      </w:r>
      <w:r>
        <w:rPr>
          <w:rFonts w:cs="Times New Roman"/>
          <w:color w:val="000000" w:themeColor="text1"/>
          <w:highlight w:val="none"/>
          <w14:textFill>
            <w14:solidFill>
              <w14:schemeClr w14:val="tx1"/>
            </w14:solidFill>
          </w14:textFill>
        </w:rPr>
        <w:t>外输管线</w:t>
      </w:r>
      <w:r>
        <w:rPr>
          <w:rFonts w:hint="eastAsia" w:cs="Times New Roman"/>
          <w:color w:val="000000" w:themeColor="text1"/>
          <w:highlight w:val="none"/>
          <w14:textFill>
            <w14:solidFill>
              <w14:schemeClr w14:val="tx1"/>
            </w14:solidFill>
          </w14:textFill>
        </w:rPr>
        <w:t>穿越</w:t>
      </w:r>
      <w:r>
        <w:rPr>
          <w:rFonts w:cs="Times New Roman"/>
          <w:bCs/>
          <w:color w:val="000000" w:themeColor="text1"/>
          <w:szCs w:val="24"/>
          <w:highlight w:val="none"/>
          <w14:textFill>
            <w14:solidFill>
              <w14:schemeClr w14:val="tx1"/>
            </w14:solidFill>
          </w14:textFill>
        </w:rPr>
        <w:t>公益林</w:t>
      </w:r>
      <w:r>
        <w:rPr>
          <w:rFonts w:hint="eastAsia" w:cs="Times New Roman"/>
          <w:bCs/>
          <w:color w:val="000000" w:themeColor="text1"/>
          <w:szCs w:val="24"/>
          <w:highlight w:val="none"/>
          <w14:textFill>
            <w14:solidFill>
              <w14:schemeClr w14:val="tx1"/>
            </w14:solidFill>
          </w14:textFill>
        </w:rPr>
        <w:t>约350m，穿越</w:t>
      </w:r>
      <w:r>
        <w:rPr>
          <w:rFonts w:cs="Times New Roman"/>
          <w:bCs/>
          <w:color w:val="000000" w:themeColor="text1"/>
          <w:szCs w:val="24"/>
          <w:highlight w:val="none"/>
          <w14:textFill>
            <w14:solidFill>
              <w14:schemeClr w14:val="tx1"/>
            </w14:solidFill>
          </w14:textFill>
        </w:rPr>
        <w:t>商品林约</w:t>
      </w:r>
      <w:r>
        <w:rPr>
          <w:rFonts w:hint="eastAsia" w:cs="Times New Roman"/>
          <w:bCs/>
          <w:color w:val="000000" w:themeColor="text1"/>
          <w:szCs w:val="24"/>
          <w:highlight w:val="none"/>
          <w14:textFill>
            <w14:solidFill>
              <w14:schemeClr w14:val="tx1"/>
            </w14:solidFill>
          </w14:textFill>
        </w:rPr>
        <w:t>180</w:t>
      </w:r>
      <w:r>
        <w:rPr>
          <w:rFonts w:cs="Times New Roman"/>
          <w:bCs/>
          <w:color w:val="000000" w:themeColor="text1"/>
          <w:szCs w:val="24"/>
          <w:highlight w:val="none"/>
          <w14:textFill>
            <w14:solidFill>
              <w14:schemeClr w14:val="tx1"/>
            </w14:solidFill>
          </w14:textFill>
        </w:rPr>
        <w:t>m</w:t>
      </w:r>
      <w:r>
        <w:rPr>
          <w:rFonts w:cs="Times New Roman"/>
          <w:bCs/>
          <w:color w:val="000000" w:themeColor="text1"/>
          <w:highlight w:val="none"/>
          <w14:textFill>
            <w14:solidFill>
              <w14:schemeClr w14:val="tx1"/>
            </w14:solidFill>
          </w14:textFill>
        </w:rPr>
        <w:t>，项目</w:t>
      </w:r>
      <w:r>
        <w:rPr>
          <w:rFonts w:cs="Times New Roman"/>
          <w:bCs/>
          <w:color w:val="000000" w:themeColor="text1"/>
          <w:szCs w:val="24"/>
          <w:highlight w:val="none"/>
          <w14:textFill>
            <w14:solidFill>
              <w14:schemeClr w14:val="tx1"/>
            </w14:solidFill>
          </w14:textFill>
        </w:rPr>
        <w:t>试采站</w:t>
      </w:r>
      <w:r>
        <w:rPr>
          <w:rFonts w:cs="Times New Roman"/>
          <w:bCs/>
          <w:color w:val="000000" w:themeColor="text1"/>
          <w:highlight w:val="none"/>
          <w14:textFill>
            <w14:solidFill>
              <w14:schemeClr w14:val="tx1"/>
            </w14:solidFill>
          </w14:textFill>
        </w:rPr>
        <w:t>施工不直接占用公益林、天然林，但也可能产生间接影响，如粉尘、光照条件变化对其产生的影响，特别是林缘区域植被光合作用的影响。</w:t>
      </w:r>
    </w:p>
    <w:p>
      <w:pPr>
        <w:ind w:firstLine="480"/>
        <w:rPr>
          <w:rFonts w:cs="Times New Roman"/>
          <w:bCs/>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但结合现场调查，本项目拟占用的公益林</w:t>
      </w:r>
      <w:r>
        <w:rPr>
          <w:rFonts w:hint="eastAsia" w:cs="Times New Roman"/>
          <w:color w:val="000000" w:themeColor="text1"/>
          <w:highlight w:val="none"/>
          <w14:textFill>
            <w14:solidFill>
              <w14:schemeClr w14:val="tx1"/>
            </w14:solidFill>
          </w14:textFill>
        </w:rPr>
        <w:t>、天然林</w:t>
      </w:r>
      <w:r>
        <w:rPr>
          <w:rFonts w:cs="Times New Roman"/>
          <w:color w:val="000000" w:themeColor="text1"/>
          <w:highlight w:val="none"/>
          <w14:textFill>
            <w14:solidFill>
              <w14:schemeClr w14:val="tx1"/>
            </w14:solidFill>
          </w14:textFill>
        </w:rPr>
        <w:t>和周边植被无明显差异，主要植被为常见的马尾松、麻栎、青冈等常见树种，是评价区广泛分布的种类，植物区系组成成分不会发生变化，项目施工占用损失的只是局部群落和部分生产力及生物量，因此对公益林的结构、稳定性无明显影响。因此，项目施工前，需要</w:t>
      </w:r>
      <w:r>
        <w:rPr>
          <w:rFonts w:cs="Times New Roman"/>
          <w:bCs/>
          <w:color w:val="000000" w:themeColor="text1"/>
          <w:highlight w:val="none"/>
          <w14:textFill>
            <w14:solidFill>
              <w14:schemeClr w14:val="tx1"/>
            </w14:solidFill>
          </w14:textFill>
        </w:rPr>
        <w:t>①优化施工方案，严格控制施工作业面，必须避免超挖破坏周边天然林植被。②严格按照施工方案要求将弃土、弃渣等运往指定场地，禁止在非施工区任何位置随意堆放。③施工过程中，施工单位应加强防火知识宣传教育，增强员工和附近居民的防火意识，杜绝火灾的发生。④应按照相关林地审批手续办理使用林地审批手续并获得相应批文后方可实质性施工，严禁违法使用公益林</w:t>
      </w:r>
      <w:r>
        <w:rPr>
          <w:rFonts w:hint="eastAsia" w:cs="Times New Roman"/>
          <w:bCs/>
          <w:color w:val="000000" w:themeColor="text1"/>
          <w:highlight w:val="none"/>
          <w14:textFill>
            <w14:solidFill>
              <w14:schemeClr w14:val="tx1"/>
            </w14:solidFill>
          </w14:textFill>
        </w:rPr>
        <w:t>和</w:t>
      </w:r>
      <w:r>
        <w:rPr>
          <w:rFonts w:cs="Times New Roman"/>
          <w:bCs/>
          <w:color w:val="000000" w:themeColor="text1"/>
          <w:highlight w:val="none"/>
          <w14:textFill>
            <w14:solidFill>
              <w14:schemeClr w14:val="tx1"/>
            </w14:solidFill>
          </w14:textFill>
        </w:rPr>
        <w:t>天然林地。</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项目占地不涉及生态红线，项目施工等对生态红线的面积、功能和性质无直接影响</w:t>
      </w:r>
      <w:r>
        <w:rPr>
          <w:rFonts w:cs="Times New Roman"/>
          <w:color w:val="000000" w:themeColor="text1"/>
          <w:szCs w:val="20"/>
          <w:highlight w:val="none"/>
          <w14:textFill>
            <w14:solidFill>
              <w14:schemeClr w14:val="tx1"/>
            </w14:solidFill>
          </w14:textFill>
        </w:rPr>
        <w:t>。</w:t>
      </w:r>
    </w:p>
    <w:p>
      <w:pPr>
        <w:pStyle w:val="6"/>
        <w:spacing w:before="12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项目实施可能导致外来物种造成生态危害的风险分析</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工程施工和运行期间，导致外来物种入侵的途径只有在植被恢复阶段，如果盲目引进不经过筛选的物种，可能导致外来物种入侵情况的发生。这就要求我们在项目施工和运行期间，加大宣传力度，对外来物种的危害以及传播途径向施工人员进行宣传；对现有的外来种，利用工程施工的机会，对有种子的植物要现场烧毁，以防种子扩散。在选择绿化树种和水土保持植物中坚决杜绝使用外来植物，尽可能使用乡土树种。</w:t>
      </w:r>
    </w:p>
    <w:p>
      <w:pPr>
        <w:pStyle w:val="6"/>
        <w:spacing w:before="120"/>
        <w:rPr>
          <w:color w:val="000000" w:themeColor="text1"/>
          <w:highlight w:val="none"/>
          <w14:textFill>
            <w14:solidFill>
              <w14:schemeClr w14:val="tx1"/>
            </w14:solidFill>
          </w14:textFill>
        </w:rPr>
      </w:pPr>
      <w:bookmarkStart w:id="256" w:name="_Toc519087957"/>
      <w:bookmarkStart w:id="257" w:name="_Toc44429191"/>
      <w:r>
        <w:rPr>
          <w:rFonts w:hint="eastAsia"/>
          <w:color w:val="000000" w:themeColor="text1"/>
          <w:highlight w:val="none"/>
          <w14:textFill>
            <w14:solidFill>
              <w14:schemeClr w14:val="tx1"/>
            </w14:solidFill>
          </w14:textFill>
        </w:rPr>
        <w:t>对水生生物的影响分析</w:t>
      </w:r>
      <w:bookmarkEnd w:id="256"/>
      <w:bookmarkEnd w:id="257"/>
    </w:p>
    <w:p>
      <w:pPr>
        <w:ind w:firstLine="480"/>
        <w:rPr>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项目建设对区域水生生物的影响集中表现在施工期，在运营期基本不对水生生物造成影响，施工期对水生生物的主要影响为集输管线涉水施工影响。</w:t>
      </w:r>
      <w:r>
        <w:rPr>
          <w:rFonts w:cs="Times New Roman"/>
          <w:bCs/>
          <w:color w:val="000000" w:themeColor="text1"/>
          <w:szCs w:val="24"/>
          <w:highlight w:val="none"/>
          <w14:textFill>
            <w14:solidFill>
              <w14:schemeClr w14:val="tx1"/>
            </w14:solidFill>
          </w14:textFill>
        </w:rPr>
        <w:t>本项目集输管道</w:t>
      </w:r>
      <w:r>
        <w:rPr>
          <w:rFonts w:hint="eastAsia" w:cs="Times New Roman"/>
          <w:bCs/>
          <w:color w:val="000000" w:themeColor="text1"/>
          <w:szCs w:val="24"/>
          <w:highlight w:val="none"/>
          <w14:textFill>
            <w14:solidFill>
              <w14:schemeClr w14:val="tx1"/>
            </w14:solidFill>
          </w14:textFill>
        </w:rPr>
        <w:t>未穿越州河，</w:t>
      </w:r>
      <w:r>
        <w:rPr>
          <w:rFonts w:cs="Times New Roman"/>
          <w:bCs/>
          <w:color w:val="000000" w:themeColor="text1"/>
          <w:szCs w:val="24"/>
          <w:highlight w:val="none"/>
          <w14:textFill>
            <w14:solidFill>
              <w14:schemeClr w14:val="tx1"/>
            </w14:solidFill>
          </w14:textFill>
        </w:rPr>
        <w:t>穿越小型沟渠13次，穿越沟渠宽度在2m</w:t>
      </w:r>
      <w:r>
        <w:rPr>
          <w:rFonts w:hint="eastAsia" w:cs="Times New Roman"/>
          <w:bCs/>
          <w:color w:val="000000" w:themeColor="text1"/>
          <w:szCs w:val="24"/>
          <w:highlight w:val="none"/>
          <w:lang w:eastAsia="zh-CN"/>
          <w14:textFill>
            <w14:solidFill>
              <w14:schemeClr w14:val="tx1"/>
            </w14:solidFill>
          </w14:textFill>
        </w:rPr>
        <w:t>～</w:t>
      </w:r>
      <w:r>
        <w:rPr>
          <w:rFonts w:cs="Times New Roman"/>
          <w:bCs/>
          <w:color w:val="000000" w:themeColor="text1"/>
          <w:szCs w:val="24"/>
          <w:highlight w:val="none"/>
          <w14:textFill>
            <w14:solidFill>
              <w14:schemeClr w14:val="tx1"/>
            </w14:solidFill>
          </w14:textFill>
        </w:rPr>
        <w:t>10m不等，穿越长度共计约90m</w:t>
      </w:r>
      <w:r>
        <w:rPr>
          <w:rFonts w:hint="eastAsia" w:cs="Times New Roman"/>
          <w:bCs/>
          <w:color w:val="000000" w:themeColor="text1"/>
          <w:szCs w:val="24"/>
          <w:highlight w:val="none"/>
          <w14:textFill>
            <w14:solidFill>
              <w14:schemeClr w14:val="tx1"/>
            </w14:solidFill>
          </w14:textFill>
        </w:rPr>
        <w:t>，因此对评价区</w:t>
      </w:r>
      <w:r>
        <w:rPr>
          <w:rFonts w:cs="Times New Roman"/>
          <w:bCs/>
          <w:color w:val="000000" w:themeColor="text1"/>
          <w:szCs w:val="24"/>
          <w:highlight w:val="none"/>
          <w14:textFill>
            <w14:solidFill>
              <w14:schemeClr w14:val="tx1"/>
            </w14:solidFill>
          </w14:textFill>
        </w:rPr>
        <w:t>小型沟渠</w:t>
      </w:r>
      <w:r>
        <w:rPr>
          <w:rFonts w:hint="eastAsia" w:cs="Times New Roman"/>
          <w:bCs/>
          <w:color w:val="000000" w:themeColor="text1"/>
          <w:szCs w:val="24"/>
          <w:highlight w:val="none"/>
          <w14:textFill>
            <w14:solidFill>
              <w14:schemeClr w14:val="tx1"/>
            </w14:solidFill>
          </w14:textFill>
        </w:rPr>
        <w:t>水生生态影响分析如下</w:t>
      </w:r>
      <w:r>
        <w:rPr>
          <w:rFonts w:hint="eastAsia"/>
          <w:color w:val="000000" w:themeColor="text1"/>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对鱼类的影响</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（1）水质</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本项目施工时会搅动水体和河床底泥，在局部区域会破坏鱼类的栖息地，对鱼类有驱赶作用，也会使鱼类远离施工现场。具体影响为：</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项目区渔业主要产出为鲤、青鱼、草鱼、鲢等有一定经济价值的鱼类。它们产卵一般为每年</w:t>
      </w:r>
      <w:r>
        <w:rPr>
          <w:rFonts w:hint="eastAsia" w:cs="Times New Roman"/>
          <w:bCs/>
          <w:color w:val="000000" w:themeColor="text1"/>
          <w:highlight w:val="none"/>
          <w14:textFill>
            <w14:solidFill>
              <w14:schemeClr w14:val="tx1"/>
            </w14:solidFill>
          </w14:textFill>
        </w:rPr>
        <w:t>3</w:t>
      </w:r>
      <w:r>
        <w:rPr>
          <w:rFonts w:cs="Times New Roman"/>
          <w:bCs/>
          <w:color w:val="000000" w:themeColor="text1"/>
          <w:highlight w:val="none"/>
          <w14:textFill>
            <w14:solidFill>
              <w14:schemeClr w14:val="tx1"/>
            </w14:solidFill>
          </w14:textFill>
        </w:rPr>
        <w:t>～</w:t>
      </w:r>
      <w:r>
        <w:rPr>
          <w:rFonts w:hint="eastAsia" w:cs="Times New Roman"/>
          <w:bCs/>
          <w:color w:val="000000" w:themeColor="text1"/>
          <w:highlight w:val="none"/>
          <w14:textFill>
            <w14:solidFill>
              <w14:schemeClr w14:val="tx1"/>
            </w14:solidFill>
          </w14:textFill>
        </w:rPr>
        <w:t>7</w:t>
      </w:r>
      <w:r>
        <w:rPr>
          <w:rFonts w:cs="Times New Roman"/>
          <w:bCs/>
          <w:color w:val="000000" w:themeColor="text1"/>
          <w:highlight w:val="none"/>
          <w14:textFill>
            <w14:solidFill>
              <w14:schemeClr w14:val="tx1"/>
            </w14:solidFill>
          </w14:textFill>
        </w:rPr>
        <w:t>月的丰水期，其产卵场通常在河道宽窄相间处，</w:t>
      </w:r>
      <w:r>
        <w:rPr>
          <w:rFonts w:hint="eastAsia" w:cs="Times New Roman"/>
          <w:bCs/>
          <w:color w:val="000000" w:themeColor="text1"/>
          <w:highlight w:val="none"/>
          <w14:textFill>
            <w14:solidFill>
              <w14:schemeClr w14:val="tx1"/>
            </w14:solidFill>
          </w14:textFill>
        </w:rPr>
        <w:t>本项目</w:t>
      </w:r>
      <w:r>
        <w:rPr>
          <w:rFonts w:hint="eastAsia"/>
          <w:color w:val="000000" w:themeColor="text1"/>
          <w:highlight w:val="none"/>
          <w:lang w:eastAsia="zh-CN"/>
          <w14:textFill>
            <w14:solidFill>
              <w14:schemeClr w14:val="tx1"/>
            </w14:solidFill>
          </w14:textFill>
        </w:rPr>
        <w:t>可以先施工陆地段，</w:t>
      </w:r>
      <w:r>
        <w:rPr>
          <w:rFonts w:hint="eastAsia" w:cs="Times New Roman"/>
          <w:bCs/>
          <w:color w:val="000000" w:themeColor="text1"/>
          <w:highlight w:val="none"/>
          <w14:textFill>
            <w14:solidFill>
              <w14:schemeClr w14:val="tx1"/>
            </w14:solidFill>
          </w14:textFill>
        </w:rPr>
        <w:t>涉水</w:t>
      </w:r>
      <w:r>
        <w:rPr>
          <w:rFonts w:cs="Times New Roman"/>
          <w:bCs/>
          <w:color w:val="000000" w:themeColor="text1"/>
          <w:highlight w:val="none"/>
          <w14:textFill>
            <w14:solidFill>
              <w14:schemeClr w14:val="tx1"/>
            </w14:solidFill>
          </w14:textFill>
        </w:rPr>
        <w:t>施工安排在</w:t>
      </w:r>
      <w:r>
        <w:rPr>
          <w:rFonts w:hint="eastAsia" w:cs="Times New Roman"/>
          <w:bCs/>
          <w:color w:val="000000" w:themeColor="text1"/>
          <w:highlight w:val="none"/>
          <w:lang w:val="en-US" w:eastAsia="zh-CN"/>
          <w14:textFill>
            <w14:solidFill>
              <w14:schemeClr w14:val="tx1"/>
            </w14:solidFill>
          </w14:textFill>
        </w:rPr>
        <w:t>施工后期的</w:t>
      </w:r>
      <w:r>
        <w:rPr>
          <w:rFonts w:cs="Times New Roman"/>
          <w:bCs/>
          <w:color w:val="000000" w:themeColor="text1"/>
          <w:highlight w:val="none"/>
          <w14:textFill>
            <w14:solidFill>
              <w14:schemeClr w14:val="tx1"/>
            </w14:solidFill>
          </w14:textFill>
        </w:rPr>
        <w:t>枯水季节</w:t>
      </w:r>
      <w:r>
        <w:rPr>
          <w:rFonts w:hint="eastAsia" w:cs="Times New Roman"/>
          <w:bCs/>
          <w:color w:val="000000" w:themeColor="text1"/>
          <w:highlight w:val="none"/>
          <w14:textFill>
            <w14:solidFill>
              <w14:schemeClr w14:val="tx1"/>
            </w14:solidFill>
          </w14:textFill>
        </w:rPr>
        <w:t>，不在2</w:t>
      </w:r>
      <w:r>
        <w:rPr>
          <w:rFonts w:cs="Times New Roman"/>
          <w:bCs/>
          <w:color w:val="000000" w:themeColor="text1"/>
          <w:highlight w:val="none"/>
          <w14:textFill>
            <w14:solidFill>
              <w14:schemeClr w14:val="tx1"/>
            </w14:solidFill>
          </w14:textFill>
        </w:rPr>
        <w:t>～</w:t>
      </w:r>
      <w:r>
        <w:rPr>
          <w:rFonts w:hint="eastAsia" w:cs="Times New Roman"/>
          <w:bCs/>
          <w:color w:val="000000" w:themeColor="text1"/>
          <w:highlight w:val="none"/>
          <w14:textFill>
            <w14:solidFill>
              <w14:schemeClr w14:val="tx1"/>
            </w14:solidFill>
          </w14:textFill>
        </w:rPr>
        <w:t>7</w:t>
      </w:r>
      <w:r>
        <w:rPr>
          <w:rFonts w:cs="Times New Roman"/>
          <w:bCs/>
          <w:color w:val="000000" w:themeColor="text1"/>
          <w:highlight w:val="none"/>
          <w14:textFill>
            <w14:solidFill>
              <w14:schemeClr w14:val="tx1"/>
            </w14:solidFill>
          </w14:textFill>
        </w:rPr>
        <w:t>月</w:t>
      </w:r>
      <w:r>
        <w:rPr>
          <w:rFonts w:hint="eastAsia" w:cs="Times New Roman"/>
          <w:bCs/>
          <w:color w:val="000000" w:themeColor="text1"/>
          <w:highlight w:val="none"/>
          <w14:textFill>
            <w14:solidFill>
              <w14:schemeClr w14:val="tx1"/>
            </w14:solidFill>
          </w14:textFill>
        </w:rPr>
        <w:t>进行涉水施工</w:t>
      </w:r>
      <w:r>
        <w:rPr>
          <w:rFonts w:cs="Times New Roman"/>
          <w:bCs/>
          <w:color w:val="000000" w:themeColor="text1"/>
          <w:highlight w:val="none"/>
          <w14:textFill>
            <w14:solidFill>
              <w14:schemeClr w14:val="tx1"/>
            </w14:solidFill>
          </w14:textFill>
        </w:rPr>
        <w:t>，将不对鱼的产卵构成直接影响。</w:t>
      </w:r>
    </w:p>
    <w:p>
      <w:pPr>
        <w:ind w:firstLine="480"/>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因跨越河流次数较多，但是涉河段鱼类资源较少，无珍稀保护物种，也无鱼类“三场”分布，通过采取围堰施工，并加强施工管理，涉水施工对鱼类的影响是轻微的。通过加强施工管理，杜绝施工生产生活废水排放入河的情况下，项目施工对沿线鱼类资源基本无影响。</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随着水质的改变，施工区浮游生物、底栖动物等饵料生物量的减少，改变了原有鱼类的生存、生长和繁衍条件，鱼类将择水而栖迁到其它地方，施工区鱼类密度会明显降低。</w:t>
      </w:r>
    </w:p>
    <w:p>
      <w:pPr>
        <w:ind w:firstLine="480"/>
        <w:rPr>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施工人员的人为破坏如捕鱼也会对鱼类资源造成不利影响。由于鱼类择水而栖迁到其它地方，而工程对鱼类的影响仅局限于施工区域，故不影响鱼类物种资源的保护。工程完工后，原有的鱼类资源及其生息环境不会发生明显变化，流域内鱼类种类、数量不会发生明显变化</w:t>
      </w:r>
      <w:r>
        <w:rPr>
          <w:color w:val="000000" w:themeColor="text1"/>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（2）噪声和振动</w:t>
      </w:r>
    </w:p>
    <w:p>
      <w:pPr>
        <w:ind w:firstLine="480"/>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 xml:space="preserve">施工作业时的施工机械噪音将使原来栖息于施工水域的鱼类逃离。 </w:t>
      </w:r>
    </w:p>
    <w:p>
      <w:pPr>
        <w:ind w:firstLine="480"/>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噪声和振动在水下均以波的形式传播，可引起鱼类侧线及内耳感觉细胞反应，从而使鱼类感知它们。大多类鱼类多能听到的声音范围从50Hz～1000Hz，少数鱼类能听到大于3kHz 的声音，仅有极少数鱼类能够听到大于100kHz 的声音。鱼类长期</w:t>
      </w:r>
      <w:r>
        <w:rPr>
          <w:rFonts w:hint="eastAsia" w:cs="Times New Roman"/>
          <w:bCs/>
          <w:color w:val="000000" w:themeColor="text1"/>
          <w:highlight w:val="none"/>
          <w:lang w:eastAsia="zh-CN"/>
          <w14:textFill>
            <w14:solidFill>
              <w14:schemeClr w14:val="tx1"/>
            </w14:solidFill>
          </w14:textFill>
        </w:rPr>
        <w:t>暴露</w:t>
      </w:r>
      <w:r>
        <w:rPr>
          <w:rFonts w:hint="eastAsia" w:cs="Times New Roman"/>
          <w:bCs/>
          <w:color w:val="000000" w:themeColor="text1"/>
          <w:highlight w:val="none"/>
          <w14:textFill>
            <w14:solidFill>
              <w14:schemeClr w14:val="tx1"/>
            </w14:solidFill>
          </w14:textFill>
        </w:rPr>
        <w:t>在低强度噪声或者短期暴露在高强度噪声下都可能引起暂时性听觉阈值位移、听力丧失，甚至导致鱼类的听力组织损伤。噪声对鱼类的可能影响还包括瞬时惊吓反应、趋避反应（逃离噪声源）以及由听力受影响而引起的通讯行为、洄游行为的改变，影响摄食和繁殖。随着距离的增加，影响越来越小，当到达一定距离时（该实验中的距离是 45m），将</w:t>
      </w:r>
      <w:r>
        <w:rPr>
          <w:rFonts w:hint="eastAsia" w:cs="Times New Roman"/>
          <w:bCs/>
          <w:color w:val="000000" w:themeColor="text1"/>
          <w:highlight w:val="none"/>
          <w:lang w:eastAsia="zh-CN"/>
          <w14:textFill>
            <w14:solidFill>
              <w14:schemeClr w14:val="tx1"/>
            </w14:solidFill>
          </w14:textFill>
        </w:rPr>
        <w:t>不再</w:t>
      </w:r>
      <w:r>
        <w:rPr>
          <w:rFonts w:hint="eastAsia" w:cs="Times New Roman"/>
          <w:bCs/>
          <w:color w:val="000000" w:themeColor="text1"/>
          <w:highlight w:val="none"/>
          <w14:textFill>
            <w14:solidFill>
              <w14:schemeClr w14:val="tx1"/>
            </w14:solidFill>
          </w14:textFill>
        </w:rPr>
        <w:t xml:space="preserve">受影响。噪声会导致鱼类应激水平增高，长期的噪声暴露还可能会引起鱼类的抗病能力、繁殖能力降低，最终影响到种群的生存。 </w:t>
      </w:r>
    </w:p>
    <w:p>
      <w:pPr>
        <w:ind w:firstLine="480"/>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 xml:space="preserve">据报道。当鱼在水中正常生活时所到外界的声响有向水面联跃的现象。跳跃的程度随声频的变化而增减。当水中放声的频率在200Hz 时，鲇的跳跃反应最为强烈。升到600Hz 时，影响就很小，甚至没有反应。在跳跃反应中，测得声频为200Hz 时声压为最低值72dB。当频率按近200Hz 时，对鱼体的刺激最强烈，促使鱼类呼吸频率剧增，所以鱼惊慌跳跃（洪天来，1983）。鱼类对人工造成水中音频变化的反应也很敏感。日本学者发现，泥沙泵的噪声级为500Hz 左右，最高声压为88dB，沉没的输油管道噪声级为100到10千Hz，最高声压为75dB 时，鲫鳃盖开闭加剧。有研究表明，钻井噪声与振动对鲤生长有显著影响，其临界等效噪声级和振动级分别为83.9dB 和89.7dB，影响域直径为9m；不过，噪声消除后鲤生长率能迅速恢复（孙耀等，2001）。 </w:t>
      </w:r>
    </w:p>
    <w:p>
      <w:pPr>
        <w:ind w:firstLine="480"/>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中国水产科学研究院长江水产研究所研究发现，胭脂鱼的听频范围为100～5000Hz，其中对100</w:t>
      </w:r>
      <w:r>
        <w:rPr>
          <w:rFonts w:hint="eastAsia" w:cs="Times New Roman"/>
          <w:bCs/>
          <w:color w:val="000000" w:themeColor="text1"/>
          <w:highlight w:val="none"/>
          <w:lang w:eastAsia="zh-CN"/>
          <w14:textFill>
            <w14:solidFill>
              <w14:schemeClr w14:val="tx1"/>
            </w14:solidFill>
          </w14:textFill>
        </w:rPr>
        <w:t>～</w:t>
      </w:r>
      <w:r>
        <w:rPr>
          <w:rFonts w:hint="eastAsia" w:cs="Times New Roman"/>
          <w:bCs/>
          <w:color w:val="000000" w:themeColor="text1"/>
          <w:highlight w:val="none"/>
          <w14:textFill>
            <w14:solidFill>
              <w14:schemeClr w14:val="tx1"/>
            </w14:solidFill>
          </w14:textFill>
        </w:rPr>
        <w:t>2000Hz 的声音敏感度较高，最敏感的频率为800Hz，听觉</w:t>
      </w:r>
      <w:r>
        <w:rPr>
          <w:rFonts w:hint="eastAsia" w:cs="Times New Roman"/>
          <w:bCs/>
          <w:color w:val="000000" w:themeColor="text1"/>
          <w:highlight w:val="none"/>
          <w:lang w:eastAsia="zh-CN"/>
          <w14:textFill>
            <w14:solidFill>
              <w14:schemeClr w14:val="tx1"/>
            </w14:solidFill>
          </w14:textFill>
        </w:rPr>
        <w:t>阈值</w:t>
      </w:r>
      <w:r>
        <w:rPr>
          <w:rFonts w:hint="eastAsia" w:cs="Times New Roman"/>
          <w:bCs/>
          <w:color w:val="000000" w:themeColor="text1"/>
          <w:highlight w:val="none"/>
          <w14:textFill>
            <w14:solidFill>
              <w14:schemeClr w14:val="tx1"/>
            </w14:solidFill>
          </w14:textFill>
        </w:rPr>
        <w:t xml:space="preserve">约为69.8dB。经过24h 噪声（142dB）暴露后，胭脂鱼的听觉调值大大提高，所有频率相对于对照组均表现出品著性差异，噪声暴露对胭脂鱼的听觉能力造成了损伤。施工地点附近分布的大多为鲤形目和鲇形目鱼类，均具有丰伯氏器，对声音都为敏感，听频范围与听觉阈值跟胭脂鱼有一定的相似。 </w:t>
      </w:r>
    </w:p>
    <w:p>
      <w:pPr>
        <w:ind w:firstLine="480"/>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 xml:space="preserve">工程施工期噪声主要来自施工及各种施工机械作业噪声，但施工时工程直接影响水域不涉及鱼类的“三场”。综合分析施工期噪声级，以及可能传入水中的能量，结合鱼类的反应强度，施工期噪声对鱼类的影响较小。 </w:t>
      </w:r>
    </w:p>
    <w:p>
      <w:pPr>
        <w:ind w:firstLine="480"/>
        <w:rPr>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因此，工程施工对鱼类的影响较小，且将随施工的结束迅速消失，工程施工对工程河段鱼类资源影响较小</w:t>
      </w:r>
      <w:r>
        <w:rPr>
          <w:rFonts w:hint="eastAsia"/>
          <w:color w:val="000000" w:themeColor="text1"/>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对浮游生物的影响</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施工期生活污水和生活垃圾、施工机械修理及工作时污跑冒滴漏产生的含油污水等的排放必然会对水质产生一定程度的污染，造成浮游生物种类组成和优势度发生变化。</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尽管项目实际占用水域面积较少，但部分作业场所邻近水体，施工材料若堆放在这些水体附近，由于保管不善或受暴雨冲刷将会进入水体；裸露的土石，工程的弃土弃渣，在雨水冲刷下形成路面径流也会进入水体，这些施工材料将会导致水体浑浊，改变水的酸碱度，破坏浮游生物的生长环境。</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工程不可避免的会对沿线地表植被造成破坏，影响森林生态系统的稳定性和完整性，造成水土流失。遇到暴雨季节或洪水，水土流失物中营养物质氮、磷及有毒有害物质会伴随泥沙进入水体，加剧对河流水质的影响，对浮游生物造成影响。</w:t>
      </w:r>
    </w:p>
    <w:p>
      <w:pPr>
        <w:ind w:firstLine="480"/>
        <w:rPr>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由于工程区域实际占用的水域面积较少，生活污水排放点少，加之浮游生物具有普生性和水体具有自净能力，因此只要采取必要的环保措施，加强建设点和施工营地的管理，对浮游生物多样性的影响不会很大，施工结束后，随着稀释和水体的自净作用，水质逐渐改良，浮游生物可基本恢复到施工前的水平</w:t>
      </w:r>
      <w:r>
        <w:rPr>
          <w:color w:val="000000" w:themeColor="text1"/>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对底栖生物的影响</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施工期间可能对部分底栖动物造成直接伤亡，并且施工</w:t>
      </w:r>
      <w:r>
        <w:rPr>
          <w:rFonts w:hint="eastAsia" w:cs="Times New Roman"/>
          <w:bCs/>
          <w:color w:val="000000" w:themeColor="text1"/>
          <w:highlight w:val="none"/>
          <w14:textFill>
            <w14:solidFill>
              <w14:schemeClr w14:val="tx1"/>
            </w14:solidFill>
          </w14:textFill>
        </w:rPr>
        <w:t>对河流水体的扰动将</w:t>
      </w:r>
      <w:r>
        <w:rPr>
          <w:rFonts w:cs="Times New Roman"/>
          <w:bCs/>
          <w:color w:val="000000" w:themeColor="text1"/>
          <w:highlight w:val="none"/>
          <w14:textFill>
            <w14:solidFill>
              <w14:schemeClr w14:val="tx1"/>
            </w14:solidFill>
          </w14:textFill>
        </w:rPr>
        <w:t>造成局部水域水质的改变，进而改变水生动物栖息环境，也将造成局部底栖动物物种组成发生较大变化，适应栖息于较洁净水体的物种，污染必然造成此类物种的减少。但沿线水生底栖动物在附近其它地区相似的环境中亦有分布，并非是本地区的特有种，因此从物种保护的角度看，工程的建设不会导致这些物种的消亡。</w:t>
      </w:r>
    </w:p>
    <w:p>
      <w:pPr>
        <w:ind w:firstLine="480"/>
        <w:rPr>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综上所述，施工期对水生生物的影响是临时的，施工结束后，通过采取有效措施，受影响的水生生物将得到有效恢复，本项目施工对水生生物影响可以接受</w:t>
      </w:r>
      <w:r>
        <w:rPr>
          <w:rFonts w:hint="eastAsia"/>
          <w:color w:val="000000" w:themeColor="text1"/>
          <w:highlight w:val="none"/>
          <w14:textFill>
            <w14:solidFill>
              <w14:schemeClr w14:val="tx1"/>
            </w14:solidFill>
          </w14:textFill>
        </w:rPr>
        <w:t>。</w:t>
      </w:r>
    </w:p>
    <w:p>
      <w:pPr>
        <w:pStyle w:val="5"/>
        <w:spacing w:before="120"/>
        <w:ind w:firstLine="480"/>
        <w:rPr>
          <w:b/>
          <w:color w:val="000000" w:themeColor="text1"/>
          <w:highlight w:val="none"/>
          <w:lang w:eastAsia="zh-CN"/>
          <w14:textFill>
            <w14:solidFill>
              <w14:schemeClr w14:val="tx1"/>
            </w14:solidFill>
          </w14:textFill>
        </w:rPr>
      </w:pPr>
      <w:bookmarkStart w:id="258" w:name="_Toc120173151"/>
      <w:r>
        <w:rPr>
          <w:color w:val="000000" w:themeColor="text1"/>
          <w:highlight w:val="none"/>
          <w:lang w:eastAsia="zh-CN"/>
          <w14:textFill>
            <w14:solidFill>
              <w14:schemeClr w14:val="tx1"/>
            </w14:solidFill>
          </w14:textFill>
        </w:rPr>
        <w:t>施工期环境影响分析</w:t>
      </w:r>
      <w:bookmarkEnd w:id="258"/>
    </w:p>
    <w:p>
      <w:pPr>
        <w:pStyle w:val="6"/>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大气环境影响分析</w:t>
      </w:r>
    </w:p>
    <w:p>
      <w:pPr>
        <w:widowControl/>
        <w:ind w:firstLine="480"/>
        <w:jc w:val="left"/>
        <w:rPr>
          <w:rFonts w:cs="宋体"/>
          <w:color w:val="000000" w:themeColor="text1"/>
          <w:kern w:val="0"/>
          <w:szCs w:val="24"/>
          <w:highlight w:val="none"/>
          <w14:textFill>
            <w14:solidFill>
              <w14:schemeClr w14:val="tx1"/>
            </w14:solidFill>
          </w14:textFill>
        </w:rPr>
      </w:pPr>
      <w:r>
        <w:rPr>
          <w:rFonts w:hint="eastAsia" w:cs="宋体"/>
          <w:color w:val="000000" w:themeColor="text1"/>
          <w:kern w:val="0"/>
          <w:szCs w:val="24"/>
          <w:highlight w:val="none"/>
          <w14:textFill>
            <w14:solidFill>
              <w14:schemeClr w14:val="tx1"/>
            </w14:solidFill>
          </w14:textFill>
        </w:rPr>
        <w:t>试采站和管线施工废气污染源主要来自地面开挖、回填、土石堆放和运输车辆行驶产生的扬尘，及施工机械、运输车辆排放的尾气，尾气中的主要污染物为CO和NOx等。这些污染物将对环境空气造成一定程度的污染，但这种污染是短期的，工程结束后，将不复存在。</w:t>
      </w:r>
    </w:p>
    <w:p>
      <w:pPr>
        <w:widowControl/>
        <w:ind w:firstLine="482"/>
        <w:jc w:val="left"/>
        <w:rPr>
          <w:rFonts w:cs="宋体"/>
          <w:color w:val="000000" w:themeColor="text1"/>
          <w:kern w:val="0"/>
          <w:szCs w:val="24"/>
          <w:highlight w:val="none"/>
          <w14:textFill>
            <w14:solidFill>
              <w14:schemeClr w14:val="tx1"/>
            </w14:solidFill>
          </w14:textFill>
        </w:rPr>
      </w:pPr>
      <w:r>
        <w:rPr>
          <w:rFonts w:cs="宋体"/>
          <w:b/>
          <w:bCs/>
          <w:color w:val="000000" w:themeColor="text1"/>
          <w:kern w:val="0"/>
          <w:szCs w:val="24"/>
          <w:highlight w:val="none"/>
          <w14:textFill>
            <w14:solidFill>
              <w14:schemeClr w14:val="tx1"/>
            </w14:solidFill>
          </w14:textFill>
        </w:rPr>
        <w:t>（1）扬尘</w:t>
      </w:r>
    </w:p>
    <w:p>
      <w:pPr>
        <w:widowControl/>
        <w:ind w:firstLine="480"/>
        <w:jc w:val="left"/>
        <w:rPr>
          <w:rFonts w:cs="宋体"/>
          <w:color w:val="000000" w:themeColor="text1"/>
          <w:kern w:val="0"/>
          <w:szCs w:val="24"/>
          <w:highlight w:val="none"/>
          <w14:textFill>
            <w14:solidFill>
              <w14:schemeClr w14:val="tx1"/>
            </w14:solidFill>
          </w14:textFill>
        </w:rPr>
      </w:pPr>
      <w:r>
        <w:rPr>
          <w:rFonts w:cs="宋体"/>
          <w:color w:val="000000" w:themeColor="text1"/>
          <w:kern w:val="0"/>
          <w:szCs w:val="24"/>
          <w:highlight w:val="none"/>
          <w14:textFill>
            <w14:solidFill>
              <w14:schemeClr w14:val="tx1"/>
            </w14:solidFill>
          </w14:textFill>
        </w:rPr>
        <w:t>扬尘主要产生于两个部分：管沟的地面开挖、填埋、土石方堆放，以及车辆运输过程产生的扬尘。施工期间产生的扬尘污染主要取决于施工作业方式、材料的堆放以及风力等因素，其中受风力的影响因素最大，随着风速的增大，施工扬尘的污染程度和超标范围也将随之增强和扩大。</w:t>
      </w:r>
    </w:p>
    <w:p>
      <w:pPr>
        <w:widowControl/>
        <w:ind w:firstLine="480"/>
        <w:rPr>
          <w:rFonts w:cs="宋体"/>
          <w:color w:val="000000" w:themeColor="text1"/>
          <w:kern w:val="0"/>
          <w:szCs w:val="24"/>
          <w:highlight w:val="none"/>
          <w14:textFill>
            <w14:solidFill>
              <w14:schemeClr w14:val="tx1"/>
            </w14:solidFill>
          </w14:textFill>
        </w:rPr>
      </w:pPr>
      <w:r>
        <w:rPr>
          <w:rFonts w:cs="宋体"/>
          <w:color w:val="000000" w:themeColor="text1"/>
          <w:kern w:val="0"/>
          <w:szCs w:val="24"/>
          <w:highlight w:val="none"/>
          <w14:textFill>
            <w14:solidFill>
              <w14:schemeClr w14:val="tx1"/>
            </w14:solidFill>
          </w14:textFill>
        </w:rPr>
        <w:t>管道的地面开挖、填埋、土石方堆放过程为分段进行，施工时间较短，作业带内产生的扬尘为无组织面源排放，根据类似工程的实际现场调查：在大风情况下施工现场下风向1m处扬尘浓度可达3mg/m</w:t>
      </w:r>
      <w:r>
        <w:rPr>
          <w:rFonts w:cs="宋体"/>
          <w:color w:val="000000" w:themeColor="text1"/>
          <w:kern w:val="0"/>
          <w:szCs w:val="24"/>
          <w:highlight w:val="none"/>
          <w:vertAlign w:val="superscript"/>
          <w14:textFill>
            <w14:solidFill>
              <w14:schemeClr w14:val="tx1"/>
            </w14:solidFill>
          </w14:textFill>
        </w:rPr>
        <w:t>3</w:t>
      </w:r>
      <w:r>
        <w:rPr>
          <w:rFonts w:cs="宋体"/>
          <w:color w:val="000000" w:themeColor="text1"/>
          <w:kern w:val="0"/>
          <w:szCs w:val="24"/>
          <w:highlight w:val="none"/>
          <w14:textFill>
            <w14:solidFill>
              <w14:schemeClr w14:val="tx1"/>
            </w14:solidFill>
          </w14:textFill>
        </w:rPr>
        <w:t>以上，25m处为1.53mg/m</w:t>
      </w:r>
      <w:r>
        <w:rPr>
          <w:rFonts w:cs="宋体"/>
          <w:color w:val="000000" w:themeColor="text1"/>
          <w:kern w:val="0"/>
          <w:szCs w:val="24"/>
          <w:highlight w:val="none"/>
          <w:vertAlign w:val="superscript"/>
          <w14:textFill>
            <w14:solidFill>
              <w14:schemeClr w14:val="tx1"/>
            </w14:solidFill>
          </w14:textFill>
        </w:rPr>
        <w:t>3</w:t>
      </w:r>
      <w:r>
        <w:rPr>
          <w:rFonts w:cs="宋体"/>
          <w:color w:val="000000" w:themeColor="text1"/>
          <w:kern w:val="0"/>
          <w:szCs w:val="24"/>
          <w:highlight w:val="none"/>
          <w14:textFill>
            <w14:solidFill>
              <w14:schemeClr w14:val="tx1"/>
            </w14:solidFill>
          </w14:textFill>
        </w:rPr>
        <w:t>，下风向60m范围内TSP浓度超标。管道沿线的较近居住民施工期内会受到施工扬尘的影响，但由于施工过程为分段进行，施工时间较短，</w:t>
      </w:r>
      <w:r>
        <w:rPr>
          <w:rFonts w:hint="eastAsia" w:cs="宋体"/>
          <w:color w:val="000000" w:themeColor="text1"/>
          <w:kern w:val="0"/>
          <w:szCs w:val="24"/>
          <w:highlight w:val="none"/>
          <w14:textFill>
            <w14:solidFill>
              <w14:schemeClr w14:val="tx1"/>
            </w14:solidFill>
          </w14:textFill>
        </w:rPr>
        <w:t>且本项目管线周边1</w:t>
      </w:r>
      <w:r>
        <w:rPr>
          <w:rFonts w:cs="宋体"/>
          <w:color w:val="000000" w:themeColor="text1"/>
          <w:kern w:val="0"/>
          <w:szCs w:val="24"/>
          <w:highlight w:val="none"/>
          <w14:textFill>
            <w14:solidFill>
              <w14:schemeClr w14:val="tx1"/>
            </w14:solidFill>
          </w14:textFill>
        </w:rPr>
        <w:t>00</w:t>
      </w:r>
      <w:r>
        <w:rPr>
          <w:rFonts w:hint="eastAsia" w:cs="宋体"/>
          <w:color w:val="000000" w:themeColor="text1"/>
          <w:kern w:val="0"/>
          <w:szCs w:val="24"/>
          <w:highlight w:val="none"/>
          <w14:textFill>
            <w14:solidFill>
              <w14:schemeClr w14:val="tx1"/>
            </w14:solidFill>
          </w14:textFill>
        </w:rPr>
        <w:t>m范围内居民都将拆迁</w:t>
      </w:r>
      <w:r>
        <w:rPr>
          <w:rFonts w:cs="宋体"/>
          <w:color w:val="000000" w:themeColor="text1"/>
          <w:kern w:val="0"/>
          <w:szCs w:val="24"/>
          <w:highlight w:val="none"/>
          <w14:textFill>
            <w14:solidFill>
              <w14:schemeClr w14:val="tx1"/>
            </w14:solidFill>
          </w14:textFill>
        </w:rPr>
        <w:t>，因此总体而言，管线施工作业扬尘污染是短时的，且影响不会很大。</w:t>
      </w:r>
      <w:r>
        <w:rPr>
          <w:rFonts w:hint="eastAsia" w:cs="宋体"/>
          <w:color w:val="000000" w:themeColor="text1"/>
          <w:kern w:val="0"/>
          <w:szCs w:val="24"/>
          <w:highlight w:val="none"/>
          <w14:textFill>
            <w14:solidFill>
              <w14:schemeClr w14:val="tx1"/>
            </w14:solidFill>
          </w14:textFill>
        </w:rPr>
        <w:t>因此</w:t>
      </w:r>
      <w:r>
        <w:rPr>
          <w:rFonts w:cs="宋体"/>
          <w:color w:val="000000" w:themeColor="text1"/>
          <w:kern w:val="0"/>
          <w:szCs w:val="24"/>
          <w:highlight w:val="none"/>
          <w14:textFill>
            <w14:solidFill>
              <w14:schemeClr w14:val="tx1"/>
            </w14:solidFill>
          </w14:textFill>
        </w:rPr>
        <w:t>在采取合理化管理、作业面和土堆适当喷水、土堆和建筑材料遮盖、大风天停止作业等措施后，施工扬尘对周围保护目标的影响会大为降低。</w:t>
      </w:r>
    </w:p>
    <w:p>
      <w:pPr>
        <w:widowControl/>
        <w:ind w:firstLine="480"/>
        <w:jc w:val="left"/>
        <w:rPr>
          <w:rFonts w:cs="宋体"/>
          <w:color w:val="000000" w:themeColor="text1"/>
          <w:kern w:val="0"/>
          <w:szCs w:val="24"/>
          <w:highlight w:val="none"/>
          <w14:textFill>
            <w14:solidFill>
              <w14:schemeClr w14:val="tx1"/>
            </w14:solidFill>
          </w14:textFill>
        </w:rPr>
      </w:pPr>
      <w:r>
        <w:rPr>
          <w:rFonts w:cs="宋体"/>
          <w:color w:val="000000" w:themeColor="text1"/>
          <w:kern w:val="0"/>
          <w:szCs w:val="24"/>
          <w:highlight w:val="none"/>
          <w14:textFill>
            <w14:solidFill>
              <w14:schemeClr w14:val="tx1"/>
            </w14:solidFill>
          </w14:textFill>
        </w:rPr>
        <w:t>汽车施工阶段运输过程中，也会产生扬尘污染。扬尘量、粒径大小等与多种因素有关，如路面状况、车辆行驶速度、载重量、天气情况等。其中风速、风向等天气状况直接影响扬尘的传输方向和距离。由于汽车运输过程中产生的扬尘时间短、扬尘落地快、影响范围主要集中在运输道路两侧，故汽车运输扬尘对周边的环境空气影响程度和范围较小，影响时间也较短。如果采用道路定时洒水抑尘、车辆不要装载过满并采取密闭或遮盖措施，可大大减少运输扬尘对周围环境空气的影响。</w:t>
      </w:r>
    </w:p>
    <w:p>
      <w:pPr>
        <w:widowControl/>
        <w:ind w:firstLine="480"/>
        <w:jc w:val="left"/>
        <w:rPr>
          <w:rFonts w:cs="宋体"/>
          <w:color w:val="000000" w:themeColor="text1"/>
          <w:kern w:val="0"/>
          <w:szCs w:val="24"/>
          <w:highlight w:val="none"/>
          <w14:textFill>
            <w14:solidFill>
              <w14:schemeClr w14:val="tx1"/>
            </w14:solidFill>
          </w14:textFill>
        </w:rPr>
      </w:pPr>
      <w:r>
        <w:rPr>
          <w:rFonts w:cs="宋体"/>
          <w:color w:val="000000" w:themeColor="text1"/>
          <w:kern w:val="0"/>
          <w:szCs w:val="24"/>
          <w:highlight w:val="none"/>
          <w14:textFill>
            <w14:solidFill>
              <w14:schemeClr w14:val="tx1"/>
            </w14:solidFill>
          </w14:textFill>
        </w:rPr>
        <w:t>总体而言，施工期扬尘对管道沿经各大气敏感点影响很小，属可接受范围。</w:t>
      </w:r>
    </w:p>
    <w:p>
      <w:pPr>
        <w:widowControl/>
        <w:ind w:firstLine="482"/>
        <w:jc w:val="left"/>
        <w:rPr>
          <w:rFonts w:cs="宋体"/>
          <w:b/>
          <w:bCs/>
          <w:color w:val="000000" w:themeColor="text1"/>
          <w:kern w:val="0"/>
          <w:szCs w:val="24"/>
          <w:highlight w:val="none"/>
          <w14:textFill>
            <w14:solidFill>
              <w14:schemeClr w14:val="tx1"/>
            </w14:solidFill>
          </w14:textFill>
        </w:rPr>
      </w:pPr>
      <w:r>
        <w:rPr>
          <w:rFonts w:cs="宋体"/>
          <w:b/>
          <w:bCs/>
          <w:color w:val="000000" w:themeColor="text1"/>
          <w:kern w:val="0"/>
          <w:szCs w:val="24"/>
          <w:highlight w:val="none"/>
          <w14:textFill>
            <w14:solidFill>
              <w14:schemeClr w14:val="tx1"/>
            </w14:solidFill>
          </w14:textFill>
        </w:rPr>
        <w:t>（2）施工机具尾气</w:t>
      </w:r>
    </w:p>
    <w:p>
      <w:pPr>
        <w:widowControl/>
        <w:ind w:firstLine="480"/>
        <w:jc w:val="left"/>
        <w:rPr>
          <w:rFonts w:cs="宋体"/>
          <w:color w:val="000000" w:themeColor="text1"/>
          <w:kern w:val="0"/>
          <w:szCs w:val="24"/>
          <w:highlight w:val="none"/>
          <w14:textFill>
            <w14:solidFill>
              <w14:schemeClr w14:val="tx1"/>
            </w14:solidFill>
          </w14:textFill>
        </w:rPr>
      </w:pPr>
      <w:r>
        <w:rPr>
          <w:rFonts w:cs="宋体"/>
          <w:color w:val="000000" w:themeColor="text1"/>
          <w:kern w:val="0"/>
          <w:szCs w:val="24"/>
          <w:highlight w:val="none"/>
          <w14:textFill>
            <w14:solidFill>
              <w14:schemeClr w14:val="tx1"/>
            </w14:solidFill>
          </w14:textFill>
        </w:rPr>
        <w:t>施工期间，运输汽车、施工机械由于使用汽油或柴油，将产生燃烧尾气，主要污染物为CO、NOx等。但由于废气量较小，且施工现场均在野外，有利于空气的扩散，同时废气污染源具有间歇性和流动性，该类污染源对大气环境的影响较小。</w:t>
      </w:r>
    </w:p>
    <w:p>
      <w:pPr>
        <w:widowControl/>
        <w:ind w:firstLine="482"/>
        <w:jc w:val="left"/>
        <w:rPr>
          <w:rFonts w:cs="宋体"/>
          <w:b/>
          <w:bCs/>
          <w:color w:val="000000" w:themeColor="text1"/>
          <w:kern w:val="0"/>
          <w:szCs w:val="24"/>
          <w:highlight w:val="none"/>
          <w14:textFill>
            <w14:solidFill>
              <w14:schemeClr w14:val="tx1"/>
            </w14:solidFill>
          </w14:textFill>
        </w:rPr>
      </w:pPr>
      <w:r>
        <w:rPr>
          <w:rFonts w:cs="宋体"/>
          <w:b/>
          <w:bCs/>
          <w:color w:val="000000" w:themeColor="text1"/>
          <w:kern w:val="0"/>
          <w:szCs w:val="24"/>
          <w:highlight w:val="none"/>
          <w14:textFill>
            <w14:solidFill>
              <w14:schemeClr w14:val="tx1"/>
            </w14:solidFill>
          </w14:textFill>
        </w:rPr>
        <w:t>（3）焊接烟尘</w:t>
      </w:r>
    </w:p>
    <w:p>
      <w:pPr>
        <w:widowControl/>
        <w:ind w:firstLine="480"/>
        <w:jc w:val="left"/>
        <w:rPr>
          <w:rFonts w:cs="宋体"/>
          <w:color w:val="000000" w:themeColor="text1"/>
          <w:kern w:val="0"/>
          <w:szCs w:val="24"/>
          <w:highlight w:val="none"/>
          <w14:textFill>
            <w14:solidFill>
              <w14:schemeClr w14:val="tx1"/>
            </w14:solidFill>
          </w14:textFill>
        </w:rPr>
      </w:pPr>
      <w:r>
        <w:rPr>
          <w:rFonts w:ascii="宋体" w:hAnsi="宋体" w:cs="宋体"/>
          <w:color w:val="000000" w:themeColor="text1"/>
          <w:kern w:val="0"/>
          <w:szCs w:val="24"/>
          <w:highlight w:val="none"/>
          <w14:textFill>
            <w14:solidFill>
              <w14:schemeClr w14:val="tx1"/>
            </w14:solidFill>
          </w14:textFill>
        </w:rPr>
        <w:t>焊接烟气主要是在管道敷设焊接时产生的，主要污染物为烟尘，产生量较少。焊接工序随着管道的敷设分段进行，焊接烟尘属于流动源且为间歇式排放。焊接工序为野外露天工作，污染物扩散条件好，且项目管线在布置时已考虑避开居民等环境敏感点。项目焊接烟气经大气扩散后对环境及敏感点的影响较小</w:t>
      </w:r>
      <w:r>
        <w:rPr>
          <w:rFonts w:cs="宋体"/>
          <w:color w:val="000000" w:themeColor="text1"/>
          <w:kern w:val="0"/>
          <w:szCs w:val="24"/>
          <w:highlight w:val="none"/>
          <w14:textFill>
            <w14:solidFill>
              <w14:schemeClr w14:val="tx1"/>
            </w14:solidFill>
          </w14:textFill>
        </w:rPr>
        <w:t>。</w:t>
      </w:r>
    </w:p>
    <w:p>
      <w:pPr>
        <w:widowControl/>
        <w:ind w:firstLine="482"/>
        <w:jc w:val="left"/>
        <w:rPr>
          <w:rFonts w:ascii="宋体" w:hAnsi="宋体" w:cs="宋体"/>
          <w:b/>
          <w:bCs/>
          <w:color w:val="000000" w:themeColor="text1"/>
          <w:kern w:val="0"/>
          <w:szCs w:val="24"/>
          <w:highlight w:val="none"/>
          <w14:textFill>
            <w14:solidFill>
              <w14:schemeClr w14:val="tx1"/>
            </w14:solidFill>
          </w14:textFill>
        </w:rPr>
      </w:pPr>
      <w:r>
        <w:rPr>
          <w:rFonts w:ascii="宋体" w:hAnsi="宋体" w:cs="宋体"/>
          <w:b/>
          <w:bCs/>
          <w:color w:val="000000" w:themeColor="text1"/>
          <w:kern w:val="0"/>
          <w:szCs w:val="24"/>
          <w:highlight w:val="none"/>
          <w14:textFill>
            <w14:solidFill>
              <w14:schemeClr w14:val="tx1"/>
            </w14:solidFill>
          </w14:textFill>
        </w:rPr>
        <w:t>（</w:t>
      </w:r>
      <w:r>
        <w:rPr>
          <w:rFonts w:cs="Times New Roman"/>
          <w:b/>
          <w:bCs/>
          <w:color w:val="000000" w:themeColor="text1"/>
          <w:kern w:val="0"/>
          <w:szCs w:val="24"/>
          <w:highlight w:val="none"/>
          <w14:textFill>
            <w14:solidFill>
              <w14:schemeClr w14:val="tx1"/>
            </w14:solidFill>
          </w14:textFill>
        </w:rPr>
        <w:t>4</w:t>
      </w:r>
      <w:r>
        <w:rPr>
          <w:rFonts w:ascii="宋体" w:hAnsi="宋体" w:cs="宋体"/>
          <w:b/>
          <w:bCs/>
          <w:color w:val="000000" w:themeColor="text1"/>
          <w:kern w:val="0"/>
          <w:szCs w:val="24"/>
          <w:highlight w:val="none"/>
          <w14:textFill>
            <w14:solidFill>
              <w14:schemeClr w14:val="tx1"/>
            </w14:solidFill>
          </w14:textFill>
        </w:rPr>
        <w:t>）防腐废气</w:t>
      </w:r>
    </w:p>
    <w:p>
      <w:pPr>
        <w:ind w:firstLine="480"/>
        <w:rPr>
          <w:rFonts w:cs="Times New Roman"/>
          <w:color w:val="000000" w:themeColor="text1"/>
          <w:highlight w:val="none"/>
          <w14:textFill>
            <w14:solidFill>
              <w14:schemeClr w14:val="tx1"/>
            </w14:solidFill>
          </w14:textFill>
        </w:rPr>
      </w:pPr>
      <w:r>
        <w:rPr>
          <w:rFonts w:ascii="宋体" w:hAnsi="宋体" w:cs="宋体"/>
          <w:color w:val="000000" w:themeColor="text1"/>
          <w:kern w:val="0"/>
          <w:szCs w:val="24"/>
          <w:highlight w:val="none"/>
          <w14:textFill>
            <w14:solidFill>
              <w14:schemeClr w14:val="tx1"/>
            </w14:solidFill>
          </w14:textFill>
        </w:rPr>
        <w:t>防腐废气主要是在管道补口补伤时产生的，产生量较少，且为间断性分散状排放，由于管线周围地域开阔，经大气扩散后对环境及敏感点的影响不大</w:t>
      </w:r>
      <w:r>
        <w:rPr>
          <w:rFonts w:hint="eastAsia" w:ascii="宋体" w:hAnsi="宋体" w:cs="宋体"/>
          <w:color w:val="000000" w:themeColor="text1"/>
          <w:kern w:val="0"/>
          <w:szCs w:val="24"/>
          <w:highlight w:val="none"/>
          <w14:textFill>
            <w14:solidFill>
              <w14:schemeClr w14:val="tx1"/>
            </w14:solidFill>
          </w14:textFill>
        </w:rPr>
        <w:t>。</w:t>
      </w:r>
    </w:p>
    <w:p>
      <w:pPr>
        <w:ind w:firstLine="482"/>
        <w:rPr>
          <w:rFonts w:cs="Times New Roman"/>
          <w:color w:val="000000" w:themeColor="text1"/>
          <w:highlight w:val="none"/>
          <w14:textFill>
            <w14:solidFill>
              <w14:schemeClr w14:val="tx1"/>
            </w14:solidFill>
          </w14:textFill>
        </w:rPr>
      </w:pPr>
      <w:r>
        <w:rPr>
          <w:rFonts w:cs="Times New Roman"/>
          <w:b/>
          <w:color w:val="000000" w:themeColor="text1"/>
          <w:highlight w:val="none"/>
          <w14:textFill>
            <w14:solidFill>
              <w14:schemeClr w14:val="tx1"/>
            </w14:solidFill>
          </w14:textFill>
        </w:rPr>
        <w:t>综上所述，由于</w:t>
      </w:r>
      <w:r>
        <w:rPr>
          <w:rFonts w:hint="eastAsia" w:cs="Times New Roman"/>
          <w:b/>
          <w:bCs/>
          <w:color w:val="000000" w:themeColor="text1"/>
          <w:highlight w:val="none"/>
          <w14:textFill>
            <w14:solidFill>
              <w14:schemeClr w14:val="tx1"/>
            </w14:solidFill>
          </w14:textFill>
        </w:rPr>
        <w:t>施工期</w:t>
      </w:r>
      <w:r>
        <w:rPr>
          <w:rFonts w:cs="Times New Roman"/>
          <w:b/>
          <w:bCs/>
          <w:color w:val="000000" w:themeColor="text1"/>
          <w:highlight w:val="none"/>
          <w14:textFill>
            <w14:solidFill>
              <w14:schemeClr w14:val="tx1"/>
            </w14:solidFill>
          </w14:textFill>
        </w:rPr>
        <w:t>废</w:t>
      </w:r>
      <w:r>
        <w:rPr>
          <w:rFonts w:cs="Times New Roman"/>
          <w:b/>
          <w:color w:val="000000" w:themeColor="text1"/>
          <w:highlight w:val="none"/>
          <w14:textFill>
            <w14:solidFill>
              <w14:schemeClr w14:val="tx1"/>
            </w14:solidFill>
          </w14:textFill>
        </w:rPr>
        <w:t>气产生量较少、施工期短，对当地环境空气影响较小</w:t>
      </w:r>
      <w:r>
        <w:rPr>
          <w:rFonts w:cs="Times New Roman"/>
          <w:b/>
          <w:bCs/>
          <w:color w:val="000000" w:themeColor="text1"/>
          <w:highlight w:val="none"/>
          <w14:textFill>
            <w14:solidFill>
              <w14:schemeClr w14:val="tx1"/>
            </w14:solidFill>
          </w14:textFill>
        </w:rPr>
        <w:t>。</w:t>
      </w:r>
    </w:p>
    <w:p>
      <w:pPr>
        <w:pStyle w:val="6"/>
        <w:spacing w:before="12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地表水环境影响分析</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w:t>
      </w:r>
      <w:bookmarkStart w:id="259" w:name="_Hlk156478899"/>
      <w:r>
        <w:rPr>
          <w:color w:val="000000" w:themeColor="text1"/>
          <w:highlight w:val="none"/>
          <w14:textFill>
            <w14:solidFill>
              <w14:schemeClr w14:val="tx1"/>
            </w14:solidFill>
          </w14:textFill>
        </w:rPr>
        <w:t>集输管</w:t>
      </w:r>
      <w:r>
        <w:rPr>
          <w:rFonts w:hint="eastAsia"/>
          <w:color w:val="000000" w:themeColor="text1"/>
          <w:highlight w:val="none"/>
          <w14:textFill>
            <w14:solidFill>
              <w14:schemeClr w14:val="tx1"/>
            </w14:solidFill>
          </w14:textFill>
        </w:rPr>
        <w:t>线沟渠</w:t>
      </w:r>
      <w:r>
        <w:rPr>
          <w:color w:val="000000" w:themeColor="text1"/>
          <w:highlight w:val="none"/>
          <w14:textFill>
            <w14:solidFill>
              <w14:schemeClr w14:val="tx1"/>
            </w14:solidFill>
          </w14:textFill>
        </w:rPr>
        <w:t>穿越采用</w:t>
      </w:r>
      <w:r>
        <w:rPr>
          <w:rFonts w:hint="eastAsia"/>
          <w:color w:val="000000" w:themeColor="text1"/>
          <w:highlight w:val="none"/>
          <w14:textFill>
            <w14:solidFill>
              <w14:schemeClr w14:val="tx1"/>
            </w14:solidFill>
          </w14:textFill>
        </w:rPr>
        <w:t>定向钻方式穿越和</w:t>
      </w:r>
      <w:r>
        <w:rPr>
          <w:color w:val="000000" w:themeColor="text1"/>
          <w:highlight w:val="none"/>
          <w14:textFill>
            <w14:solidFill>
              <w14:schemeClr w14:val="tx1"/>
            </w14:solidFill>
          </w14:textFill>
        </w:rPr>
        <w:t>围堰开挖沟埋方式进行，施工作业一般选在枯水期</w:t>
      </w:r>
      <w:r>
        <w:rPr>
          <w:rFonts w:hint="eastAsia"/>
          <w:color w:val="000000" w:themeColor="text1"/>
          <w:highlight w:val="none"/>
          <w14:textFill>
            <w14:solidFill>
              <w14:schemeClr w14:val="tx1"/>
            </w14:solidFill>
          </w14:textFill>
        </w:rPr>
        <w:t>、非灌溉用水季节</w:t>
      </w:r>
      <w:r>
        <w:rPr>
          <w:color w:val="000000" w:themeColor="text1"/>
          <w:highlight w:val="none"/>
          <w14:textFill>
            <w14:solidFill>
              <w14:schemeClr w14:val="tx1"/>
            </w14:solidFill>
          </w14:textFill>
        </w:rPr>
        <w:t>进行</w:t>
      </w:r>
      <w:bookmarkEnd w:id="259"/>
      <w:r>
        <w:rPr>
          <w:color w:val="000000" w:themeColor="text1"/>
          <w:highlight w:val="none"/>
          <w14:textFill>
            <w14:solidFill>
              <w14:schemeClr w14:val="tx1"/>
            </w14:solidFill>
          </w14:textFill>
        </w:rPr>
        <w:t>。</w:t>
      </w:r>
    </w:p>
    <w:p>
      <w:pPr>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（1）对水体的影响分析</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开挖穿越在施工期</w:t>
      </w:r>
      <w:r>
        <w:rPr>
          <w:rFonts w:hint="eastAsia"/>
          <w:color w:val="000000" w:themeColor="text1"/>
          <w:highlight w:val="none"/>
          <w14:textFill>
            <w14:solidFill>
              <w14:schemeClr w14:val="tx1"/>
            </w14:solidFill>
          </w14:textFill>
        </w:rPr>
        <w:t>若涉水施工，</w:t>
      </w:r>
      <w:r>
        <w:rPr>
          <w:color w:val="000000" w:themeColor="text1"/>
          <w:highlight w:val="none"/>
          <w14:textFill>
            <w14:solidFill>
              <w14:schemeClr w14:val="tx1"/>
            </w14:solidFill>
          </w14:textFill>
        </w:rPr>
        <w:t>将对</w:t>
      </w:r>
      <w:r>
        <w:rPr>
          <w:rFonts w:hint="eastAsia"/>
          <w:color w:val="000000" w:themeColor="text1"/>
          <w:highlight w:val="none"/>
          <w14:textFill>
            <w14:solidFill>
              <w14:schemeClr w14:val="tx1"/>
            </w14:solidFill>
          </w14:textFill>
        </w:rPr>
        <w:t>沟渠</w:t>
      </w:r>
      <w:r>
        <w:rPr>
          <w:color w:val="000000" w:themeColor="text1"/>
          <w:highlight w:val="none"/>
          <w14:textFill>
            <w14:solidFill>
              <w14:schemeClr w14:val="tx1"/>
            </w14:solidFill>
          </w14:textFill>
        </w:rPr>
        <w:t>水质产生短期影响，主要是使河水中泥沙含量显著增加。</w:t>
      </w:r>
      <w:r>
        <w:rPr>
          <w:rFonts w:hint="eastAsia"/>
          <w:color w:val="000000" w:themeColor="text1"/>
          <w:highlight w:val="none"/>
          <w14:textFill>
            <w14:solidFill>
              <w14:schemeClr w14:val="tx1"/>
            </w14:solidFill>
          </w14:textFill>
        </w:rPr>
        <w:t>根据刘龙（交通运输部科学研究院）等发表的《桥梁涉水施工对河流的影响及减缓措施探讨》（环境影响评价〔J〕，2021），“开挖施工</w:t>
      </w:r>
      <w:r>
        <w:rPr>
          <w:color w:val="000000" w:themeColor="text1"/>
          <w:highlight w:val="none"/>
          <w14:textFill>
            <w14:solidFill>
              <w14:schemeClr w14:val="tx1"/>
            </w14:solidFill>
          </w14:textFill>
        </w:rPr>
        <w:t>对地表水造成直接影响主要</w:t>
      </w:r>
      <w:r>
        <w:rPr>
          <w:rFonts w:hint="eastAsia"/>
          <w:color w:val="000000" w:themeColor="text1"/>
          <w:highlight w:val="none"/>
          <w14:textFill>
            <w14:solidFill>
              <w14:schemeClr w14:val="tx1"/>
            </w14:solidFill>
          </w14:textFill>
        </w:rPr>
        <w:t>在围堰建设时，围堰建设时</w:t>
      </w:r>
      <w:r>
        <w:rPr>
          <w:color w:val="000000" w:themeColor="text1"/>
          <w:highlight w:val="none"/>
          <w14:textFill>
            <w14:solidFill>
              <w14:schemeClr w14:val="tx1"/>
            </w14:solidFill>
          </w14:textFill>
        </w:rPr>
        <w:t>对河床有扰动，造成泥沙上浮，水体悬浮物增加，水质浑浊，水环境质量明显下降，其直接影响程度与施工持续时间和施工强度相关，在没有发生事故的情境下，水平影响范围为20～50m</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可见，涉水施工对下游河段影响范围有限，且</w:t>
      </w:r>
      <w:r>
        <w:rPr>
          <w:color w:val="000000" w:themeColor="text1"/>
          <w:highlight w:val="none"/>
          <w14:textFill>
            <w14:solidFill>
              <w14:schemeClr w14:val="tx1"/>
            </w14:solidFill>
          </w14:textFill>
        </w:rPr>
        <w:t>这种影响是局部的，在河水流过一段距离后，由于泥沙的重新沉积会使河水的水质恢复到原有状况，施工过后，原有河床形态得到恢复，不会对水体功能和水质产生明显影响。</w:t>
      </w:r>
      <w:r>
        <w:rPr>
          <w:rFonts w:hint="eastAsia"/>
          <w:color w:val="000000" w:themeColor="text1"/>
          <w:highlight w:val="none"/>
          <w:lang w:val="en-US" w:eastAsia="zh-CN"/>
          <w14:textFill>
            <w14:solidFill>
              <w14:schemeClr w14:val="tx1"/>
            </w14:solidFill>
          </w14:textFill>
        </w:rPr>
        <w:t>针对涉水施工，主要安排</w:t>
      </w:r>
      <w:r>
        <w:rPr>
          <w:color w:val="000000" w:themeColor="text1"/>
          <w:highlight w:val="none"/>
          <w14:textFill>
            <w14:solidFill>
              <w14:schemeClr w14:val="tx1"/>
            </w14:solidFill>
          </w14:textFill>
        </w:rPr>
        <w:t>在</w:t>
      </w:r>
      <w:r>
        <w:rPr>
          <w:rFonts w:hint="eastAsia"/>
          <w:color w:val="000000" w:themeColor="text1"/>
          <w:highlight w:val="none"/>
          <w:lang w:val="en-US" w:eastAsia="zh-CN"/>
          <w14:textFill>
            <w14:solidFill>
              <w14:schemeClr w14:val="tx1"/>
            </w14:solidFill>
          </w14:textFill>
        </w:rPr>
        <w:t>施工后期的</w:t>
      </w:r>
      <w:r>
        <w:rPr>
          <w:color w:val="000000" w:themeColor="text1"/>
          <w:highlight w:val="none"/>
          <w14:textFill>
            <w14:solidFill>
              <w14:schemeClr w14:val="tx1"/>
            </w14:solidFill>
          </w14:textFill>
        </w:rPr>
        <w:t>枯水期</w:t>
      </w:r>
      <w:r>
        <w:rPr>
          <w:rFonts w:hint="eastAsia"/>
          <w:color w:val="000000" w:themeColor="text1"/>
          <w:highlight w:val="none"/>
          <w:lang w:val="en-US" w:eastAsia="zh-CN"/>
          <w14:textFill>
            <w14:solidFill>
              <w14:schemeClr w14:val="tx1"/>
            </w14:solidFill>
          </w14:textFill>
        </w:rPr>
        <w:t>进行</w:t>
      </w:r>
      <w:r>
        <w:rPr>
          <w:color w:val="000000" w:themeColor="text1"/>
          <w:highlight w:val="none"/>
          <w14:textFill>
            <w14:solidFill>
              <w14:schemeClr w14:val="tx1"/>
            </w14:solidFill>
          </w14:textFill>
        </w:rPr>
        <w:t>施工作业对河水水质造成影响较短，开挖作业对河床造成暂时性破坏，开挖深度一般在设计冲刷线以下1.5m，待施工完成后，经覆土复原，采用河床稳固措施后，对河床及水体环境影响很小。</w:t>
      </w:r>
    </w:p>
    <w:p>
      <w:pPr>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（2）对水文特征的影响分析</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由于穿越沟渠为人工沟渠或冲沟，</w:t>
      </w:r>
      <w:r>
        <w:rPr>
          <w:color w:val="000000" w:themeColor="text1"/>
          <w:highlight w:val="none"/>
          <w14:textFill>
            <w14:solidFill>
              <w14:schemeClr w14:val="tx1"/>
            </w14:solidFill>
          </w14:textFill>
        </w:rPr>
        <w:t>项目河流穿越工程不会改变</w:t>
      </w:r>
      <w:r>
        <w:rPr>
          <w:rFonts w:hint="eastAsia"/>
          <w:color w:val="000000" w:themeColor="text1"/>
          <w:highlight w:val="none"/>
          <w14:textFill>
            <w14:solidFill>
              <w14:schemeClr w14:val="tx1"/>
            </w14:solidFill>
          </w14:textFill>
        </w:rPr>
        <w:t>沟渠</w:t>
      </w:r>
      <w:r>
        <w:rPr>
          <w:color w:val="000000" w:themeColor="text1"/>
          <w:highlight w:val="none"/>
          <w14:textFill>
            <w14:solidFill>
              <w14:schemeClr w14:val="tx1"/>
            </w14:solidFill>
          </w14:textFill>
        </w:rPr>
        <w:t>的水流、水文条件。但在施工中土地开挖、施工场地平整、施工临时占地和永久占地、废弃土方堆放等活动不仅将破坏当地的植被和土壤，也影响了当地的地表径流，造成某些小沟渠流水不畅，甚至堵塞或流向改变，使当地水文条件发生变化，水系的引水、排洪能力下降，但这种影响是暂时的。</w:t>
      </w:r>
    </w:p>
    <w:p>
      <w:pPr>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（3）废水排放影响</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管道施工期废水主要为施工废水、试压废水、生活污水。</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施工废水</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主要为施工机械冲洗废水和</w:t>
      </w:r>
      <w:r>
        <w:rPr>
          <w:rFonts w:hint="eastAsia"/>
          <w:color w:val="000000" w:themeColor="text1"/>
          <w:highlight w:val="none"/>
          <w14:textFill>
            <w14:solidFill>
              <w14:schemeClr w14:val="tx1"/>
            </w14:solidFill>
          </w14:textFill>
        </w:rPr>
        <w:t>河流、道路定向钻、道路顶管</w:t>
      </w:r>
      <w:r>
        <w:rPr>
          <w:color w:val="000000" w:themeColor="text1"/>
          <w:highlight w:val="none"/>
          <w14:textFill>
            <w14:solidFill>
              <w14:schemeClr w14:val="tx1"/>
            </w14:solidFill>
          </w14:textFill>
        </w:rPr>
        <w:t>施工废水，该类废水中主要污染物为SS，并含少量石油类，可通过沉淀处理后，回用于施工场地洒水降尘，不外排，对周围地表水影响小。</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试压废水</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项目管道采用清水试压，管道较长，试压废水产生量大，但试压废水较清洁</w:t>
      </w:r>
      <w:r>
        <w:rPr>
          <w:rFonts w:hint="eastAsia"/>
          <w:color w:val="000000" w:themeColor="text1"/>
          <w:highlight w:val="none"/>
          <w14:textFill>
            <w14:solidFill>
              <w14:schemeClr w14:val="tx1"/>
            </w14:solidFill>
          </w14:textFill>
        </w:rPr>
        <w:t>，分段产生，</w:t>
      </w:r>
      <w:r>
        <w:rPr>
          <w:color w:val="000000" w:themeColor="text1"/>
          <w:highlight w:val="none"/>
          <w14:textFill>
            <w14:solidFill>
              <w14:schemeClr w14:val="tx1"/>
            </w14:solidFill>
          </w14:textFill>
        </w:rPr>
        <w:t>通过简易的过滤后</w:t>
      </w:r>
      <w:r>
        <w:rPr>
          <w:rFonts w:hint="eastAsia"/>
          <w:color w:val="000000" w:themeColor="text1"/>
          <w:highlight w:val="none"/>
          <w14:textFill>
            <w14:solidFill>
              <w14:schemeClr w14:val="tx1"/>
            </w14:solidFill>
          </w14:textFill>
        </w:rPr>
        <w:t>回用于站场洒水降尘和绿化用水</w:t>
      </w:r>
      <w:r>
        <w:rPr>
          <w:color w:val="000000" w:themeColor="text1"/>
          <w:highlight w:val="none"/>
          <w14:textFill>
            <w14:solidFill>
              <w14:schemeClr w14:val="tx1"/>
            </w14:solidFill>
          </w14:textFill>
        </w:rPr>
        <w:t>，对地表水水质影响较小。</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生活污水</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管道施工不设施工营地，施工队伍除施工技术人员外，其余均雇佣当地农民，施工技术人员的吃住可依托当地的旅馆和饭店，农民则在家中吃住。施工期生活污水主要依托农户生活污水处理系统，不集中产生和排放，一般不会造成地表水体污染。</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（4）其他影响</w:t>
      </w:r>
    </w:p>
    <w:p>
      <w:pPr>
        <w:ind w:firstLine="480"/>
        <w:rPr>
          <w:rFonts w:cs="Times New Roman"/>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管道开挖过程中，挖出的土石如未能及时回填，遇雨水冲刷进入附近水体，影响水域水质。施工物料如堆放管理不严，受雨水冲刷进入附近水体，对水域造成影响。施工弃渣和施工人员的生活垃圾如不妥善处理，随意堆放，受雨水冲刷进入附近水体，将对其水质造成影响</w:t>
      </w:r>
      <w:r>
        <w:rPr>
          <w:rFonts w:cs="Times New Roman"/>
          <w:color w:val="000000" w:themeColor="text1"/>
          <w:highlight w:val="none"/>
          <w14:textFill>
            <w14:solidFill>
              <w14:schemeClr w14:val="tx1"/>
            </w14:solidFill>
          </w14:textFill>
        </w:rPr>
        <w:t>。</w:t>
      </w:r>
    </w:p>
    <w:p>
      <w:pPr>
        <w:pStyle w:val="6"/>
        <w:spacing w:before="12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地下水和土壤环境影响分析</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施工期</w:t>
      </w:r>
      <w:r>
        <w:rPr>
          <w:rFonts w:cs="Times New Roman"/>
          <w:color w:val="000000" w:themeColor="text1"/>
          <w:highlight w:val="none"/>
          <w14:textFill>
            <w14:solidFill>
              <w14:schemeClr w14:val="tx1"/>
            </w14:solidFill>
          </w14:textFill>
        </w:rPr>
        <w:t>对地下水和土壤环境的影响主要是施工废水及原辅材料</w:t>
      </w:r>
      <w:r>
        <w:rPr>
          <w:rFonts w:hint="eastAsia" w:cs="Times New Roman"/>
          <w:color w:val="000000" w:themeColor="text1"/>
          <w:highlight w:val="none"/>
          <w14:textFill>
            <w14:solidFill>
              <w14:schemeClr w14:val="tx1"/>
            </w14:solidFill>
          </w14:textFill>
        </w:rPr>
        <w:t>泄漏</w:t>
      </w:r>
      <w:r>
        <w:rPr>
          <w:rFonts w:cs="Times New Roman"/>
          <w:color w:val="000000" w:themeColor="text1"/>
          <w:highlight w:val="none"/>
          <w14:textFill>
            <w14:solidFill>
              <w14:schemeClr w14:val="tx1"/>
            </w14:solidFill>
          </w14:textFill>
        </w:rPr>
        <w:t>进入地下水和土壤环境，对其造成污染。</w:t>
      </w:r>
      <w:r>
        <w:rPr>
          <w:rFonts w:hint="eastAsia" w:cs="Times New Roman"/>
          <w:color w:val="000000" w:themeColor="text1"/>
          <w:highlight w:val="none"/>
          <w14:textFill>
            <w14:solidFill>
              <w14:schemeClr w14:val="tx1"/>
            </w14:solidFill>
          </w14:textFill>
        </w:rPr>
        <w:t>施工期</w:t>
      </w:r>
      <w:r>
        <w:rPr>
          <w:rFonts w:cs="Times New Roman"/>
          <w:color w:val="000000" w:themeColor="text1"/>
          <w:highlight w:val="none"/>
          <w14:textFill>
            <w14:solidFill>
              <w14:schemeClr w14:val="tx1"/>
            </w14:solidFill>
          </w14:textFill>
        </w:rPr>
        <w:t>对沉淀池进行防渗，机具材料堆放于防渗垫上面，因此，采取上述措施后</w:t>
      </w:r>
      <w:r>
        <w:rPr>
          <w:rFonts w:hint="eastAsia" w:cs="Times New Roman"/>
          <w:color w:val="000000" w:themeColor="text1"/>
          <w:highlight w:val="none"/>
          <w14:textFill>
            <w14:solidFill>
              <w14:schemeClr w14:val="tx1"/>
            </w14:solidFill>
          </w14:textFill>
        </w:rPr>
        <w:t>施工期</w:t>
      </w:r>
      <w:r>
        <w:rPr>
          <w:rFonts w:cs="Times New Roman"/>
          <w:color w:val="000000" w:themeColor="text1"/>
          <w:highlight w:val="none"/>
          <w14:textFill>
            <w14:solidFill>
              <w14:schemeClr w14:val="tx1"/>
            </w14:solidFill>
          </w14:textFill>
        </w:rPr>
        <w:t>对区域地下水和土壤环境基本无影响。</w:t>
      </w:r>
    </w:p>
    <w:p>
      <w:pPr>
        <w:pStyle w:val="6"/>
        <w:spacing w:before="12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固废</w:t>
      </w:r>
      <w:r>
        <w:rPr>
          <w:rFonts w:hint="eastAsia"/>
          <w:color w:val="000000" w:themeColor="text1"/>
          <w:highlight w:val="none"/>
          <w14:textFill>
            <w14:solidFill>
              <w14:schemeClr w14:val="tx1"/>
            </w14:solidFill>
          </w14:textFill>
        </w:rPr>
        <w:t>环境</w:t>
      </w:r>
      <w:r>
        <w:rPr>
          <w:color w:val="000000" w:themeColor="text1"/>
          <w:highlight w:val="none"/>
          <w14:textFill>
            <w14:solidFill>
              <w14:schemeClr w14:val="tx1"/>
            </w14:solidFill>
          </w14:textFill>
        </w:rPr>
        <w:t>影响分析</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本项目</w:t>
      </w:r>
      <w:r>
        <w:rPr>
          <w:rFonts w:hint="eastAsia" w:cs="Times New Roman"/>
          <w:color w:val="000000" w:themeColor="text1"/>
          <w:highlight w:val="none"/>
          <w14:textFill>
            <w14:solidFill>
              <w14:schemeClr w14:val="tx1"/>
            </w14:solidFill>
          </w14:textFill>
        </w:rPr>
        <w:t>试采站建设和</w:t>
      </w:r>
      <w:r>
        <w:rPr>
          <w:rFonts w:hint="eastAsia" w:cs="Times New Roman"/>
          <w:color w:val="000000" w:themeColor="text1"/>
          <w:kern w:val="0"/>
          <w:szCs w:val="24"/>
          <w:highlight w:val="none"/>
          <w14:textFill>
            <w14:solidFill>
              <w14:schemeClr w14:val="tx1"/>
            </w14:solidFill>
          </w14:textFill>
        </w:rPr>
        <w:t>集输管线</w:t>
      </w:r>
      <w:r>
        <w:rPr>
          <w:rFonts w:cs="Times New Roman"/>
          <w:color w:val="000000" w:themeColor="text1"/>
          <w:kern w:val="0"/>
          <w:szCs w:val="24"/>
          <w:highlight w:val="none"/>
          <w14:textFill>
            <w14:solidFill>
              <w14:schemeClr w14:val="tx1"/>
            </w14:solidFill>
          </w14:textFill>
        </w:rPr>
        <w:t>开挖土石方全部回填，无弃方产生</w:t>
      </w:r>
      <w:r>
        <w:rPr>
          <w:rFonts w:cs="Times New Roman"/>
          <w:color w:val="000000" w:themeColor="text1"/>
          <w:highlight w:val="none"/>
          <w14:textFill>
            <w14:solidFill>
              <w14:schemeClr w14:val="tx1"/>
            </w14:solidFill>
          </w14:textFill>
        </w:rPr>
        <w:t>。</w:t>
      </w:r>
      <w:r>
        <w:rPr>
          <w:rFonts w:cs="Times New Roman"/>
          <w:color w:val="000000" w:themeColor="text1"/>
          <w:kern w:val="0"/>
          <w:szCs w:val="20"/>
          <w:highlight w:val="none"/>
          <w14:textFill>
            <w14:solidFill>
              <w14:schemeClr w14:val="tx1"/>
            </w14:solidFill>
          </w14:textFill>
        </w:rPr>
        <w:t>施工废料优先回收利用，不能回收利用部分（清管废渣）交由当地环卫部门处理</w:t>
      </w:r>
      <w:r>
        <w:rPr>
          <w:rFonts w:hint="eastAsia" w:cs="Times New Roman"/>
          <w:color w:val="000000" w:themeColor="text1"/>
          <w:kern w:val="0"/>
          <w:szCs w:val="20"/>
          <w:highlight w:val="none"/>
          <w14:textFill>
            <w14:solidFill>
              <w14:schemeClr w14:val="tx1"/>
            </w14:solidFill>
          </w14:textFill>
        </w:rPr>
        <w:t>。</w:t>
      </w:r>
      <w:r>
        <w:rPr>
          <w:rFonts w:cs="Times New Roman"/>
          <w:color w:val="000000" w:themeColor="text1"/>
          <w:kern w:val="0"/>
          <w:szCs w:val="24"/>
          <w:highlight w:val="none"/>
          <w14:textFill>
            <w14:solidFill>
              <w14:schemeClr w14:val="tx1"/>
            </w14:solidFill>
          </w14:textFill>
        </w:rPr>
        <w:t>顶管施工场地及定向钻施工场地内设置泥浆池，施工过程中返回的泥浆在泥浆池内循环使用，最后废弃的少量泥浆在施工作业带内自然晾干后就近用于地方乡村道路建设填料或道路护坡防护</w:t>
      </w:r>
      <w:r>
        <w:rPr>
          <w:rFonts w:hint="eastAsia" w:cs="Times New Roman"/>
          <w:color w:val="000000" w:themeColor="text1"/>
          <w:highlight w:val="none"/>
          <w14:textFill>
            <w14:solidFill>
              <w14:schemeClr w14:val="tx1"/>
            </w14:solidFill>
          </w14:textFill>
        </w:rPr>
        <w:t>。</w:t>
      </w:r>
      <w:r>
        <w:rPr>
          <w:rFonts w:cs="Times New Roman"/>
          <w:color w:val="000000" w:themeColor="text1"/>
          <w:highlight w:val="none"/>
          <w14:textFill>
            <w14:solidFill>
              <w14:schemeClr w14:val="tx1"/>
            </w14:solidFill>
          </w14:textFill>
        </w:rPr>
        <w:t>生活垃圾收集后依托当地环卫部门处理，对环境影响小。</w:t>
      </w:r>
    </w:p>
    <w:p>
      <w:pPr>
        <w:pStyle w:val="6"/>
        <w:spacing w:before="12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声环境影响分析</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施工噪声主要来自施工机械和运输车辆产生的噪声，施工噪声影响虽然是暂时的，但施工过程中采用的施工机械一般都具有噪声高、无规则等特点，如不加以控制，将会对施工区域周边环境产生一定的影响。</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（1）施工噪声预测模式</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施工噪声可近似视为点声源处理，根据点声源噪声衰减模式，估算出离声源不同距离处的噪声值，预测模式如下：</w:t>
      </w:r>
    </w:p>
    <w:p>
      <w:pPr>
        <w:ind w:firstLine="480"/>
        <w:rPr>
          <w:color w:val="000000" w:themeColor="text1"/>
          <w:highlight w:val="none"/>
          <w14:textFill>
            <w14:solidFill>
              <w14:schemeClr w14:val="tx1"/>
            </w14:solidFill>
          </w14:textFill>
        </w:rPr>
      </w:pPr>
      <m:oMathPara>
        <m:oMath>
          <m:sSub>
            <m:sSubPr>
              <m:ctrlPr>
                <w:rPr>
                  <w:rFonts w:ascii="Cambria Math" w:hAnsi="Cambria Math"/>
                  <w:color w:val="000000" w:themeColor="text1"/>
                  <w:highlight w:val="none"/>
                  <w14:textFill>
                    <w14:solidFill>
                      <w14:schemeClr w14:val="tx1"/>
                    </w14:solidFill>
                  </w14:textFill>
                </w:rPr>
              </m:ctrlPr>
            </m:sSubPr>
            <m:e>
              <m:r>
                <m:rPr/>
                <w:rPr>
                  <w:rFonts w:ascii="Cambria Math" w:hAnsi="Cambria Math"/>
                  <w:color w:val="000000" w:themeColor="text1"/>
                  <w:highlight w:val="none"/>
                  <w14:textFill>
                    <w14:solidFill>
                      <w14:schemeClr w14:val="tx1"/>
                    </w14:solidFill>
                  </w14:textFill>
                </w:rPr>
                <m:t>L</m:t>
              </m:r>
              <m:ctrlPr>
                <w:rPr>
                  <w:rFonts w:ascii="Cambria Math" w:hAnsi="Cambria Math"/>
                  <w:color w:val="000000" w:themeColor="text1"/>
                  <w:highlight w:val="none"/>
                  <w14:textFill>
                    <w14:solidFill>
                      <w14:schemeClr w14:val="tx1"/>
                    </w14:solidFill>
                  </w14:textFill>
                </w:rPr>
              </m:ctrlPr>
            </m:e>
            <m:sub>
              <m:r>
                <m:rPr/>
                <w:rPr>
                  <w:rFonts w:ascii="Cambria Math" w:hAnsi="Cambria Math"/>
                  <w:color w:val="000000" w:themeColor="text1"/>
                  <w:highlight w:val="none"/>
                  <w14:textFill>
                    <w14:solidFill>
                      <w14:schemeClr w14:val="tx1"/>
                    </w14:solidFill>
                  </w14:textFill>
                </w:rPr>
                <m:t>A</m:t>
              </m:r>
              <m:ctrlPr>
                <w:rPr>
                  <w:rFonts w:ascii="Cambria Math" w:hAnsi="Cambria Math"/>
                  <w:color w:val="000000" w:themeColor="text1"/>
                  <w:highlight w:val="none"/>
                  <w14:textFill>
                    <w14:solidFill>
                      <w14:schemeClr w14:val="tx1"/>
                    </w14:solidFill>
                  </w14:textFill>
                </w:rPr>
              </m:ctrlPr>
            </m:sub>
          </m:sSub>
          <m:r>
            <m:rPr>
              <m:sty m:val="p"/>
            </m:rPr>
            <w:rPr>
              <w:rFonts w:ascii="Cambria Math" w:hAnsi="Cambria Math"/>
              <w:color w:val="000000" w:themeColor="text1"/>
              <w:highlight w:val="none"/>
              <w14:textFill>
                <w14:solidFill>
                  <w14:schemeClr w14:val="tx1"/>
                </w14:solidFill>
              </w14:textFill>
            </w:rPr>
            <m:t>（</m:t>
          </m:r>
          <m:r>
            <m:rPr/>
            <w:rPr>
              <w:rFonts w:ascii="Cambria Math" w:hAnsi="Cambria Math"/>
              <w:color w:val="000000" w:themeColor="text1"/>
              <w:highlight w:val="none"/>
              <w14:textFill>
                <w14:solidFill>
                  <w14:schemeClr w14:val="tx1"/>
                </w14:solidFill>
              </w14:textFill>
            </w:rPr>
            <m:t>r</m:t>
          </m:r>
          <m:r>
            <m:rPr>
              <m:sty m:val="p"/>
            </m:rPr>
            <w:rPr>
              <w:rFonts w:ascii="Cambria Math" w:hAnsi="Cambria Math"/>
              <w:color w:val="000000" w:themeColor="text1"/>
              <w:highlight w:val="none"/>
              <w14:textFill>
                <w14:solidFill>
                  <w14:schemeClr w14:val="tx1"/>
                </w14:solidFill>
              </w14:textFill>
            </w:rPr>
            <m:t>）=</m:t>
          </m:r>
          <m:sSub>
            <m:sSubPr>
              <m:ctrlPr>
                <w:rPr>
                  <w:rFonts w:ascii="Cambria Math" w:hAnsi="Cambria Math"/>
                  <w:color w:val="000000" w:themeColor="text1"/>
                  <w:highlight w:val="none"/>
                  <w14:textFill>
                    <w14:solidFill>
                      <w14:schemeClr w14:val="tx1"/>
                    </w14:solidFill>
                  </w14:textFill>
                </w:rPr>
              </m:ctrlPr>
            </m:sSubPr>
            <m:e>
              <m:r>
                <m:rPr/>
                <w:rPr>
                  <w:rFonts w:ascii="Cambria Math" w:hAnsi="Cambria Math"/>
                  <w:color w:val="000000" w:themeColor="text1"/>
                  <w:highlight w:val="none"/>
                  <w14:textFill>
                    <w14:solidFill>
                      <w14:schemeClr w14:val="tx1"/>
                    </w14:solidFill>
                  </w14:textFill>
                </w:rPr>
                <m:t>L</m:t>
              </m:r>
              <m:ctrlPr>
                <w:rPr>
                  <w:rFonts w:ascii="Cambria Math" w:hAnsi="Cambria Math"/>
                  <w:color w:val="000000" w:themeColor="text1"/>
                  <w:highlight w:val="none"/>
                  <w14:textFill>
                    <w14:solidFill>
                      <w14:schemeClr w14:val="tx1"/>
                    </w14:solidFill>
                  </w14:textFill>
                </w:rPr>
              </m:ctrlPr>
            </m:e>
            <m:sub>
              <m:r>
                <m:rPr/>
                <w:rPr>
                  <w:rFonts w:ascii="Cambria Math" w:hAnsi="Cambria Math"/>
                  <w:color w:val="000000" w:themeColor="text1"/>
                  <w:highlight w:val="none"/>
                  <w14:textFill>
                    <w14:solidFill>
                      <w14:schemeClr w14:val="tx1"/>
                    </w14:solidFill>
                  </w14:textFill>
                </w:rPr>
                <m:t>A</m:t>
              </m:r>
              <m:ctrlPr>
                <w:rPr>
                  <w:rFonts w:ascii="Cambria Math" w:hAnsi="Cambria Math"/>
                  <w:color w:val="000000" w:themeColor="text1"/>
                  <w:highlight w:val="none"/>
                  <w14:textFill>
                    <w14:solidFill>
                      <w14:schemeClr w14:val="tx1"/>
                    </w14:solidFill>
                  </w14:textFill>
                </w:rPr>
              </m:ctrlPr>
            </m:sub>
          </m:sSub>
          <m:r>
            <m:rPr>
              <m:sty m:val="p"/>
            </m:rPr>
            <w:rPr>
              <w:rFonts w:ascii="Cambria Math" w:hAnsi="Cambria Math"/>
              <w:color w:val="000000" w:themeColor="text1"/>
              <w:highlight w:val="none"/>
              <w14:textFill>
                <w14:solidFill>
                  <w14:schemeClr w14:val="tx1"/>
                </w14:solidFill>
              </w14:textFill>
            </w:rPr>
            <m:t>（</m:t>
          </m:r>
          <m:r>
            <m:rPr/>
            <w:rPr>
              <w:rFonts w:ascii="Cambria Math" w:hAnsi="Cambria Math"/>
              <w:color w:val="000000" w:themeColor="text1"/>
              <w:highlight w:val="none"/>
              <w14:textFill>
                <w14:solidFill>
                  <w14:schemeClr w14:val="tx1"/>
                </w14:solidFill>
              </w14:textFill>
            </w:rPr>
            <m:t>ro</m:t>
          </m:r>
          <m:r>
            <m:rPr>
              <m:sty m:val="p"/>
            </m:rPr>
            <w:rPr>
              <w:rFonts w:ascii="Cambria Math" w:hAnsi="Cambria Math"/>
              <w:color w:val="000000" w:themeColor="text1"/>
              <w:highlight w:val="none"/>
              <w14:textFill>
                <w14:solidFill>
                  <w14:schemeClr w14:val="tx1"/>
                </w14:solidFill>
              </w14:textFill>
            </w:rPr>
            <m:t>）−20</m:t>
          </m:r>
          <m:sSub>
            <m:sSubPr>
              <m:ctrlPr>
                <w:rPr>
                  <w:rFonts w:ascii="Cambria Math" w:hAnsi="Cambria Math"/>
                  <w:color w:val="000000" w:themeColor="text1"/>
                  <w:highlight w:val="none"/>
                  <w14:textFill>
                    <w14:solidFill>
                      <w14:schemeClr w14:val="tx1"/>
                    </w14:solidFill>
                  </w14:textFill>
                </w:rPr>
              </m:ctrlPr>
            </m:sSubPr>
            <m:e>
              <m:r>
                <m:rPr/>
                <w:rPr>
                  <w:rFonts w:ascii="Cambria Math" w:hAnsi="Cambria Math"/>
                  <w:color w:val="000000" w:themeColor="text1"/>
                  <w:highlight w:val="none"/>
                  <w14:textFill>
                    <w14:solidFill>
                      <w14:schemeClr w14:val="tx1"/>
                    </w14:solidFill>
                  </w14:textFill>
                </w:rPr>
                <m:t>L</m:t>
              </m:r>
              <m:ctrlPr>
                <w:rPr>
                  <w:rFonts w:ascii="Cambria Math" w:hAnsi="Cambria Math"/>
                  <w:color w:val="000000" w:themeColor="text1"/>
                  <w:highlight w:val="none"/>
                  <w14:textFill>
                    <w14:solidFill>
                      <w14:schemeClr w14:val="tx1"/>
                    </w14:solidFill>
                  </w14:textFill>
                </w:rPr>
              </m:ctrlPr>
            </m:e>
            <m:sub>
              <m:r>
                <m:rPr/>
                <w:rPr>
                  <w:rFonts w:ascii="Cambria Math" w:hAnsi="Cambria Math"/>
                  <w:color w:val="000000" w:themeColor="text1"/>
                  <w:highlight w:val="none"/>
                  <w14:textFill>
                    <w14:solidFill>
                      <w14:schemeClr w14:val="tx1"/>
                    </w14:solidFill>
                  </w14:textFill>
                </w:rPr>
                <m:t>g</m:t>
              </m:r>
              <m:ctrlPr>
                <w:rPr>
                  <w:rFonts w:ascii="Cambria Math" w:hAnsi="Cambria Math"/>
                  <w:color w:val="000000" w:themeColor="text1"/>
                  <w:highlight w:val="none"/>
                  <w14:textFill>
                    <w14:solidFill>
                      <w14:schemeClr w14:val="tx1"/>
                    </w14:solidFill>
                  </w14:textFill>
                </w:rPr>
              </m:ctrlPr>
            </m:sub>
          </m:sSub>
          <m:d>
            <m:dPr>
              <m:ctrlPr>
                <w:rPr>
                  <w:rFonts w:ascii="Cambria Math" w:hAnsi="Cambria Math"/>
                  <w:color w:val="000000" w:themeColor="text1"/>
                  <w:highlight w:val="none"/>
                  <w14:textFill>
                    <w14:solidFill>
                      <w14:schemeClr w14:val="tx1"/>
                    </w14:solidFill>
                  </w14:textFill>
                </w:rPr>
              </m:ctrlPr>
            </m:dPr>
            <m:e>
              <m:f>
                <m:fPr>
                  <m:type m:val="lin"/>
                  <m:ctrlPr>
                    <w:rPr>
                      <w:rFonts w:ascii="Cambria Math" w:hAnsi="Cambria Math"/>
                      <w:color w:val="000000" w:themeColor="text1"/>
                      <w:highlight w:val="none"/>
                      <w14:textFill>
                        <w14:solidFill>
                          <w14:schemeClr w14:val="tx1"/>
                        </w14:solidFill>
                      </w14:textFill>
                    </w:rPr>
                  </m:ctrlPr>
                </m:fPr>
                <m:num>
                  <m:r>
                    <m:rPr/>
                    <w:rPr>
                      <w:rFonts w:ascii="Cambria Math" w:hAnsi="Cambria Math"/>
                      <w:color w:val="000000" w:themeColor="text1"/>
                      <w:highlight w:val="none"/>
                      <w14:textFill>
                        <w14:solidFill>
                          <w14:schemeClr w14:val="tx1"/>
                        </w14:solidFill>
                      </w14:textFill>
                    </w:rPr>
                    <m:t>r</m:t>
                  </m:r>
                  <m:ctrlPr>
                    <w:rPr>
                      <w:rFonts w:ascii="Cambria Math" w:hAnsi="Cambria Math"/>
                      <w:color w:val="000000" w:themeColor="text1"/>
                      <w:highlight w:val="none"/>
                      <w14:textFill>
                        <w14:solidFill>
                          <w14:schemeClr w14:val="tx1"/>
                        </w14:solidFill>
                      </w14:textFill>
                    </w:rPr>
                  </m:ctrlPr>
                </m:num>
                <m:den>
                  <m:sSub>
                    <m:sSubPr>
                      <m:ctrlPr>
                        <w:rPr>
                          <w:rFonts w:ascii="Cambria Math" w:hAnsi="Cambria Math"/>
                          <w:color w:val="000000" w:themeColor="text1"/>
                          <w:highlight w:val="none"/>
                          <w14:textFill>
                            <w14:solidFill>
                              <w14:schemeClr w14:val="tx1"/>
                            </w14:solidFill>
                          </w14:textFill>
                        </w:rPr>
                      </m:ctrlPr>
                    </m:sSubPr>
                    <m:e>
                      <m:r>
                        <m:rPr/>
                        <w:rPr>
                          <w:rFonts w:ascii="Cambria Math" w:hAnsi="Cambria Math"/>
                          <w:color w:val="000000" w:themeColor="text1"/>
                          <w:highlight w:val="none"/>
                          <w14:textFill>
                            <w14:solidFill>
                              <w14:schemeClr w14:val="tx1"/>
                            </w14:solidFill>
                          </w14:textFill>
                        </w:rPr>
                        <m:t>r</m:t>
                      </m:r>
                      <m:ctrlPr>
                        <w:rPr>
                          <w:rFonts w:ascii="Cambria Math" w:hAnsi="Cambria Math"/>
                          <w:color w:val="000000" w:themeColor="text1"/>
                          <w:highlight w:val="none"/>
                          <w14:textFill>
                            <w14:solidFill>
                              <w14:schemeClr w14:val="tx1"/>
                            </w14:solidFill>
                          </w14:textFill>
                        </w:rPr>
                      </m:ctrlPr>
                    </m:e>
                    <m:sub>
                      <m:r>
                        <m:rPr/>
                        <w:rPr>
                          <w:rFonts w:ascii="Cambria Math" w:hAnsi="Cambria Math"/>
                          <w:color w:val="000000" w:themeColor="text1"/>
                          <w:highlight w:val="none"/>
                          <w14:textFill>
                            <w14:solidFill>
                              <w14:schemeClr w14:val="tx1"/>
                            </w14:solidFill>
                          </w14:textFill>
                        </w:rPr>
                        <m:t>o</m:t>
                      </m:r>
                      <m:ctrlPr>
                        <w:rPr>
                          <w:rFonts w:ascii="Cambria Math" w:hAnsi="Cambria Math"/>
                          <w:color w:val="000000" w:themeColor="text1"/>
                          <w:highlight w:val="none"/>
                          <w14:textFill>
                            <w14:solidFill>
                              <w14:schemeClr w14:val="tx1"/>
                            </w14:solidFill>
                          </w14:textFill>
                        </w:rPr>
                      </m:ctrlPr>
                    </m:sub>
                  </m:sSub>
                  <m:ctrlPr>
                    <w:rPr>
                      <w:rFonts w:ascii="Cambria Math" w:hAnsi="Cambria Math"/>
                      <w:color w:val="000000" w:themeColor="text1"/>
                      <w:highlight w:val="none"/>
                      <w14:textFill>
                        <w14:solidFill>
                          <w14:schemeClr w14:val="tx1"/>
                        </w14:solidFill>
                      </w14:textFill>
                    </w:rPr>
                  </m:ctrlPr>
                </m:den>
              </m:f>
              <m:ctrlPr>
                <w:rPr>
                  <w:rFonts w:ascii="Cambria Math" w:hAnsi="Cambria Math"/>
                  <w:color w:val="000000" w:themeColor="text1"/>
                  <w:highlight w:val="none"/>
                  <w14:textFill>
                    <w14:solidFill>
                      <w14:schemeClr w14:val="tx1"/>
                    </w14:solidFill>
                  </w14:textFill>
                </w:rPr>
              </m:ctrlPr>
            </m:e>
          </m:d>
          <m:r>
            <m:rPr>
              <m:sty m:val="p"/>
            </m:rPr>
            <w:rPr>
              <w:rFonts w:ascii="Cambria Math" w:hAnsi="Cambria Math"/>
              <w:color w:val="000000" w:themeColor="text1"/>
              <w:highlight w:val="none"/>
              <w14:textFill>
                <w14:solidFill>
                  <w14:schemeClr w14:val="tx1"/>
                </w14:solidFill>
              </w14:textFill>
            </w:rPr>
            <m:t>−</m:t>
          </m:r>
          <m:r>
            <m:rPr/>
            <w:rPr>
              <w:rFonts w:ascii="Cambria Math" w:hAnsi="Cambria Math"/>
              <w:color w:val="000000" w:themeColor="text1"/>
              <w:highlight w:val="none"/>
              <w14:textFill>
                <w14:solidFill>
                  <w14:schemeClr w14:val="tx1"/>
                </w14:solidFill>
              </w14:textFill>
            </w:rPr>
            <m:t>ΔL</m:t>
          </m:r>
        </m:oMath>
      </m:oMathPara>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式中：L</w:t>
      </w:r>
      <w:r>
        <w:rPr>
          <w:color w:val="000000" w:themeColor="text1"/>
          <w:highlight w:val="none"/>
          <w:vertAlign w:val="subscript"/>
          <w14:textFill>
            <w14:solidFill>
              <w14:schemeClr w14:val="tx1"/>
            </w14:solidFill>
          </w14:textFill>
        </w:rPr>
        <w:t>A</w:t>
      </w:r>
      <w:r>
        <w:rPr>
          <w:color w:val="000000" w:themeColor="text1"/>
          <w:highlight w:val="none"/>
          <w14:textFill>
            <w14:solidFill>
              <w14:schemeClr w14:val="tx1"/>
            </w14:solidFill>
          </w14:textFill>
        </w:rPr>
        <w:t>（r）—距声源r处的施工噪声预测值，dB（A）；</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LA（r0）—距声源r</w:t>
      </w:r>
      <w:r>
        <w:rPr>
          <w:color w:val="000000" w:themeColor="text1"/>
          <w:highlight w:val="none"/>
          <w:vertAlign w:val="subscript"/>
          <w14:textFill>
            <w14:solidFill>
              <w14:schemeClr w14:val="tx1"/>
            </w14:solidFill>
          </w14:textFill>
        </w:rPr>
        <w:t>0</w:t>
      </w:r>
      <w:r>
        <w:rPr>
          <w:color w:val="000000" w:themeColor="text1"/>
          <w:highlight w:val="none"/>
          <w14:textFill>
            <w14:solidFill>
              <w14:schemeClr w14:val="tx1"/>
            </w14:solidFill>
          </w14:textFill>
        </w:rPr>
        <w:t>处的参考声压级，dB（A）；</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r—预测点距声源的距离，m；</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r</w:t>
      </w:r>
      <w:r>
        <w:rPr>
          <w:color w:val="000000" w:themeColor="text1"/>
          <w:highlight w:val="none"/>
          <w:vertAlign w:val="subscript"/>
          <w14:textFill>
            <w14:solidFill>
              <w14:schemeClr w14:val="tx1"/>
            </w14:solidFill>
          </w14:textFill>
        </w:rPr>
        <w:t>0</w:t>
      </w:r>
      <w:r>
        <w:rPr>
          <w:color w:val="000000" w:themeColor="text1"/>
          <w:highlight w:val="none"/>
          <w14:textFill>
            <w14:solidFill>
              <w14:schemeClr w14:val="tx1"/>
            </w14:solidFill>
          </w14:textFill>
        </w:rPr>
        <w:t>—参考点距声源的距离，m。</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object>
          <v:shape id="_x0000_i1029" o:spt="75" type="#_x0000_t75" style="height:7.45pt;width:14.25pt;" o:ole="t" filled="f" o:preferrelative="t" stroked="f" coordsize="21600,21600">
            <v:path/>
            <v:fill on="f" focussize="0,0"/>
            <v:stroke on="f" joinstyle="miter"/>
            <v:imagedata r:id="rId86" o:title=""/>
            <o:lock v:ext="edit" aspectratio="t"/>
            <w10:wrap type="none"/>
            <w10:anchorlock/>
          </v:shape>
          <o:OLEObject Type="Embed" ProgID="Equation.2" ShapeID="_x0000_i1029" DrawAspect="Content" ObjectID="_1468075729" r:id="rId85">
            <o:LockedField>false</o:LockedField>
          </o:OLEObject>
        </w:object>
      </w:r>
      <w:r>
        <w:rPr>
          <w:color w:val="000000" w:themeColor="text1"/>
          <w:highlight w:val="none"/>
          <w14:textFill>
            <w14:solidFill>
              <w14:schemeClr w14:val="tx1"/>
            </w14:solidFill>
          </w14:textFill>
        </w:rPr>
        <w:t>—各种衰减量（除发散衰减外），dB（A）。室外</w:t>
      </w:r>
      <w:r>
        <w:rPr>
          <w:rFonts w:hint="eastAsia"/>
          <w:color w:val="000000" w:themeColor="text1"/>
          <w:highlight w:val="none"/>
          <w14:textFill>
            <w14:solidFill>
              <w14:schemeClr w14:val="tx1"/>
            </w14:solidFill>
          </w14:textFill>
        </w:rPr>
        <w:t>噪声源</w:t>
      </w:r>
      <w:r>
        <w:rPr>
          <w:color w:val="000000" w:themeColor="text1"/>
          <w:highlight w:val="none"/>
          <w14:textFill>
            <w14:solidFill>
              <w14:schemeClr w14:val="tx1"/>
            </w14:solidFill>
          </w14:textFill>
        </w:rPr>
        <w:t>为零。</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根据工程设计，本项目仅白天施工，夜间不施工。根据噪声衰减模式，各施工机具声源在不同距离处的噪声影响值（未考虑吸声、隔声等效果）参见表5.1-</w:t>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主要施工机械在不同距离的噪声值</w:t>
      </w:r>
      <w:r>
        <w:rPr>
          <w:color w:val="000000" w:themeColor="text1"/>
          <w:highlight w:val="none"/>
          <w14:textFill>
            <w14:solidFill>
              <w14:schemeClr w14:val="tx1"/>
            </w14:solidFill>
          </w14:textFill>
        </w:rPr>
        <w:t>单位：dB（A）</w:t>
      </w:r>
    </w:p>
    <w:tbl>
      <w:tblPr>
        <w:tblStyle w:val="41"/>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5"/>
        <w:gridCol w:w="1163"/>
        <w:gridCol w:w="659"/>
        <w:gridCol w:w="797"/>
        <w:gridCol w:w="797"/>
        <w:gridCol w:w="809"/>
        <w:gridCol w:w="790"/>
        <w:gridCol w:w="790"/>
        <w:gridCol w:w="888"/>
        <w:gridCol w:w="8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706" w:type="dxa"/>
            <w:vMerge w:val="restart"/>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序号</w:t>
            </w:r>
          </w:p>
        </w:tc>
        <w:tc>
          <w:tcPr>
            <w:tcW w:w="1132" w:type="dxa"/>
            <w:vMerge w:val="restart"/>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施工</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机具</w:t>
            </w:r>
          </w:p>
        </w:tc>
        <w:tc>
          <w:tcPr>
            <w:tcW w:w="6213" w:type="dxa"/>
            <w:gridSpan w:val="8"/>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预测距离（m）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706" w:type="dxa"/>
            <w:vMerge w:val="continue"/>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p>
        </w:tc>
        <w:tc>
          <w:tcPr>
            <w:tcW w:w="1132" w:type="dxa"/>
            <w:vMerge w:val="continue"/>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p>
        </w:tc>
        <w:tc>
          <w:tcPr>
            <w:tcW w:w="642" w:type="dxa"/>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10</w:t>
            </w:r>
          </w:p>
        </w:tc>
        <w:tc>
          <w:tcPr>
            <w:tcW w:w="776" w:type="dxa"/>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30</w:t>
            </w:r>
          </w:p>
        </w:tc>
        <w:tc>
          <w:tcPr>
            <w:tcW w:w="776" w:type="dxa"/>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50</w:t>
            </w:r>
          </w:p>
        </w:tc>
        <w:tc>
          <w:tcPr>
            <w:tcW w:w="788" w:type="dxa"/>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100</w:t>
            </w:r>
          </w:p>
        </w:tc>
        <w:tc>
          <w:tcPr>
            <w:tcW w:w="769" w:type="dxa"/>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150</w:t>
            </w:r>
          </w:p>
        </w:tc>
        <w:tc>
          <w:tcPr>
            <w:tcW w:w="769" w:type="dxa"/>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200</w:t>
            </w:r>
          </w:p>
        </w:tc>
        <w:tc>
          <w:tcPr>
            <w:tcW w:w="864" w:type="dxa"/>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250</w:t>
            </w:r>
          </w:p>
        </w:tc>
        <w:tc>
          <w:tcPr>
            <w:tcW w:w="829" w:type="dxa"/>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6"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1132"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推土机</w:t>
            </w:r>
          </w:p>
        </w:tc>
        <w:tc>
          <w:tcPr>
            <w:tcW w:w="642"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79</w:t>
            </w:r>
          </w:p>
        </w:tc>
        <w:tc>
          <w:tcPr>
            <w:tcW w:w="776"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69</w:t>
            </w:r>
          </w:p>
        </w:tc>
        <w:tc>
          <w:tcPr>
            <w:tcW w:w="776"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65</w:t>
            </w:r>
          </w:p>
        </w:tc>
        <w:tc>
          <w:tcPr>
            <w:tcW w:w="788"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59</w:t>
            </w:r>
          </w:p>
        </w:tc>
        <w:tc>
          <w:tcPr>
            <w:tcW w:w="769"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55</w:t>
            </w:r>
          </w:p>
        </w:tc>
        <w:tc>
          <w:tcPr>
            <w:tcW w:w="769"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54</w:t>
            </w:r>
          </w:p>
        </w:tc>
        <w:tc>
          <w:tcPr>
            <w:tcW w:w="864"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51</w:t>
            </w:r>
          </w:p>
        </w:tc>
        <w:tc>
          <w:tcPr>
            <w:tcW w:w="829"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6"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1132"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挖掘机</w:t>
            </w:r>
          </w:p>
        </w:tc>
        <w:tc>
          <w:tcPr>
            <w:tcW w:w="642"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78</w:t>
            </w:r>
          </w:p>
        </w:tc>
        <w:tc>
          <w:tcPr>
            <w:tcW w:w="776"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68</w:t>
            </w:r>
          </w:p>
        </w:tc>
        <w:tc>
          <w:tcPr>
            <w:tcW w:w="776"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64</w:t>
            </w:r>
          </w:p>
        </w:tc>
        <w:tc>
          <w:tcPr>
            <w:tcW w:w="788"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58</w:t>
            </w:r>
          </w:p>
        </w:tc>
        <w:tc>
          <w:tcPr>
            <w:tcW w:w="769"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54</w:t>
            </w:r>
          </w:p>
        </w:tc>
        <w:tc>
          <w:tcPr>
            <w:tcW w:w="769"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53</w:t>
            </w:r>
          </w:p>
        </w:tc>
        <w:tc>
          <w:tcPr>
            <w:tcW w:w="864"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50</w:t>
            </w:r>
          </w:p>
        </w:tc>
        <w:tc>
          <w:tcPr>
            <w:tcW w:w="829"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6"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1132"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载重机车</w:t>
            </w:r>
          </w:p>
        </w:tc>
        <w:tc>
          <w:tcPr>
            <w:tcW w:w="642"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76</w:t>
            </w:r>
          </w:p>
        </w:tc>
        <w:tc>
          <w:tcPr>
            <w:tcW w:w="776"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66</w:t>
            </w:r>
          </w:p>
        </w:tc>
        <w:tc>
          <w:tcPr>
            <w:tcW w:w="776"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62</w:t>
            </w:r>
          </w:p>
        </w:tc>
        <w:tc>
          <w:tcPr>
            <w:tcW w:w="788"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56</w:t>
            </w:r>
          </w:p>
        </w:tc>
        <w:tc>
          <w:tcPr>
            <w:tcW w:w="769"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52</w:t>
            </w:r>
          </w:p>
        </w:tc>
        <w:tc>
          <w:tcPr>
            <w:tcW w:w="769"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51</w:t>
            </w:r>
          </w:p>
        </w:tc>
        <w:tc>
          <w:tcPr>
            <w:tcW w:w="864"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48</w:t>
            </w:r>
          </w:p>
        </w:tc>
        <w:tc>
          <w:tcPr>
            <w:tcW w:w="829"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6"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c>
          <w:tcPr>
            <w:tcW w:w="1132"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空压机</w:t>
            </w:r>
          </w:p>
        </w:tc>
        <w:tc>
          <w:tcPr>
            <w:tcW w:w="642"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81</w:t>
            </w:r>
          </w:p>
        </w:tc>
        <w:tc>
          <w:tcPr>
            <w:tcW w:w="776"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71</w:t>
            </w:r>
          </w:p>
        </w:tc>
        <w:tc>
          <w:tcPr>
            <w:tcW w:w="776"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67</w:t>
            </w:r>
          </w:p>
        </w:tc>
        <w:tc>
          <w:tcPr>
            <w:tcW w:w="788"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61</w:t>
            </w:r>
          </w:p>
        </w:tc>
        <w:tc>
          <w:tcPr>
            <w:tcW w:w="769"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57</w:t>
            </w:r>
          </w:p>
        </w:tc>
        <w:tc>
          <w:tcPr>
            <w:tcW w:w="769"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55</w:t>
            </w:r>
          </w:p>
        </w:tc>
        <w:tc>
          <w:tcPr>
            <w:tcW w:w="864"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53</w:t>
            </w:r>
          </w:p>
        </w:tc>
        <w:tc>
          <w:tcPr>
            <w:tcW w:w="829"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52</w:t>
            </w:r>
          </w:p>
        </w:tc>
      </w:tr>
    </w:tbl>
    <w:p>
      <w:pPr>
        <w:spacing w:before="120" w:beforeLines="5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根据预测结果，在距离施工机械约36m处噪声级低于70dB（A），即施工区边界外36m处可满足《建筑施工场界环境噪声排放标准》（GB12523-2011）。</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（2）施工期噪声对敏感点的影响分析</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按《声环境质量标准》（GB3096-2008）2类标准评价（昼间小于等于60分贝），昼间距离施工区约113m可满足标准要求，夜间不施工。</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项目周边的敏感点均为分散的敏感点，噪声对周边环境及居民点的影响</w:t>
      </w:r>
      <w:r>
        <w:rPr>
          <w:rFonts w:hint="eastAsia"/>
          <w:color w:val="000000" w:themeColor="text1"/>
          <w:highlight w:val="none"/>
          <w14:textFill>
            <w14:solidFill>
              <w14:schemeClr w14:val="tx1"/>
            </w14:solidFill>
          </w14:textFill>
        </w:rPr>
        <w:t>较小</w:t>
      </w:r>
      <w:r>
        <w:rPr>
          <w:color w:val="000000" w:themeColor="text1"/>
          <w:highlight w:val="none"/>
          <w14:textFill>
            <w14:solidFill>
              <w14:schemeClr w14:val="tx1"/>
            </w14:solidFill>
          </w14:textFill>
        </w:rPr>
        <w:t>，在</w:t>
      </w:r>
      <w:r>
        <w:rPr>
          <w:rFonts w:hint="eastAsia"/>
          <w:color w:val="000000" w:themeColor="text1"/>
          <w:highlight w:val="none"/>
          <w14:textFill>
            <w14:solidFill>
              <w14:schemeClr w14:val="tx1"/>
            </w14:solidFill>
          </w14:textFill>
        </w:rPr>
        <w:t>工程</w:t>
      </w:r>
      <w:r>
        <w:rPr>
          <w:color w:val="000000" w:themeColor="text1"/>
          <w:highlight w:val="none"/>
          <w14:textFill>
            <w14:solidFill>
              <w14:schemeClr w14:val="tx1"/>
            </w14:solidFill>
          </w14:textFill>
        </w:rPr>
        <w:t>施工时，应选择合理的施工时间，白天施工时尽量避开居民午休时间，且优化总平面布置，以此来</w:t>
      </w:r>
      <w:r>
        <w:rPr>
          <w:rFonts w:hint="eastAsia"/>
          <w:color w:val="000000" w:themeColor="text1"/>
          <w:highlight w:val="none"/>
          <w14:textFill>
            <w14:solidFill>
              <w14:schemeClr w14:val="tx1"/>
            </w14:solidFill>
          </w14:textFill>
        </w:rPr>
        <w:t>进一步</w:t>
      </w:r>
      <w:r>
        <w:rPr>
          <w:color w:val="000000" w:themeColor="text1"/>
          <w:highlight w:val="none"/>
          <w14:textFill>
            <w14:solidFill>
              <w14:schemeClr w14:val="tx1"/>
            </w14:solidFill>
          </w14:textFill>
        </w:rPr>
        <w:t>降低噪声对附近居民的影响，同时应加强与周边居民点的沟通，取得居民谅解。</w:t>
      </w:r>
    </w:p>
    <w:p>
      <w:pPr>
        <w:pStyle w:val="5"/>
        <w:spacing w:before="120"/>
        <w:ind w:firstLine="480"/>
        <w:rPr>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施工期水土流失影响分析</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根据达州市水利局《关于水土保持“两区”划分的公告》，本项目涉及水土流失重点治理区</w:t>
      </w:r>
      <w:r>
        <w:rPr>
          <w:rFonts w:cs="Times New Roman"/>
          <w:bCs/>
          <w:color w:val="000000" w:themeColor="text1"/>
          <w:highlight w:val="none"/>
          <w14:textFill>
            <w14:solidFill>
              <w14:schemeClr w14:val="tx1"/>
            </w14:solidFill>
          </w14:textFill>
        </w:rPr>
        <w:t>，本项目在建设和试采期间必须加强水土保持工作，最大限度地减少工程建设造成的水土流失危害。</w:t>
      </w:r>
    </w:p>
    <w:p>
      <w:pPr>
        <w:ind w:firstLine="480"/>
        <w:rPr>
          <w:rFonts w:cs="Times New Roman"/>
          <w:bCs/>
          <w:color w:val="000000" w:themeColor="text1"/>
          <w:highlight w:val="none"/>
          <w14:textFill>
            <w14:solidFill>
              <w14:schemeClr w14:val="tx1"/>
            </w14:solidFill>
          </w14:textFill>
        </w:rPr>
      </w:pPr>
      <w:bookmarkStart w:id="260" w:name="_Hlk51604865"/>
      <w:r>
        <w:rPr>
          <w:rFonts w:cs="Times New Roman"/>
          <w:bCs/>
          <w:color w:val="000000" w:themeColor="text1"/>
          <w:highlight w:val="none"/>
          <w14:textFill>
            <w14:solidFill>
              <w14:schemeClr w14:val="tx1"/>
            </w14:solidFill>
          </w14:textFill>
        </w:rPr>
        <w:t>根据区域水土流失资料分析及水土流失现状调查，项目区水土流失类型主要为水力侵蚀，水力侵蚀以轻度和中度为主。</w:t>
      </w:r>
      <w:bookmarkEnd w:id="260"/>
      <w:r>
        <w:rPr>
          <w:rFonts w:cs="Times New Roman"/>
          <w:bCs/>
          <w:color w:val="000000" w:themeColor="text1"/>
          <w:highlight w:val="none"/>
          <w14:textFill>
            <w14:solidFill>
              <w14:schemeClr w14:val="tx1"/>
            </w14:solidFill>
          </w14:textFill>
        </w:rPr>
        <w:t>本项目对区域水土流失的影响主要是施工期的短暂影响，试采期</w:t>
      </w:r>
      <w:r>
        <w:rPr>
          <w:rFonts w:hint="eastAsia" w:cs="Times New Roman"/>
          <w:bCs/>
          <w:color w:val="000000" w:themeColor="text1"/>
          <w:highlight w:val="none"/>
          <w14:textFill>
            <w14:solidFill>
              <w14:schemeClr w14:val="tx1"/>
            </w14:solidFill>
          </w14:textFill>
        </w:rPr>
        <w:t>时</w:t>
      </w:r>
      <w:r>
        <w:rPr>
          <w:rFonts w:cs="Times New Roman"/>
          <w:bCs/>
          <w:color w:val="000000" w:themeColor="text1"/>
          <w:highlight w:val="none"/>
          <w14:textFill>
            <w14:solidFill>
              <w14:schemeClr w14:val="tx1"/>
            </w14:solidFill>
          </w14:textFill>
        </w:rPr>
        <w:t>各项工程均已建成，对地表的扰动基本不会发生，不会新增水土流失。施工期其引发水土流失的主要因素有：土石方及表土的大量堆放；井场等基建造成的地表裸露；基础施工等对原地形地貌、植被等产生的扰动、破坏或再塑等。</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本工程地处土石山区，水土流失形式以水力侵蚀为主，主要表现为面蚀。工程属于建设生产类项目，水土流失主要发生在施工期。根据主体工程提供的设计资料和基建施工工艺，分析本项目施工期可能造成的水土流失危害主要有：</w:t>
      </w:r>
    </w:p>
    <w:p>
      <w:pPr>
        <w:ind w:firstLine="480"/>
        <w:rPr>
          <w:rFonts w:cs="Times New Roman"/>
          <w:bCs/>
          <w:color w:val="000000" w:themeColor="text1"/>
          <w:highlight w:val="none"/>
          <w14:textFill>
            <w14:solidFill>
              <w14:schemeClr w14:val="tx1"/>
            </w14:solidFill>
          </w14:textFill>
        </w:rPr>
      </w:pPr>
      <w:r>
        <w:rPr>
          <w:rFonts w:hint="eastAsia" w:ascii="宋体" w:hAnsi="宋体" w:cs="宋体"/>
          <w:bCs/>
          <w:color w:val="000000" w:themeColor="text1"/>
          <w:highlight w:val="none"/>
          <w14:textFill>
            <w14:solidFill>
              <w14:schemeClr w14:val="tx1"/>
            </w14:solidFill>
          </w14:textFill>
        </w:rPr>
        <w:t>①</w:t>
      </w:r>
      <w:r>
        <w:rPr>
          <w:rFonts w:cs="Times New Roman"/>
          <w:bCs/>
          <w:color w:val="000000" w:themeColor="text1"/>
          <w:highlight w:val="none"/>
          <w14:textFill>
            <w14:solidFill>
              <w14:schemeClr w14:val="tx1"/>
            </w14:solidFill>
          </w14:textFill>
        </w:rPr>
        <w:t>项目建设损坏了原区域的林地等水土保持设施，使原有区域失去了基本的水土保持功能，使区内水资源失去保护屏障，加大水土流失强度。</w:t>
      </w:r>
    </w:p>
    <w:p>
      <w:pPr>
        <w:ind w:firstLine="480"/>
        <w:rPr>
          <w:rFonts w:cs="Times New Roman"/>
          <w:bCs/>
          <w:color w:val="000000" w:themeColor="text1"/>
          <w:highlight w:val="none"/>
          <w14:textFill>
            <w14:solidFill>
              <w14:schemeClr w14:val="tx1"/>
            </w14:solidFill>
          </w14:textFill>
        </w:rPr>
      </w:pPr>
      <w:r>
        <w:rPr>
          <w:rFonts w:hint="eastAsia" w:ascii="宋体" w:hAnsi="宋体" w:cs="宋体"/>
          <w:bCs/>
          <w:color w:val="000000" w:themeColor="text1"/>
          <w:highlight w:val="none"/>
          <w14:textFill>
            <w14:solidFill>
              <w14:schemeClr w14:val="tx1"/>
            </w14:solidFill>
          </w14:textFill>
        </w:rPr>
        <w:t>②</w:t>
      </w:r>
      <w:r>
        <w:rPr>
          <w:rFonts w:cs="Times New Roman"/>
          <w:bCs/>
          <w:color w:val="000000" w:themeColor="text1"/>
          <w:highlight w:val="none"/>
          <w14:textFill>
            <w14:solidFill>
              <w14:schemeClr w14:val="tx1"/>
            </w14:solidFill>
          </w14:textFill>
        </w:rPr>
        <w:t>工程在建设期间，有较大面积的土石方开挖，造成地表裸露面积较大。在不能及时实施挡墙、排水等措施情况下，裸露地表造成水土流失，表土、土石方堆体易发生坍塌等灾害。</w:t>
      </w:r>
    </w:p>
    <w:p>
      <w:pPr>
        <w:ind w:firstLine="480"/>
        <w:rPr>
          <w:rFonts w:cs="Times New Roman"/>
          <w:bCs/>
          <w:color w:val="000000" w:themeColor="text1"/>
          <w:highlight w:val="none"/>
          <w14:textFill>
            <w14:solidFill>
              <w14:schemeClr w14:val="tx1"/>
            </w14:solidFill>
          </w14:textFill>
        </w:rPr>
      </w:pPr>
      <w:r>
        <w:rPr>
          <w:rFonts w:hint="eastAsia" w:ascii="宋体" w:hAnsi="宋体" w:cs="宋体"/>
          <w:bCs/>
          <w:color w:val="000000" w:themeColor="text1"/>
          <w:highlight w:val="none"/>
          <w14:textFill>
            <w14:solidFill>
              <w14:schemeClr w14:val="tx1"/>
            </w14:solidFill>
          </w14:textFill>
        </w:rPr>
        <w:t>③</w:t>
      </w:r>
      <w:r>
        <w:rPr>
          <w:rFonts w:cs="Times New Roman"/>
          <w:bCs/>
          <w:color w:val="000000" w:themeColor="text1"/>
          <w:highlight w:val="none"/>
          <w14:textFill>
            <w14:solidFill>
              <w14:schemeClr w14:val="tx1"/>
            </w14:solidFill>
          </w14:textFill>
        </w:rPr>
        <w:t>较严重的水土流失将直接对项目下游地势较低的耕地、道路等造成直接危害。大量流失的泥沙将会淤积排洪沟，降低其调洪、泄洪能力，对下游植被也会造成一定的影响。</w:t>
      </w:r>
    </w:p>
    <w:p>
      <w:pPr>
        <w:ind w:firstLine="480"/>
        <w:rPr>
          <w:rFonts w:cs="Times New Roman"/>
          <w:bCs/>
          <w:color w:val="000000" w:themeColor="text1"/>
          <w:highlight w:val="none"/>
          <w14:textFill>
            <w14:solidFill>
              <w14:schemeClr w14:val="tx1"/>
            </w14:solidFill>
          </w14:textFill>
        </w:rPr>
      </w:pPr>
      <w:r>
        <w:rPr>
          <w:rFonts w:hint="eastAsia" w:ascii="宋体" w:hAnsi="宋体" w:cs="宋体"/>
          <w:bCs/>
          <w:color w:val="000000" w:themeColor="text1"/>
          <w:highlight w:val="none"/>
          <w14:textFill>
            <w14:solidFill>
              <w14:schemeClr w14:val="tx1"/>
            </w14:solidFill>
          </w14:textFill>
        </w:rPr>
        <w:t>④</w:t>
      </w:r>
      <w:r>
        <w:rPr>
          <w:rFonts w:cs="Times New Roman"/>
          <w:bCs/>
          <w:color w:val="000000" w:themeColor="text1"/>
          <w:highlight w:val="none"/>
          <w14:textFill>
            <w14:solidFill>
              <w14:schemeClr w14:val="tx1"/>
            </w14:solidFill>
          </w14:textFill>
        </w:rPr>
        <w:t>项目区为西南土石山区的低山丘陵地貌，土层较薄，农作物产量低。工程建设过程中扰动破坏原地貌及植被，使土体松散，抗冲性能和抗蚀性能降低，尤其在雨季，易产生水土流失，严重的水土流失使土层进一步瘠薄，土地生产能力逐渐下降，农作物和植被逐渐失去生存环境，导致区域生态环境逐渐恶化。</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因此本项目应严格按照水保方案要求落实水土保持措施。拟建项目开挖面积小，施工期短，土石方就近占地进行临时堆放，无转运丢弃，实际新增水土流失量小。钻前工程剥离表土若随意堆放将引起水土流失，影响植被生长。项目设计将表土堆场，设挡土墙、截水沟、排水沟，可有效减少水土流失，同时利用土工布或塑料膜遮盖或采用水泥砂浆抹面的方法来减少水土流失。完钻后耕植土作为表层的覆土复植用，对表土堆场地进行复垦。通过该措施，拟建项目大大减小了土石方开挖引起的水土流失量。本次建设过程中，拟在征地范围内沿</w:t>
      </w:r>
      <w:r>
        <w:rPr>
          <w:rFonts w:hint="eastAsia" w:cs="Times New Roman"/>
          <w:bCs/>
          <w:color w:val="000000" w:themeColor="text1"/>
          <w:highlight w:val="none"/>
          <w14:textFill>
            <w14:solidFill>
              <w14:schemeClr w14:val="tx1"/>
            </w14:solidFill>
          </w14:textFill>
        </w:rPr>
        <w:t>站场</w:t>
      </w:r>
      <w:r>
        <w:rPr>
          <w:rFonts w:cs="Times New Roman"/>
          <w:bCs/>
          <w:color w:val="000000" w:themeColor="text1"/>
          <w:highlight w:val="none"/>
          <w14:textFill>
            <w14:solidFill>
              <w14:schemeClr w14:val="tx1"/>
            </w14:solidFill>
          </w14:textFill>
        </w:rPr>
        <w:t>和表土堆场四周修建截、排水沟，将场内雨水排出，防止场内充水及水流往下渗透，以保护</w:t>
      </w:r>
      <w:r>
        <w:rPr>
          <w:rFonts w:hint="eastAsia" w:cs="Times New Roman"/>
          <w:bCs/>
          <w:color w:val="000000" w:themeColor="text1"/>
          <w:highlight w:val="none"/>
          <w14:textFill>
            <w14:solidFill>
              <w14:schemeClr w14:val="tx1"/>
            </w14:solidFill>
          </w14:textFill>
        </w:rPr>
        <w:t>站</w:t>
      </w:r>
      <w:r>
        <w:rPr>
          <w:rFonts w:cs="Times New Roman"/>
          <w:bCs/>
          <w:color w:val="000000" w:themeColor="text1"/>
          <w:highlight w:val="none"/>
          <w14:textFill>
            <w14:solidFill>
              <w14:schemeClr w14:val="tx1"/>
            </w14:solidFill>
          </w14:textFill>
        </w:rPr>
        <w:t>场和表土堆场边坡稳定。</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本项目在</w:t>
      </w:r>
      <w:r>
        <w:rPr>
          <w:rFonts w:hint="eastAsia" w:cs="Times New Roman"/>
          <w:bCs/>
          <w:color w:val="000000" w:themeColor="text1"/>
          <w:highlight w:val="none"/>
          <w14:textFill>
            <w14:solidFill>
              <w14:schemeClr w14:val="tx1"/>
            </w14:solidFill>
          </w14:textFill>
        </w:rPr>
        <w:t>采取</w:t>
      </w:r>
      <w:r>
        <w:rPr>
          <w:rFonts w:cs="Times New Roman"/>
          <w:bCs/>
          <w:color w:val="000000" w:themeColor="text1"/>
          <w:highlight w:val="none"/>
          <w14:textFill>
            <w14:solidFill>
              <w14:schemeClr w14:val="tx1"/>
            </w14:solidFill>
          </w14:textFill>
        </w:rPr>
        <w:t>水土保持措施后，泥土的拦截率可达80%以上，</w:t>
      </w:r>
      <w:r>
        <w:rPr>
          <w:rFonts w:hint="eastAsia" w:cs="Times New Roman"/>
          <w:bCs/>
          <w:color w:val="000000" w:themeColor="text1"/>
          <w:highlight w:val="none"/>
          <w14:textFill>
            <w14:solidFill>
              <w14:schemeClr w14:val="tx1"/>
            </w14:solidFill>
          </w14:textFill>
        </w:rPr>
        <w:t>土壤流失量</w:t>
      </w:r>
      <w:r>
        <w:rPr>
          <w:rFonts w:cs="Times New Roman"/>
          <w:bCs/>
          <w:color w:val="000000" w:themeColor="text1"/>
          <w:highlight w:val="none"/>
          <w14:textFill>
            <w14:solidFill>
              <w14:schemeClr w14:val="tx1"/>
            </w14:solidFill>
          </w14:textFill>
        </w:rPr>
        <w:t>大大减少，最终的水土流失量控制在较低水平，使本项目的水土保持工作得以有效完成。拟建项目由于占地面积小，土石方量小，且施工时间短，工程实际新增的水土流失量小，在环境可接受范围内。该项目应编制水土保持方案并按照方案落实水土保持措施，水保措施应与本项目提出的生态恢复措施结合。恢复植被选择应考虑水土保持功能和生态修复功能。通过落实相应的水土保持措施，总体水土流失量小，对水土流失重点治理区影响很小。</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环评要求：项目在开工前，应根据国家有关要求编制项目水土保持方案或采取有效水保措施，确保本项目的水土保持工作得以有效完成。</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综上，本项目实施后，经严格落实水保措施及本环评报告提出的相关水土保持措施及生态恢复措施后，其区域水土流失现象能得到相应</w:t>
      </w:r>
      <w:r>
        <w:rPr>
          <w:rFonts w:hint="eastAsia" w:cs="Times New Roman"/>
          <w:bCs/>
          <w:color w:val="000000" w:themeColor="text1"/>
          <w:highlight w:val="none"/>
          <w14:textFill>
            <w14:solidFill>
              <w14:schemeClr w14:val="tx1"/>
            </w14:solidFill>
          </w14:textFill>
        </w:rPr>
        <w:t>的</w:t>
      </w:r>
      <w:r>
        <w:rPr>
          <w:rFonts w:cs="Times New Roman"/>
          <w:bCs/>
          <w:color w:val="000000" w:themeColor="text1"/>
          <w:highlight w:val="none"/>
          <w14:textFill>
            <w14:solidFill>
              <w14:schemeClr w14:val="tx1"/>
            </w14:solidFill>
          </w14:textFill>
        </w:rPr>
        <w:t>减缓。</w:t>
      </w:r>
    </w:p>
    <w:p>
      <w:pPr>
        <w:pStyle w:val="4"/>
        <w:spacing w:before="120"/>
        <w:rPr>
          <w:color w:val="000000" w:themeColor="text1"/>
          <w:highlight w:val="none"/>
          <w:lang w:eastAsia="zh-CN"/>
          <w14:textFill>
            <w14:solidFill>
              <w14:schemeClr w14:val="tx1"/>
            </w14:solidFill>
          </w14:textFill>
        </w:rPr>
      </w:pPr>
      <w:bookmarkStart w:id="261" w:name="_bookmark29"/>
      <w:bookmarkEnd w:id="261"/>
      <w:bookmarkStart w:id="262" w:name="5.2运营期环境影响分析"/>
      <w:bookmarkEnd w:id="262"/>
      <w:bookmarkStart w:id="263" w:name="5.1.5生态影响分析"/>
      <w:bookmarkEnd w:id="263"/>
      <w:bookmarkStart w:id="264" w:name="_Toc28629"/>
      <w:r>
        <w:rPr>
          <w:color w:val="000000" w:themeColor="text1"/>
          <w:highlight w:val="none"/>
          <w:lang w:eastAsia="zh-CN"/>
          <w14:textFill>
            <w14:solidFill>
              <w14:schemeClr w14:val="tx1"/>
            </w14:solidFill>
          </w14:textFill>
        </w:rPr>
        <w:t>试采期环境影响分析</w:t>
      </w:r>
      <w:bookmarkEnd w:id="264"/>
    </w:p>
    <w:p>
      <w:pPr>
        <w:pStyle w:val="5"/>
        <w:spacing w:before="120"/>
        <w:ind w:firstLine="480"/>
        <w:rPr>
          <w:color w:val="000000" w:themeColor="text1"/>
          <w:highlight w:val="none"/>
          <w:lang w:eastAsia="zh-CN"/>
          <w14:textFill>
            <w14:solidFill>
              <w14:schemeClr w14:val="tx1"/>
            </w14:solidFill>
          </w14:textFill>
        </w:rPr>
      </w:pPr>
      <w:bookmarkStart w:id="265" w:name="5.2.1地表水环境影响分析"/>
      <w:bookmarkEnd w:id="265"/>
      <w:bookmarkStart w:id="266" w:name="_Toc120173155"/>
      <w:r>
        <w:rPr>
          <w:color w:val="000000" w:themeColor="text1"/>
          <w:highlight w:val="none"/>
          <w:lang w:eastAsia="zh-CN"/>
          <w14:textFill>
            <w14:solidFill>
              <w14:schemeClr w14:val="tx1"/>
            </w14:solidFill>
          </w14:textFill>
        </w:rPr>
        <w:t>试采期生态环境影响分析</w:t>
      </w:r>
      <w:bookmarkEnd w:id="266"/>
    </w:p>
    <w:p>
      <w:pPr>
        <w:pStyle w:val="72"/>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对土地利用类型的影响</w:t>
      </w:r>
    </w:p>
    <w:p>
      <w:pPr>
        <w:ind w:firstLine="480"/>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本项目试采期不涉及新增占地，不会直接改变土地利用方式，项目运营不会改变评价区内现有的土地利用的基本格局</w:t>
      </w:r>
      <w:r>
        <w:rPr>
          <w:color w:val="000000" w:themeColor="text1"/>
          <w:highlight w:val="none"/>
          <w14:textFill>
            <w14:solidFill>
              <w14:schemeClr w14:val="tx1"/>
            </w14:solidFill>
          </w14:textFill>
        </w:rPr>
        <w:t>。</w:t>
      </w:r>
    </w:p>
    <w:p>
      <w:pPr>
        <w:pStyle w:val="72"/>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对植被及生物量的影响</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1、占地对植被及植物的影响</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运营期，管道线路中心线两侧各5m范围内的林地将被草本层植被替代。林地损失按照</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占一补一</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的原则进行经济补偿和生态补偿。对在项目施工临时占用地上无法恢复的森林植被，可以进行异地补偿，如管道中心线两侧5米范围损失的森林植被，补偿标准可以参照国家森林和林地相关法律和规章。森林植被恢复费专款专用，由林业主管部门依照有关规定统一安排植树造林，恢复森林植被，植树造林面积不得少于因占用、征用林地而减少的森林植被面积。因此，施工期其他临时占地在运营期进行植被恢复，损失的森林植被通过补偿措施将不会对区域植被造成较大影响。</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2、管道运行影响</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管道输送影响范围最小，是一种清洁的运输方式，正常输气过程中，管道对地表植被无不良影响。</w:t>
      </w:r>
    </w:p>
    <w:p>
      <w:pPr>
        <w:pStyle w:val="72"/>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对陆生野生动物的影响分析</w:t>
      </w:r>
    </w:p>
    <w:p>
      <w:pPr>
        <w:ind w:firstLine="480"/>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本项目试采期不涉及新增占地，</w:t>
      </w:r>
      <w:r>
        <w:rPr>
          <w:rFonts w:hint="eastAsia"/>
          <w:bCs/>
          <w:color w:val="000000" w:themeColor="text1"/>
          <w:highlight w:val="none"/>
          <w14:textFill>
            <w14:solidFill>
              <w14:schemeClr w14:val="tx1"/>
            </w14:solidFill>
          </w14:textFill>
        </w:rPr>
        <w:t>有</w:t>
      </w:r>
      <w:r>
        <w:rPr>
          <w:bCs/>
          <w:color w:val="000000" w:themeColor="text1"/>
          <w:highlight w:val="none"/>
          <w14:textFill>
            <w14:solidFill>
              <w14:schemeClr w14:val="tx1"/>
            </w14:solidFill>
          </w14:textFill>
        </w:rPr>
        <w:t>人值守，试生产期间的</w:t>
      </w:r>
      <w:r>
        <w:rPr>
          <w:rFonts w:hint="eastAsia"/>
          <w:bCs/>
          <w:color w:val="000000" w:themeColor="text1"/>
          <w:highlight w:val="none"/>
          <w14:textFill>
            <w14:solidFill>
              <w14:schemeClr w14:val="tx1"/>
            </w14:solidFill>
          </w14:textFill>
        </w:rPr>
        <w:t>人员活动、</w:t>
      </w:r>
      <w:r>
        <w:rPr>
          <w:bCs/>
          <w:color w:val="000000" w:themeColor="text1"/>
          <w:highlight w:val="none"/>
          <w14:textFill>
            <w14:solidFill>
              <w14:schemeClr w14:val="tx1"/>
            </w14:solidFill>
          </w14:textFill>
        </w:rPr>
        <w:t>噪声、放空、生产废弃物可能间接对陆生野生动物产生一定影响，其生境在某种程度上会受到一定的影响，但在周边也可以找到相同或相似生境，可迁移到合适生境中生活，对其生存不会造成威胁。同时项目区现有土地开发利用程度较高，野生动物组成比较简单，种类较少，多为已经适应人类生产生活等环境的鸟类和小型啮齿类动物，项目试采期间，要加强对巡检人员教育宣传，严</w:t>
      </w:r>
      <w:r>
        <w:rPr>
          <w:rFonts w:hint="eastAsia"/>
          <w:bCs/>
          <w:color w:val="000000" w:themeColor="text1"/>
          <w:highlight w:val="none"/>
          <w14:textFill>
            <w14:solidFill>
              <w14:schemeClr w14:val="tx1"/>
            </w14:solidFill>
          </w14:textFill>
        </w:rPr>
        <w:t>禁</w:t>
      </w:r>
      <w:r>
        <w:rPr>
          <w:bCs/>
          <w:color w:val="000000" w:themeColor="text1"/>
          <w:highlight w:val="none"/>
          <w14:textFill>
            <w14:solidFill>
              <w14:schemeClr w14:val="tx1"/>
            </w14:solidFill>
          </w14:textFill>
        </w:rPr>
        <w:t>非法捕杀野生动物，将对其影响降到</w:t>
      </w:r>
      <w:r>
        <w:rPr>
          <w:rFonts w:hint="eastAsia"/>
          <w:bCs/>
          <w:color w:val="000000" w:themeColor="text1"/>
          <w:highlight w:val="none"/>
          <w14:textFill>
            <w14:solidFill>
              <w14:schemeClr w14:val="tx1"/>
            </w14:solidFill>
          </w14:textFill>
        </w:rPr>
        <w:t>最低</w:t>
      </w:r>
      <w:r>
        <w:rPr>
          <w:color w:val="000000" w:themeColor="text1"/>
          <w:highlight w:val="none"/>
          <w14:textFill>
            <w14:solidFill>
              <w14:schemeClr w14:val="tx1"/>
            </w14:solidFill>
          </w14:textFill>
        </w:rPr>
        <w:t>。</w:t>
      </w:r>
    </w:p>
    <w:p>
      <w:pPr>
        <w:pStyle w:val="72"/>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对重点保护野生动植物的影响</w:t>
      </w:r>
    </w:p>
    <w:p>
      <w:pPr>
        <w:ind w:firstLine="480"/>
        <w:rPr>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根据实地调查，在项目评价区内未发现国家和省级重点保护野生动植物</w:t>
      </w:r>
      <w:r>
        <w:rPr>
          <w:color w:val="000000" w:themeColor="text1"/>
          <w:highlight w:val="none"/>
          <w14:textFill>
            <w14:solidFill>
              <w14:schemeClr w14:val="tx1"/>
            </w14:solidFill>
          </w14:textFill>
        </w:rPr>
        <w:t>。</w:t>
      </w:r>
    </w:p>
    <w:p>
      <w:pPr>
        <w:pStyle w:val="72"/>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对天然林、公益林及生态红线影响分析</w:t>
      </w:r>
    </w:p>
    <w:p>
      <w:pPr>
        <w:adjustRightInd/>
        <w:snapToGrid/>
        <w:ind w:firstLine="480"/>
        <w:rPr>
          <w:rFonts w:cs="Times New Roman"/>
          <w:bCs/>
          <w:color w:val="000000" w:themeColor="text1"/>
          <w:szCs w:val="20"/>
          <w:highlight w:val="none"/>
          <w14:textFill>
            <w14:solidFill>
              <w14:schemeClr w14:val="tx1"/>
            </w14:solidFill>
          </w14:textFill>
        </w:rPr>
      </w:pPr>
      <w:r>
        <w:rPr>
          <w:rFonts w:cs="Times New Roman"/>
          <w:bCs/>
          <w:color w:val="000000" w:themeColor="text1"/>
          <w:szCs w:val="20"/>
          <w:highlight w:val="none"/>
          <w14:textFill>
            <w14:solidFill>
              <w14:schemeClr w14:val="tx1"/>
            </w14:solidFill>
          </w14:textFill>
        </w:rPr>
        <w:t>本项目试采期不涉及新增占地，因此</w:t>
      </w:r>
      <w:r>
        <w:rPr>
          <w:rFonts w:cs="Times New Roman"/>
          <w:color w:val="000000" w:themeColor="text1"/>
          <w:szCs w:val="20"/>
          <w:highlight w:val="none"/>
          <w14:textFill>
            <w14:solidFill>
              <w14:schemeClr w14:val="tx1"/>
            </w14:solidFill>
          </w14:textFill>
        </w:rPr>
        <w:t>对天然林、公益林、</w:t>
      </w:r>
      <w:r>
        <w:rPr>
          <w:rFonts w:cs="Times New Roman"/>
          <w:bCs/>
          <w:color w:val="000000" w:themeColor="text1"/>
          <w:szCs w:val="20"/>
          <w:highlight w:val="none"/>
          <w14:textFill>
            <w14:solidFill>
              <w14:schemeClr w14:val="tx1"/>
            </w14:solidFill>
          </w14:textFill>
        </w:rPr>
        <w:t>生态红线</w:t>
      </w:r>
      <w:r>
        <w:rPr>
          <w:rFonts w:cs="Times New Roman"/>
          <w:color w:val="000000" w:themeColor="text1"/>
          <w:szCs w:val="20"/>
          <w:highlight w:val="none"/>
          <w14:textFill>
            <w14:solidFill>
              <w14:schemeClr w14:val="tx1"/>
            </w14:solidFill>
          </w14:textFill>
        </w:rPr>
        <w:t>无直接影响</w:t>
      </w:r>
      <w:r>
        <w:rPr>
          <w:rFonts w:cs="Times New Roman"/>
          <w:bCs/>
          <w:color w:val="000000" w:themeColor="text1"/>
          <w:szCs w:val="20"/>
          <w:highlight w:val="none"/>
          <w14:textFill>
            <w14:solidFill>
              <w14:schemeClr w14:val="tx1"/>
            </w14:solidFill>
          </w14:textFill>
        </w:rPr>
        <w:t>。</w:t>
      </w:r>
    </w:p>
    <w:p>
      <w:pPr>
        <w:pStyle w:val="72"/>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对景观生态和生态系统影响分析</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highlight w:val="none"/>
          <w14:textFill>
            <w14:solidFill>
              <w14:schemeClr w14:val="tx1"/>
            </w14:solidFill>
          </w14:textFill>
        </w:rPr>
        <w:t>项目试采期不新增占地，森林</w:t>
      </w:r>
      <w:r>
        <w:rPr>
          <w:rFonts w:hint="eastAsia" w:cs="Times New Roman"/>
          <w:bCs/>
          <w:color w:val="000000" w:themeColor="text1"/>
          <w:highlight w:val="none"/>
          <w14:textFill>
            <w14:solidFill>
              <w14:schemeClr w14:val="tx1"/>
            </w14:solidFill>
          </w14:textFill>
        </w:rPr>
        <w:t>土地</w:t>
      </w:r>
      <w:r>
        <w:rPr>
          <w:rFonts w:cs="Times New Roman"/>
          <w:bCs/>
          <w:color w:val="000000" w:themeColor="text1"/>
          <w:highlight w:val="none"/>
          <w14:textFill>
            <w14:solidFill>
              <w14:schemeClr w14:val="tx1"/>
            </w14:solidFill>
          </w14:textFill>
        </w:rPr>
        <w:t>根基不会动摇，景观的恢复稳定性和阻抗稳定性不会改变，生态环境不会发生质的变化，项目区及周边区域生态效能、景观风貌、环境质量、物种多样性等生态因子影响很小，不会对区域生态完整性产生影响</w:t>
      </w:r>
      <w:r>
        <w:rPr>
          <w:rFonts w:cs="Times New Roman"/>
          <w:bCs/>
          <w:color w:val="000000" w:themeColor="text1"/>
          <w:szCs w:val="24"/>
          <w:highlight w:val="none"/>
          <w14:textFill>
            <w14:solidFill>
              <w14:schemeClr w14:val="tx1"/>
            </w14:solidFill>
          </w14:textFill>
        </w:rPr>
        <w:t>。</w:t>
      </w:r>
    </w:p>
    <w:p>
      <w:pPr>
        <w:pStyle w:val="72"/>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对水生生物的影响分析</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highlight w:val="none"/>
          <w14:textFill>
            <w14:solidFill>
              <w14:schemeClr w14:val="tx1"/>
            </w14:solidFill>
          </w14:textFill>
        </w:rPr>
        <w:t>项目试采期不新增占地</w:t>
      </w:r>
      <w:r>
        <w:rPr>
          <w:rFonts w:hint="eastAsia" w:cs="Times New Roman"/>
          <w:bCs/>
          <w:color w:val="000000" w:themeColor="text1"/>
          <w:highlight w:val="none"/>
          <w14:textFill>
            <w14:solidFill>
              <w14:schemeClr w14:val="tx1"/>
            </w14:solidFill>
          </w14:textFill>
        </w:rPr>
        <w:t>，对水生生物无直接和间接影响。</w:t>
      </w:r>
    </w:p>
    <w:p>
      <w:pPr>
        <w:pStyle w:val="72"/>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水土流失影响</w:t>
      </w:r>
      <w:r>
        <w:rPr>
          <w:color w:val="000000" w:themeColor="text1"/>
          <w:highlight w:val="none"/>
          <w14:textFill>
            <w14:solidFill>
              <w14:schemeClr w14:val="tx1"/>
            </w14:solidFill>
          </w14:textFill>
        </w:rPr>
        <w:t>分析</w:t>
      </w:r>
    </w:p>
    <w:p>
      <w:pPr>
        <w:ind w:firstLine="480"/>
        <w:rPr>
          <w:rFonts w:cs="Times New Roman"/>
          <w:bCs/>
          <w:color w:val="000000" w:themeColor="text1"/>
          <w:szCs w:val="24"/>
          <w:highlight w:val="none"/>
          <w14:textFill>
            <w14:solidFill>
              <w14:schemeClr w14:val="tx1"/>
            </w14:solidFill>
          </w14:textFill>
        </w:rPr>
      </w:pPr>
      <w:r>
        <w:rPr>
          <w:rFonts w:cs="Times New Roman"/>
          <w:color w:val="000000" w:themeColor="text1"/>
          <w:highlight w:val="none"/>
          <w14:textFill>
            <w14:solidFill>
              <w14:schemeClr w14:val="tx1"/>
            </w14:solidFill>
          </w14:textFill>
        </w:rPr>
        <w:t>项目</w:t>
      </w:r>
      <w:r>
        <w:rPr>
          <w:rFonts w:hint="eastAsia" w:cs="Times New Roman"/>
          <w:color w:val="000000" w:themeColor="text1"/>
          <w:highlight w:val="none"/>
          <w14:textFill>
            <w14:solidFill>
              <w14:schemeClr w14:val="tx1"/>
            </w14:solidFill>
          </w14:textFill>
        </w:rPr>
        <w:t>试采</w:t>
      </w:r>
      <w:r>
        <w:rPr>
          <w:rFonts w:cs="Times New Roman"/>
          <w:color w:val="000000" w:themeColor="text1"/>
          <w:highlight w:val="none"/>
          <w14:textFill>
            <w14:solidFill>
              <w14:schemeClr w14:val="tx1"/>
            </w14:solidFill>
          </w14:textFill>
        </w:rPr>
        <w:t>期不涉及新增占地，</w:t>
      </w:r>
      <w:r>
        <w:rPr>
          <w:rFonts w:hint="eastAsia" w:cs="Times New Roman"/>
          <w:color w:val="000000" w:themeColor="text1"/>
          <w:highlight w:val="none"/>
          <w14:textFill>
            <w14:solidFill>
              <w14:schemeClr w14:val="tx1"/>
            </w14:solidFill>
          </w14:textFill>
        </w:rPr>
        <w:t>试采站场采取了硬化措施并设置排水沟，管线进行了生态恢复，基本不会产生水土流失</w:t>
      </w:r>
      <w:r>
        <w:rPr>
          <w:rFonts w:cs="Times New Roman"/>
          <w:color w:val="000000" w:themeColor="text1"/>
          <w:highlight w:val="none"/>
          <w14:textFill>
            <w14:solidFill>
              <w14:schemeClr w14:val="tx1"/>
            </w14:solidFill>
          </w14:textFill>
        </w:rPr>
        <w:t>，</w:t>
      </w:r>
      <w:r>
        <w:rPr>
          <w:rFonts w:hint="eastAsia" w:cs="Times New Roman"/>
          <w:color w:val="000000" w:themeColor="text1"/>
          <w:highlight w:val="none"/>
          <w14:textFill>
            <w14:solidFill>
              <w14:schemeClr w14:val="tx1"/>
            </w14:solidFill>
          </w14:textFill>
        </w:rPr>
        <w:t>对水土流失重点治理区影响很小。</w:t>
      </w:r>
    </w:p>
    <w:p>
      <w:pPr>
        <w:pStyle w:val="5"/>
        <w:spacing w:before="120"/>
        <w:ind w:firstLine="480"/>
        <w:rPr>
          <w:color w:val="000000" w:themeColor="text1"/>
          <w:highlight w:val="none"/>
          <w14:textFill>
            <w14:solidFill>
              <w14:schemeClr w14:val="tx1"/>
            </w14:solidFill>
          </w14:textFill>
        </w:rPr>
      </w:pPr>
      <w:bookmarkStart w:id="267" w:name="_Toc120173156"/>
      <w:r>
        <w:rPr>
          <w:color w:val="000000" w:themeColor="text1"/>
          <w:highlight w:val="none"/>
          <w14:textFill>
            <w14:solidFill>
              <w14:schemeClr w14:val="tx1"/>
            </w14:solidFill>
          </w14:textFill>
        </w:rPr>
        <w:t>大气环境影响分析</w:t>
      </w:r>
      <w:bookmarkEnd w:id="267"/>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废气主要来自水套加热炉天然气燃烧所产生的废气、无组织</w:t>
      </w:r>
      <w:r>
        <w:rPr>
          <w:rFonts w:hint="eastAsia" w:cs="Times New Roman"/>
          <w:color w:val="000000" w:themeColor="text1"/>
          <w:szCs w:val="24"/>
          <w:highlight w:val="none"/>
          <w14:textFill>
            <w14:solidFill>
              <w14:schemeClr w14:val="tx1"/>
            </w14:solidFill>
          </w14:textFill>
        </w:rPr>
        <w:t>泄漏</w:t>
      </w:r>
      <w:r>
        <w:rPr>
          <w:rFonts w:cs="Times New Roman"/>
          <w:color w:val="000000" w:themeColor="text1"/>
          <w:szCs w:val="24"/>
          <w:highlight w:val="none"/>
          <w14:textFill>
            <w14:solidFill>
              <w14:schemeClr w14:val="tx1"/>
            </w14:solidFill>
          </w14:textFill>
        </w:rPr>
        <w:t>烃类气体与设备检修或系统超压时排放少量天然气。</w:t>
      </w:r>
      <w:r>
        <w:rPr>
          <w:rFonts w:hint="eastAsia" w:cs="Times New Roman"/>
          <w:color w:val="000000" w:themeColor="text1"/>
          <w:szCs w:val="24"/>
          <w:highlight w:val="none"/>
          <w14:textFill>
            <w14:solidFill>
              <w14:schemeClr w14:val="tx1"/>
            </w14:solidFill>
          </w14:textFill>
        </w:rPr>
        <w:t>本项目需要新增</w:t>
      </w:r>
      <w:r>
        <w:rPr>
          <w:rFonts w:cs="Times New Roman"/>
          <w:color w:val="000000" w:themeColor="text1"/>
          <w:szCs w:val="24"/>
          <w:highlight w:val="none"/>
          <w14:textFill>
            <w14:solidFill>
              <w14:schemeClr w14:val="tx1"/>
            </w14:solidFill>
          </w14:textFill>
        </w:rPr>
        <w:t>1</w:t>
      </w:r>
      <w:r>
        <w:rPr>
          <w:rFonts w:hint="eastAsia" w:cs="Times New Roman"/>
          <w:color w:val="000000" w:themeColor="text1"/>
          <w:szCs w:val="24"/>
          <w:highlight w:val="none"/>
          <w14:textFill>
            <w14:solidFill>
              <w14:schemeClr w14:val="tx1"/>
            </w14:solidFill>
          </w14:textFill>
        </w:rPr>
        <w:t>套水套加热炉，因此，试采工程的主要大气影响预测主要为预测新增水套加热炉对周边大气环境质量的影响</w:t>
      </w:r>
      <w:r>
        <w:rPr>
          <w:rFonts w:cs="Times New Roman"/>
          <w:color w:val="000000" w:themeColor="text1"/>
          <w:szCs w:val="24"/>
          <w:highlight w:val="none"/>
          <w14:textFill>
            <w14:solidFill>
              <w14:schemeClr w14:val="tx1"/>
            </w14:solidFill>
          </w14:textFill>
        </w:rPr>
        <w:t>。</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（1）源强参数分析</w:t>
      </w:r>
    </w:p>
    <w:p>
      <w:pPr>
        <w:ind w:firstLine="480"/>
        <w:rPr>
          <w:rFonts w:cs="Times New Roman"/>
          <w:bCs/>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根据前文工程分析，本项目拟</w:t>
      </w:r>
      <w:r>
        <w:rPr>
          <w:rFonts w:hint="eastAsia" w:cs="Times New Roman"/>
          <w:color w:val="000000" w:themeColor="text1"/>
          <w:szCs w:val="24"/>
          <w:highlight w:val="none"/>
          <w14:textFill>
            <w14:solidFill>
              <w14:schemeClr w14:val="tx1"/>
            </w14:solidFill>
          </w14:textFill>
        </w:rPr>
        <w:t>依托</w:t>
      </w:r>
      <w:r>
        <w:rPr>
          <w:rFonts w:cs="Times New Roman"/>
          <w:color w:val="000000" w:themeColor="text1"/>
          <w:szCs w:val="24"/>
          <w:highlight w:val="none"/>
          <w14:textFill>
            <w14:solidFill>
              <w14:schemeClr w14:val="tx1"/>
            </w14:solidFill>
          </w14:textFill>
        </w:rPr>
        <w:t>的水套加热炉的产排污情况见</w:t>
      </w:r>
      <w:r>
        <w:rPr>
          <w:rFonts w:cs="Times New Roman"/>
          <w:color w:val="000000" w:themeColor="text1"/>
          <w:szCs w:val="24"/>
          <w:highlight w:val="none"/>
          <w14:textFill>
            <w14:solidFill>
              <w14:schemeClr w14:val="tx1"/>
            </w14:solidFill>
          </w14:textFill>
        </w:rPr>
        <w:fldChar w:fldCharType="begin"/>
      </w:r>
      <w:r>
        <w:rPr>
          <w:rFonts w:cs="Times New Roman"/>
          <w:color w:val="000000" w:themeColor="text1"/>
          <w:szCs w:val="24"/>
          <w:highlight w:val="none"/>
          <w14:textFill>
            <w14:solidFill>
              <w14:schemeClr w14:val="tx1"/>
            </w14:solidFill>
          </w14:textFill>
        </w:rPr>
        <w:instrText xml:space="preserve"> REF _Ref142858600 \h  \* MERGEFORMAT </w:instrText>
      </w:r>
      <w:r>
        <w:rPr>
          <w:rFonts w:cs="Times New Roman"/>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5.2</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w:t>
      </w:r>
      <w:r>
        <w:rPr>
          <w:rFonts w:cs="Times New Roman"/>
          <w:color w:val="000000" w:themeColor="text1"/>
          <w:szCs w:val="24"/>
          <w:highlight w:val="none"/>
          <w14:textFill>
            <w14:solidFill>
              <w14:schemeClr w14:val="tx1"/>
            </w14:solidFill>
          </w14:textFill>
        </w:rPr>
        <w:fldChar w:fldCharType="end"/>
      </w:r>
      <w:r>
        <w:rPr>
          <w:rFonts w:cs="Times New Roman"/>
          <w:color w:val="000000" w:themeColor="text1"/>
          <w:szCs w:val="24"/>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bookmarkStart w:id="268" w:name="_Ref142858600"/>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bookmarkEnd w:id="268"/>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废气有组织污染源点源清单</w:t>
      </w:r>
    </w:p>
    <w:tbl>
      <w:tblPr>
        <w:tblStyle w:val="41"/>
        <w:tblW w:w="5000" w:type="pct"/>
        <w:tblInd w:w="0" w:type="dxa"/>
        <w:tblLayout w:type="fixed"/>
        <w:tblCellMar>
          <w:top w:w="0" w:type="dxa"/>
          <w:left w:w="108" w:type="dxa"/>
          <w:bottom w:w="0" w:type="dxa"/>
          <w:right w:w="108" w:type="dxa"/>
        </w:tblCellMar>
      </w:tblPr>
      <w:tblGrid>
        <w:gridCol w:w="728"/>
        <w:gridCol w:w="583"/>
        <w:gridCol w:w="871"/>
        <w:gridCol w:w="754"/>
        <w:gridCol w:w="995"/>
        <w:gridCol w:w="726"/>
        <w:gridCol w:w="871"/>
        <w:gridCol w:w="726"/>
        <w:gridCol w:w="875"/>
        <w:gridCol w:w="733"/>
        <w:gridCol w:w="662"/>
      </w:tblGrid>
      <w:tr>
        <w:tblPrEx>
          <w:tblCellMar>
            <w:top w:w="0" w:type="dxa"/>
            <w:left w:w="108" w:type="dxa"/>
            <w:bottom w:w="0" w:type="dxa"/>
            <w:right w:w="108" w:type="dxa"/>
          </w:tblCellMar>
        </w:tblPrEx>
        <w:trPr>
          <w:trHeight w:val="20" w:hRule="atLeast"/>
          <w:tblHeader/>
        </w:trPr>
        <w:tc>
          <w:tcPr>
            <w:tcW w:w="427" w:type="pct"/>
            <w:vMerge w:val="restart"/>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污染源名称</w:t>
            </w:r>
          </w:p>
        </w:tc>
        <w:tc>
          <w:tcPr>
            <w:tcW w:w="342" w:type="pct"/>
            <w:vMerge w:val="restart"/>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排气筒编号</w:t>
            </w:r>
          </w:p>
        </w:tc>
        <w:tc>
          <w:tcPr>
            <w:tcW w:w="953" w:type="pct"/>
            <w:gridSpan w:val="2"/>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排气筒底部中心坐标（°）</w:t>
            </w:r>
          </w:p>
        </w:tc>
        <w:tc>
          <w:tcPr>
            <w:tcW w:w="584" w:type="pct"/>
            <w:vMerge w:val="restart"/>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排气筒底部</w:t>
            </w:r>
            <w:r>
              <w:rPr>
                <w:rFonts w:hint="eastAsia"/>
                <w:b/>
                <w:bCs/>
                <w:color w:val="000000" w:themeColor="text1"/>
                <w:highlight w:val="none"/>
                <w14:textFill>
                  <w14:solidFill>
                    <w14:schemeClr w14:val="tx1"/>
                  </w14:solidFill>
                </w14:textFill>
              </w:rPr>
              <w:t>海拔</w:t>
            </w:r>
            <w:r>
              <w:rPr>
                <w:b/>
                <w:bCs/>
                <w:color w:val="000000" w:themeColor="text1"/>
                <w:highlight w:val="none"/>
                <w14:textFill>
                  <w14:solidFill>
                    <w14:schemeClr w14:val="tx1"/>
                  </w14:solidFill>
                </w14:textFill>
              </w:rPr>
              <w:t>（m）</w:t>
            </w:r>
          </w:p>
        </w:tc>
        <w:tc>
          <w:tcPr>
            <w:tcW w:w="1875" w:type="pct"/>
            <w:gridSpan w:val="4"/>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排气筒参数</w:t>
            </w:r>
          </w:p>
        </w:tc>
        <w:tc>
          <w:tcPr>
            <w:tcW w:w="819" w:type="pct"/>
            <w:gridSpan w:val="2"/>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污染物排放速率（kg/h）</w:t>
            </w:r>
          </w:p>
        </w:tc>
      </w:tr>
      <w:tr>
        <w:tblPrEx>
          <w:tblCellMar>
            <w:top w:w="0" w:type="dxa"/>
            <w:left w:w="108" w:type="dxa"/>
            <w:bottom w:w="0" w:type="dxa"/>
            <w:right w:w="108" w:type="dxa"/>
          </w:tblCellMar>
        </w:tblPrEx>
        <w:trPr>
          <w:trHeight w:val="20" w:hRule="atLeast"/>
          <w:tblHeader/>
        </w:trPr>
        <w:tc>
          <w:tcPr>
            <w:tcW w:w="427" w:type="pct"/>
            <w:vMerge w:val="continue"/>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p>
        </w:tc>
        <w:tc>
          <w:tcPr>
            <w:tcW w:w="342" w:type="pct"/>
            <w:vMerge w:val="continue"/>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p>
        </w:tc>
        <w:tc>
          <w:tcPr>
            <w:tcW w:w="511" w:type="pct"/>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经度</w:t>
            </w:r>
          </w:p>
        </w:tc>
        <w:tc>
          <w:tcPr>
            <w:tcW w:w="442" w:type="pct"/>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纬度</w:t>
            </w:r>
          </w:p>
        </w:tc>
        <w:tc>
          <w:tcPr>
            <w:tcW w:w="584" w:type="pct"/>
            <w:vMerge w:val="continue"/>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p>
        </w:tc>
        <w:tc>
          <w:tcPr>
            <w:tcW w:w="426" w:type="pct"/>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高度（m）</w:t>
            </w:r>
          </w:p>
        </w:tc>
        <w:tc>
          <w:tcPr>
            <w:tcW w:w="511" w:type="pct"/>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内径（m）</w:t>
            </w:r>
          </w:p>
        </w:tc>
        <w:tc>
          <w:tcPr>
            <w:tcW w:w="426" w:type="pct"/>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温度（℃）</w:t>
            </w:r>
          </w:p>
        </w:tc>
        <w:tc>
          <w:tcPr>
            <w:tcW w:w="513" w:type="pct"/>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流速（m</w:t>
            </w:r>
            <w:r>
              <w:rPr>
                <w:b/>
                <w:bCs/>
                <w:color w:val="000000" w:themeColor="text1"/>
                <w:highlight w:val="none"/>
                <w:vertAlign w:val="superscript"/>
                <w14:textFill>
                  <w14:solidFill>
                    <w14:schemeClr w14:val="tx1"/>
                  </w14:solidFill>
                </w14:textFill>
              </w:rPr>
              <w:t>3</w:t>
            </w:r>
            <w:r>
              <w:rPr>
                <w:b/>
                <w:bCs/>
                <w:color w:val="000000" w:themeColor="text1"/>
                <w:highlight w:val="none"/>
                <w14:textFill>
                  <w14:solidFill>
                    <w14:schemeClr w14:val="tx1"/>
                  </w14:solidFill>
                </w14:textFill>
              </w:rPr>
              <w:t>/</w:t>
            </w:r>
            <w:r>
              <w:rPr>
                <w:rFonts w:hint="eastAsia"/>
                <w:b/>
                <w:bCs/>
                <w:color w:val="000000" w:themeColor="text1"/>
                <w:highlight w:val="none"/>
                <w14:textFill>
                  <w14:solidFill>
                    <w14:schemeClr w14:val="tx1"/>
                  </w14:solidFill>
                </w14:textFill>
              </w:rPr>
              <w:t>h</w:t>
            </w:r>
            <w:r>
              <w:rPr>
                <w:b/>
                <w:bCs/>
                <w:color w:val="000000" w:themeColor="text1"/>
                <w:highlight w:val="none"/>
                <w14:textFill>
                  <w14:solidFill>
                    <w14:schemeClr w14:val="tx1"/>
                  </w14:solidFill>
                </w14:textFill>
              </w:rPr>
              <w:t>）</w:t>
            </w:r>
          </w:p>
        </w:tc>
        <w:tc>
          <w:tcPr>
            <w:tcW w:w="430" w:type="pct"/>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NOx</w:t>
            </w:r>
          </w:p>
        </w:tc>
        <w:tc>
          <w:tcPr>
            <w:tcW w:w="389" w:type="pct"/>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颗粒物</w:t>
            </w:r>
          </w:p>
        </w:tc>
      </w:tr>
      <w:tr>
        <w:tblPrEx>
          <w:tblCellMar>
            <w:top w:w="0" w:type="dxa"/>
            <w:left w:w="108" w:type="dxa"/>
            <w:bottom w:w="0" w:type="dxa"/>
            <w:right w:w="108" w:type="dxa"/>
          </w:tblCellMar>
        </w:tblPrEx>
        <w:trPr>
          <w:trHeight w:val="20" w:hRule="atLeast"/>
        </w:trPr>
        <w:tc>
          <w:tcPr>
            <w:tcW w:w="427"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水套加热炉排气筒</w:t>
            </w:r>
          </w:p>
        </w:tc>
        <w:tc>
          <w:tcPr>
            <w:tcW w:w="34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P1</w:t>
            </w:r>
          </w:p>
        </w:tc>
        <w:tc>
          <w:tcPr>
            <w:tcW w:w="51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107.603974</w:t>
            </w:r>
          </w:p>
        </w:tc>
        <w:tc>
          <w:tcPr>
            <w:tcW w:w="442"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31.33183</w:t>
            </w:r>
            <w:r>
              <w:rPr>
                <w:rFonts w:hint="eastAsia"/>
                <w:color w:val="000000" w:themeColor="text1"/>
                <w:highlight w:val="none"/>
                <w14:textFill>
                  <w14:solidFill>
                    <w14:schemeClr w14:val="tx1"/>
                  </w14:solidFill>
                </w14:textFill>
              </w:rPr>
              <w:t>2</w:t>
            </w:r>
          </w:p>
        </w:tc>
        <w:tc>
          <w:tcPr>
            <w:tcW w:w="584"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468</w:t>
            </w:r>
          </w:p>
        </w:tc>
        <w:tc>
          <w:tcPr>
            <w:tcW w:w="426"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w:t>
            </w:r>
          </w:p>
        </w:tc>
        <w:tc>
          <w:tcPr>
            <w:tcW w:w="51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lang w:bidi="ar"/>
                <w14:textFill>
                  <w14:solidFill>
                    <w14:schemeClr w14:val="tx1"/>
                  </w14:solidFill>
                </w14:textFill>
              </w:rPr>
              <w:t>0.2</w:t>
            </w:r>
          </w:p>
        </w:tc>
        <w:tc>
          <w:tcPr>
            <w:tcW w:w="426"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200</w:t>
            </w:r>
          </w:p>
        </w:tc>
        <w:tc>
          <w:tcPr>
            <w:tcW w:w="513"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lang w:bidi="ar"/>
                <w14:textFill>
                  <w14:solidFill>
                    <w14:schemeClr w14:val="tx1"/>
                  </w14:solidFill>
                </w14:textFill>
              </w:rPr>
              <w:t>1247.13</w:t>
            </w:r>
          </w:p>
        </w:tc>
        <w:tc>
          <w:tcPr>
            <w:tcW w:w="430"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w:t>
            </w:r>
            <w:r>
              <w:rPr>
                <w:rFonts w:hint="eastAsia"/>
                <w:color w:val="000000" w:themeColor="text1"/>
                <w:highlight w:val="none"/>
                <w14:textFill>
                  <w14:solidFill>
                    <w14:schemeClr w14:val="tx1"/>
                  </w14:solidFill>
                </w14:textFill>
              </w:rPr>
              <w:t>2</w:t>
            </w:r>
          </w:p>
        </w:tc>
        <w:tc>
          <w:tcPr>
            <w:tcW w:w="389"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0.000</w:t>
            </w:r>
            <w:r>
              <w:rPr>
                <w:rFonts w:hint="eastAsia"/>
                <w:color w:val="000000" w:themeColor="text1"/>
                <w:highlight w:val="none"/>
                <w14:textFill>
                  <w14:solidFill>
                    <w14:schemeClr w14:val="tx1"/>
                  </w14:solidFill>
                </w14:textFill>
              </w:rPr>
              <w:t>31</w:t>
            </w:r>
          </w:p>
        </w:tc>
      </w:tr>
    </w:tbl>
    <w:p>
      <w:pPr>
        <w:spacing w:before="120" w:beforeLines="50"/>
        <w:ind w:firstLine="480"/>
        <w:rPr>
          <w:rFonts w:cs="Times New Roman"/>
          <w:color w:val="000000" w:themeColor="text1"/>
          <w:szCs w:val="20"/>
          <w:highlight w:val="none"/>
          <w14:textFill>
            <w14:solidFill>
              <w14:schemeClr w14:val="tx1"/>
            </w14:solidFill>
          </w14:textFill>
        </w:rPr>
      </w:pPr>
      <w:r>
        <w:rPr>
          <w:rFonts w:cs="Times New Roman"/>
          <w:color w:val="000000" w:themeColor="text1"/>
          <w:szCs w:val="20"/>
          <w:highlight w:val="none"/>
          <w14:textFill>
            <w14:solidFill>
              <w14:schemeClr w14:val="tx1"/>
            </w14:solidFill>
          </w14:textFill>
        </w:rPr>
        <w:t>（2）预测估算模式参数</w:t>
      </w:r>
    </w:p>
    <w:p>
      <w:pPr>
        <w:ind w:firstLine="480"/>
        <w:rPr>
          <w:rFonts w:cs="Times New Roman"/>
          <w:color w:val="000000" w:themeColor="text1"/>
          <w:szCs w:val="20"/>
          <w:highlight w:val="none"/>
          <w14:textFill>
            <w14:solidFill>
              <w14:schemeClr w14:val="tx1"/>
            </w14:solidFill>
          </w14:textFill>
        </w:rPr>
      </w:pPr>
      <w:r>
        <w:rPr>
          <w:rFonts w:cs="Times New Roman"/>
          <w:color w:val="000000" w:themeColor="text1"/>
          <w:szCs w:val="20"/>
          <w:highlight w:val="none"/>
          <w14:textFill>
            <w14:solidFill>
              <w14:schemeClr w14:val="tx1"/>
            </w14:solidFill>
          </w14:textFill>
        </w:rPr>
        <w:t>本次评价估算模式所用参数见</w:t>
      </w:r>
      <w:r>
        <w:rPr>
          <w:rFonts w:cs="Times New Roman"/>
          <w:color w:val="000000" w:themeColor="text1"/>
          <w:szCs w:val="20"/>
          <w:highlight w:val="none"/>
          <w14:textFill>
            <w14:solidFill>
              <w14:schemeClr w14:val="tx1"/>
            </w14:solidFill>
          </w14:textFill>
        </w:rPr>
        <w:fldChar w:fldCharType="begin"/>
      </w:r>
      <w:r>
        <w:rPr>
          <w:rFonts w:cs="Times New Roman"/>
          <w:color w:val="000000" w:themeColor="text1"/>
          <w:szCs w:val="20"/>
          <w:highlight w:val="none"/>
          <w14:textFill>
            <w14:solidFill>
              <w14:schemeClr w14:val="tx1"/>
            </w14:solidFill>
          </w14:textFill>
        </w:rPr>
        <w:instrText xml:space="preserve"> REF _Ref142858606 \h  \* MERGEFORMAT </w:instrText>
      </w:r>
      <w:r>
        <w:rPr>
          <w:rFonts w:cs="Times New Roman"/>
          <w:color w:val="000000" w:themeColor="text1"/>
          <w:szCs w:val="20"/>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5.2</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2</w:t>
      </w:r>
      <w:r>
        <w:rPr>
          <w:rFonts w:cs="Times New Roman"/>
          <w:color w:val="000000" w:themeColor="text1"/>
          <w:szCs w:val="20"/>
          <w:highlight w:val="none"/>
          <w14:textFill>
            <w14:solidFill>
              <w14:schemeClr w14:val="tx1"/>
            </w14:solidFill>
          </w14:textFill>
        </w:rPr>
        <w:fldChar w:fldCharType="end"/>
      </w:r>
      <w:r>
        <w:rPr>
          <w:rFonts w:cs="Times New Roman"/>
          <w:color w:val="000000" w:themeColor="text1"/>
          <w:szCs w:val="20"/>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bookmarkStart w:id="269" w:name="_Ref142858606"/>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fldChar w:fldCharType="end"/>
      </w:r>
      <w:bookmarkEnd w:id="269"/>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项目大气影响预测参数情况表</w:t>
      </w:r>
    </w:p>
    <w:tbl>
      <w:tblPr>
        <w:tblStyle w:val="4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88"/>
        <w:gridCol w:w="3539"/>
        <w:gridCol w:w="27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360" w:type="pct"/>
            <w:gridSpan w:val="2"/>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参数</w:t>
            </w:r>
          </w:p>
        </w:tc>
        <w:tc>
          <w:tcPr>
            <w:tcW w:w="1640"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取值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84" w:type="pct"/>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城市/农村选项</w:t>
            </w:r>
          </w:p>
        </w:tc>
        <w:tc>
          <w:tcPr>
            <w:tcW w:w="207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城市/农村</w:t>
            </w:r>
          </w:p>
        </w:tc>
        <w:tc>
          <w:tcPr>
            <w:tcW w:w="1640"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农村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84" w:type="pct"/>
            <w:vMerge w:val="continue"/>
            <w:vAlign w:val="center"/>
          </w:tcPr>
          <w:p>
            <w:pPr>
              <w:pStyle w:val="118"/>
              <w:rPr>
                <w:color w:val="000000" w:themeColor="text1"/>
                <w:highlight w:val="none"/>
                <w14:textFill>
                  <w14:solidFill>
                    <w14:schemeClr w14:val="tx1"/>
                  </w14:solidFill>
                </w14:textFill>
              </w:rPr>
            </w:pPr>
          </w:p>
        </w:tc>
        <w:tc>
          <w:tcPr>
            <w:tcW w:w="207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人口数（城市选项时）</w:t>
            </w:r>
          </w:p>
        </w:tc>
        <w:tc>
          <w:tcPr>
            <w:tcW w:w="1640"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360" w:type="pct"/>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最高环境温度/℃</w:t>
            </w:r>
          </w:p>
        </w:tc>
        <w:tc>
          <w:tcPr>
            <w:tcW w:w="1640"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360" w:type="pct"/>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最低环境温度/℃</w:t>
            </w:r>
          </w:p>
        </w:tc>
        <w:tc>
          <w:tcPr>
            <w:tcW w:w="1640"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360" w:type="pct"/>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土地利用类型</w:t>
            </w:r>
          </w:p>
        </w:tc>
        <w:tc>
          <w:tcPr>
            <w:tcW w:w="1640"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针</w:t>
            </w:r>
            <w:r>
              <w:rPr>
                <w:color w:val="000000" w:themeColor="text1"/>
                <w:highlight w:val="none"/>
                <w14:textFill>
                  <w14:solidFill>
                    <w14:schemeClr w14:val="tx1"/>
                  </w14:solidFill>
                </w14:textFill>
              </w:rPr>
              <w:t>叶林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360" w:type="pct"/>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区域湿度条件</w:t>
            </w:r>
          </w:p>
        </w:tc>
        <w:tc>
          <w:tcPr>
            <w:tcW w:w="1640"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中等</w:t>
            </w:r>
            <w:r>
              <w:rPr>
                <w:color w:val="000000" w:themeColor="text1"/>
                <w:highlight w:val="none"/>
                <w14:textFill>
                  <w14:solidFill>
                    <w14:schemeClr w14:val="tx1"/>
                  </w14:solidFill>
                </w14:textFill>
              </w:rPr>
              <w:t>潮湿气候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84" w:type="pct"/>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是否考虑地形</w:t>
            </w:r>
          </w:p>
        </w:tc>
        <w:tc>
          <w:tcPr>
            <w:tcW w:w="207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考虑地形</w:t>
            </w:r>
          </w:p>
        </w:tc>
        <w:tc>
          <w:tcPr>
            <w:tcW w:w="1640"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84" w:type="pct"/>
            <w:vMerge w:val="continue"/>
            <w:vAlign w:val="center"/>
          </w:tcPr>
          <w:p>
            <w:pPr>
              <w:pStyle w:val="118"/>
              <w:rPr>
                <w:color w:val="000000" w:themeColor="text1"/>
                <w:highlight w:val="none"/>
                <w14:textFill>
                  <w14:solidFill>
                    <w14:schemeClr w14:val="tx1"/>
                  </w14:solidFill>
                </w14:textFill>
              </w:rPr>
            </w:pPr>
          </w:p>
        </w:tc>
        <w:tc>
          <w:tcPr>
            <w:tcW w:w="207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地形数据分辨率/m</w:t>
            </w:r>
          </w:p>
        </w:tc>
        <w:tc>
          <w:tcPr>
            <w:tcW w:w="1640"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84" w:type="pct"/>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是否考虑岸线熏烟</w:t>
            </w:r>
          </w:p>
        </w:tc>
        <w:tc>
          <w:tcPr>
            <w:tcW w:w="207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考虑岸线熏烟</w:t>
            </w:r>
          </w:p>
        </w:tc>
        <w:tc>
          <w:tcPr>
            <w:tcW w:w="1640"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84" w:type="pct"/>
            <w:vMerge w:val="continue"/>
            <w:vAlign w:val="center"/>
          </w:tcPr>
          <w:p>
            <w:pPr>
              <w:pStyle w:val="118"/>
              <w:rPr>
                <w:color w:val="000000" w:themeColor="text1"/>
                <w:highlight w:val="none"/>
                <w14:textFill>
                  <w14:solidFill>
                    <w14:schemeClr w14:val="tx1"/>
                  </w14:solidFill>
                </w14:textFill>
              </w:rPr>
            </w:pPr>
          </w:p>
        </w:tc>
        <w:tc>
          <w:tcPr>
            <w:tcW w:w="207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岸线距离/km</w:t>
            </w:r>
          </w:p>
        </w:tc>
        <w:tc>
          <w:tcPr>
            <w:tcW w:w="1640"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84" w:type="pct"/>
            <w:vMerge w:val="continue"/>
            <w:vAlign w:val="center"/>
          </w:tcPr>
          <w:p>
            <w:pPr>
              <w:pStyle w:val="118"/>
              <w:rPr>
                <w:color w:val="000000" w:themeColor="text1"/>
                <w:highlight w:val="none"/>
                <w14:textFill>
                  <w14:solidFill>
                    <w14:schemeClr w14:val="tx1"/>
                  </w14:solidFill>
                </w14:textFill>
              </w:rPr>
            </w:pPr>
          </w:p>
        </w:tc>
        <w:tc>
          <w:tcPr>
            <w:tcW w:w="207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岸线方向/°</w:t>
            </w:r>
          </w:p>
        </w:tc>
        <w:tc>
          <w:tcPr>
            <w:tcW w:w="1640"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bl>
    <w:tbl>
      <w:tblPr>
        <w:tblStyle w:val="4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30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300" w:type="dxa"/>
          </w:tcPr>
          <w:p>
            <w:pPr>
              <w:spacing w:line="240" w:lineRule="auto"/>
              <w:ind w:firstLine="0" w:firstLineChars="0"/>
              <w:jc w:val="center"/>
              <w:rPr>
                <w:color w:val="000000" w:themeColor="text1"/>
                <w:highlight w:val="none"/>
                <w:lang w:val="zh-CN"/>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4162425" cy="2506345"/>
                  <wp:effectExtent l="0" t="0" r="0" b="8255"/>
                  <wp:docPr id="14677706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770624" name="图片 1"/>
                          <pic:cNvPicPr>
                            <a:picLocks noChangeAspect="1"/>
                          </pic:cNvPicPr>
                        </pic:nvPicPr>
                        <pic:blipFill>
                          <a:blip r:embed="rId87"/>
                          <a:stretch>
                            <a:fillRect/>
                          </a:stretch>
                        </pic:blipFill>
                        <pic:spPr>
                          <a:xfrm>
                            <a:off x="0" y="0"/>
                            <a:ext cx="4178905" cy="2516897"/>
                          </a:xfrm>
                          <a:prstGeom prst="rect">
                            <a:avLst/>
                          </a:prstGeom>
                        </pic:spPr>
                      </pic:pic>
                    </a:graphicData>
                  </a:graphic>
                </wp:inline>
              </w:drawing>
            </w:r>
          </w:p>
        </w:tc>
      </w:tr>
    </w:tbl>
    <w:p>
      <w:pPr>
        <w:tabs>
          <w:tab w:val="left" w:pos="600"/>
        </w:tabs>
        <w:spacing w:line="480" w:lineRule="exact"/>
        <w:ind w:firstLine="480"/>
        <w:rPr>
          <w:rFonts w:cs="Times New Roman"/>
          <w:color w:val="000000" w:themeColor="text1"/>
          <w:szCs w:val="24"/>
          <w:highlight w:val="none"/>
          <w:lang w:val="zh-CN"/>
          <w14:textFill>
            <w14:solidFill>
              <w14:schemeClr w14:val="tx1"/>
            </w14:solidFill>
          </w14:textFill>
        </w:rPr>
      </w:pPr>
      <w:r>
        <w:rPr>
          <w:rFonts w:cs="Times New Roman"/>
          <w:color w:val="000000" w:themeColor="text1"/>
          <w:szCs w:val="24"/>
          <w:highlight w:val="none"/>
          <w:lang w:val="zh-CN"/>
          <w14:textFill>
            <w14:solidFill>
              <w14:schemeClr w14:val="tx1"/>
            </w14:solidFill>
          </w14:textFill>
        </w:rPr>
        <w:t>（</w:t>
      </w:r>
      <w:r>
        <w:rPr>
          <w:rFonts w:cs="Times New Roman"/>
          <w:color w:val="000000" w:themeColor="text1"/>
          <w:szCs w:val="24"/>
          <w:highlight w:val="none"/>
          <w14:textFill>
            <w14:solidFill>
              <w14:schemeClr w14:val="tx1"/>
            </w14:solidFill>
          </w14:textFill>
        </w:rPr>
        <w:t>3</w:t>
      </w:r>
      <w:r>
        <w:rPr>
          <w:rFonts w:cs="Times New Roman"/>
          <w:color w:val="000000" w:themeColor="text1"/>
          <w:szCs w:val="24"/>
          <w:highlight w:val="none"/>
          <w:lang w:val="zh-CN"/>
          <w14:textFill>
            <w14:solidFill>
              <w14:schemeClr w14:val="tx1"/>
            </w14:solidFill>
          </w14:textFill>
        </w:rPr>
        <w:t>）预测结果</w:t>
      </w:r>
    </w:p>
    <w:p>
      <w:pPr>
        <w:tabs>
          <w:tab w:val="left" w:pos="600"/>
        </w:tabs>
        <w:spacing w:line="480" w:lineRule="exact"/>
        <w:ind w:firstLine="480"/>
        <w:rPr>
          <w:rFonts w:cs="Times New Roman"/>
          <w:color w:val="000000" w:themeColor="text1"/>
          <w:szCs w:val="24"/>
          <w:highlight w:val="none"/>
          <w:lang w:val="zh-CN"/>
          <w14:textFill>
            <w14:solidFill>
              <w14:schemeClr w14:val="tx1"/>
            </w14:solidFill>
          </w14:textFill>
        </w:rPr>
      </w:pPr>
      <w:r>
        <w:rPr>
          <w:rFonts w:cs="Times New Roman"/>
          <w:color w:val="000000" w:themeColor="text1"/>
          <w:szCs w:val="24"/>
          <w:highlight w:val="none"/>
          <w14:textFill>
            <w14:solidFill>
              <w14:schemeClr w14:val="tx1"/>
            </w14:solidFill>
          </w14:textFill>
        </w:rPr>
        <w:t>结合项目工程分析结果，选择正常排放的主要污染物及排放参数，采用《环境影响评价技术导则 大气环境》（HJ2.2-2018）附录A推荐模型中的 AERSCREEN模式计算项目污染源的最大环境影响，</w:t>
      </w:r>
      <w:r>
        <w:rPr>
          <w:rFonts w:cs="Times New Roman"/>
          <w:color w:val="000000" w:themeColor="text1"/>
          <w:szCs w:val="24"/>
          <w:highlight w:val="none"/>
          <w:lang w:val="zh-CN"/>
          <w14:textFill>
            <w14:solidFill>
              <w14:schemeClr w14:val="tx1"/>
            </w14:solidFill>
          </w14:textFill>
        </w:rPr>
        <w:t>预测结果见</w:t>
      </w:r>
      <w:r>
        <w:rPr>
          <w:rFonts w:cs="Times New Roman"/>
          <w:color w:val="000000" w:themeColor="text1"/>
          <w:szCs w:val="24"/>
          <w:highlight w:val="none"/>
          <w:lang w:val="zh-CN"/>
          <w14:textFill>
            <w14:solidFill>
              <w14:schemeClr w14:val="tx1"/>
            </w14:solidFill>
          </w14:textFill>
        </w:rPr>
        <w:fldChar w:fldCharType="begin"/>
      </w:r>
      <w:r>
        <w:rPr>
          <w:rFonts w:cs="Times New Roman"/>
          <w:color w:val="000000" w:themeColor="text1"/>
          <w:szCs w:val="24"/>
          <w:highlight w:val="none"/>
          <w:lang w:val="zh-CN"/>
          <w14:textFill>
            <w14:solidFill>
              <w14:schemeClr w14:val="tx1"/>
            </w14:solidFill>
          </w14:textFill>
        </w:rPr>
        <w:instrText xml:space="preserve"> REF _Ref142858613 \h  \* MERGEFORMAT </w:instrText>
      </w:r>
      <w:r>
        <w:rPr>
          <w:rFonts w:cs="Times New Roman"/>
          <w:color w:val="000000" w:themeColor="text1"/>
          <w:szCs w:val="24"/>
          <w:highlight w:val="none"/>
          <w:lang w:val="zh-CN"/>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5.2</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3</w:t>
      </w:r>
      <w:r>
        <w:rPr>
          <w:rFonts w:cs="Times New Roman"/>
          <w:color w:val="000000" w:themeColor="text1"/>
          <w:szCs w:val="24"/>
          <w:highlight w:val="none"/>
          <w:lang w:val="zh-CN"/>
          <w14:textFill>
            <w14:solidFill>
              <w14:schemeClr w14:val="tx1"/>
            </w14:solidFill>
          </w14:textFill>
        </w:rPr>
        <w:fldChar w:fldCharType="end"/>
      </w:r>
      <w:r>
        <w:rPr>
          <w:rFonts w:cs="Times New Roman"/>
          <w:color w:val="000000" w:themeColor="text1"/>
          <w:szCs w:val="24"/>
          <w:highlight w:val="none"/>
          <w:lang w:val="zh-CN"/>
          <w14:textFill>
            <w14:solidFill>
              <w14:schemeClr w14:val="tx1"/>
            </w14:solidFill>
          </w14:textFill>
        </w:rPr>
        <w:t>。</w:t>
      </w:r>
    </w:p>
    <w:p>
      <w:pPr>
        <w:pStyle w:val="96"/>
        <w:spacing w:before="120"/>
        <w:rPr>
          <w:color w:val="000000" w:themeColor="text1"/>
          <w:highlight w:val="none"/>
          <w14:textFill>
            <w14:solidFill>
              <w14:schemeClr w14:val="tx1"/>
            </w14:solidFill>
          </w14:textFill>
        </w:rPr>
      </w:pPr>
      <w:bookmarkStart w:id="270" w:name="_Ref142858613"/>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fldChar w:fldCharType="end"/>
      </w:r>
      <w:bookmarkEnd w:id="270"/>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有组织废气排放影响估算结果表</w:t>
      </w:r>
    </w:p>
    <w:tbl>
      <w:tblPr>
        <w:tblStyle w:val="41"/>
        <w:tblW w:w="500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91"/>
        <w:gridCol w:w="1499"/>
        <w:gridCol w:w="1455"/>
        <w:gridCol w:w="1602"/>
        <w:gridCol w:w="19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1166" w:type="pct"/>
            <w:vMerge w:val="restar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距源中心下风向</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距离D/m</w:t>
            </w:r>
          </w:p>
        </w:tc>
        <w:tc>
          <w:tcPr>
            <w:tcW w:w="3834" w:type="pct"/>
            <w:gridSpan w:val="4"/>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水套加热炉排气筒（P1）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1166" w:type="pct"/>
            <w:vMerge w:val="continue"/>
            <w:vAlign w:val="center"/>
          </w:tcPr>
          <w:p>
            <w:pPr>
              <w:pStyle w:val="118"/>
              <w:rPr>
                <w:b/>
                <w:bCs/>
                <w:color w:val="000000" w:themeColor="text1"/>
                <w:highlight w:val="none"/>
                <w14:textFill>
                  <w14:solidFill>
                    <w14:schemeClr w14:val="tx1"/>
                  </w14:solidFill>
                </w14:textFill>
              </w:rPr>
            </w:pPr>
          </w:p>
        </w:tc>
        <w:tc>
          <w:tcPr>
            <w:tcW w:w="1730" w:type="pct"/>
            <w:gridSpan w:val="2"/>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NOx</w:t>
            </w:r>
          </w:p>
        </w:tc>
        <w:tc>
          <w:tcPr>
            <w:tcW w:w="2104" w:type="pct"/>
            <w:gridSpan w:val="2"/>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1166" w:type="pct"/>
            <w:vMerge w:val="continue"/>
            <w:vAlign w:val="center"/>
          </w:tcPr>
          <w:p>
            <w:pPr>
              <w:pStyle w:val="118"/>
              <w:rPr>
                <w:b/>
                <w:bCs/>
                <w:color w:val="000000" w:themeColor="text1"/>
                <w:highlight w:val="none"/>
                <w14:textFill>
                  <w14:solidFill>
                    <w14:schemeClr w14:val="tx1"/>
                  </w14:solidFill>
                </w14:textFill>
              </w:rPr>
            </w:pPr>
          </w:p>
        </w:tc>
        <w:tc>
          <w:tcPr>
            <w:tcW w:w="878"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C/（μg/m³）</w:t>
            </w:r>
          </w:p>
        </w:tc>
        <w:tc>
          <w:tcPr>
            <w:tcW w:w="852"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P/%</w:t>
            </w:r>
          </w:p>
        </w:tc>
        <w:tc>
          <w:tcPr>
            <w:tcW w:w="938"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C/（μg/m³）</w:t>
            </w:r>
          </w:p>
        </w:tc>
        <w:tc>
          <w:tcPr>
            <w:tcW w:w="1166"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116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下风向最大浓度</w:t>
            </w:r>
          </w:p>
        </w:tc>
        <w:tc>
          <w:tcPr>
            <w:tcW w:w="878"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18.6</w:t>
            </w:r>
          </w:p>
        </w:tc>
        <w:tc>
          <w:tcPr>
            <w:tcW w:w="852"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7.44</w:t>
            </w:r>
          </w:p>
        </w:tc>
        <w:tc>
          <w:tcPr>
            <w:tcW w:w="938"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2.88</w:t>
            </w:r>
          </w:p>
        </w:tc>
        <w:tc>
          <w:tcPr>
            <w:tcW w:w="1166"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116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最大浓度出现距离</w:t>
            </w:r>
          </w:p>
        </w:tc>
        <w:tc>
          <w:tcPr>
            <w:tcW w:w="3834" w:type="pct"/>
            <w:gridSpan w:val="4"/>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79</w:t>
            </w:r>
            <w:r>
              <w:rPr>
                <w:color w:val="000000" w:themeColor="text1"/>
                <w:highlight w:val="none"/>
                <w14:textFill>
                  <w14:solidFill>
                    <w14:schemeClr w14:val="tx1"/>
                  </w14:solidFill>
                </w14:textFill>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116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距源最远距离D10%</w:t>
            </w:r>
          </w:p>
        </w:tc>
        <w:tc>
          <w:tcPr>
            <w:tcW w:w="3834" w:type="pct"/>
            <w:gridSpan w:val="4"/>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Pmax＜10%</w:t>
            </w:r>
          </w:p>
        </w:tc>
      </w:tr>
    </w:tbl>
    <w:p>
      <w:pPr>
        <w:spacing w:line="240" w:lineRule="auto"/>
        <w:ind w:firstLine="0" w:firstLineChars="0"/>
        <w:rPr>
          <w:rFonts w:cs="Times New Roman"/>
          <w:i/>
          <w:iCs/>
          <w:color w:val="000000" w:themeColor="text1"/>
          <w:sz w:val="20"/>
          <w:szCs w:val="20"/>
          <w:highlight w:val="none"/>
          <w14:textFill>
            <w14:solidFill>
              <w14:schemeClr w14:val="tx1"/>
            </w14:solidFill>
          </w14:textFill>
        </w:rPr>
      </w:pPr>
      <w:r>
        <w:rPr>
          <w:rFonts w:cs="Times New Roman"/>
          <w:i/>
          <w:iCs/>
          <w:color w:val="000000" w:themeColor="text1"/>
          <w:sz w:val="20"/>
          <w:szCs w:val="20"/>
          <w:highlight w:val="none"/>
          <w14:textFill>
            <w14:solidFill>
              <w14:schemeClr w14:val="tx1"/>
            </w14:solidFill>
          </w14:textFill>
        </w:rPr>
        <w:t>注：上表中C表示落地浓度（mg/m</w:t>
      </w:r>
      <w:r>
        <w:rPr>
          <w:rFonts w:cs="Times New Roman"/>
          <w:i/>
          <w:iCs/>
          <w:color w:val="000000" w:themeColor="text1"/>
          <w:sz w:val="20"/>
          <w:szCs w:val="20"/>
          <w:highlight w:val="none"/>
          <w:vertAlign w:val="superscript"/>
          <w14:textFill>
            <w14:solidFill>
              <w14:schemeClr w14:val="tx1"/>
            </w14:solidFill>
          </w14:textFill>
        </w:rPr>
        <w:t>3</w:t>
      </w:r>
      <w:r>
        <w:rPr>
          <w:rFonts w:cs="Times New Roman"/>
          <w:i/>
          <w:iCs/>
          <w:color w:val="000000" w:themeColor="text1"/>
          <w:sz w:val="20"/>
          <w:szCs w:val="20"/>
          <w:highlight w:val="none"/>
          <w14:textFill>
            <w14:solidFill>
              <w14:schemeClr w14:val="tx1"/>
            </w14:solidFill>
          </w14:textFill>
        </w:rPr>
        <w:t>），P表示占标率（%）。</w:t>
      </w:r>
    </w:p>
    <w:p>
      <w:pPr>
        <w:spacing w:line="240" w:lineRule="auto"/>
        <w:ind w:firstLine="0" w:firstLineChars="0"/>
        <w:jc w:val="center"/>
        <w:rPr>
          <w:rFonts w:eastAsia="仿宋" w:cs="Times New Roman"/>
          <w:color w:val="000000" w:themeColor="text1"/>
          <w:szCs w:val="2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5181600" cy="3225165"/>
            <wp:effectExtent l="0" t="0" r="0" b="0"/>
            <wp:docPr id="14444047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404768" name="图片 1"/>
                    <pic:cNvPicPr>
                      <a:picLocks noChangeAspect="1"/>
                    </pic:cNvPicPr>
                  </pic:nvPicPr>
                  <pic:blipFill>
                    <a:blip r:embed="rId88"/>
                    <a:stretch>
                      <a:fillRect/>
                    </a:stretch>
                  </pic:blipFill>
                  <pic:spPr>
                    <a:xfrm>
                      <a:off x="0" y="0"/>
                      <a:ext cx="5186740" cy="3228760"/>
                    </a:xfrm>
                    <a:prstGeom prst="rect">
                      <a:avLst/>
                    </a:prstGeom>
                  </pic:spPr>
                </pic:pic>
              </a:graphicData>
            </a:graphic>
          </wp:inline>
        </w:drawing>
      </w:r>
    </w:p>
    <w:p>
      <w:pPr>
        <w:pStyle w:val="6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5276850" cy="2662555"/>
            <wp:effectExtent l="0" t="0" r="0" b="4445"/>
            <wp:docPr id="16577272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727245" name="图片 1"/>
                    <pic:cNvPicPr>
                      <a:picLocks noChangeAspect="1"/>
                    </pic:cNvPicPr>
                  </pic:nvPicPr>
                  <pic:blipFill>
                    <a:blip r:embed="rId89"/>
                    <a:stretch>
                      <a:fillRect/>
                    </a:stretch>
                  </pic:blipFill>
                  <pic:spPr>
                    <a:xfrm>
                      <a:off x="0" y="0"/>
                      <a:ext cx="5276850" cy="2662555"/>
                    </a:xfrm>
                    <a:prstGeom prst="rect">
                      <a:avLst/>
                    </a:prstGeom>
                  </pic:spPr>
                </pic:pic>
              </a:graphicData>
            </a:graphic>
          </wp:inline>
        </w:drawing>
      </w:r>
    </w:p>
    <w:p>
      <w:pPr>
        <w:pStyle w:val="76"/>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废气有组织污染源点大气预测结果浓度分布折线图</w:t>
      </w:r>
    </w:p>
    <w:p>
      <w:pPr>
        <w:tabs>
          <w:tab w:val="left" w:pos="600"/>
        </w:tabs>
        <w:ind w:firstLine="480"/>
        <w:rPr>
          <w:rFonts w:cs="Times New Roman"/>
          <w:color w:val="000000" w:themeColor="text1"/>
          <w:szCs w:val="24"/>
          <w:highlight w:val="none"/>
          <w:lang w:bidi="en-US"/>
          <w14:textFill>
            <w14:solidFill>
              <w14:schemeClr w14:val="tx1"/>
            </w14:solidFill>
          </w14:textFill>
        </w:rPr>
      </w:pPr>
      <w:r>
        <w:rPr>
          <w:rFonts w:cs="Times New Roman"/>
          <w:color w:val="000000" w:themeColor="text1"/>
          <w:szCs w:val="24"/>
          <w:highlight w:val="none"/>
          <w:lang w:bidi="en-US"/>
          <w14:textFill>
            <w14:solidFill>
              <w14:schemeClr w14:val="tx1"/>
            </w14:solidFill>
          </w14:textFill>
        </w:rPr>
        <w:t>由</w:t>
      </w:r>
      <w:r>
        <w:rPr>
          <w:rFonts w:cs="Times New Roman"/>
          <w:color w:val="000000" w:themeColor="text1"/>
          <w:szCs w:val="24"/>
          <w:highlight w:val="none"/>
          <w:lang w:bidi="en-US"/>
          <w14:textFill>
            <w14:solidFill>
              <w14:schemeClr w14:val="tx1"/>
            </w14:solidFill>
          </w14:textFill>
        </w:rPr>
        <w:fldChar w:fldCharType="begin"/>
      </w:r>
      <w:r>
        <w:rPr>
          <w:rFonts w:cs="Times New Roman"/>
          <w:color w:val="000000" w:themeColor="text1"/>
          <w:szCs w:val="24"/>
          <w:highlight w:val="none"/>
          <w:lang w:bidi="en-US"/>
          <w14:textFill>
            <w14:solidFill>
              <w14:schemeClr w14:val="tx1"/>
            </w14:solidFill>
          </w14:textFill>
        </w:rPr>
        <w:instrText xml:space="preserve"> REF _Ref142858613 \h  \* MERGEFORMAT </w:instrText>
      </w:r>
      <w:r>
        <w:rPr>
          <w:rFonts w:cs="Times New Roman"/>
          <w:color w:val="000000" w:themeColor="text1"/>
          <w:szCs w:val="24"/>
          <w:highlight w:val="none"/>
          <w:lang w:bidi="en-US"/>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5.2</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3</w:t>
      </w:r>
      <w:r>
        <w:rPr>
          <w:rFonts w:cs="Times New Roman"/>
          <w:color w:val="000000" w:themeColor="text1"/>
          <w:szCs w:val="24"/>
          <w:highlight w:val="none"/>
          <w:lang w:bidi="en-US"/>
          <w14:textFill>
            <w14:solidFill>
              <w14:schemeClr w14:val="tx1"/>
            </w14:solidFill>
          </w14:textFill>
        </w:rPr>
        <w:fldChar w:fldCharType="end"/>
      </w:r>
      <w:r>
        <w:rPr>
          <w:rFonts w:cs="Times New Roman"/>
          <w:color w:val="000000" w:themeColor="text1"/>
          <w:szCs w:val="24"/>
          <w:highlight w:val="none"/>
          <w:lang w:bidi="en-US"/>
          <w14:textFill>
            <w14:solidFill>
              <w14:schemeClr w14:val="tx1"/>
            </w14:solidFill>
          </w14:textFill>
        </w:rPr>
        <w:t>预测结果可知，</w:t>
      </w:r>
      <w:r>
        <w:rPr>
          <w:rFonts w:cs="Times New Roman"/>
          <w:color w:val="000000" w:themeColor="text1"/>
          <w:szCs w:val="24"/>
          <w:highlight w:val="none"/>
          <w14:textFill>
            <w14:solidFill>
              <w14:schemeClr w14:val="tx1"/>
            </w14:solidFill>
          </w14:textFill>
        </w:rPr>
        <w:t>本项目水套加热炉</w:t>
      </w:r>
      <w:r>
        <w:rPr>
          <w:rFonts w:cs="Times New Roman"/>
          <w:color w:val="000000" w:themeColor="text1"/>
          <w:szCs w:val="24"/>
          <w:highlight w:val="none"/>
          <w:lang w:bidi="en-US"/>
          <w14:textFill>
            <w14:solidFill>
              <w14:schemeClr w14:val="tx1"/>
            </w14:solidFill>
          </w14:textFill>
        </w:rPr>
        <w:t>排放的</w:t>
      </w:r>
      <w:bookmarkStart w:id="271" w:name="OLE_LINK69"/>
      <w:bookmarkStart w:id="272" w:name="OLE_LINK72"/>
      <w:r>
        <w:rPr>
          <w:rFonts w:cs="Times New Roman"/>
          <w:color w:val="000000" w:themeColor="text1"/>
          <w:szCs w:val="24"/>
          <w:highlight w:val="none"/>
          <w14:textFill>
            <w14:solidFill>
              <w14:schemeClr w14:val="tx1"/>
            </w14:solidFill>
          </w14:textFill>
        </w:rPr>
        <w:t>NO</w:t>
      </w:r>
      <w:bookmarkEnd w:id="271"/>
      <w:r>
        <w:rPr>
          <w:rFonts w:cs="Times New Roman"/>
          <w:color w:val="000000" w:themeColor="text1"/>
          <w:szCs w:val="24"/>
          <w:highlight w:val="none"/>
          <w:vertAlign w:val="subscript"/>
          <w14:textFill>
            <w14:solidFill>
              <w14:schemeClr w14:val="tx1"/>
            </w14:solidFill>
          </w14:textFill>
        </w:rPr>
        <w:t>X</w:t>
      </w:r>
      <w:bookmarkEnd w:id="272"/>
      <w:bookmarkStart w:id="273" w:name="OLE_LINK74"/>
      <w:r>
        <w:rPr>
          <w:rFonts w:hint="eastAsia" w:cs="Times New Roman"/>
          <w:color w:val="000000" w:themeColor="text1"/>
          <w:szCs w:val="24"/>
          <w:highlight w:val="none"/>
          <w14:textFill>
            <w14:solidFill>
              <w14:schemeClr w14:val="tx1"/>
            </w14:solidFill>
          </w14:textFill>
        </w:rPr>
        <w:t>、颗粒物</w:t>
      </w:r>
      <w:r>
        <w:rPr>
          <w:rFonts w:cs="Times New Roman"/>
          <w:color w:val="000000" w:themeColor="text1"/>
          <w:szCs w:val="24"/>
          <w:highlight w:val="none"/>
          <w:lang w:bidi="en-US"/>
          <w14:textFill>
            <w14:solidFill>
              <w14:schemeClr w14:val="tx1"/>
            </w14:solidFill>
          </w14:textFill>
        </w:rPr>
        <w:t>最大落地浓度出现在</w:t>
      </w:r>
      <w:bookmarkEnd w:id="273"/>
      <w:r>
        <w:rPr>
          <w:rFonts w:hint="eastAsia" w:cs="Times New Roman"/>
          <w:color w:val="000000" w:themeColor="text1"/>
          <w:szCs w:val="24"/>
          <w:highlight w:val="none"/>
          <w:lang w:bidi="en-US"/>
          <w14:textFill>
            <w14:solidFill>
              <w14:schemeClr w14:val="tx1"/>
            </w14:solidFill>
          </w14:textFill>
        </w:rPr>
        <w:t>79</w:t>
      </w:r>
      <w:r>
        <w:rPr>
          <w:rFonts w:cs="Times New Roman"/>
          <w:color w:val="000000" w:themeColor="text1"/>
          <w:szCs w:val="24"/>
          <w:highlight w:val="none"/>
          <w:lang w:bidi="en-US"/>
          <w14:textFill>
            <w14:solidFill>
              <w14:schemeClr w14:val="tx1"/>
            </w14:solidFill>
          </w14:textFill>
        </w:rPr>
        <w:t>m处，</w:t>
      </w:r>
      <w:bookmarkStart w:id="274" w:name="OLE_LINK73"/>
      <w:r>
        <w:rPr>
          <w:rFonts w:cs="Times New Roman"/>
          <w:color w:val="000000" w:themeColor="text1"/>
          <w:szCs w:val="24"/>
          <w:highlight w:val="none"/>
          <w:lang w:bidi="en-US"/>
          <w14:textFill>
            <w14:solidFill>
              <w14:schemeClr w14:val="tx1"/>
            </w14:solidFill>
          </w14:textFill>
        </w:rPr>
        <w:t>最</w:t>
      </w:r>
      <w:r>
        <w:rPr>
          <w:rFonts w:cs="Times New Roman"/>
          <w:color w:val="000000" w:themeColor="text1"/>
          <w:szCs w:val="24"/>
          <w:highlight w:val="none"/>
          <w14:textFill>
            <w14:solidFill>
              <w14:schemeClr w14:val="tx1"/>
            </w14:solidFill>
          </w14:textFill>
        </w:rPr>
        <w:t>大落地浓度分别为</w:t>
      </w:r>
      <w:bookmarkEnd w:id="274"/>
      <w:r>
        <w:rPr>
          <w:rFonts w:hint="eastAsia" w:cs="Times New Roman"/>
          <w:color w:val="000000" w:themeColor="text1"/>
          <w:szCs w:val="24"/>
          <w:highlight w:val="none"/>
          <w14:textFill>
            <w14:solidFill>
              <w14:schemeClr w14:val="tx1"/>
            </w14:solidFill>
          </w14:textFill>
        </w:rPr>
        <w:t>18.6</w:t>
      </w:r>
      <w:r>
        <w:rPr>
          <w:rFonts w:cs="Times New Roman"/>
          <w:color w:val="000000" w:themeColor="text1"/>
          <w:szCs w:val="24"/>
          <w:highlight w:val="none"/>
          <w14:textFill>
            <w14:solidFill>
              <w14:schemeClr w14:val="tx1"/>
            </w14:solidFill>
          </w14:textFill>
        </w:rPr>
        <w:t>μg/m</w:t>
      </w:r>
      <w:r>
        <w:rPr>
          <w:rFonts w:cs="Times New Roman"/>
          <w:color w:val="000000" w:themeColor="text1"/>
          <w:szCs w:val="24"/>
          <w:highlight w:val="none"/>
          <w:vertAlign w:val="superscript"/>
          <w14:textFill>
            <w14:solidFill>
              <w14:schemeClr w14:val="tx1"/>
            </w14:solidFill>
          </w14:textFill>
        </w:rPr>
        <w:t>3</w:t>
      </w:r>
      <w:r>
        <w:rPr>
          <w:rFonts w:cs="Times New Roman"/>
          <w:color w:val="000000" w:themeColor="text1"/>
          <w:szCs w:val="24"/>
          <w:highlight w:val="none"/>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2.88</w:t>
      </w:r>
      <w:r>
        <w:rPr>
          <w:rFonts w:cs="Times New Roman"/>
          <w:color w:val="000000" w:themeColor="text1"/>
          <w:szCs w:val="24"/>
          <w:highlight w:val="none"/>
          <w14:textFill>
            <w14:solidFill>
              <w14:schemeClr w14:val="tx1"/>
            </w14:solidFill>
          </w14:textFill>
        </w:rPr>
        <w:t>μg/m</w:t>
      </w:r>
      <w:r>
        <w:rPr>
          <w:rFonts w:cs="Times New Roman"/>
          <w:color w:val="000000" w:themeColor="text1"/>
          <w:szCs w:val="24"/>
          <w:highlight w:val="none"/>
          <w:vertAlign w:val="superscript"/>
          <w14:textFill>
            <w14:solidFill>
              <w14:schemeClr w14:val="tx1"/>
            </w14:solidFill>
          </w14:textFill>
        </w:rPr>
        <w:t>3</w:t>
      </w:r>
      <w:r>
        <w:rPr>
          <w:rFonts w:cs="Times New Roman"/>
          <w:color w:val="000000" w:themeColor="text1"/>
          <w:szCs w:val="24"/>
          <w:highlight w:val="none"/>
          <w14:textFill>
            <w14:solidFill>
              <w14:schemeClr w14:val="tx1"/>
            </w14:solidFill>
          </w14:textFill>
        </w:rPr>
        <w:t>，</w:t>
      </w:r>
      <w:r>
        <w:rPr>
          <w:rFonts w:cs="Times New Roman"/>
          <w:color w:val="000000" w:themeColor="text1"/>
          <w:szCs w:val="24"/>
          <w:highlight w:val="none"/>
          <w:lang w:bidi="en-US"/>
          <w14:textFill>
            <w14:solidFill>
              <w14:schemeClr w14:val="tx1"/>
            </w14:solidFill>
          </w14:textFill>
        </w:rPr>
        <w:t>相应占标率分别为</w:t>
      </w:r>
      <w:r>
        <w:rPr>
          <w:rFonts w:hint="eastAsia" w:cs="Times New Roman"/>
          <w:color w:val="000000" w:themeColor="text1"/>
          <w:szCs w:val="24"/>
          <w:highlight w:val="none"/>
          <w:lang w:bidi="en-US"/>
          <w14:textFill>
            <w14:solidFill>
              <w14:schemeClr w14:val="tx1"/>
            </w14:solidFill>
          </w14:textFill>
        </w:rPr>
        <w:t>7.44</w:t>
      </w:r>
      <w:r>
        <w:rPr>
          <w:rFonts w:cs="Times New Roman"/>
          <w:color w:val="000000" w:themeColor="text1"/>
          <w:szCs w:val="24"/>
          <w:highlight w:val="none"/>
          <w:lang w:bidi="en-US"/>
          <w14:textFill>
            <w14:solidFill>
              <w14:schemeClr w14:val="tx1"/>
            </w14:solidFill>
          </w14:textFill>
        </w:rPr>
        <w:t>%、</w:t>
      </w:r>
      <w:r>
        <w:rPr>
          <w:rFonts w:hint="eastAsia" w:cs="Times New Roman"/>
          <w:color w:val="000000" w:themeColor="text1"/>
          <w:szCs w:val="24"/>
          <w:highlight w:val="none"/>
          <w:lang w:bidi="en-US"/>
          <w14:textFill>
            <w14:solidFill>
              <w14:schemeClr w14:val="tx1"/>
            </w14:solidFill>
          </w14:textFill>
        </w:rPr>
        <w:t>0.32</w:t>
      </w:r>
      <w:r>
        <w:rPr>
          <w:rFonts w:cs="Times New Roman"/>
          <w:color w:val="000000" w:themeColor="text1"/>
          <w:szCs w:val="24"/>
          <w:highlight w:val="none"/>
          <w:lang w:bidi="en-US"/>
          <w14:textFill>
            <w14:solidFill>
              <w14:schemeClr w14:val="tx1"/>
            </w14:solidFill>
          </w14:textFill>
        </w:rPr>
        <w:t>%。由此可见，在正常排放情况下，本项目水套加热炉有组织排放的污染物对环境影响较小，不会改变周围大气环境功能。</w:t>
      </w:r>
    </w:p>
    <w:p>
      <w:pPr>
        <w:tabs>
          <w:tab w:val="left" w:pos="600"/>
        </w:tabs>
        <w:ind w:firstLine="480"/>
        <w:rPr>
          <w:rFonts w:cs="Times New Roman"/>
          <w:color w:val="000000" w:themeColor="text1"/>
          <w:szCs w:val="24"/>
          <w:highlight w:val="none"/>
          <w:lang w:bidi="en-US"/>
          <w14:textFill>
            <w14:solidFill>
              <w14:schemeClr w14:val="tx1"/>
            </w14:solidFill>
          </w14:textFill>
        </w:rPr>
      </w:pPr>
      <w:r>
        <w:rPr>
          <w:rFonts w:hint="eastAsia" w:cs="Times New Roman"/>
          <w:color w:val="000000" w:themeColor="text1"/>
          <w:szCs w:val="24"/>
          <w:highlight w:val="none"/>
          <w:lang w:bidi="en-US"/>
          <w14:textFill>
            <w14:solidFill>
              <w14:schemeClr w14:val="tx1"/>
            </w14:solidFill>
          </w14:textFill>
        </w:rPr>
        <w:t>（4）污染物排放量核算</w:t>
      </w:r>
    </w:p>
    <w:p>
      <w:pPr>
        <w:tabs>
          <w:tab w:val="left" w:pos="600"/>
        </w:tabs>
        <w:ind w:firstLine="480"/>
        <w:rPr>
          <w:rFonts w:cs="Times New Roman"/>
          <w:color w:val="000000" w:themeColor="text1"/>
          <w:szCs w:val="24"/>
          <w:highlight w:val="none"/>
          <w:lang w:bidi="en-US"/>
          <w14:textFill>
            <w14:solidFill>
              <w14:schemeClr w14:val="tx1"/>
            </w14:solidFill>
          </w14:textFill>
        </w:rPr>
      </w:pPr>
      <w:r>
        <w:rPr>
          <w:rFonts w:hint="eastAsia" w:cs="Times New Roman"/>
          <w:color w:val="000000" w:themeColor="text1"/>
          <w:szCs w:val="24"/>
          <w:highlight w:val="none"/>
          <w:lang w:bidi="en-US"/>
          <w14:textFill>
            <w14:solidFill>
              <w14:schemeClr w14:val="tx1"/>
            </w14:solidFill>
          </w14:textFill>
        </w:rPr>
        <w:t>根据《环境影响评价技术导则—大气环境》（HJ2.2-2018）要求“二级评价项目不进行进一步预测与评价，只对污染物排放量进行核算。污染物排放量核算表包括有组织及无组织排放量、大气污染物年排放量、非正常排放量等。”</w:t>
      </w:r>
    </w:p>
    <w:p>
      <w:pPr>
        <w:tabs>
          <w:tab w:val="left" w:pos="600"/>
        </w:tabs>
        <w:ind w:firstLine="480"/>
        <w:rPr>
          <w:rFonts w:cs="Times New Roman"/>
          <w:color w:val="000000" w:themeColor="text1"/>
          <w:szCs w:val="24"/>
          <w:highlight w:val="none"/>
          <w:lang w:bidi="en-US"/>
          <w14:textFill>
            <w14:solidFill>
              <w14:schemeClr w14:val="tx1"/>
            </w14:solidFill>
          </w14:textFill>
        </w:rPr>
      </w:pPr>
      <w:r>
        <w:rPr>
          <w:rFonts w:cs="Times New Roman"/>
          <w:color w:val="000000" w:themeColor="text1"/>
          <w:szCs w:val="24"/>
          <w:highlight w:val="none"/>
          <w:lang w:bidi="en-US"/>
          <w14:textFill>
            <w14:solidFill>
              <w14:schemeClr w14:val="tx1"/>
            </w14:solidFill>
          </w14:textFill>
        </w:rPr>
        <w:t>1）有组织排放量核算</w:t>
      </w:r>
    </w:p>
    <w:p>
      <w:pPr>
        <w:pStyle w:val="96"/>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表5.2-</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 xml:space="preserve">  项目大气有组织排放量核算表</w:t>
      </w:r>
    </w:p>
    <w:tbl>
      <w:tblPr>
        <w:tblStyle w:val="41"/>
        <w:tblW w:w="8220"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
      <w:tblGrid>
        <w:gridCol w:w="604"/>
        <w:gridCol w:w="2305"/>
        <w:gridCol w:w="1058"/>
        <w:gridCol w:w="1508"/>
        <w:gridCol w:w="1450"/>
        <w:gridCol w:w="1295"/>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604" w:type="dxa"/>
            <w:tcBorders>
              <w:tl2br w:val="nil"/>
              <w:tr2bl w:val="nil"/>
            </w:tcBorders>
            <w:vAlign w:val="center"/>
          </w:tcPr>
          <w:p>
            <w:pPr>
              <w:spacing w:line="240" w:lineRule="auto"/>
              <w:ind w:firstLine="0" w:firstLineChars="0"/>
              <w:jc w:val="center"/>
              <w:rPr>
                <w:rFonts w:cs="Times New Roman"/>
                <w:b/>
                <w:bCs/>
                <w:color w:val="000000" w:themeColor="text1"/>
                <w:sz w:val="2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序号</w:t>
            </w:r>
          </w:p>
        </w:tc>
        <w:tc>
          <w:tcPr>
            <w:tcW w:w="2305" w:type="dxa"/>
            <w:tcBorders>
              <w:tl2br w:val="nil"/>
              <w:tr2bl w:val="nil"/>
            </w:tcBorders>
            <w:vAlign w:val="center"/>
          </w:tcPr>
          <w:p>
            <w:pPr>
              <w:spacing w:line="240" w:lineRule="auto"/>
              <w:ind w:firstLine="0" w:firstLineChars="0"/>
              <w:jc w:val="center"/>
              <w:rPr>
                <w:rFonts w:cs="Times New Roman"/>
                <w:b/>
                <w:bCs/>
                <w:color w:val="000000" w:themeColor="text1"/>
                <w:sz w:val="2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排放口编号</w:t>
            </w:r>
          </w:p>
        </w:tc>
        <w:tc>
          <w:tcPr>
            <w:tcW w:w="1058" w:type="dxa"/>
            <w:tcBorders>
              <w:tl2br w:val="nil"/>
              <w:tr2bl w:val="nil"/>
            </w:tcBorders>
            <w:vAlign w:val="center"/>
          </w:tcPr>
          <w:p>
            <w:pPr>
              <w:spacing w:line="240" w:lineRule="auto"/>
              <w:ind w:firstLine="0" w:firstLineChars="0"/>
              <w:jc w:val="center"/>
              <w:rPr>
                <w:rFonts w:cs="Times New Roman"/>
                <w:b/>
                <w:bCs/>
                <w:color w:val="000000" w:themeColor="text1"/>
                <w:sz w:val="2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污染物</w:t>
            </w:r>
          </w:p>
        </w:tc>
        <w:tc>
          <w:tcPr>
            <w:tcW w:w="1508" w:type="dxa"/>
            <w:tcBorders>
              <w:tl2br w:val="nil"/>
              <w:tr2bl w:val="nil"/>
            </w:tcBorders>
            <w:vAlign w:val="center"/>
          </w:tcPr>
          <w:p>
            <w:pPr>
              <w:spacing w:line="240" w:lineRule="auto"/>
              <w:ind w:firstLine="0" w:firstLineChars="0"/>
              <w:jc w:val="center"/>
              <w:rPr>
                <w:rFonts w:cs="Times New Roman"/>
                <w:b/>
                <w:bCs/>
                <w:color w:val="000000" w:themeColor="text1"/>
                <w:sz w:val="2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核算排放浓度</w:t>
            </w:r>
            <w:r>
              <w:rPr>
                <w:rFonts w:hint="eastAsia" w:cs="Times New Roman"/>
                <w:b/>
                <w:bCs/>
                <w:color w:val="000000" w:themeColor="text1"/>
                <w:sz w:val="21"/>
                <w:szCs w:val="21"/>
                <w:highlight w:val="none"/>
                <w14:textFill>
                  <w14:solidFill>
                    <w14:schemeClr w14:val="tx1"/>
                  </w14:solidFill>
                </w14:textFill>
              </w:rPr>
              <w:t>（</w:t>
            </w:r>
            <w:r>
              <w:rPr>
                <w:rFonts w:cs="Times New Roman"/>
                <w:b/>
                <w:bCs/>
                <w:color w:val="000000" w:themeColor="text1"/>
                <w:sz w:val="21"/>
                <w:szCs w:val="21"/>
                <w:highlight w:val="none"/>
                <w14:textFill>
                  <w14:solidFill>
                    <w14:schemeClr w14:val="tx1"/>
                  </w14:solidFill>
                </w14:textFill>
              </w:rPr>
              <w:t>mg/m</w:t>
            </w:r>
            <w:r>
              <w:rPr>
                <w:rFonts w:cs="Times New Roman"/>
                <w:b/>
                <w:bCs/>
                <w:color w:val="000000" w:themeColor="text1"/>
                <w:sz w:val="21"/>
                <w:szCs w:val="21"/>
                <w:highlight w:val="none"/>
                <w:vertAlign w:val="superscript"/>
                <w14:textFill>
                  <w14:solidFill>
                    <w14:schemeClr w14:val="tx1"/>
                  </w14:solidFill>
                </w14:textFill>
              </w:rPr>
              <w:t>3</w:t>
            </w:r>
            <w:r>
              <w:rPr>
                <w:rFonts w:hint="eastAsia" w:cs="Times New Roman"/>
                <w:b/>
                <w:bCs/>
                <w:color w:val="000000" w:themeColor="text1"/>
                <w:sz w:val="21"/>
                <w:szCs w:val="21"/>
                <w:highlight w:val="none"/>
                <w:vertAlign w:val="superscript"/>
                <w14:textFill>
                  <w14:solidFill>
                    <w14:schemeClr w14:val="tx1"/>
                  </w14:solidFill>
                </w14:textFill>
              </w:rPr>
              <w:t>）</w:t>
            </w:r>
          </w:p>
        </w:tc>
        <w:tc>
          <w:tcPr>
            <w:tcW w:w="1450" w:type="dxa"/>
            <w:tcBorders>
              <w:tl2br w:val="nil"/>
              <w:tr2bl w:val="nil"/>
            </w:tcBorders>
            <w:vAlign w:val="center"/>
          </w:tcPr>
          <w:p>
            <w:pPr>
              <w:spacing w:line="240" w:lineRule="auto"/>
              <w:ind w:firstLine="0" w:firstLineChars="0"/>
              <w:jc w:val="center"/>
              <w:rPr>
                <w:rFonts w:cs="Times New Roman"/>
                <w:b/>
                <w:bCs/>
                <w:color w:val="000000" w:themeColor="text1"/>
                <w:sz w:val="2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核算排放速率</w:t>
            </w:r>
            <w:r>
              <w:rPr>
                <w:rFonts w:hint="eastAsia" w:cs="Times New Roman"/>
                <w:b/>
                <w:bCs/>
                <w:color w:val="000000" w:themeColor="text1"/>
                <w:sz w:val="21"/>
                <w:szCs w:val="21"/>
                <w:highlight w:val="none"/>
                <w14:textFill>
                  <w14:solidFill>
                    <w14:schemeClr w14:val="tx1"/>
                  </w14:solidFill>
                </w14:textFill>
              </w:rPr>
              <w:t>（</w:t>
            </w:r>
            <w:r>
              <w:rPr>
                <w:rFonts w:cs="Times New Roman"/>
                <w:b/>
                <w:bCs/>
                <w:color w:val="000000" w:themeColor="text1"/>
                <w:sz w:val="21"/>
                <w:szCs w:val="21"/>
                <w:highlight w:val="none"/>
                <w14:textFill>
                  <w14:solidFill>
                    <w14:schemeClr w14:val="tx1"/>
                  </w14:solidFill>
                </w14:textFill>
              </w:rPr>
              <w:t>kg/h</w:t>
            </w:r>
            <w:r>
              <w:rPr>
                <w:rFonts w:hint="eastAsia" w:cs="Times New Roman"/>
                <w:b/>
                <w:bCs/>
                <w:color w:val="000000" w:themeColor="text1"/>
                <w:sz w:val="21"/>
                <w:szCs w:val="21"/>
                <w:highlight w:val="none"/>
                <w14:textFill>
                  <w14:solidFill>
                    <w14:schemeClr w14:val="tx1"/>
                  </w14:solidFill>
                </w14:textFill>
              </w:rPr>
              <w:t>）</w:t>
            </w:r>
          </w:p>
        </w:tc>
        <w:tc>
          <w:tcPr>
            <w:tcW w:w="1295" w:type="dxa"/>
            <w:tcBorders>
              <w:tl2br w:val="nil"/>
              <w:tr2bl w:val="nil"/>
            </w:tcBorders>
            <w:vAlign w:val="center"/>
          </w:tcPr>
          <w:p>
            <w:pPr>
              <w:spacing w:line="240" w:lineRule="auto"/>
              <w:ind w:firstLine="0" w:firstLineChars="0"/>
              <w:jc w:val="center"/>
              <w:rPr>
                <w:rFonts w:cs="Times New Roman"/>
                <w:b/>
                <w:bCs/>
                <w:color w:val="000000" w:themeColor="text1"/>
                <w:sz w:val="2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核算年排放量</w:t>
            </w:r>
            <w:r>
              <w:rPr>
                <w:rFonts w:hint="eastAsia" w:cs="Times New Roman"/>
                <w:b/>
                <w:bCs/>
                <w:color w:val="000000" w:themeColor="text1"/>
                <w:sz w:val="21"/>
                <w:szCs w:val="21"/>
                <w:highlight w:val="none"/>
                <w14:textFill>
                  <w14:solidFill>
                    <w14:schemeClr w14:val="tx1"/>
                  </w14:solidFill>
                </w14:textFill>
              </w:rPr>
              <w:t>（</w:t>
            </w:r>
            <w:r>
              <w:rPr>
                <w:rFonts w:cs="Times New Roman"/>
                <w:b/>
                <w:bCs/>
                <w:color w:val="000000" w:themeColor="text1"/>
                <w:sz w:val="21"/>
                <w:szCs w:val="21"/>
                <w:highlight w:val="none"/>
                <w14:textFill>
                  <w14:solidFill>
                    <w14:schemeClr w14:val="tx1"/>
                  </w14:solidFill>
                </w14:textFill>
              </w:rPr>
              <w:t>t/a</w:t>
            </w:r>
            <w:r>
              <w:rPr>
                <w:rFonts w:hint="eastAsia" w:cs="Times New Roman"/>
                <w:b/>
                <w:bCs/>
                <w:color w:val="000000" w:themeColor="text1"/>
                <w:sz w:val="21"/>
                <w:szCs w:val="21"/>
                <w:highlight w:val="none"/>
                <w14:textFill>
                  <w14:solidFill>
                    <w14:schemeClr w14:val="tx1"/>
                  </w14:solidFill>
                </w14:textFill>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8220" w:type="dxa"/>
            <w:gridSpan w:val="6"/>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一般排放口</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604" w:type="dxa"/>
            <w:vMerge w:val="restart"/>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1</w:t>
            </w:r>
          </w:p>
        </w:tc>
        <w:tc>
          <w:tcPr>
            <w:tcW w:w="2305" w:type="dxa"/>
            <w:vMerge w:val="restart"/>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水套加热炉排气筒</w:t>
            </w:r>
          </w:p>
        </w:tc>
        <w:tc>
          <w:tcPr>
            <w:tcW w:w="1058" w:type="dxa"/>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颗粒物</w:t>
            </w:r>
          </w:p>
        </w:tc>
        <w:tc>
          <w:tcPr>
            <w:tcW w:w="1508" w:type="dxa"/>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10</w:t>
            </w:r>
          </w:p>
        </w:tc>
        <w:tc>
          <w:tcPr>
            <w:tcW w:w="1450" w:type="dxa"/>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0.0031</w:t>
            </w:r>
          </w:p>
        </w:tc>
        <w:tc>
          <w:tcPr>
            <w:tcW w:w="1295" w:type="dxa"/>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0.027</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604" w:type="dxa"/>
            <w:vMerge w:val="continue"/>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2305" w:type="dxa"/>
            <w:vMerge w:val="continue"/>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1058" w:type="dxa"/>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NO</w:t>
            </w:r>
            <w:r>
              <w:rPr>
                <w:rFonts w:cs="Times New Roman"/>
                <w:color w:val="000000" w:themeColor="text1"/>
                <w:sz w:val="21"/>
                <w:szCs w:val="21"/>
                <w:highlight w:val="none"/>
                <w:vertAlign w:val="subscript"/>
                <w14:textFill>
                  <w14:solidFill>
                    <w14:schemeClr w14:val="tx1"/>
                  </w14:solidFill>
                </w14:textFill>
              </w:rPr>
              <w:t>X</w:t>
            </w:r>
          </w:p>
        </w:tc>
        <w:tc>
          <w:tcPr>
            <w:tcW w:w="1508" w:type="dxa"/>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64.68</w:t>
            </w:r>
          </w:p>
        </w:tc>
        <w:tc>
          <w:tcPr>
            <w:tcW w:w="1450" w:type="dxa"/>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0.02</w:t>
            </w:r>
          </w:p>
        </w:tc>
        <w:tc>
          <w:tcPr>
            <w:tcW w:w="1295" w:type="dxa"/>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0.174</w:t>
            </w:r>
          </w:p>
        </w:tc>
      </w:tr>
    </w:tbl>
    <w:p>
      <w:pPr>
        <w:tabs>
          <w:tab w:val="left" w:pos="600"/>
        </w:tabs>
        <w:spacing w:before="120" w:beforeLines="50"/>
        <w:ind w:firstLine="480"/>
        <w:rPr>
          <w:rFonts w:cs="Times New Roman"/>
          <w:color w:val="000000" w:themeColor="text1"/>
          <w:szCs w:val="24"/>
          <w:highlight w:val="none"/>
          <w:lang w:bidi="en-US"/>
          <w14:textFill>
            <w14:solidFill>
              <w14:schemeClr w14:val="tx1"/>
            </w14:solidFill>
          </w14:textFill>
        </w:rPr>
      </w:pPr>
      <w:r>
        <w:rPr>
          <w:rFonts w:cs="Times New Roman"/>
          <w:color w:val="000000" w:themeColor="text1"/>
          <w:szCs w:val="24"/>
          <w:highlight w:val="none"/>
          <w:lang w:bidi="en-US"/>
          <w14:textFill>
            <w14:solidFill>
              <w14:schemeClr w14:val="tx1"/>
            </w14:solidFill>
          </w14:textFill>
        </w:rPr>
        <w:t>2）无组织排放量核算</w:t>
      </w:r>
    </w:p>
    <w:p>
      <w:pPr>
        <w:tabs>
          <w:tab w:val="left" w:pos="600"/>
        </w:tabs>
        <w:ind w:firstLine="480"/>
        <w:rPr>
          <w:rFonts w:cs="Times New Roman"/>
          <w:color w:val="000000" w:themeColor="text1"/>
          <w:szCs w:val="24"/>
          <w:highlight w:val="none"/>
          <w:lang w:bidi="en-US"/>
          <w14:textFill>
            <w14:solidFill>
              <w14:schemeClr w14:val="tx1"/>
            </w14:solidFill>
          </w14:textFill>
        </w:rPr>
      </w:pPr>
      <w:r>
        <w:rPr>
          <w:rFonts w:hint="eastAsia" w:cs="Times New Roman"/>
          <w:color w:val="000000" w:themeColor="text1"/>
          <w:szCs w:val="24"/>
          <w:highlight w:val="none"/>
          <w:lang w:bidi="en-US"/>
          <w14:textFill>
            <w14:solidFill>
              <w14:schemeClr w14:val="tx1"/>
            </w14:solidFill>
          </w14:textFill>
        </w:rPr>
        <w:t>试采期雷页1井试采站正常生产情况下，流程设备、管线、阀室等工艺设备为高压密闭作业，无天然气泄漏废气产生，因此不核算无组织排放废气。</w:t>
      </w:r>
    </w:p>
    <w:p>
      <w:pPr>
        <w:tabs>
          <w:tab w:val="left" w:pos="600"/>
        </w:tabs>
        <w:ind w:firstLine="480"/>
        <w:rPr>
          <w:rFonts w:cs="Times New Roman"/>
          <w:color w:val="000000" w:themeColor="text1"/>
          <w:szCs w:val="24"/>
          <w:highlight w:val="none"/>
          <w:lang w:bidi="en-US"/>
          <w14:textFill>
            <w14:solidFill>
              <w14:schemeClr w14:val="tx1"/>
            </w14:solidFill>
          </w14:textFill>
        </w:rPr>
      </w:pPr>
      <w:r>
        <w:rPr>
          <w:rFonts w:hint="eastAsia" w:cs="Times New Roman"/>
          <w:color w:val="000000" w:themeColor="text1"/>
          <w:szCs w:val="24"/>
          <w:highlight w:val="none"/>
          <w:lang w:bidi="en-US"/>
          <w14:textFill>
            <w14:solidFill>
              <w14:schemeClr w14:val="tx1"/>
            </w14:solidFill>
          </w14:textFill>
        </w:rPr>
        <w:t>本项目建成后，水套加热炉或分离器需要检修时，将对装置内残余天然气进行放空，每次排放时间2min～2h（可控），根据普光现有工程类比分析，单次排放天然气约180m</w:t>
      </w:r>
      <w:r>
        <w:rPr>
          <w:rFonts w:hint="eastAsia" w:cs="Times New Roman"/>
          <w:color w:val="000000" w:themeColor="text1"/>
          <w:szCs w:val="24"/>
          <w:highlight w:val="none"/>
          <w:vertAlign w:val="superscript"/>
          <w:lang w:bidi="en-US"/>
          <w14:textFill>
            <w14:solidFill>
              <w14:schemeClr w14:val="tx1"/>
            </w14:solidFill>
          </w14:textFill>
        </w:rPr>
        <w:t>3</w:t>
      </w:r>
      <w:r>
        <w:rPr>
          <w:rFonts w:hint="eastAsia" w:cs="Times New Roman"/>
          <w:color w:val="000000" w:themeColor="text1"/>
          <w:szCs w:val="24"/>
          <w:highlight w:val="none"/>
          <w:lang w:bidi="en-US"/>
          <w14:textFill>
            <w14:solidFill>
              <w14:schemeClr w14:val="tx1"/>
            </w14:solidFill>
          </w14:textFill>
        </w:rPr>
        <w:t>按照每年检修2次，则排放天然气360m</w:t>
      </w:r>
      <w:r>
        <w:rPr>
          <w:rFonts w:hint="eastAsia" w:cs="Times New Roman"/>
          <w:color w:val="000000" w:themeColor="text1"/>
          <w:szCs w:val="24"/>
          <w:highlight w:val="none"/>
          <w:vertAlign w:val="superscript"/>
          <w:lang w:bidi="en-US"/>
          <w14:textFill>
            <w14:solidFill>
              <w14:schemeClr w14:val="tx1"/>
            </w14:solidFill>
          </w14:textFill>
        </w:rPr>
        <w:t>3</w:t>
      </w:r>
      <w:r>
        <w:rPr>
          <w:rFonts w:hint="eastAsia" w:cs="Times New Roman"/>
          <w:color w:val="000000" w:themeColor="text1"/>
          <w:szCs w:val="24"/>
          <w:highlight w:val="none"/>
          <w:lang w:bidi="en-US"/>
          <w14:textFill>
            <w14:solidFill>
              <w14:schemeClr w14:val="tx1"/>
            </w14:solidFill>
          </w14:textFill>
        </w:rPr>
        <w:t>。设备检修排放的废气采用放空管燃烧处理后排入大气环境。</w:t>
      </w:r>
    </w:p>
    <w:p>
      <w:pPr>
        <w:tabs>
          <w:tab w:val="left" w:pos="600"/>
        </w:tabs>
        <w:ind w:firstLine="480"/>
        <w:rPr>
          <w:rFonts w:cs="Times New Roman"/>
          <w:color w:val="000000" w:themeColor="text1"/>
          <w:szCs w:val="24"/>
          <w:highlight w:val="none"/>
          <w:lang w:bidi="en-US"/>
          <w14:textFill>
            <w14:solidFill>
              <w14:schemeClr w14:val="tx1"/>
            </w14:solidFill>
          </w14:textFill>
        </w:rPr>
      </w:pPr>
      <w:r>
        <w:rPr>
          <w:rFonts w:hint="eastAsia" w:cs="Times New Roman"/>
          <w:color w:val="000000" w:themeColor="text1"/>
          <w:szCs w:val="24"/>
          <w:highlight w:val="none"/>
          <w:lang w:bidi="en-US"/>
          <w14:textFill>
            <w14:solidFill>
              <w14:schemeClr w14:val="tx1"/>
            </w14:solidFill>
          </w14:textFill>
        </w:rPr>
        <w:t>3）大气污染物年排放量核算</w:t>
      </w:r>
    </w:p>
    <w:p>
      <w:pPr>
        <w:pStyle w:val="96"/>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STYLEREF 2 \s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5.2</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5  大气污染物年排放量核算表</w:t>
      </w:r>
    </w:p>
    <w:tbl>
      <w:tblPr>
        <w:tblStyle w:val="41"/>
        <w:tblW w:w="8220" w:type="dxa"/>
        <w:jc w:val="center"/>
        <w:tblLayout w:type="fixed"/>
        <w:tblCellMar>
          <w:top w:w="0" w:type="dxa"/>
          <w:left w:w="0" w:type="dxa"/>
          <w:bottom w:w="0" w:type="dxa"/>
          <w:right w:w="0" w:type="dxa"/>
        </w:tblCellMar>
      </w:tblPr>
      <w:tblGrid>
        <w:gridCol w:w="2177"/>
        <w:gridCol w:w="3139"/>
        <w:gridCol w:w="2904"/>
      </w:tblGrid>
      <w:tr>
        <w:tblPrEx>
          <w:tblCellMar>
            <w:top w:w="0" w:type="dxa"/>
            <w:left w:w="0" w:type="dxa"/>
            <w:bottom w:w="0" w:type="dxa"/>
            <w:right w:w="0" w:type="dxa"/>
          </w:tblCellMar>
        </w:tblPrEx>
        <w:trPr>
          <w:jc w:val="center"/>
        </w:trPr>
        <w:tc>
          <w:tcPr>
            <w:tcW w:w="217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rFonts w:cs="Times New Roman"/>
                <w:b/>
                <w:bCs/>
                <w:color w:val="000000" w:themeColor="text1"/>
                <w:kern w:val="0"/>
                <w:sz w:val="21"/>
                <w:szCs w:val="21"/>
                <w:highlight w:val="none"/>
                <w:lang w:eastAsia="en-US"/>
                <w14:textFill>
                  <w14:solidFill>
                    <w14:schemeClr w14:val="tx1"/>
                  </w14:solidFill>
                </w14:textFill>
              </w:rPr>
            </w:pPr>
            <w:r>
              <w:rPr>
                <w:rFonts w:cs="Times New Roman"/>
                <w:b/>
                <w:bCs/>
                <w:color w:val="000000" w:themeColor="text1"/>
                <w:kern w:val="0"/>
                <w:sz w:val="21"/>
                <w:szCs w:val="21"/>
                <w:highlight w:val="none"/>
                <w:lang w:eastAsia="en-US"/>
                <w14:textFill>
                  <w14:solidFill>
                    <w14:schemeClr w14:val="tx1"/>
                  </w14:solidFill>
                </w14:textFill>
              </w:rPr>
              <w:t>序号</w:t>
            </w:r>
          </w:p>
        </w:tc>
        <w:tc>
          <w:tcPr>
            <w:tcW w:w="3139"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rFonts w:cs="Times New Roman"/>
                <w:b/>
                <w:bCs/>
                <w:color w:val="000000" w:themeColor="text1"/>
                <w:kern w:val="0"/>
                <w:sz w:val="21"/>
                <w:szCs w:val="21"/>
                <w:highlight w:val="none"/>
                <w:lang w:eastAsia="en-US"/>
                <w14:textFill>
                  <w14:solidFill>
                    <w14:schemeClr w14:val="tx1"/>
                  </w14:solidFill>
                </w14:textFill>
              </w:rPr>
            </w:pPr>
            <w:r>
              <w:rPr>
                <w:rFonts w:cs="Times New Roman"/>
                <w:b/>
                <w:bCs/>
                <w:color w:val="000000" w:themeColor="text1"/>
                <w:kern w:val="0"/>
                <w:sz w:val="21"/>
                <w:szCs w:val="21"/>
                <w:highlight w:val="none"/>
                <w:lang w:eastAsia="en-US"/>
                <w14:textFill>
                  <w14:solidFill>
                    <w14:schemeClr w14:val="tx1"/>
                  </w14:solidFill>
                </w14:textFill>
              </w:rPr>
              <w:t>污染物</w:t>
            </w:r>
          </w:p>
        </w:tc>
        <w:tc>
          <w:tcPr>
            <w:tcW w:w="2904"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rFonts w:cs="Times New Roman"/>
                <w:b/>
                <w:bCs/>
                <w:color w:val="000000" w:themeColor="text1"/>
                <w:kern w:val="0"/>
                <w:sz w:val="21"/>
                <w:szCs w:val="21"/>
                <w:highlight w:val="none"/>
                <w:lang w:eastAsia="en-US"/>
                <w14:textFill>
                  <w14:solidFill>
                    <w14:schemeClr w14:val="tx1"/>
                  </w14:solidFill>
                </w14:textFill>
              </w:rPr>
            </w:pPr>
            <w:r>
              <w:rPr>
                <w:rFonts w:cs="Times New Roman"/>
                <w:b/>
                <w:bCs/>
                <w:color w:val="000000" w:themeColor="text1"/>
                <w:kern w:val="0"/>
                <w:sz w:val="21"/>
                <w:szCs w:val="21"/>
                <w:highlight w:val="none"/>
                <w:lang w:eastAsia="en-US"/>
                <w14:textFill>
                  <w14:solidFill>
                    <w14:schemeClr w14:val="tx1"/>
                  </w14:solidFill>
                </w14:textFill>
              </w:rPr>
              <w:t>年排放量（t/a）</w:t>
            </w:r>
          </w:p>
        </w:tc>
      </w:tr>
      <w:tr>
        <w:tblPrEx>
          <w:tblCellMar>
            <w:top w:w="0" w:type="dxa"/>
            <w:left w:w="0" w:type="dxa"/>
            <w:bottom w:w="0" w:type="dxa"/>
            <w:right w:w="0" w:type="dxa"/>
          </w:tblCellMar>
        </w:tblPrEx>
        <w:trPr>
          <w:jc w:val="center"/>
        </w:trPr>
        <w:tc>
          <w:tcPr>
            <w:tcW w:w="2177" w:type="dxa"/>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1</w:t>
            </w:r>
          </w:p>
        </w:tc>
        <w:tc>
          <w:tcPr>
            <w:tcW w:w="3139"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颗粒物</w:t>
            </w:r>
          </w:p>
        </w:tc>
        <w:tc>
          <w:tcPr>
            <w:tcW w:w="2904"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0.027</w:t>
            </w:r>
          </w:p>
        </w:tc>
      </w:tr>
      <w:tr>
        <w:tblPrEx>
          <w:tblCellMar>
            <w:top w:w="0" w:type="dxa"/>
            <w:left w:w="0" w:type="dxa"/>
            <w:bottom w:w="0" w:type="dxa"/>
            <w:right w:w="0" w:type="dxa"/>
          </w:tblCellMar>
        </w:tblPrEx>
        <w:trPr>
          <w:jc w:val="center"/>
        </w:trPr>
        <w:tc>
          <w:tcPr>
            <w:tcW w:w="2177" w:type="dxa"/>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2</w:t>
            </w:r>
          </w:p>
        </w:tc>
        <w:tc>
          <w:tcPr>
            <w:tcW w:w="3139"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NO</w:t>
            </w:r>
            <w:r>
              <w:rPr>
                <w:rFonts w:cs="Times New Roman"/>
                <w:color w:val="000000" w:themeColor="text1"/>
                <w:sz w:val="21"/>
                <w:szCs w:val="21"/>
                <w:highlight w:val="none"/>
                <w:vertAlign w:val="subscript"/>
                <w14:textFill>
                  <w14:solidFill>
                    <w14:schemeClr w14:val="tx1"/>
                  </w14:solidFill>
                </w14:textFill>
              </w:rPr>
              <w:t>X</w:t>
            </w:r>
          </w:p>
        </w:tc>
        <w:tc>
          <w:tcPr>
            <w:tcW w:w="2904"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0.174</w:t>
            </w:r>
          </w:p>
        </w:tc>
      </w:tr>
    </w:tbl>
    <w:p>
      <w:pPr>
        <w:tabs>
          <w:tab w:val="left" w:pos="600"/>
        </w:tabs>
        <w:spacing w:before="120" w:beforeLines="50"/>
        <w:ind w:firstLine="480"/>
        <w:rPr>
          <w:rFonts w:cs="Times New Roman"/>
          <w:color w:val="000000" w:themeColor="text1"/>
          <w:szCs w:val="24"/>
          <w:highlight w:val="none"/>
          <w:lang w:bidi="en-US"/>
          <w14:textFill>
            <w14:solidFill>
              <w14:schemeClr w14:val="tx1"/>
            </w14:solidFill>
          </w14:textFill>
        </w:rPr>
      </w:pPr>
      <w:r>
        <w:rPr>
          <w:rFonts w:hint="eastAsia" w:cs="Times New Roman"/>
          <w:color w:val="000000" w:themeColor="text1"/>
          <w:szCs w:val="24"/>
          <w:highlight w:val="none"/>
          <w:lang w:bidi="en-US"/>
          <w14:textFill>
            <w14:solidFill>
              <w14:schemeClr w14:val="tx1"/>
            </w14:solidFill>
          </w14:textFill>
        </w:rPr>
        <w:t>（</w:t>
      </w:r>
      <w:r>
        <w:rPr>
          <w:rFonts w:cs="Times New Roman"/>
          <w:color w:val="000000" w:themeColor="text1"/>
          <w:szCs w:val="24"/>
          <w:highlight w:val="none"/>
          <w:lang w:bidi="en-US"/>
          <w14:textFill>
            <w14:solidFill>
              <w14:schemeClr w14:val="tx1"/>
            </w14:solidFill>
          </w14:textFill>
        </w:rPr>
        <w:t>5</w:t>
      </w:r>
      <w:r>
        <w:rPr>
          <w:rFonts w:hint="eastAsia" w:cs="Times New Roman"/>
          <w:color w:val="000000" w:themeColor="text1"/>
          <w:szCs w:val="24"/>
          <w:highlight w:val="none"/>
          <w:lang w:bidi="en-US"/>
          <w14:textFill>
            <w14:solidFill>
              <w14:schemeClr w14:val="tx1"/>
            </w14:solidFill>
          </w14:textFill>
        </w:rPr>
        <w:t>）</w:t>
      </w:r>
      <w:r>
        <w:rPr>
          <w:rFonts w:cs="Times New Roman"/>
          <w:color w:val="000000" w:themeColor="text1"/>
          <w:szCs w:val="24"/>
          <w:highlight w:val="none"/>
          <w:lang w:bidi="en-US"/>
          <w14:textFill>
            <w14:solidFill>
              <w14:schemeClr w14:val="tx1"/>
            </w14:solidFill>
          </w14:textFill>
        </w:rPr>
        <w:t>大气环境影响分析</w:t>
      </w:r>
    </w:p>
    <w:p>
      <w:pPr>
        <w:tabs>
          <w:tab w:val="left" w:pos="600"/>
        </w:tabs>
        <w:ind w:firstLine="480"/>
        <w:rPr>
          <w:rFonts w:cs="Times New Roman"/>
          <w:color w:val="000000" w:themeColor="text1"/>
          <w:szCs w:val="24"/>
          <w:highlight w:val="none"/>
          <w:lang w:bidi="en-US"/>
          <w14:textFill>
            <w14:solidFill>
              <w14:schemeClr w14:val="tx1"/>
            </w14:solidFill>
          </w14:textFill>
        </w:rPr>
      </w:pPr>
      <w:r>
        <w:rPr>
          <w:rFonts w:hint="eastAsia" w:cs="Times New Roman"/>
          <w:color w:val="000000" w:themeColor="text1"/>
          <w:szCs w:val="24"/>
          <w:highlight w:val="none"/>
          <w:lang w:bidi="en-US"/>
          <w14:textFill>
            <w14:solidFill>
              <w14:schemeClr w14:val="tx1"/>
            </w14:solidFill>
          </w14:textFill>
        </w:rPr>
        <w:t>1）水套加热炉废气环境影响分析</w:t>
      </w:r>
    </w:p>
    <w:p>
      <w:pPr>
        <w:tabs>
          <w:tab w:val="left" w:pos="600"/>
        </w:tabs>
        <w:ind w:firstLine="480"/>
        <w:rPr>
          <w:rFonts w:cs="Times New Roman"/>
          <w:color w:val="000000" w:themeColor="text1"/>
          <w:szCs w:val="24"/>
          <w:highlight w:val="none"/>
          <w:lang w:bidi="en-US"/>
          <w14:textFill>
            <w14:solidFill>
              <w14:schemeClr w14:val="tx1"/>
            </w14:solidFill>
          </w14:textFill>
        </w:rPr>
      </w:pPr>
      <w:r>
        <w:rPr>
          <w:rFonts w:cs="Times New Roman"/>
          <w:color w:val="000000" w:themeColor="text1"/>
          <w:szCs w:val="24"/>
          <w:highlight w:val="none"/>
          <w:lang w:bidi="en-US"/>
          <w14:textFill>
            <w14:solidFill>
              <w14:schemeClr w14:val="tx1"/>
            </w14:solidFill>
          </w14:textFill>
        </w:rPr>
        <w:t>根据上述预测分析可知，试采站拟建水套加热炉污染物排放中NOx最大占标率</w:t>
      </w:r>
      <w:r>
        <w:rPr>
          <w:rFonts w:hint="eastAsia" w:cs="Times New Roman"/>
          <w:color w:val="000000" w:themeColor="text1"/>
          <w:szCs w:val="24"/>
          <w:highlight w:val="none"/>
          <w:lang w:bidi="en-US"/>
          <w14:textFill>
            <w14:solidFill>
              <w14:schemeClr w14:val="tx1"/>
            </w14:solidFill>
          </w14:textFill>
        </w:rPr>
        <w:t>7.44</w:t>
      </w:r>
      <w:r>
        <w:rPr>
          <w:rFonts w:cs="Times New Roman"/>
          <w:color w:val="000000" w:themeColor="text1"/>
          <w:szCs w:val="24"/>
          <w:highlight w:val="none"/>
          <w:lang w:bidi="en-US"/>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颗粒物最</w:t>
      </w:r>
      <w:r>
        <w:rPr>
          <w:rFonts w:cs="Times New Roman"/>
          <w:color w:val="000000" w:themeColor="text1"/>
          <w:szCs w:val="24"/>
          <w:highlight w:val="none"/>
          <w:lang w:bidi="en-US"/>
          <w14:textFill>
            <w14:solidFill>
              <w14:schemeClr w14:val="tx1"/>
            </w14:solidFill>
          </w14:textFill>
        </w:rPr>
        <w:t>大占标率</w:t>
      </w:r>
      <w:r>
        <w:rPr>
          <w:rFonts w:hint="eastAsia" w:cs="Times New Roman"/>
          <w:color w:val="000000" w:themeColor="text1"/>
          <w:szCs w:val="24"/>
          <w:highlight w:val="none"/>
          <w:lang w:bidi="en-US"/>
          <w14:textFill>
            <w14:solidFill>
              <w14:schemeClr w14:val="tx1"/>
            </w14:solidFill>
          </w14:textFill>
        </w:rPr>
        <w:t>0.32</w:t>
      </w:r>
      <w:r>
        <w:rPr>
          <w:rFonts w:cs="Times New Roman"/>
          <w:color w:val="000000" w:themeColor="text1"/>
          <w:szCs w:val="24"/>
          <w:highlight w:val="none"/>
          <w:lang w:bidi="en-US"/>
          <w14:textFill>
            <w14:solidFill>
              <w14:schemeClr w14:val="tx1"/>
            </w14:solidFill>
          </w14:textFill>
        </w:rPr>
        <w:t>%</w:t>
      </w:r>
      <w:r>
        <w:rPr>
          <w:rFonts w:hint="eastAsia" w:cs="Times New Roman"/>
          <w:color w:val="000000" w:themeColor="text1"/>
          <w:szCs w:val="24"/>
          <w:highlight w:val="none"/>
          <w:lang w:bidi="en-US"/>
          <w14:textFill>
            <w14:solidFill>
              <w14:schemeClr w14:val="tx1"/>
            </w14:solidFill>
          </w14:textFill>
        </w:rPr>
        <w:t>，</w:t>
      </w:r>
      <w:r>
        <w:rPr>
          <w:rFonts w:cs="Times New Roman"/>
          <w:color w:val="000000" w:themeColor="text1"/>
          <w:szCs w:val="24"/>
          <w:highlight w:val="none"/>
          <w:lang w:bidi="en-US"/>
          <w14:textFill>
            <w14:solidFill>
              <w14:schemeClr w14:val="tx1"/>
            </w14:solidFill>
          </w14:textFill>
        </w:rPr>
        <w:t>污染物排放量小，</w:t>
      </w:r>
      <w:r>
        <w:rPr>
          <w:rFonts w:hint="eastAsia" w:cs="Times New Roman"/>
          <w:color w:val="000000" w:themeColor="text1"/>
          <w:szCs w:val="24"/>
          <w:highlight w:val="none"/>
          <w:lang w:bidi="en-US"/>
          <w14:textFill>
            <w14:solidFill>
              <w14:schemeClr w14:val="tx1"/>
            </w14:solidFill>
          </w14:textFill>
        </w:rPr>
        <w:t>不会显著增加环境空气中污染物浓度，</w:t>
      </w:r>
      <w:r>
        <w:rPr>
          <w:rFonts w:cs="Times New Roman"/>
          <w:color w:val="000000" w:themeColor="text1"/>
          <w:szCs w:val="24"/>
          <w:highlight w:val="none"/>
          <w:lang w:bidi="en-US"/>
          <w14:textFill>
            <w14:solidFill>
              <w14:schemeClr w14:val="tx1"/>
            </w14:solidFill>
          </w14:textFill>
        </w:rPr>
        <w:t>污染物排放对环境空气的影响较小。</w:t>
      </w:r>
    </w:p>
    <w:p>
      <w:pPr>
        <w:tabs>
          <w:tab w:val="left" w:pos="600"/>
        </w:tabs>
        <w:ind w:firstLine="480"/>
        <w:rPr>
          <w:rFonts w:cs="Times New Roman"/>
          <w:color w:val="000000" w:themeColor="text1"/>
          <w:szCs w:val="24"/>
          <w:highlight w:val="none"/>
          <w:lang w:bidi="en-US"/>
          <w14:textFill>
            <w14:solidFill>
              <w14:schemeClr w14:val="tx1"/>
            </w14:solidFill>
          </w14:textFill>
        </w:rPr>
      </w:pPr>
      <w:r>
        <w:rPr>
          <w:rFonts w:hint="eastAsia" w:cs="Times New Roman"/>
          <w:color w:val="000000" w:themeColor="text1"/>
          <w:szCs w:val="24"/>
          <w:highlight w:val="none"/>
          <w:lang w:bidi="en-US"/>
          <w14:textFill>
            <w14:solidFill>
              <w14:schemeClr w14:val="tx1"/>
            </w14:solidFill>
          </w14:textFill>
        </w:rPr>
        <w:t>2）</w:t>
      </w:r>
      <w:r>
        <w:rPr>
          <w:rFonts w:cs="Times New Roman"/>
          <w:color w:val="000000" w:themeColor="text1"/>
          <w:szCs w:val="24"/>
          <w:highlight w:val="none"/>
          <w:lang w:bidi="en-US"/>
          <w14:textFill>
            <w14:solidFill>
              <w14:schemeClr w14:val="tx1"/>
            </w14:solidFill>
          </w14:textFill>
        </w:rPr>
        <w:t>管线放空废气</w:t>
      </w:r>
    </w:p>
    <w:p>
      <w:pPr>
        <w:tabs>
          <w:tab w:val="left" w:pos="600"/>
        </w:tabs>
        <w:ind w:firstLine="480"/>
        <w:rPr>
          <w:rFonts w:cs="Times New Roman"/>
          <w:color w:val="000000" w:themeColor="text1"/>
          <w:szCs w:val="24"/>
          <w:highlight w:val="none"/>
          <w:lang w:bidi="en-US"/>
          <w14:textFill>
            <w14:solidFill>
              <w14:schemeClr w14:val="tx1"/>
            </w14:solidFill>
          </w14:textFill>
        </w:rPr>
      </w:pPr>
      <w:r>
        <w:rPr>
          <w:rFonts w:cs="Times New Roman"/>
          <w:color w:val="000000" w:themeColor="text1"/>
          <w:szCs w:val="24"/>
          <w:highlight w:val="none"/>
          <w:lang w:bidi="en-US"/>
          <w14:textFill>
            <w14:solidFill>
              <w14:schemeClr w14:val="tx1"/>
            </w14:solidFill>
          </w14:textFill>
        </w:rPr>
        <w:t>本项目非正常工况主要废气为站场检修/事故放空废气，本项目非正常工况</w:t>
      </w:r>
      <w:r>
        <w:rPr>
          <w:rFonts w:hint="eastAsia" w:cs="Times New Roman"/>
          <w:color w:val="000000" w:themeColor="text1"/>
          <w:szCs w:val="24"/>
          <w:highlight w:val="none"/>
          <w:lang w:bidi="en-US"/>
          <w14:textFill>
            <w14:solidFill>
              <w14:schemeClr w14:val="tx1"/>
            </w14:solidFill>
          </w14:textFill>
        </w:rPr>
        <w:t>放空废气量小，放空次数少，</w:t>
      </w:r>
      <w:r>
        <w:rPr>
          <w:rFonts w:cs="Times New Roman"/>
          <w:color w:val="000000" w:themeColor="text1"/>
          <w:szCs w:val="24"/>
          <w:highlight w:val="none"/>
          <w:lang w:bidi="en-US"/>
          <w14:textFill>
            <w14:solidFill>
              <w14:schemeClr w14:val="tx1"/>
            </w14:solidFill>
          </w14:textFill>
        </w:rPr>
        <w:t>项目区扩散条件好，对环境空气质量影响小。</w:t>
      </w:r>
    </w:p>
    <w:p>
      <w:pPr>
        <w:pStyle w:val="5"/>
        <w:spacing w:before="120"/>
        <w:ind w:firstLine="480"/>
        <w:rPr>
          <w:color w:val="000000" w:themeColor="text1"/>
          <w:highlight w:val="none"/>
          <w14:textFill>
            <w14:solidFill>
              <w14:schemeClr w14:val="tx1"/>
            </w14:solidFill>
          </w14:textFill>
        </w:rPr>
      </w:pPr>
      <w:bookmarkStart w:id="275" w:name="_Toc120173157"/>
      <w:r>
        <w:rPr>
          <w:color w:val="000000" w:themeColor="text1"/>
          <w:highlight w:val="none"/>
          <w14:textFill>
            <w14:solidFill>
              <w14:schemeClr w14:val="tx1"/>
            </w14:solidFill>
          </w14:textFill>
        </w:rPr>
        <w:t>地表水环境影响分析</w:t>
      </w:r>
      <w:bookmarkEnd w:id="275"/>
    </w:p>
    <w:p>
      <w:pPr>
        <w:ind w:firstLine="482"/>
        <w:rPr>
          <w:rFonts w:cs="Times New Roman"/>
          <w:b/>
          <w:color w:val="000000" w:themeColor="text1"/>
          <w:szCs w:val="24"/>
          <w:highlight w:val="none"/>
          <w14:textFill>
            <w14:solidFill>
              <w14:schemeClr w14:val="tx1"/>
            </w14:solidFill>
          </w14:textFill>
        </w:rPr>
      </w:pPr>
      <w:r>
        <w:rPr>
          <w:rFonts w:cs="Times New Roman"/>
          <w:b/>
          <w:color w:val="000000" w:themeColor="text1"/>
          <w:szCs w:val="24"/>
          <w:highlight w:val="none"/>
          <w14:textFill>
            <w14:solidFill>
              <w14:schemeClr w14:val="tx1"/>
            </w14:solidFill>
          </w14:textFill>
        </w:rPr>
        <w:t>（1）采气废水影响分析</w:t>
      </w:r>
    </w:p>
    <w:p>
      <w:pPr>
        <w:ind w:firstLine="480"/>
        <w:rPr>
          <w:rFonts w:cs="Times New Roman"/>
          <w:bCs/>
          <w:color w:val="000000" w:themeColor="text1"/>
          <w:szCs w:val="24"/>
          <w:highlight w:val="none"/>
          <w14:textFill>
            <w14:solidFill>
              <w14:schemeClr w14:val="tx1"/>
            </w14:solidFill>
          </w14:textFill>
        </w:rPr>
      </w:pPr>
      <w:r>
        <w:rPr>
          <w:rFonts w:hint="eastAsia"/>
          <w:color w:val="000000" w:themeColor="text1"/>
          <w:szCs w:val="24"/>
          <w:highlight w:val="none"/>
          <w14:textFill>
            <w14:solidFill>
              <w14:schemeClr w14:val="tx1"/>
            </w14:solidFill>
          </w14:textFill>
        </w:rPr>
        <w:t>根据雷页1井前期通过CNG方式试采情况，</w:t>
      </w:r>
      <w:r>
        <w:rPr>
          <w:rFonts w:hint="eastAsia"/>
          <w:color w:val="000000" w:themeColor="text1"/>
          <w:highlight w:val="none"/>
          <w14:textFill>
            <w14:solidFill>
              <w14:schemeClr w14:val="tx1"/>
            </w14:solidFill>
          </w14:textFill>
        </w:rPr>
        <w:t>试采阶段气</w:t>
      </w:r>
      <w:r>
        <w:rPr>
          <w:color w:val="000000" w:themeColor="text1"/>
          <w:highlight w:val="none"/>
          <w14:textFill>
            <w14:solidFill>
              <w14:schemeClr w14:val="tx1"/>
            </w14:solidFill>
          </w14:textFill>
        </w:rPr>
        <w:t>田水产生量最大约为10~20m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w:t>
      </w:r>
      <w:r>
        <w:rPr>
          <w:snapToGrid w:val="0"/>
          <w:color w:val="000000" w:themeColor="text1"/>
          <w:highlight w:val="none"/>
          <w14:textFill>
            <w14:solidFill>
              <w14:schemeClr w14:val="tx1"/>
            </w14:solidFill>
          </w14:textFill>
        </w:rPr>
        <w:t>·井</w:t>
      </w:r>
      <w:r>
        <w:rPr>
          <w:color w:val="000000" w:themeColor="text1"/>
          <w:highlight w:val="none"/>
          <w14:textFill>
            <w14:solidFill>
              <w14:schemeClr w14:val="tx1"/>
            </w14:solidFill>
          </w14:textFill>
        </w:rPr>
        <w:t>，其产生量特点为前期产生量较大，随着试采工程的进行，气田水逐渐减少，待后期产气量稳定后，气田水平均产生量约5m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/d·井</w:t>
      </w:r>
      <w:r>
        <w:rPr>
          <w:rFonts w:hint="eastAsia"/>
          <w:color w:val="000000" w:themeColor="text1"/>
          <w:highlight w:val="none"/>
          <w14:textFill>
            <w14:solidFill>
              <w14:schemeClr w14:val="tx1"/>
            </w14:solidFill>
          </w14:textFill>
        </w:rPr>
        <w:t>。本项目气田水产量取</w:t>
      </w:r>
      <w:r>
        <w:rPr>
          <w:rFonts w:hint="eastAsia"/>
          <w:snapToGrid w:val="0"/>
          <w:color w:val="000000" w:themeColor="text1"/>
          <w:highlight w:val="none"/>
          <w14:textFill>
            <w14:solidFill>
              <w14:schemeClr w14:val="tx1"/>
            </w14:solidFill>
          </w14:textFill>
        </w:rPr>
        <w:t>20</w:t>
      </w:r>
      <w:r>
        <w:rPr>
          <w:snapToGrid w:val="0"/>
          <w:color w:val="000000" w:themeColor="text1"/>
          <w:highlight w:val="none"/>
          <w14:textFill>
            <w14:solidFill>
              <w14:schemeClr w14:val="tx1"/>
            </w14:solidFill>
          </w14:textFill>
        </w:rPr>
        <w:t>m</w:t>
      </w:r>
      <w:r>
        <w:rPr>
          <w:snapToGrid w:val="0"/>
          <w:color w:val="000000" w:themeColor="text1"/>
          <w:highlight w:val="none"/>
          <w:vertAlign w:val="superscript"/>
          <w14:textFill>
            <w14:solidFill>
              <w14:schemeClr w14:val="tx1"/>
            </w14:solidFill>
          </w14:textFill>
        </w:rPr>
        <w:t>3</w:t>
      </w:r>
      <w:r>
        <w:rPr>
          <w:snapToGrid w:val="0"/>
          <w:color w:val="000000" w:themeColor="text1"/>
          <w:highlight w:val="none"/>
          <w14:textFill>
            <w14:solidFill>
              <w14:schemeClr w14:val="tx1"/>
            </w14:solidFill>
          </w14:textFill>
        </w:rPr>
        <w:t>/d，年产生量约为</w:t>
      </w:r>
      <w:r>
        <w:rPr>
          <w:rFonts w:hint="eastAsia"/>
          <w:snapToGrid w:val="0"/>
          <w:color w:val="000000" w:themeColor="text1"/>
          <w:highlight w:val="none"/>
          <w14:textFill>
            <w14:solidFill>
              <w14:schemeClr w14:val="tx1"/>
            </w14:solidFill>
          </w14:textFill>
        </w:rPr>
        <w:t>7300</w:t>
      </w:r>
      <w:r>
        <w:rPr>
          <w:snapToGrid w:val="0"/>
          <w:color w:val="000000" w:themeColor="text1"/>
          <w:highlight w:val="none"/>
          <w14:textFill>
            <w14:solidFill>
              <w14:schemeClr w14:val="tx1"/>
            </w14:solidFill>
          </w14:textFill>
        </w:rPr>
        <w:t>m</w:t>
      </w:r>
      <w:r>
        <w:rPr>
          <w:snapToGrid w:val="0"/>
          <w:color w:val="000000" w:themeColor="text1"/>
          <w:highlight w:val="none"/>
          <w:vertAlign w:val="superscript"/>
          <w14:textFill>
            <w14:solidFill>
              <w14:schemeClr w14:val="tx1"/>
            </w14:solidFill>
          </w14:textFill>
        </w:rPr>
        <w:t>3</w:t>
      </w:r>
      <w:r>
        <w:rPr>
          <w:snapToGrid w:val="0"/>
          <w:color w:val="000000" w:themeColor="text1"/>
          <w:highlight w:val="none"/>
          <w14:textFill>
            <w14:solidFill>
              <w14:schemeClr w14:val="tx1"/>
            </w14:solidFill>
          </w14:textFill>
        </w:rPr>
        <w:t>/a</w:t>
      </w:r>
      <w:r>
        <w:rPr>
          <w:rFonts w:hint="eastAsia"/>
          <w:color w:val="000000" w:themeColor="text1"/>
          <w:szCs w:val="24"/>
          <w:highlight w:val="none"/>
          <w14:textFill>
            <w14:solidFill>
              <w14:schemeClr w14:val="tx1"/>
            </w14:solidFill>
          </w14:textFill>
        </w:rPr>
        <w:t>，主要污染物为COD、氯化物、石油类，</w:t>
      </w:r>
      <w:r>
        <w:rPr>
          <w:color w:val="000000" w:themeColor="text1"/>
          <w:szCs w:val="24"/>
          <w:highlight w:val="none"/>
          <w14:textFill>
            <w14:solidFill>
              <w14:schemeClr w14:val="tx1"/>
            </w14:solidFill>
          </w14:textFill>
        </w:rPr>
        <w:t>各污染物浓度分别约为</w:t>
      </w:r>
      <w:r>
        <w:rPr>
          <w:rFonts w:hint="eastAsia"/>
          <w:color w:val="000000" w:themeColor="text1"/>
          <w:szCs w:val="24"/>
          <w:highlight w:val="none"/>
          <w14:textFill>
            <w14:solidFill>
              <w14:schemeClr w14:val="tx1"/>
            </w14:solidFill>
          </w14:textFill>
        </w:rPr>
        <w:t>50</w:t>
      </w:r>
      <w:r>
        <w:rPr>
          <w:color w:val="000000" w:themeColor="text1"/>
          <w:szCs w:val="24"/>
          <w:highlight w:val="none"/>
          <w14:textFill>
            <w14:solidFill>
              <w14:schemeClr w14:val="tx1"/>
            </w14:solidFill>
          </w14:textFill>
        </w:rPr>
        <w:t>00mg/L、</w:t>
      </w:r>
      <w:r>
        <w:rPr>
          <w:rFonts w:hint="eastAsia"/>
          <w:color w:val="000000" w:themeColor="text1"/>
          <w:szCs w:val="24"/>
          <w:highlight w:val="none"/>
          <w14:textFill>
            <w14:solidFill>
              <w14:schemeClr w14:val="tx1"/>
            </w14:solidFill>
          </w14:textFill>
        </w:rPr>
        <w:t>4</w:t>
      </w:r>
      <w:r>
        <w:rPr>
          <w:color w:val="000000" w:themeColor="text1"/>
          <w:szCs w:val="24"/>
          <w:highlight w:val="none"/>
          <w14:textFill>
            <w14:solidFill>
              <w14:schemeClr w14:val="tx1"/>
            </w14:solidFill>
          </w14:textFill>
        </w:rPr>
        <w:t>000mg/L和</w:t>
      </w:r>
      <w:r>
        <w:rPr>
          <w:rFonts w:hint="eastAsia"/>
          <w:color w:val="000000" w:themeColor="text1"/>
          <w:szCs w:val="24"/>
          <w:highlight w:val="none"/>
          <w14:textFill>
            <w14:solidFill>
              <w14:schemeClr w14:val="tx1"/>
            </w14:solidFill>
          </w14:textFill>
        </w:rPr>
        <w:t>200</w:t>
      </w:r>
      <w:r>
        <w:rPr>
          <w:color w:val="000000" w:themeColor="text1"/>
          <w:szCs w:val="24"/>
          <w:highlight w:val="none"/>
          <w14:textFill>
            <w14:solidFill>
              <w14:schemeClr w14:val="tx1"/>
            </w14:solidFill>
          </w14:textFill>
        </w:rPr>
        <w:t>mg/L</w:t>
      </w:r>
      <w:r>
        <w:rPr>
          <w:rFonts w:hint="eastAsia"/>
          <w:color w:val="000000" w:themeColor="text1"/>
          <w:szCs w:val="24"/>
          <w:highlight w:val="none"/>
          <w14:textFill>
            <w14:solidFill>
              <w14:schemeClr w14:val="tx1"/>
            </w14:solidFill>
          </w14:textFill>
        </w:rPr>
        <w:t>。</w:t>
      </w:r>
      <w:r>
        <w:rPr>
          <w:rFonts w:cs="Times New Roman"/>
          <w:bCs/>
          <w:color w:val="000000" w:themeColor="text1"/>
          <w:highlight w:val="none"/>
          <w14:textFill>
            <w14:solidFill>
              <w14:schemeClr w14:val="tx1"/>
            </w14:solidFill>
          </w14:textFill>
        </w:rPr>
        <w:t>分离气田水进入</w:t>
      </w:r>
      <w:r>
        <w:rPr>
          <w:rFonts w:hint="eastAsia" w:cs="Times New Roman"/>
          <w:bCs/>
          <w:color w:val="000000" w:themeColor="text1"/>
          <w:highlight w:val="none"/>
          <w14:textFill>
            <w14:solidFill>
              <w14:schemeClr w14:val="tx1"/>
            </w14:solidFill>
          </w14:textFill>
        </w:rPr>
        <w:t>试采</w:t>
      </w:r>
      <w:r>
        <w:rPr>
          <w:rFonts w:cs="Times New Roman"/>
          <w:bCs/>
          <w:color w:val="000000" w:themeColor="text1"/>
          <w:highlight w:val="none"/>
          <w14:textFill>
            <w14:solidFill>
              <w14:schemeClr w14:val="tx1"/>
            </w14:solidFill>
          </w14:textFill>
        </w:rPr>
        <w:t>站建设的</w:t>
      </w:r>
      <w:r>
        <w:rPr>
          <w:rFonts w:hint="eastAsia" w:cs="Times New Roman"/>
          <w:bCs/>
          <w:color w:val="000000" w:themeColor="text1"/>
          <w:highlight w:val="none"/>
          <w14:textFill>
            <w14:solidFill>
              <w14:schemeClr w14:val="tx1"/>
            </w14:solidFill>
          </w14:textFill>
        </w:rPr>
        <w:t>污水</w:t>
      </w:r>
      <w:r>
        <w:rPr>
          <w:rFonts w:cs="Times New Roman"/>
          <w:bCs/>
          <w:color w:val="000000" w:themeColor="text1"/>
          <w:highlight w:val="none"/>
          <w14:textFill>
            <w14:solidFill>
              <w14:schemeClr w14:val="tx1"/>
            </w14:solidFill>
          </w14:textFill>
        </w:rPr>
        <w:t>罐</w:t>
      </w:r>
      <w:r>
        <w:rPr>
          <w:rFonts w:hint="eastAsia" w:cs="Times New Roman"/>
          <w:bCs/>
          <w:color w:val="000000" w:themeColor="text1"/>
          <w:highlight w:val="none"/>
          <w14:textFill>
            <w14:solidFill>
              <w14:schemeClr w14:val="tx1"/>
            </w14:solidFill>
          </w14:textFill>
        </w:rPr>
        <w:t>（50m</w:t>
      </w:r>
      <w:r>
        <w:rPr>
          <w:rFonts w:hint="eastAsia" w:cs="Times New Roman"/>
          <w:bCs/>
          <w:color w:val="000000" w:themeColor="text1"/>
          <w:highlight w:val="none"/>
          <w:vertAlign w:val="superscript"/>
          <w14:textFill>
            <w14:solidFill>
              <w14:schemeClr w14:val="tx1"/>
            </w14:solidFill>
          </w14:textFill>
        </w:rPr>
        <w:t>3</w:t>
      </w:r>
      <w:r>
        <w:rPr>
          <w:rFonts w:hint="eastAsia" w:cs="Times New Roman"/>
          <w:bCs/>
          <w:color w:val="000000" w:themeColor="text1"/>
          <w:highlight w:val="none"/>
          <w14:textFill>
            <w14:solidFill>
              <w14:schemeClr w14:val="tx1"/>
            </w14:solidFill>
          </w14:textFill>
        </w:rPr>
        <w:t>）</w:t>
      </w:r>
      <w:r>
        <w:rPr>
          <w:rFonts w:cs="Times New Roman"/>
          <w:bCs/>
          <w:color w:val="000000" w:themeColor="text1"/>
          <w:highlight w:val="none"/>
          <w14:textFill>
            <w14:solidFill>
              <w14:schemeClr w14:val="tx1"/>
            </w14:solidFill>
          </w14:textFill>
        </w:rPr>
        <w:t>暂存，暂存一定量后用</w:t>
      </w:r>
      <w:r>
        <w:rPr>
          <w:rFonts w:hint="eastAsia" w:cs="Times New Roman"/>
          <w:bCs/>
          <w:color w:val="000000" w:themeColor="text1"/>
          <w:highlight w:val="none"/>
          <w14:textFill>
            <w14:solidFill>
              <w14:schemeClr w14:val="tx1"/>
            </w14:solidFill>
          </w14:textFill>
        </w:rPr>
        <w:t>密闭罐车拉运至赵家坝污水处理站达到《气田水回注方法》（SY/T 6596-2016）中注入水基本要求后管输至普光3井回注站回注处理，不外排</w:t>
      </w:r>
      <w:r>
        <w:rPr>
          <w:rFonts w:cs="Times New Roman"/>
          <w:bCs/>
          <w:color w:val="000000" w:themeColor="text1"/>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现场无废水外排，对地表水体影响较小。且随着采气试采，废水产生量将更小，水质简单，去向明确，本项目试采期</w:t>
      </w:r>
      <w:r>
        <w:rPr>
          <w:rFonts w:hint="eastAsia" w:cs="Times New Roman"/>
          <w:bCs/>
          <w:color w:val="000000" w:themeColor="text1"/>
          <w:szCs w:val="24"/>
          <w:highlight w:val="none"/>
          <w14:textFill>
            <w14:solidFill>
              <w14:schemeClr w14:val="tx1"/>
            </w14:solidFill>
          </w14:textFill>
        </w:rPr>
        <w:t>新建的</w:t>
      </w:r>
      <w:r>
        <w:rPr>
          <w:rFonts w:hint="eastAsia" w:cs="Times New Roman"/>
          <w:bCs/>
          <w:color w:val="000000" w:themeColor="text1"/>
          <w:highlight w:val="none"/>
          <w14:textFill>
            <w14:solidFill>
              <w14:schemeClr w14:val="tx1"/>
            </w14:solidFill>
          </w14:textFill>
        </w:rPr>
        <w:t>废水</w:t>
      </w:r>
      <w:r>
        <w:rPr>
          <w:rFonts w:cs="Times New Roman"/>
          <w:bCs/>
          <w:color w:val="000000" w:themeColor="text1"/>
          <w:highlight w:val="none"/>
          <w14:textFill>
            <w14:solidFill>
              <w14:schemeClr w14:val="tx1"/>
            </w14:solidFill>
          </w14:textFill>
        </w:rPr>
        <w:t>罐</w:t>
      </w:r>
      <w:r>
        <w:rPr>
          <w:rFonts w:cs="Times New Roman"/>
          <w:bCs/>
          <w:color w:val="000000" w:themeColor="text1"/>
          <w:szCs w:val="24"/>
          <w:highlight w:val="none"/>
          <w14:textFill>
            <w14:solidFill>
              <w14:schemeClr w14:val="tx1"/>
            </w14:solidFill>
          </w14:textFill>
        </w:rPr>
        <w:t>和配套环保设施处理能力满足本项目需求，收集处理工艺在</w:t>
      </w:r>
      <w:r>
        <w:rPr>
          <w:rFonts w:cs="Times New Roman"/>
          <w:color w:val="000000" w:themeColor="text1"/>
          <w:highlight w:val="none"/>
          <w14:textFill>
            <w14:solidFill>
              <w14:schemeClr w14:val="tx1"/>
            </w14:solidFill>
          </w14:textFill>
        </w:rPr>
        <w:t>川东北气田开发区块</w:t>
      </w:r>
      <w:r>
        <w:rPr>
          <w:rFonts w:cs="Times New Roman"/>
          <w:bCs/>
          <w:color w:val="000000" w:themeColor="text1"/>
          <w:szCs w:val="24"/>
          <w:highlight w:val="none"/>
          <w14:textFill>
            <w14:solidFill>
              <w14:schemeClr w14:val="tx1"/>
            </w14:solidFill>
          </w14:textFill>
        </w:rPr>
        <w:t>已运行多年，效果稳定可靠，未发生过处理不佳导致环境污染的事故发生。因此，本项目试采期采气废水不会对地表水环境造成不良影响。</w:t>
      </w:r>
    </w:p>
    <w:p>
      <w:pPr>
        <w:ind w:firstLine="482"/>
        <w:rPr>
          <w:rFonts w:cs="Times New Roman"/>
          <w:b/>
          <w:color w:val="000000" w:themeColor="text1"/>
          <w:szCs w:val="24"/>
          <w:highlight w:val="none"/>
          <w14:textFill>
            <w14:solidFill>
              <w14:schemeClr w14:val="tx1"/>
            </w14:solidFill>
          </w14:textFill>
        </w:rPr>
      </w:pPr>
      <w:r>
        <w:rPr>
          <w:rFonts w:cs="Times New Roman"/>
          <w:b/>
          <w:color w:val="000000" w:themeColor="text1"/>
          <w:szCs w:val="24"/>
          <w:highlight w:val="none"/>
          <w14:textFill>
            <w14:solidFill>
              <w14:schemeClr w14:val="tx1"/>
            </w14:solidFill>
          </w14:textFill>
        </w:rPr>
        <w:t>（2）生活污水影响分析</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kern w:val="0"/>
          <w:szCs w:val="24"/>
          <w:highlight w:val="none"/>
          <w14:textFill>
            <w14:solidFill>
              <w14:schemeClr w14:val="tx1"/>
            </w14:solidFill>
          </w14:textFill>
        </w:rPr>
        <w:t>本项目运营期有人值守，劳动定员</w:t>
      </w:r>
      <w:r>
        <w:rPr>
          <w:rFonts w:hint="eastAsia" w:cs="Times New Roman"/>
          <w:bCs/>
          <w:color w:val="000000" w:themeColor="text1"/>
          <w:kern w:val="0"/>
          <w:szCs w:val="24"/>
          <w:highlight w:val="none"/>
          <w14:textFill>
            <w14:solidFill>
              <w14:schemeClr w14:val="tx1"/>
            </w14:solidFill>
          </w14:textFill>
        </w:rPr>
        <w:t>10</w:t>
      </w:r>
      <w:r>
        <w:rPr>
          <w:rFonts w:cs="Times New Roman"/>
          <w:bCs/>
          <w:color w:val="000000" w:themeColor="text1"/>
          <w:kern w:val="0"/>
          <w:szCs w:val="24"/>
          <w:highlight w:val="none"/>
          <w14:textFill>
            <w14:solidFill>
              <w14:schemeClr w14:val="tx1"/>
            </w14:solidFill>
          </w14:textFill>
        </w:rPr>
        <w:t>人，</w:t>
      </w:r>
      <w:r>
        <w:rPr>
          <w:rFonts w:cs="Times New Roman"/>
          <w:color w:val="000000" w:themeColor="text1"/>
          <w:kern w:val="0"/>
          <w:highlight w:val="none"/>
          <w14:textFill>
            <w14:solidFill>
              <w14:schemeClr w14:val="tx1"/>
            </w14:solidFill>
          </w14:textFill>
        </w:rPr>
        <w:t>人均用水定额为130L/人·d（来源于四川省人民政府关于印发《四川省用水定额》的通知（川府函〔2021〕8号）），</w:t>
      </w:r>
      <w:r>
        <w:rPr>
          <w:rFonts w:cs="Times New Roman"/>
          <w:color w:val="000000" w:themeColor="text1"/>
          <w:szCs w:val="24"/>
          <w:highlight w:val="none"/>
          <w14:textFill>
            <w14:solidFill>
              <w14:schemeClr w14:val="tx1"/>
            </w14:solidFill>
          </w14:textFill>
        </w:rPr>
        <w:t>则生活用水量为</w:t>
      </w:r>
      <w:r>
        <w:rPr>
          <w:rFonts w:hint="eastAsia" w:cs="Times New Roman"/>
          <w:color w:val="000000" w:themeColor="text1"/>
          <w:szCs w:val="24"/>
          <w:highlight w:val="none"/>
          <w14:textFill>
            <w14:solidFill>
              <w14:schemeClr w14:val="tx1"/>
            </w14:solidFill>
          </w14:textFill>
        </w:rPr>
        <w:t>1.3</w:t>
      </w:r>
      <w:r>
        <w:rPr>
          <w:rFonts w:cs="Times New Roman"/>
          <w:color w:val="000000" w:themeColor="text1"/>
          <w:szCs w:val="24"/>
          <w:highlight w:val="none"/>
          <w14:textFill>
            <w14:solidFill>
              <w14:schemeClr w14:val="tx1"/>
            </w14:solidFill>
          </w14:textFill>
        </w:rPr>
        <w:t>m</w:t>
      </w:r>
      <w:r>
        <w:rPr>
          <w:rFonts w:cs="Times New Roman"/>
          <w:color w:val="000000" w:themeColor="text1"/>
          <w:szCs w:val="24"/>
          <w:highlight w:val="none"/>
          <w:vertAlign w:val="superscript"/>
          <w14:textFill>
            <w14:solidFill>
              <w14:schemeClr w14:val="tx1"/>
            </w14:solidFill>
          </w14:textFill>
        </w:rPr>
        <w:t>3</w:t>
      </w:r>
      <w:r>
        <w:rPr>
          <w:rFonts w:cs="Times New Roman"/>
          <w:color w:val="000000" w:themeColor="text1"/>
          <w:szCs w:val="24"/>
          <w:highlight w:val="none"/>
          <w14:textFill>
            <w14:solidFill>
              <w14:schemeClr w14:val="tx1"/>
            </w14:solidFill>
          </w14:textFill>
        </w:rPr>
        <w:t>/d，生活污水排放量按用水量的90%计，则开采期生活污水排放量为</w:t>
      </w:r>
      <w:r>
        <w:rPr>
          <w:rFonts w:hint="eastAsia" w:cs="Times New Roman"/>
          <w:color w:val="000000" w:themeColor="text1"/>
          <w:szCs w:val="24"/>
          <w:highlight w:val="none"/>
          <w14:textFill>
            <w14:solidFill>
              <w14:schemeClr w14:val="tx1"/>
            </w14:solidFill>
          </w14:textFill>
        </w:rPr>
        <w:t>1.17</w:t>
      </w:r>
      <w:r>
        <w:rPr>
          <w:rFonts w:cs="Times New Roman"/>
          <w:color w:val="000000" w:themeColor="text1"/>
          <w:szCs w:val="24"/>
          <w:highlight w:val="none"/>
          <w14:textFill>
            <w14:solidFill>
              <w14:schemeClr w14:val="tx1"/>
            </w14:solidFill>
          </w14:textFill>
        </w:rPr>
        <w:t>m</w:t>
      </w:r>
      <w:r>
        <w:rPr>
          <w:rFonts w:cs="Times New Roman"/>
          <w:color w:val="000000" w:themeColor="text1"/>
          <w:szCs w:val="24"/>
          <w:highlight w:val="none"/>
          <w:vertAlign w:val="superscript"/>
          <w14:textFill>
            <w14:solidFill>
              <w14:schemeClr w14:val="tx1"/>
            </w14:solidFill>
          </w14:textFill>
        </w:rPr>
        <w:t>3</w:t>
      </w:r>
      <w:r>
        <w:rPr>
          <w:rFonts w:cs="Times New Roman"/>
          <w:color w:val="000000" w:themeColor="text1"/>
          <w:szCs w:val="24"/>
          <w:highlight w:val="none"/>
          <w14:textFill>
            <w14:solidFill>
              <w14:schemeClr w14:val="tx1"/>
            </w14:solidFill>
          </w14:textFill>
        </w:rPr>
        <w:t>/d。类比调查同类型项目，生活污水主要污染物成分及浓度为：BOD</w:t>
      </w:r>
      <w:r>
        <w:rPr>
          <w:rFonts w:cs="Times New Roman"/>
          <w:color w:val="000000" w:themeColor="text1"/>
          <w:szCs w:val="24"/>
          <w:highlight w:val="none"/>
          <w:vertAlign w:val="subscript"/>
          <w14:textFill>
            <w14:solidFill>
              <w14:schemeClr w14:val="tx1"/>
            </w14:solidFill>
          </w14:textFill>
        </w:rPr>
        <w:t>5</w:t>
      </w:r>
      <w:r>
        <w:rPr>
          <w:rFonts w:cs="Times New Roman"/>
          <w:color w:val="000000" w:themeColor="text1"/>
          <w:szCs w:val="24"/>
          <w:highlight w:val="none"/>
          <w14:textFill>
            <w14:solidFill>
              <w14:schemeClr w14:val="tx1"/>
            </w14:solidFill>
          </w14:textFill>
        </w:rPr>
        <w:t>200~250mg/L，COD</w:t>
      </w:r>
      <w:r>
        <w:rPr>
          <w:rFonts w:cs="Times New Roman"/>
          <w:color w:val="000000" w:themeColor="text1"/>
          <w:szCs w:val="24"/>
          <w:highlight w:val="none"/>
          <w:vertAlign w:val="subscript"/>
          <w14:textFill>
            <w14:solidFill>
              <w14:schemeClr w14:val="tx1"/>
            </w14:solidFill>
          </w14:textFill>
        </w:rPr>
        <w:t>Cr</w:t>
      </w:r>
      <w:r>
        <w:rPr>
          <w:rFonts w:cs="Times New Roman"/>
          <w:color w:val="000000" w:themeColor="text1"/>
          <w:szCs w:val="24"/>
          <w:highlight w:val="none"/>
          <w14:textFill>
            <w14:solidFill>
              <w14:schemeClr w14:val="tx1"/>
            </w14:solidFill>
          </w14:textFill>
        </w:rPr>
        <w:t>400~500mg/L，NH</w:t>
      </w:r>
      <w:r>
        <w:rPr>
          <w:rFonts w:cs="Times New Roman"/>
          <w:color w:val="000000" w:themeColor="text1"/>
          <w:szCs w:val="24"/>
          <w:highlight w:val="none"/>
          <w:vertAlign w:val="subscript"/>
          <w14:textFill>
            <w14:solidFill>
              <w14:schemeClr w14:val="tx1"/>
            </w14:solidFill>
          </w14:textFill>
        </w:rPr>
        <w:t>3</w:t>
      </w:r>
      <w:r>
        <w:rPr>
          <w:rFonts w:cs="Times New Roman"/>
          <w:color w:val="000000" w:themeColor="text1"/>
          <w:szCs w:val="24"/>
          <w:highlight w:val="none"/>
          <w14:textFill>
            <w14:solidFill>
              <w14:schemeClr w14:val="tx1"/>
            </w14:solidFill>
          </w14:textFill>
        </w:rPr>
        <w:t>-N40~140mg/L，SS500~600mg/L，石油类2</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10mg/L，动植物油15</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40mg/L</w:t>
      </w:r>
      <w:r>
        <w:rPr>
          <w:rFonts w:cs="Times New Roman"/>
          <w:bCs/>
          <w:color w:val="000000" w:themeColor="text1"/>
          <w:kern w:val="0"/>
          <w:szCs w:val="24"/>
          <w:highlight w:val="none"/>
          <w14:textFill>
            <w14:solidFill>
              <w14:schemeClr w14:val="tx1"/>
            </w14:solidFill>
          </w14:textFill>
        </w:rPr>
        <w:t>。</w:t>
      </w:r>
      <w:r>
        <w:rPr>
          <w:rFonts w:cs="Times New Roman"/>
          <w:bCs/>
          <w:color w:val="000000" w:themeColor="text1"/>
          <w:kern w:val="0"/>
          <w:highlight w:val="none"/>
          <w14:textFill>
            <w14:solidFill>
              <w14:schemeClr w14:val="tx1"/>
            </w14:solidFill>
          </w14:textFill>
        </w:rPr>
        <w:t>值守人员生活污水经生态厕所收集后定期由密闭罐车拉运至周边生活污水处理厂处理</w:t>
      </w:r>
      <w:r>
        <w:rPr>
          <w:rFonts w:cs="Times New Roman"/>
          <w:bCs/>
          <w:color w:val="000000" w:themeColor="text1"/>
          <w:szCs w:val="24"/>
          <w:highlight w:val="none"/>
          <w14:textFill>
            <w14:solidFill>
              <w14:schemeClr w14:val="tx1"/>
            </w14:solidFill>
          </w14:textFill>
        </w:rPr>
        <w:t>。</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综上所述，在严格落实各项污染防治措施的前提下，本项目试采期对周围地表水环境影响较小。</w:t>
      </w:r>
    </w:p>
    <w:p>
      <w:pPr>
        <w:pStyle w:val="5"/>
        <w:spacing w:before="120"/>
        <w:ind w:firstLine="480"/>
        <w:rPr>
          <w:color w:val="000000" w:themeColor="text1"/>
          <w:highlight w:val="none"/>
          <w14:textFill>
            <w14:solidFill>
              <w14:schemeClr w14:val="tx1"/>
            </w14:solidFill>
          </w14:textFill>
        </w:rPr>
      </w:pPr>
      <w:bookmarkStart w:id="276" w:name="_Toc120173158"/>
      <w:r>
        <w:rPr>
          <w:color w:val="000000" w:themeColor="text1"/>
          <w:highlight w:val="none"/>
          <w14:textFill>
            <w14:solidFill>
              <w14:schemeClr w14:val="tx1"/>
            </w14:solidFill>
          </w14:textFill>
        </w:rPr>
        <w:t>声环境影响分析</w:t>
      </w:r>
      <w:bookmarkEnd w:id="276"/>
    </w:p>
    <w:p>
      <w:pPr>
        <w:ind w:firstLine="482"/>
        <w:rPr>
          <w:b/>
          <w:color w:val="000000" w:themeColor="text1"/>
          <w:szCs w:val="24"/>
          <w:highlight w:val="none"/>
          <w14:textFill>
            <w14:solidFill>
              <w14:schemeClr w14:val="tx1"/>
            </w14:solidFill>
          </w14:textFill>
        </w:rPr>
      </w:pPr>
      <w:r>
        <w:rPr>
          <w:b/>
          <w:color w:val="000000" w:themeColor="text1"/>
          <w:szCs w:val="24"/>
          <w:highlight w:val="none"/>
          <w14:textFill>
            <w14:solidFill>
              <w14:schemeClr w14:val="tx1"/>
            </w14:solidFill>
          </w14:textFill>
        </w:rPr>
        <w:t>（1）采气设备噪声影响分析</w:t>
      </w:r>
    </w:p>
    <w:p>
      <w:pPr>
        <w:ind w:firstLine="480"/>
        <w:rPr>
          <w:bCs/>
          <w:color w:val="000000" w:themeColor="text1"/>
          <w:highlight w:val="none"/>
          <w14:textFill>
            <w14:solidFill>
              <w14:schemeClr w14:val="tx1"/>
            </w14:solidFill>
          </w14:textFill>
        </w:rPr>
      </w:pPr>
      <w:bookmarkStart w:id="277" w:name="_Hlk87898866"/>
      <w:r>
        <w:rPr>
          <w:bCs/>
          <w:color w:val="000000" w:themeColor="text1"/>
          <w:highlight w:val="none"/>
          <w14:textFill>
            <w14:solidFill>
              <w14:schemeClr w14:val="tx1"/>
            </w14:solidFill>
          </w14:textFill>
        </w:rPr>
        <w:t>根据调查，本项目运营期噪声主要来</w:t>
      </w:r>
      <w:r>
        <w:rPr>
          <w:rFonts w:hint="eastAsia"/>
          <w:bCs/>
          <w:color w:val="000000" w:themeColor="text1"/>
          <w:highlight w:val="none"/>
          <w14:textFill>
            <w14:solidFill>
              <w14:schemeClr w14:val="tx1"/>
            </w14:solidFill>
          </w14:textFill>
        </w:rPr>
        <w:t>水套加热炉</w:t>
      </w:r>
      <w:r>
        <w:rPr>
          <w:bCs/>
          <w:color w:val="000000" w:themeColor="text1"/>
          <w:highlight w:val="none"/>
          <w14:textFill>
            <w14:solidFill>
              <w14:schemeClr w14:val="tx1"/>
            </w14:solidFill>
          </w14:textFill>
        </w:rPr>
        <w:t>、</w:t>
      </w:r>
      <w:r>
        <w:rPr>
          <w:rFonts w:hint="eastAsia"/>
          <w:bCs/>
          <w:color w:val="000000" w:themeColor="text1"/>
          <w:highlight w:val="none"/>
          <w14:textFill>
            <w14:solidFill>
              <w14:schemeClr w14:val="tx1"/>
            </w14:solidFill>
          </w14:textFill>
        </w:rPr>
        <w:t>重力</w:t>
      </w:r>
      <w:r>
        <w:rPr>
          <w:bCs/>
          <w:color w:val="000000" w:themeColor="text1"/>
          <w:highlight w:val="none"/>
          <w14:textFill>
            <w14:solidFill>
              <w14:schemeClr w14:val="tx1"/>
            </w14:solidFill>
          </w14:textFill>
        </w:rPr>
        <w:t>分离器、</w:t>
      </w:r>
      <w:r>
        <w:rPr>
          <w:rFonts w:hint="eastAsia"/>
          <w:bCs/>
          <w:color w:val="000000" w:themeColor="text1"/>
          <w:highlight w:val="none"/>
          <w14:textFill>
            <w14:solidFill>
              <w14:schemeClr w14:val="tx1"/>
            </w14:solidFill>
          </w14:textFill>
        </w:rPr>
        <w:t>分子筛脱水装置、装车泵</w:t>
      </w:r>
      <w:r>
        <w:rPr>
          <w:bCs/>
          <w:color w:val="000000" w:themeColor="text1"/>
          <w:highlight w:val="none"/>
          <w14:textFill>
            <w14:solidFill>
              <w14:schemeClr w14:val="tx1"/>
            </w14:solidFill>
          </w14:textFill>
        </w:rPr>
        <w:t>等设备，另外</w:t>
      </w:r>
      <w:r>
        <w:rPr>
          <w:rFonts w:hint="eastAsia"/>
          <w:bCs/>
          <w:color w:val="000000" w:themeColor="text1"/>
          <w:highlight w:val="none"/>
          <w14:textFill>
            <w14:solidFill>
              <w14:schemeClr w14:val="tx1"/>
            </w14:solidFill>
          </w14:textFill>
        </w:rPr>
        <w:t>，系</w:t>
      </w:r>
      <w:r>
        <w:rPr>
          <w:bCs/>
          <w:color w:val="000000" w:themeColor="text1"/>
          <w:highlight w:val="none"/>
          <w14:textFill>
            <w14:solidFill>
              <w14:schemeClr w14:val="tx1"/>
            </w14:solidFill>
          </w14:textFill>
        </w:rPr>
        <w:t>统超压状况下，通过新建放</w:t>
      </w:r>
      <w:r>
        <w:rPr>
          <w:rFonts w:hint="eastAsia"/>
          <w:bCs/>
          <w:color w:val="000000" w:themeColor="text1"/>
          <w:highlight w:val="none"/>
          <w14:textFill>
            <w14:solidFill>
              <w14:schemeClr w14:val="tx1"/>
            </w14:solidFill>
          </w14:textFill>
        </w:rPr>
        <w:t>空</w:t>
      </w:r>
      <w:r>
        <w:rPr>
          <w:bCs/>
          <w:color w:val="000000" w:themeColor="text1"/>
          <w:highlight w:val="none"/>
          <w14:textFill>
            <w14:solidFill>
              <w14:schemeClr w14:val="tx1"/>
            </w14:solidFill>
          </w14:textFill>
        </w:rPr>
        <w:t>管引致</w:t>
      </w:r>
      <w:r>
        <w:rPr>
          <w:rFonts w:hint="eastAsia"/>
          <w:bCs/>
          <w:color w:val="000000" w:themeColor="text1"/>
          <w:highlight w:val="none"/>
          <w14:textFill>
            <w14:solidFill>
              <w14:schemeClr w14:val="tx1"/>
            </w14:solidFill>
          </w14:textFill>
        </w:rPr>
        <w:t>放空管</w:t>
      </w:r>
      <w:r>
        <w:rPr>
          <w:bCs/>
          <w:color w:val="000000" w:themeColor="text1"/>
          <w:highlight w:val="none"/>
          <w14:textFill>
            <w14:solidFill>
              <w14:schemeClr w14:val="tx1"/>
            </w14:solidFill>
          </w14:textFill>
        </w:rPr>
        <w:t>处点火燃烧也将产生</w:t>
      </w:r>
      <w:r>
        <w:rPr>
          <w:rFonts w:hint="eastAsia"/>
          <w:bCs/>
          <w:color w:val="000000" w:themeColor="text1"/>
          <w:highlight w:val="none"/>
          <w14:textFill>
            <w14:solidFill>
              <w14:schemeClr w14:val="tx1"/>
            </w14:solidFill>
          </w14:textFill>
        </w:rPr>
        <w:t>放空</w:t>
      </w:r>
      <w:r>
        <w:rPr>
          <w:bCs/>
          <w:color w:val="000000" w:themeColor="text1"/>
          <w:highlight w:val="none"/>
          <w14:textFill>
            <w14:solidFill>
              <w14:schemeClr w14:val="tx1"/>
            </w14:solidFill>
          </w14:textFill>
        </w:rPr>
        <w:t>噪声。</w:t>
      </w:r>
      <w:r>
        <w:rPr>
          <w:rFonts w:hint="eastAsia"/>
          <w:bCs/>
          <w:color w:val="000000" w:themeColor="text1"/>
          <w:highlight w:val="none"/>
          <w14:textFill>
            <w14:solidFill>
              <w14:schemeClr w14:val="tx1"/>
            </w14:solidFill>
          </w14:textFill>
        </w:rPr>
        <w:t>通过</w:t>
      </w:r>
      <w:r>
        <w:rPr>
          <w:bCs/>
          <w:color w:val="000000" w:themeColor="text1"/>
          <w:highlight w:val="none"/>
          <w14:textFill>
            <w14:solidFill>
              <w14:schemeClr w14:val="tx1"/>
            </w14:solidFill>
          </w14:textFill>
        </w:rPr>
        <w:t>选用高效低噪声的</w:t>
      </w:r>
      <w:r>
        <w:rPr>
          <w:rFonts w:hint="eastAsia"/>
          <w:bCs/>
          <w:color w:val="000000" w:themeColor="text1"/>
          <w:highlight w:val="none"/>
          <w14:textFill>
            <w14:solidFill>
              <w14:schemeClr w14:val="tx1"/>
            </w14:solidFill>
          </w14:textFill>
        </w:rPr>
        <w:t>水套炉</w:t>
      </w:r>
      <w:r>
        <w:rPr>
          <w:bCs/>
          <w:color w:val="000000" w:themeColor="text1"/>
          <w:highlight w:val="none"/>
          <w14:textFill>
            <w14:solidFill>
              <w14:schemeClr w14:val="tx1"/>
            </w14:solidFill>
          </w14:textFill>
        </w:rPr>
        <w:t>、分离器</w:t>
      </w:r>
      <w:r>
        <w:rPr>
          <w:rFonts w:hint="eastAsia"/>
          <w:bCs/>
          <w:color w:val="000000" w:themeColor="text1"/>
          <w:highlight w:val="none"/>
          <w14:textFill>
            <w14:solidFill>
              <w14:schemeClr w14:val="tx1"/>
            </w14:solidFill>
          </w14:textFill>
        </w:rPr>
        <w:t>、装车泵撬</w:t>
      </w:r>
      <w:r>
        <w:rPr>
          <w:bCs/>
          <w:color w:val="000000" w:themeColor="text1"/>
          <w:highlight w:val="none"/>
          <w14:textFill>
            <w14:solidFill>
              <w14:schemeClr w14:val="tx1"/>
            </w14:solidFill>
          </w14:textFill>
        </w:rPr>
        <w:t>和</w:t>
      </w:r>
      <w:r>
        <w:rPr>
          <w:rFonts w:hint="eastAsia"/>
          <w:bCs/>
          <w:color w:val="000000" w:themeColor="text1"/>
          <w:highlight w:val="none"/>
          <w14:textFill>
            <w14:solidFill>
              <w14:schemeClr w14:val="tx1"/>
            </w14:solidFill>
          </w14:textFill>
        </w:rPr>
        <w:t>分子筛脱水装置</w:t>
      </w:r>
      <w:r>
        <w:rPr>
          <w:bCs/>
          <w:color w:val="000000" w:themeColor="text1"/>
          <w:highlight w:val="none"/>
          <w14:textFill>
            <w14:solidFill>
              <w14:schemeClr w14:val="tx1"/>
            </w14:solidFill>
          </w14:textFill>
        </w:rPr>
        <w:t>，</w:t>
      </w:r>
      <w:r>
        <w:rPr>
          <w:rFonts w:hint="eastAsia"/>
          <w:bCs/>
          <w:color w:val="000000" w:themeColor="text1"/>
          <w:highlight w:val="none"/>
          <w14:textFill>
            <w14:solidFill>
              <w14:schemeClr w14:val="tx1"/>
            </w14:solidFill>
          </w14:textFill>
        </w:rPr>
        <w:t>对产噪设备</w:t>
      </w:r>
      <w:r>
        <w:rPr>
          <w:bCs/>
          <w:color w:val="000000" w:themeColor="text1"/>
          <w:highlight w:val="none"/>
          <w14:textFill>
            <w14:solidFill>
              <w14:schemeClr w14:val="tx1"/>
            </w14:solidFill>
          </w14:textFill>
        </w:rPr>
        <w:t>安装减振基础、将设备置于具备降噪效果的撬装箱体内等。通过采取这些噪声控制措施后，噪声源的声级值约</w:t>
      </w:r>
      <w:r>
        <w:rPr>
          <w:rFonts w:hint="eastAsia"/>
          <w:bCs/>
          <w:color w:val="000000" w:themeColor="text1"/>
          <w:highlight w:val="none"/>
          <w14:textFill>
            <w14:solidFill>
              <w14:schemeClr w14:val="tx1"/>
            </w14:solidFill>
          </w14:textFill>
        </w:rPr>
        <w:t>60</w:t>
      </w:r>
      <w:r>
        <w:rPr>
          <w:bCs/>
          <w:color w:val="000000" w:themeColor="text1"/>
          <w:highlight w:val="none"/>
          <w14:textFill>
            <w14:solidFill>
              <w14:schemeClr w14:val="tx1"/>
            </w14:solidFill>
          </w14:textFill>
        </w:rPr>
        <w:t>dB（A）</w:t>
      </w:r>
      <w:r>
        <w:rPr>
          <w:rFonts w:hint="eastAsia"/>
          <w:bCs/>
          <w:color w:val="000000" w:themeColor="text1"/>
          <w:highlight w:val="none"/>
          <w14:textFill>
            <w14:solidFill>
              <w14:schemeClr w14:val="tx1"/>
            </w14:solidFill>
          </w14:textFill>
        </w:rPr>
        <w:t>～70</w:t>
      </w:r>
      <w:r>
        <w:rPr>
          <w:bCs/>
          <w:color w:val="000000" w:themeColor="text1"/>
          <w:highlight w:val="none"/>
          <w14:textFill>
            <w14:solidFill>
              <w14:schemeClr w14:val="tx1"/>
            </w14:solidFill>
          </w14:textFill>
        </w:rPr>
        <w:t>dB（A）之间。</w:t>
      </w:r>
    </w:p>
    <w:bookmarkEnd w:id="277"/>
    <w:p>
      <w:pPr>
        <w:ind w:firstLine="480"/>
        <w:rPr>
          <w:bCs/>
          <w:color w:val="000000" w:themeColor="text1"/>
          <w:highlight w:val="none"/>
          <w14:textFill>
            <w14:solidFill>
              <w14:schemeClr w14:val="tx1"/>
            </w14:solidFill>
          </w14:textFill>
        </w:rPr>
      </w:pPr>
      <w:r>
        <w:rPr>
          <w:rFonts w:hint="eastAsia"/>
          <w:bCs/>
          <w:color w:val="000000" w:themeColor="text1"/>
          <w:highlight w:val="none"/>
          <w14:textFill>
            <w14:solidFill>
              <w14:schemeClr w14:val="tx1"/>
            </w14:solidFill>
          </w14:textFill>
        </w:rPr>
        <w:t>试</w:t>
      </w:r>
      <w:r>
        <w:rPr>
          <w:bCs/>
          <w:color w:val="000000" w:themeColor="text1"/>
          <w:highlight w:val="none"/>
          <w14:textFill>
            <w14:solidFill>
              <w14:schemeClr w14:val="tx1"/>
            </w14:solidFill>
          </w14:textFill>
        </w:rPr>
        <w:t>采期主要噪声源源强调查清单见下表：</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试采期主要噪声源源强调查清单</w:t>
      </w:r>
    </w:p>
    <w:tbl>
      <w:tblPr>
        <w:tblStyle w:val="21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5"/>
        <w:gridCol w:w="951"/>
        <w:gridCol w:w="1342"/>
        <w:gridCol w:w="873"/>
        <w:gridCol w:w="873"/>
        <w:gridCol w:w="875"/>
        <w:gridCol w:w="1018"/>
        <w:gridCol w:w="1199"/>
        <w:gridCol w:w="7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361" w:type="pct"/>
            <w:vMerge w:val="restart"/>
            <w:vAlign w:val="center"/>
          </w:tcPr>
          <w:p>
            <w:pPr>
              <w:pStyle w:val="118"/>
              <w:rPr>
                <w:rFonts w:eastAsia="Times New Roman"/>
                <w:b/>
                <w:bCs/>
                <w:snapToGrid w:val="0"/>
                <w:color w:val="000000" w:themeColor="text1"/>
                <w:highlight w:val="none"/>
                <w14:textFill>
                  <w14:solidFill>
                    <w14:schemeClr w14:val="tx1"/>
                  </w14:solidFill>
                </w14:textFill>
              </w:rPr>
            </w:pPr>
            <w:r>
              <w:rPr>
                <w:rFonts w:hint="eastAsia" w:eastAsia="Times New Roman"/>
                <w:b/>
                <w:bCs/>
                <w:snapToGrid w:val="0"/>
                <w:color w:val="000000" w:themeColor="text1"/>
                <w:highlight w:val="none"/>
                <w14:textFill>
                  <w14:solidFill>
                    <w14:schemeClr w14:val="tx1"/>
                  </w14:solidFill>
                </w14:textFill>
              </w:rPr>
              <w:t>序号</w:t>
            </w:r>
          </w:p>
        </w:tc>
        <w:tc>
          <w:tcPr>
            <w:tcW w:w="558" w:type="pct"/>
            <w:vMerge w:val="restart"/>
            <w:vAlign w:val="center"/>
          </w:tcPr>
          <w:p>
            <w:pPr>
              <w:pStyle w:val="118"/>
              <w:rPr>
                <w:rFonts w:eastAsia="Times New Roman"/>
                <w:b/>
                <w:bCs/>
                <w:snapToGrid w:val="0"/>
                <w:color w:val="000000" w:themeColor="text1"/>
                <w:highlight w:val="none"/>
                <w14:textFill>
                  <w14:solidFill>
                    <w14:schemeClr w14:val="tx1"/>
                  </w14:solidFill>
                </w14:textFill>
              </w:rPr>
            </w:pPr>
            <w:r>
              <w:rPr>
                <w:rFonts w:hint="eastAsia" w:ascii="宋体" w:hAnsi="宋体" w:eastAsia="宋体" w:cs="宋体"/>
                <w:b/>
                <w:bCs/>
                <w:snapToGrid w:val="0"/>
                <w:color w:val="000000" w:themeColor="text1"/>
                <w:highlight w:val="none"/>
                <w14:textFill>
                  <w14:solidFill>
                    <w14:schemeClr w14:val="tx1"/>
                  </w14:solidFill>
                </w14:textFill>
              </w:rPr>
              <w:t>噪</w:t>
            </w:r>
            <w:r>
              <w:rPr>
                <w:rFonts w:hint="eastAsia" w:eastAsia="Times New Roman"/>
                <w:b/>
                <w:bCs/>
                <w:snapToGrid w:val="0"/>
                <w:color w:val="000000" w:themeColor="text1"/>
                <w:highlight w:val="none"/>
                <w14:textFill>
                  <w14:solidFill>
                    <w14:schemeClr w14:val="tx1"/>
                  </w14:solidFill>
                </w14:textFill>
              </w:rPr>
              <w:t>声设备</w:t>
            </w:r>
          </w:p>
        </w:tc>
        <w:tc>
          <w:tcPr>
            <w:tcW w:w="787" w:type="pct"/>
            <w:vMerge w:val="restart"/>
            <w:vAlign w:val="center"/>
          </w:tcPr>
          <w:p>
            <w:pPr>
              <w:pStyle w:val="118"/>
              <w:rPr>
                <w:rFonts w:eastAsia="Times New Roman"/>
                <w:b/>
                <w:bCs/>
                <w:snapToGrid w:val="0"/>
                <w:color w:val="000000" w:themeColor="text1"/>
                <w:highlight w:val="none"/>
                <w14:textFill>
                  <w14:solidFill>
                    <w14:schemeClr w14:val="tx1"/>
                  </w14:solidFill>
                </w14:textFill>
              </w:rPr>
            </w:pPr>
            <w:r>
              <w:rPr>
                <w:rFonts w:hint="eastAsia" w:ascii="宋体" w:hAnsi="宋体" w:eastAsia="宋体" w:cs="宋体"/>
                <w:b/>
                <w:bCs/>
                <w:snapToGrid w:val="0"/>
                <w:color w:val="000000" w:themeColor="text1"/>
                <w:highlight w:val="none"/>
                <w14:textFill>
                  <w14:solidFill>
                    <w14:schemeClr w14:val="tx1"/>
                  </w14:solidFill>
                </w14:textFill>
              </w:rPr>
              <w:t>型</w:t>
            </w:r>
            <w:r>
              <w:rPr>
                <w:rFonts w:hint="eastAsia" w:eastAsia="Times New Roman"/>
                <w:b/>
                <w:bCs/>
                <w:snapToGrid w:val="0"/>
                <w:color w:val="000000" w:themeColor="text1"/>
                <w:highlight w:val="none"/>
                <w14:textFill>
                  <w14:solidFill>
                    <w14:schemeClr w14:val="tx1"/>
                  </w14:solidFill>
                </w14:textFill>
              </w:rPr>
              <w:t>号</w:t>
            </w:r>
          </w:p>
        </w:tc>
        <w:tc>
          <w:tcPr>
            <w:tcW w:w="1537" w:type="pct"/>
            <w:gridSpan w:val="3"/>
            <w:vAlign w:val="center"/>
          </w:tcPr>
          <w:p>
            <w:pPr>
              <w:pStyle w:val="118"/>
              <w:rPr>
                <w:rFonts w:eastAsia="Times New Roman"/>
                <w:b/>
                <w:bCs/>
                <w:snapToGrid w:val="0"/>
                <w:color w:val="000000" w:themeColor="text1"/>
                <w:highlight w:val="none"/>
                <w14:textFill>
                  <w14:solidFill>
                    <w14:schemeClr w14:val="tx1"/>
                  </w14:solidFill>
                </w14:textFill>
              </w:rPr>
            </w:pPr>
            <w:r>
              <w:rPr>
                <w:rFonts w:hint="eastAsia" w:ascii="宋体" w:hAnsi="宋体" w:eastAsia="宋体" w:cs="宋体"/>
                <w:b/>
                <w:bCs/>
                <w:snapToGrid w:val="0"/>
                <w:color w:val="000000" w:themeColor="text1"/>
                <w:highlight w:val="none"/>
                <w14:textFill>
                  <w14:solidFill>
                    <w14:schemeClr w14:val="tx1"/>
                  </w14:solidFill>
                </w14:textFill>
              </w:rPr>
              <w:t>空</w:t>
            </w:r>
            <w:r>
              <w:rPr>
                <w:rFonts w:hint="eastAsia" w:eastAsia="Times New Roman"/>
                <w:b/>
                <w:bCs/>
                <w:snapToGrid w:val="0"/>
                <w:color w:val="000000" w:themeColor="text1"/>
                <w:highlight w:val="none"/>
                <w14:textFill>
                  <w14:solidFill>
                    <w14:schemeClr w14:val="tx1"/>
                  </w14:solidFill>
                </w14:textFill>
              </w:rPr>
              <w:t>间相对位置关系（m）</w:t>
            </w:r>
          </w:p>
        </w:tc>
        <w:tc>
          <w:tcPr>
            <w:tcW w:w="597" w:type="pct"/>
            <w:vMerge w:val="restart"/>
            <w:vAlign w:val="center"/>
          </w:tcPr>
          <w:p>
            <w:pPr>
              <w:pStyle w:val="118"/>
              <w:rPr>
                <w:rFonts w:eastAsia="Times New Roman"/>
                <w:b/>
                <w:bCs/>
                <w:snapToGrid w:val="0"/>
                <w:color w:val="000000" w:themeColor="text1"/>
                <w:highlight w:val="none"/>
                <w14:textFill>
                  <w14:solidFill>
                    <w14:schemeClr w14:val="tx1"/>
                  </w14:solidFill>
                </w14:textFill>
              </w:rPr>
            </w:pPr>
            <w:r>
              <w:rPr>
                <w:rFonts w:hint="eastAsia" w:ascii="宋体" w:hAnsi="宋体" w:eastAsia="宋体" w:cs="宋体"/>
                <w:b/>
                <w:bCs/>
                <w:snapToGrid w:val="0"/>
                <w:color w:val="000000" w:themeColor="text1"/>
                <w:highlight w:val="none"/>
                <w14:textFill>
                  <w14:solidFill>
                    <w14:schemeClr w14:val="tx1"/>
                  </w14:solidFill>
                </w14:textFill>
              </w:rPr>
              <w:t>声</w:t>
            </w:r>
            <w:r>
              <w:rPr>
                <w:rFonts w:hint="eastAsia" w:eastAsia="Times New Roman"/>
                <w:b/>
                <w:bCs/>
                <w:snapToGrid w:val="0"/>
                <w:color w:val="000000" w:themeColor="text1"/>
                <w:highlight w:val="none"/>
                <w14:textFill>
                  <w14:solidFill>
                    <w14:schemeClr w14:val="tx1"/>
                  </w14:solidFill>
                </w14:textFill>
              </w:rPr>
              <w:t>源源强</w:t>
            </w:r>
            <w:r>
              <w:rPr>
                <w:rFonts w:eastAsia="Times New Roman"/>
                <w:b/>
                <w:bCs/>
                <w:snapToGrid w:val="0"/>
                <w:color w:val="000000" w:themeColor="text1"/>
                <w:highlight w:val="none"/>
                <w14:textFill>
                  <w14:solidFill>
                    <w14:schemeClr w14:val="tx1"/>
                  </w14:solidFill>
                </w14:textFill>
              </w:rPr>
              <w:t>dB</w:t>
            </w:r>
            <w:r>
              <w:rPr>
                <w:rFonts w:hint="eastAsia" w:eastAsia="Times New Roman"/>
                <w:b/>
                <w:bCs/>
                <w:snapToGrid w:val="0"/>
                <w:color w:val="000000" w:themeColor="text1"/>
                <w:highlight w:val="none"/>
                <w14:textFill>
                  <w14:solidFill>
                    <w14:schemeClr w14:val="tx1"/>
                  </w14:solidFill>
                </w14:textFill>
              </w:rPr>
              <w:t>（</w:t>
            </w:r>
            <w:r>
              <w:rPr>
                <w:rFonts w:eastAsia="Times New Roman"/>
                <w:b/>
                <w:bCs/>
                <w:snapToGrid w:val="0"/>
                <w:color w:val="000000" w:themeColor="text1"/>
                <w:highlight w:val="none"/>
                <w14:textFill>
                  <w14:solidFill>
                    <w14:schemeClr w14:val="tx1"/>
                  </w14:solidFill>
                </w14:textFill>
              </w:rPr>
              <w:t>A</w:t>
            </w:r>
            <w:r>
              <w:rPr>
                <w:rFonts w:hint="eastAsia" w:eastAsia="Times New Roman"/>
                <w:b/>
                <w:bCs/>
                <w:snapToGrid w:val="0"/>
                <w:color w:val="000000" w:themeColor="text1"/>
                <w:highlight w:val="none"/>
                <w14:textFill>
                  <w14:solidFill>
                    <w14:schemeClr w14:val="tx1"/>
                  </w14:solidFill>
                </w14:textFill>
              </w:rPr>
              <w:t>）</w:t>
            </w:r>
          </w:p>
        </w:tc>
        <w:tc>
          <w:tcPr>
            <w:tcW w:w="703" w:type="pct"/>
            <w:vMerge w:val="restart"/>
            <w:vAlign w:val="center"/>
          </w:tcPr>
          <w:p>
            <w:pPr>
              <w:pStyle w:val="118"/>
              <w:rPr>
                <w:rFonts w:eastAsia="Times New Roman"/>
                <w:b/>
                <w:bCs/>
                <w:snapToGrid w:val="0"/>
                <w:color w:val="000000" w:themeColor="text1"/>
                <w:highlight w:val="none"/>
                <w14:textFill>
                  <w14:solidFill>
                    <w14:schemeClr w14:val="tx1"/>
                  </w14:solidFill>
                </w14:textFill>
              </w:rPr>
            </w:pPr>
            <w:r>
              <w:rPr>
                <w:rFonts w:hint="eastAsia" w:ascii="宋体" w:hAnsi="宋体" w:eastAsia="宋体" w:cs="宋体"/>
                <w:b/>
                <w:bCs/>
                <w:snapToGrid w:val="0"/>
                <w:color w:val="000000" w:themeColor="text1"/>
                <w:highlight w:val="none"/>
                <w14:textFill>
                  <w14:solidFill>
                    <w14:schemeClr w14:val="tx1"/>
                  </w14:solidFill>
                </w14:textFill>
              </w:rPr>
              <w:t>声</w:t>
            </w:r>
            <w:r>
              <w:rPr>
                <w:rFonts w:hint="eastAsia" w:eastAsia="Times New Roman"/>
                <w:b/>
                <w:bCs/>
                <w:snapToGrid w:val="0"/>
                <w:color w:val="000000" w:themeColor="text1"/>
                <w:highlight w:val="none"/>
                <w14:textFill>
                  <w14:solidFill>
                    <w14:schemeClr w14:val="tx1"/>
                  </w14:solidFill>
                </w14:textFill>
              </w:rPr>
              <w:t>源控制措施</w:t>
            </w:r>
          </w:p>
        </w:tc>
        <w:tc>
          <w:tcPr>
            <w:tcW w:w="457" w:type="pct"/>
            <w:vMerge w:val="restart"/>
            <w:vAlign w:val="center"/>
          </w:tcPr>
          <w:p>
            <w:pPr>
              <w:pStyle w:val="118"/>
              <w:rPr>
                <w:rFonts w:eastAsia="Times New Roman"/>
                <w:b/>
                <w:bCs/>
                <w:snapToGrid w:val="0"/>
                <w:color w:val="000000" w:themeColor="text1"/>
                <w:highlight w:val="none"/>
                <w14:textFill>
                  <w14:solidFill>
                    <w14:schemeClr w14:val="tx1"/>
                  </w14:solidFill>
                </w14:textFill>
              </w:rPr>
            </w:pPr>
            <w:r>
              <w:rPr>
                <w:rFonts w:hint="eastAsia" w:ascii="宋体" w:hAnsi="宋体" w:eastAsia="宋体" w:cs="宋体"/>
                <w:b/>
                <w:bCs/>
                <w:snapToGrid w:val="0"/>
                <w:color w:val="000000" w:themeColor="text1"/>
                <w:highlight w:val="none"/>
                <w14:textFill>
                  <w14:solidFill>
                    <w14:schemeClr w14:val="tx1"/>
                  </w14:solidFill>
                </w14:textFill>
              </w:rPr>
              <w:t>运</w:t>
            </w:r>
            <w:r>
              <w:rPr>
                <w:rFonts w:hint="eastAsia" w:eastAsia="Times New Roman"/>
                <w:b/>
                <w:bCs/>
                <w:snapToGrid w:val="0"/>
                <w:color w:val="000000" w:themeColor="text1"/>
                <w:highlight w:val="none"/>
                <w14:textFill>
                  <w14:solidFill>
                    <w14:schemeClr w14:val="tx1"/>
                  </w14:solidFill>
                </w14:textFill>
              </w:rPr>
              <w:t>行时段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361"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c>
          <w:tcPr>
            <w:tcW w:w="558"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c>
          <w:tcPr>
            <w:tcW w:w="78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c>
          <w:tcPr>
            <w:tcW w:w="512" w:type="pct"/>
            <w:vAlign w:val="center"/>
          </w:tcPr>
          <w:p>
            <w:pPr>
              <w:pStyle w:val="118"/>
              <w:rPr>
                <w:rFonts w:eastAsia="Times New Roman"/>
                <w:b/>
                <w:bCs/>
                <w:snapToGrid w:val="0"/>
                <w:color w:val="000000" w:themeColor="text1"/>
                <w:highlight w:val="none"/>
                <w14:textFill>
                  <w14:solidFill>
                    <w14:schemeClr w14:val="tx1"/>
                  </w14:solidFill>
                </w14:textFill>
              </w:rPr>
            </w:pPr>
            <w:r>
              <w:rPr>
                <w:rFonts w:hint="eastAsia" w:eastAsia="Times New Roman"/>
                <w:b/>
                <w:bCs/>
                <w:snapToGrid w:val="0"/>
                <w:color w:val="000000" w:themeColor="text1"/>
                <w:highlight w:val="none"/>
                <w14:textFill>
                  <w14:solidFill>
                    <w14:schemeClr w14:val="tx1"/>
                  </w14:solidFill>
                </w14:textFill>
              </w:rPr>
              <w:t>X</w:t>
            </w:r>
          </w:p>
        </w:tc>
        <w:tc>
          <w:tcPr>
            <w:tcW w:w="512" w:type="pct"/>
            <w:vAlign w:val="center"/>
          </w:tcPr>
          <w:p>
            <w:pPr>
              <w:pStyle w:val="118"/>
              <w:rPr>
                <w:rFonts w:eastAsia="Times New Roman"/>
                <w:b/>
                <w:bCs/>
                <w:snapToGrid w:val="0"/>
                <w:color w:val="000000" w:themeColor="text1"/>
                <w:highlight w:val="none"/>
                <w14:textFill>
                  <w14:solidFill>
                    <w14:schemeClr w14:val="tx1"/>
                  </w14:solidFill>
                </w14:textFill>
              </w:rPr>
            </w:pPr>
            <w:r>
              <w:rPr>
                <w:rFonts w:hint="eastAsia" w:eastAsia="Times New Roman"/>
                <w:b/>
                <w:bCs/>
                <w:snapToGrid w:val="0"/>
                <w:color w:val="000000" w:themeColor="text1"/>
                <w:highlight w:val="none"/>
                <w14:textFill>
                  <w14:solidFill>
                    <w14:schemeClr w14:val="tx1"/>
                  </w14:solidFill>
                </w14:textFill>
              </w:rPr>
              <w:t>Y</w:t>
            </w:r>
          </w:p>
        </w:tc>
        <w:tc>
          <w:tcPr>
            <w:tcW w:w="513" w:type="pct"/>
            <w:vAlign w:val="center"/>
          </w:tcPr>
          <w:p>
            <w:pPr>
              <w:pStyle w:val="118"/>
              <w:rPr>
                <w:rFonts w:eastAsia="Times New Roman"/>
                <w:b/>
                <w:bCs/>
                <w:snapToGrid w:val="0"/>
                <w:color w:val="000000" w:themeColor="text1"/>
                <w:highlight w:val="none"/>
                <w14:textFill>
                  <w14:solidFill>
                    <w14:schemeClr w14:val="tx1"/>
                  </w14:solidFill>
                </w14:textFill>
              </w:rPr>
            </w:pPr>
            <w:r>
              <w:rPr>
                <w:rFonts w:hint="eastAsia" w:eastAsia="Times New Roman"/>
                <w:b/>
                <w:bCs/>
                <w:snapToGrid w:val="0"/>
                <w:color w:val="000000" w:themeColor="text1"/>
                <w:highlight w:val="none"/>
                <w14:textFill>
                  <w14:solidFill>
                    <w14:schemeClr w14:val="tx1"/>
                  </w14:solidFill>
                </w14:textFill>
              </w:rPr>
              <w:t>Z</w:t>
            </w:r>
          </w:p>
        </w:tc>
        <w:tc>
          <w:tcPr>
            <w:tcW w:w="59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c>
          <w:tcPr>
            <w:tcW w:w="703"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c>
          <w:tcPr>
            <w:tcW w:w="45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1"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1</w:t>
            </w:r>
          </w:p>
        </w:tc>
        <w:tc>
          <w:tcPr>
            <w:tcW w:w="558"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宋体" w:cs="宋体"/>
                <w:snapToGrid w:val="0"/>
                <w:color w:val="000000" w:themeColor="text1"/>
                <w:highlight w:val="none"/>
                <w14:textFill>
                  <w14:solidFill>
                    <w14:schemeClr w14:val="tx1"/>
                  </w14:solidFill>
                </w14:textFill>
              </w:rPr>
              <w:t>水</w:t>
            </w:r>
            <w:r>
              <w:rPr>
                <w:rFonts w:hint="eastAsia" w:eastAsia="Times New Roman"/>
                <w:snapToGrid w:val="0"/>
                <w:color w:val="000000" w:themeColor="text1"/>
                <w:highlight w:val="none"/>
                <w14:textFill>
                  <w14:solidFill>
                    <w14:schemeClr w14:val="tx1"/>
                  </w14:solidFill>
                </w14:textFill>
              </w:rPr>
              <w:t>套加热炉</w:t>
            </w:r>
          </w:p>
        </w:tc>
        <w:tc>
          <w:tcPr>
            <w:tcW w:w="787"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250kw（四盘管）</w:t>
            </w:r>
          </w:p>
        </w:tc>
        <w:tc>
          <w:tcPr>
            <w:tcW w:w="512"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7</w:t>
            </w:r>
          </w:p>
        </w:tc>
        <w:tc>
          <w:tcPr>
            <w:tcW w:w="512"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-30</w:t>
            </w:r>
          </w:p>
        </w:tc>
        <w:tc>
          <w:tcPr>
            <w:tcW w:w="513"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0</w:t>
            </w:r>
          </w:p>
        </w:tc>
        <w:tc>
          <w:tcPr>
            <w:tcW w:w="59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eastAsia="Times New Roman"/>
                <w:snapToGrid w:val="0"/>
                <w:color w:val="000000" w:themeColor="text1"/>
                <w:highlight w:val="none"/>
                <w14:textFill>
                  <w14:solidFill>
                    <w14:schemeClr w14:val="tx1"/>
                  </w14:solidFill>
                </w14:textFill>
              </w:rPr>
              <w:t>6</w:t>
            </w:r>
            <w:r>
              <w:rPr>
                <w:rFonts w:hint="eastAsia" w:eastAsiaTheme="minorEastAsia"/>
                <w:snapToGrid w:val="0"/>
                <w:color w:val="000000" w:themeColor="text1"/>
                <w:highlight w:val="none"/>
                <w14:textFill>
                  <w14:solidFill>
                    <w14:schemeClr w14:val="tx1"/>
                  </w14:solidFill>
                </w14:textFill>
              </w:rPr>
              <w:t>5</w:t>
            </w:r>
            <w:r>
              <w:rPr>
                <w:rFonts w:hint="eastAsia" w:ascii="宋体" w:hAnsi="宋体" w:eastAsia="Times New Roman" w:cs="宋体"/>
                <w:snapToGrid w:val="0"/>
                <w:color w:val="000000" w:themeColor="text1"/>
                <w:highlight w:val="none"/>
                <w14:textFill>
                  <w14:solidFill>
                    <w14:schemeClr w14:val="tx1"/>
                  </w14:solidFill>
                </w14:textFill>
              </w:rPr>
              <w:t>～</w:t>
            </w:r>
            <w:r>
              <w:rPr>
                <w:rFonts w:hint="eastAsia" w:eastAsia="Times New Roman"/>
                <w:snapToGrid w:val="0"/>
                <w:color w:val="000000" w:themeColor="text1"/>
                <w:highlight w:val="none"/>
                <w14:textFill>
                  <w14:solidFill>
                    <w14:schemeClr w14:val="tx1"/>
                  </w14:solidFill>
                </w14:textFill>
              </w:rPr>
              <w:t>70</w:t>
            </w:r>
          </w:p>
        </w:tc>
        <w:tc>
          <w:tcPr>
            <w:tcW w:w="703" w:type="pct"/>
            <w:vMerge w:val="restar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宋体" w:cs="宋体"/>
                <w:snapToGrid w:val="0"/>
                <w:color w:val="000000" w:themeColor="text1"/>
                <w:highlight w:val="none"/>
                <w14:textFill>
                  <w14:solidFill>
                    <w14:schemeClr w14:val="tx1"/>
                  </w14:solidFill>
                </w14:textFill>
              </w:rPr>
              <w:t>减</w:t>
            </w:r>
            <w:r>
              <w:rPr>
                <w:rFonts w:hint="eastAsia" w:eastAsia="Times New Roman"/>
                <w:snapToGrid w:val="0"/>
                <w:color w:val="000000" w:themeColor="text1"/>
                <w:highlight w:val="none"/>
                <w14:textFill>
                  <w14:solidFill>
                    <w14:schemeClr w14:val="tx1"/>
                  </w14:solidFill>
                </w14:textFill>
              </w:rPr>
              <w:t>少平台站场工艺管线的弯头、三通等管件；选用高效低噪声的水套炉、装车泵、分离器并安装减震垫层</w:t>
            </w:r>
          </w:p>
        </w:tc>
        <w:tc>
          <w:tcPr>
            <w:tcW w:w="457" w:type="pct"/>
            <w:vMerge w:val="restar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宋体" w:cs="宋体"/>
                <w:snapToGrid w:val="0"/>
                <w:color w:val="000000" w:themeColor="text1"/>
                <w:highlight w:val="none"/>
                <w14:textFill>
                  <w14:solidFill>
                    <w14:schemeClr w14:val="tx1"/>
                  </w14:solidFill>
                </w14:textFill>
              </w:rPr>
              <w:t>昼</w:t>
            </w:r>
            <w:r>
              <w:rPr>
                <w:rFonts w:hint="eastAsia" w:eastAsia="Times New Roman"/>
                <w:snapToGrid w:val="0"/>
                <w:color w:val="000000" w:themeColor="text1"/>
                <w:highlight w:val="none"/>
                <w14:textFill>
                  <w14:solidFill>
                    <w14:schemeClr w14:val="tx1"/>
                  </w14:solidFill>
                </w14:textFill>
              </w:rPr>
              <w:t>夜连续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1"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2</w:t>
            </w:r>
          </w:p>
        </w:tc>
        <w:tc>
          <w:tcPr>
            <w:tcW w:w="558"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Times New Roman" w:cs="宋体"/>
                <w:snapToGrid w:val="0"/>
                <w:color w:val="000000" w:themeColor="text1"/>
                <w:highlight w:val="none"/>
                <w14:textFill>
                  <w14:solidFill>
                    <w14:schemeClr w14:val="tx1"/>
                  </w14:solidFill>
                </w14:textFill>
              </w:rPr>
              <w:t>重力</w:t>
            </w:r>
            <w:r>
              <w:rPr>
                <w:rFonts w:hint="eastAsia" w:eastAsia="Times New Roman"/>
                <w:snapToGrid w:val="0"/>
                <w:color w:val="000000" w:themeColor="text1"/>
                <w:highlight w:val="none"/>
                <w14:textFill>
                  <w14:solidFill>
                    <w14:schemeClr w14:val="tx1"/>
                  </w14:solidFill>
                </w14:textFill>
              </w:rPr>
              <w:t>分离器</w:t>
            </w:r>
          </w:p>
        </w:tc>
        <w:tc>
          <w:tcPr>
            <w:tcW w:w="787"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PN</w:t>
            </w:r>
            <w:r>
              <w:rPr>
                <w:rFonts w:hint="eastAsia" w:eastAsiaTheme="minorEastAsia"/>
                <w:snapToGrid w:val="0"/>
                <w:color w:val="000000" w:themeColor="text1"/>
                <w:highlight w:val="none"/>
                <w14:textFill>
                  <w14:solidFill>
                    <w14:schemeClr w14:val="tx1"/>
                  </w14:solidFill>
                </w14:textFill>
              </w:rPr>
              <w:t>6.3</w:t>
            </w:r>
            <w:r>
              <w:rPr>
                <w:rFonts w:eastAsia="Times New Roman"/>
                <w:snapToGrid w:val="0"/>
                <w:color w:val="000000" w:themeColor="text1"/>
                <w:highlight w:val="none"/>
                <w14:textFill>
                  <w14:solidFill>
                    <w14:schemeClr w14:val="tx1"/>
                  </w14:solidFill>
                </w14:textFill>
              </w:rPr>
              <w:t>MPa</w:t>
            </w:r>
          </w:p>
        </w:tc>
        <w:tc>
          <w:tcPr>
            <w:tcW w:w="512"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0</w:t>
            </w:r>
          </w:p>
        </w:tc>
        <w:tc>
          <w:tcPr>
            <w:tcW w:w="512"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-25</w:t>
            </w:r>
          </w:p>
        </w:tc>
        <w:tc>
          <w:tcPr>
            <w:tcW w:w="513"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0</w:t>
            </w:r>
          </w:p>
        </w:tc>
        <w:tc>
          <w:tcPr>
            <w:tcW w:w="597"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6</w:t>
            </w:r>
            <w:r>
              <w:rPr>
                <w:rFonts w:hint="eastAsia" w:eastAsiaTheme="minorEastAsia"/>
                <w:snapToGrid w:val="0"/>
                <w:color w:val="000000" w:themeColor="text1"/>
                <w:highlight w:val="none"/>
                <w14:textFill>
                  <w14:solidFill>
                    <w14:schemeClr w14:val="tx1"/>
                  </w14:solidFill>
                </w14:textFill>
              </w:rPr>
              <w:t>5</w:t>
            </w:r>
            <w:r>
              <w:rPr>
                <w:rFonts w:hint="eastAsia" w:ascii="宋体" w:hAnsi="宋体" w:eastAsia="Times New Roman" w:cs="宋体"/>
                <w:snapToGrid w:val="0"/>
                <w:color w:val="000000" w:themeColor="text1"/>
                <w:highlight w:val="none"/>
                <w14:textFill>
                  <w14:solidFill>
                    <w14:schemeClr w14:val="tx1"/>
                  </w14:solidFill>
                </w14:textFill>
              </w:rPr>
              <w:t>～</w:t>
            </w:r>
            <w:r>
              <w:rPr>
                <w:rFonts w:eastAsia="Times New Roman"/>
                <w:snapToGrid w:val="0"/>
                <w:color w:val="000000" w:themeColor="text1"/>
                <w:highlight w:val="none"/>
                <w14:textFill>
                  <w14:solidFill>
                    <w14:schemeClr w14:val="tx1"/>
                  </w14:solidFill>
                </w14:textFill>
              </w:rPr>
              <w:t>70</w:t>
            </w:r>
          </w:p>
        </w:tc>
        <w:tc>
          <w:tcPr>
            <w:tcW w:w="703"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c>
          <w:tcPr>
            <w:tcW w:w="45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1"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3</w:t>
            </w:r>
          </w:p>
        </w:tc>
        <w:tc>
          <w:tcPr>
            <w:tcW w:w="558"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宋体" w:cs="宋体"/>
                <w:snapToGrid w:val="0"/>
                <w:color w:val="000000" w:themeColor="text1"/>
                <w:highlight w:val="none"/>
                <w14:textFill>
                  <w14:solidFill>
                    <w14:schemeClr w14:val="tx1"/>
                  </w14:solidFill>
                </w14:textFill>
              </w:rPr>
              <w:t>分</w:t>
            </w:r>
            <w:r>
              <w:rPr>
                <w:rFonts w:hint="eastAsia" w:eastAsia="Times New Roman"/>
                <w:snapToGrid w:val="0"/>
                <w:color w:val="000000" w:themeColor="text1"/>
                <w:highlight w:val="none"/>
                <w14:textFill>
                  <w14:solidFill>
                    <w14:schemeClr w14:val="tx1"/>
                  </w14:solidFill>
                </w14:textFill>
              </w:rPr>
              <w:t>子筛脱水装置1</w:t>
            </w:r>
          </w:p>
        </w:tc>
        <w:tc>
          <w:tcPr>
            <w:tcW w:w="787"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PN</w:t>
            </w:r>
            <w:r>
              <w:rPr>
                <w:rFonts w:hint="eastAsia" w:eastAsiaTheme="minorEastAsia"/>
                <w:snapToGrid w:val="0"/>
                <w:color w:val="000000" w:themeColor="text1"/>
                <w:highlight w:val="none"/>
                <w14:textFill>
                  <w14:solidFill>
                    <w14:schemeClr w14:val="tx1"/>
                  </w14:solidFill>
                </w14:textFill>
              </w:rPr>
              <w:t>6.3</w:t>
            </w:r>
            <w:r>
              <w:rPr>
                <w:rFonts w:eastAsia="Times New Roman"/>
                <w:snapToGrid w:val="0"/>
                <w:color w:val="000000" w:themeColor="text1"/>
                <w:highlight w:val="none"/>
                <w14:textFill>
                  <w14:solidFill>
                    <w14:schemeClr w14:val="tx1"/>
                  </w14:solidFill>
                </w14:textFill>
              </w:rPr>
              <w:t>MPa</w:t>
            </w:r>
          </w:p>
        </w:tc>
        <w:tc>
          <w:tcPr>
            <w:tcW w:w="512"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-11</w:t>
            </w:r>
          </w:p>
        </w:tc>
        <w:tc>
          <w:tcPr>
            <w:tcW w:w="512"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-24</w:t>
            </w:r>
          </w:p>
        </w:tc>
        <w:tc>
          <w:tcPr>
            <w:tcW w:w="513"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0</w:t>
            </w:r>
          </w:p>
        </w:tc>
        <w:tc>
          <w:tcPr>
            <w:tcW w:w="59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eastAsia="Times New Roman"/>
                <w:snapToGrid w:val="0"/>
                <w:color w:val="000000" w:themeColor="text1"/>
                <w:highlight w:val="none"/>
                <w14:textFill>
                  <w14:solidFill>
                    <w14:schemeClr w14:val="tx1"/>
                  </w14:solidFill>
                </w14:textFill>
              </w:rPr>
              <w:t>6</w:t>
            </w:r>
            <w:r>
              <w:rPr>
                <w:rFonts w:hint="eastAsia" w:eastAsiaTheme="minorEastAsia"/>
                <w:snapToGrid w:val="0"/>
                <w:color w:val="000000" w:themeColor="text1"/>
                <w:highlight w:val="none"/>
                <w14:textFill>
                  <w14:solidFill>
                    <w14:schemeClr w14:val="tx1"/>
                  </w14:solidFill>
                </w14:textFill>
              </w:rPr>
              <w:t>5</w:t>
            </w:r>
            <w:r>
              <w:rPr>
                <w:rFonts w:hint="eastAsia" w:ascii="宋体" w:hAnsi="宋体" w:eastAsia="Times New Roman" w:cs="宋体"/>
                <w:snapToGrid w:val="0"/>
                <w:color w:val="000000" w:themeColor="text1"/>
                <w:highlight w:val="none"/>
                <w14:textFill>
                  <w14:solidFill>
                    <w14:schemeClr w14:val="tx1"/>
                  </w14:solidFill>
                </w14:textFill>
              </w:rPr>
              <w:t>～</w:t>
            </w:r>
            <w:r>
              <w:rPr>
                <w:rFonts w:hint="eastAsia" w:eastAsia="Times New Roman"/>
                <w:snapToGrid w:val="0"/>
                <w:color w:val="000000" w:themeColor="text1"/>
                <w:highlight w:val="none"/>
                <w14:textFill>
                  <w14:solidFill>
                    <w14:schemeClr w14:val="tx1"/>
                  </w14:solidFill>
                </w14:textFill>
              </w:rPr>
              <w:t>70</w:t>
            </w:r>
          </w:p>
        </w:tc>
        <w:tc>
          <w:tcPr>
            <w:tcW w:w="703"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c>
          <w:tcPr>
            <w:tcW w:w="45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1"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4</w:t>
            </w:r>
          </w:p>
        </w:tc>
        <w:tc>
          <w:tcPr>
            <w:tcW w:w="558"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宋体" w:cs="宋体"/>
                <w:snapToGrid w:val="0"/>
                <w:color w:val="000000" w:themeColor="text1"/>
                <w:highlight w:val="none"/>
                <w14:textFill>
                  <w14:solidFill>
                    <w14:schemeClr w14:val="tx1"/>
                  </w14:solidFill>
                </w14:textFill>
              </w:rPr>
              <w:t>分</w:t>
            </w:r>
            <w:r>
              <w:rPr>
                <w:rFonts w:hint="eastAsia" w:eastAsia="Times New Roman"/>
                <w:snapToGrid w:val="0"/>
                <w:color w:val="000000" w:themeColor="text1"/>
                <w:highlight w:val="none"/>
                <w14:textFill>
                  <w14:solidFill>
                    <w14:schemeClr w14:val="tx1"/>
                  </w14:solidFill>
                </w14:textFill>
              </w:rPr>
              <w:t>子筛脱水装置1</w:t>
            </w:r>
          </w:p>
        </w:tc>
        <w:tc>
          <w:tcPr>
            <w:tcW w:w="787"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PN</w:t>
            </w:r>
            <w:r>
              <w:rPr>
                <w:rFonts w:hint="eastAsia" w:eastAsiaTheme="minorEastAsia"/>
                <w:snapToGrid w:val="0"/>
                <w:color w:val="000000" w:themeColor="text1"/>
                <w:highlight w:val="none"/>
                <w14:textFill>
                  <w14:solidFill>
                    <w14:schemeClr w14:val="tx1"/>
                  </w14:solidFill>
                </w14:textFill>
              </w:rPr>
              <w:t>6.3</w:t>
            </w:r>
            <w:r>
              <w:rPr>
                <w:rFonts w:eastAsia="Times New Roman"/>
                <w:snapToGrid w:val="0"/>
                <w:color w:val="000000" w:themeColor="text1"/>
                <w:highlight w:val="none"/>
                <w14:textFill>
                  <w14:solidFill>
                    <w14:schemeClr w14:val="tx1"/>
                  </w14:solidFill>
                </w14:textFill>
              </w:rPr>
              <w:t>MPa</w:t>
            </w:r>
          </w:p>
        </w:tc>
        <w:tc>
          <w:tcPr>
            <w:tcW w:w="512"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-19</w:t>
            </w:r>
          </w:p>
        </w:tc>
        <w:tc>
          <w:tcPr>
            <w:tcW w:w="512"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-18</w:t>
            </w:r>
          </w:p>
        </w:tc>
        <w:tc>
          <w:tcPr>
            <w:tcW w:w="513"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0</w:t>
            </w:r>
          </w:p>
        </w:tc>
        <w:tc>
          <w:tcPr>
            <w:tcW w:w="59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eastAsia="Times New Roman"/>
                <w:snapToGrid w:val="0"/>
                <w:color w:val="000000" w:themeColor="text1"/>
                <w:highlight w:val="none"/>
                <w14:textFill>
                  <w14:solidFill>
                    <w14:schemeClr w14:val="tx1"/>
                  </w14:solidFill>
                </w14:textFill>
              </w:rPr>
              <w:t>6</w:t>
            </w:r>
            <w:r>
              <w:rPr>
                <w:rFonts w:hint="eastAsia" w:eastAsiaTheme="minorEastAsia"/>
                <w:snapToGrid w:val="0"/>
                <w:color w:val="000000" w:themeColor="text1"/>
                <w:highlight w:val="none"/>
                <w14:textFill>
                  <w14:solidFill>
                    <w14:schemeClr w14:val="tx1"/>
                  </w14:solidFill>
                </w14:textFill>
              </w:rPr>
              <w:t>5</w:t>
            </w:r>
            <w:r>
              <w:rPr>
                <w:rFonts w:hint="eastAsia" w:ascii="宋体" w:hAnsi="宋体" w:eastAsia="Times New Roman" w:cs="宋体"/>
                <w:snapToGrid w:val="0"/>
                <w:color w:val="000000" w:themeColor="text1"/>
                <w:highlight w:val="none"/>
                <w14:textFill>
                  <w14:solidFill>
                    <w14:schemeClr w14:val="tx1"/>
                  </w14:solidFill>
                </w14:textFill>
              </w:rPr>
              <w:t>～</w:t>
            </w:r>
            <w:r>
              <w:rPr>
                <w:rFonts w:hint="eastAsia" w:eastAsia="Times New Roman"/>
                <w:snapToGrid w:val="0"/>
                <w:color w:val="000000" w:themeColor="text1"/>
                <w:highlight w:val="none"/>
                <w14:textFill>
                  <w14:solidFill>
                    <w14:schemeClr w14:val="tx1"/>
                  </w14:solidFill>
                </w14:textFill>
              </w:rPr>
              <w:t>70</w:t>
            </w:r>
          </w:p>
        </w:tc>
        <w:tc>
          <w:tcPr>
            <w:tcW w:w="703"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c>
          <w:tcPr>
            <w:tcW w:w="45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1"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5</w:t>
            </w:r>
          </w:p>
        </w:tc>
        <w:tc>
          <w:tcPr>
            <w:tcW w:w="558"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宋体" w:cs="宋体"/>
                <w:snapToGrid w:val="0"/>
                <w:color w:val="000000" w:themeColor="text1"/>
                <w:highlight w:val="none"/>
                <w14:textFill>
                  <w14:solidFill>
                    <w14:schemeClr w14:val="tx1"/>
                  </w14:solidFill>
                </w14:textFill>
              </w:rPr>
              <w:t>装</w:t>
            </w:r>
            <w:r>
              <w:rPr>
                <w:rFonts w:hint="eastAsia" w:eastAsia="Times New Roman"/>
                <w:snapToGrid w:val="0"/>
                <w:color w:val="000000" w:themeColor="text1"/>
                <w:highlight w:val="none"/>
                <w14:textFill>
                  <w14:solidFill>
                    <w14:schemeClr w14:val="tx1"/>
                  </w14:solidFill>
                </w14:textFill>
              </w:rPr>
              <w:t>车泵撬</w:t>
            </w:r>
          </w:p>
        </w:tc>
        <w:tc>
          <w:tcPr>
            <w:tcW w:w="787"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w:t>
            </w:r>
          </w:p>
        </w:tc>
        <w:tc>
          <w:tcPr>
            <w:tcW w:w="512"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15</w:t>
            </w:r>
          </w:p>
        </w:tc>
        <w:tc>
          <w:tcPr>
            <w:tcW w:w="512"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-2</w:t>
            </w:r>
          </w:p>
        </w:tc>
        <w:tc>
          <w:tcPr>
            <w:tcW w:w="513"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0</w:t>
            </w:r>
          </w:p>
        </w:tc>
        <w:tc>
          <w:tcPr>
            <w:tcW w:w="597"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imes New Roman"/>
                <w:snapToGrid w:val="0"/>
                <w:color w:val="000000" w:themeColor="text1"/>
                <w:highlight w:val="none"/>
                <w14:textFill>
                  <w14:solidFill>
                    <w14:schemeClr w14:val="tx1"/>
                  </w14:solidFill>
                </w14:textFill>
              </w:rPr>
              <w:t>6</w:t>
            </w:r>
            <w:r>
              <w:rPr>
                <w:rFonts w:hint="eastAsia" w:eastAsiaTheme="minorEastAsia"/>
                <w:snapToGrid w:val="0"/>
                <w:color w:val="000000" w:themeColor="text1"/>
                <w:highlight w:val="none"/>
                <w14:textFill>
                  <w14:solidFill>
                    <w14:schemeClr w14:val="tx1"/>
                  </w14:solidFill>
                </w14:textFill>
              </w:rPr>
              <w:t>5</w:t>
            </w:r>
            <w:r>
              <w:rPr>
                <w:rFonts w:hint="eastAsia" w:ascii="宋体" w:hAnsi="宋体" w:eastAsia="Times New Roman" w:cs="宋体"/>
                <w:snapToGrid w:val="0"/>
                <w:color w:val="000000" w:themeColor="text1"/>
                <w:highlight w:val="none"/>
                <w14:textFill>
                  <w14:solidFill>
                    <w14:schemeClr w14:val="tx1"/>
                  </w14:solidFill>
                </w14:textFill>
              </w:rPr>
              <w:t>～</w:t>
            </w:r>
            <w:r>
              <w:rPr>
                <w:rFonts w:hint="eastAsia" w:eastAsia="Times New Roman"/>
                <w:snapToGrid w:val="0"/>
                <w:color w:val="000000" w:themeColor="text1"/>
                <w:highlight w:val="none"/>
                <w14:textFill>
                  <w14:solidFill>
                    <w14:schemeClr w14:val="tx1"/>
                  </w14:solidFill>
                </w14:textFill>
              </w:rPr>
              <w:t>7</w:t>
            </w:r>
            <w:r>
              <w:rPr>
                <w:rFonts w:hint="eastAsia" w:eastAsiaTheme="minorEastAsia"/>
                <w:snapToGrid w:val="0"/>
                <w:color w:val="000000" w:themeColor="text1"/>
                <w:highlight w:val="none"/>
                <w14:textFill>
                  <w14:solidFill>
                    <w14:schemeClr w14:val="tx1"/>
                  </w14:solidFill>
                </w14:textFill>
              </w:rPr>
              <w:t>5</w:t>
            </w:r>
          </w:p>
        </w:tc>
        <w:tc>
          <w:tcPr>
            <w:tcW w:w="703"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c>
          <w:tcPr>
            <w:tcW w:w="45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1"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eastAsia="Times New Roman"/>
                <w:snapToGrid w:val="0"/>
                <w:color w:val="000000" w:themeColor="text1"/>
                <w:highlight w:val="none"/>
                <w14:textFill>
                  <w14:solidFill>
                    <w14:schemeClr w14:val="tx1"/>
                  </w14:solidFill>
                </w14:textFill>
              </w:rPr>
              <w:t>6</w:t>
            </w:r>
          </w:p>
        </w:tc>
        <w:tc>
          <w:tcPr>
            <w:tcW w:w="558"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ascii="宋体" w:hAnsi="宋体" w:eastAsia="宋体" w:cs="宋体"/>
                <w:snapToGrid w:val="0"/>
                <w:color w:val="000000" w:themeColor="text1"/>
                <w:highlight w:val="none"/>
                <w14:textFill>
                  <w14:solidFill>
                    <w14:schemeClr w14:val="tx1"/>
                  </w14:solidFill>
                </w14:textFill>
              </w:rPr>
              <w:t>节</w:t>
            </w:r>
            <w:r>
              <w:rPr>
                <w:rFonts w:hint="eastAsia" w:eastAsia="Times New Roman"/>
                <w:snapToGrid w:val="0"/>
                <w:color w:val="000000" w:themeColor="text1"/>
                <w:highlight w:val="none"/>
                <w14:textFill>
                  <w14:solidFill>
                    <w14:schemeClr w14:val="tx1"/>
                  </w14:solidFill>
                </w14:textFill>
              </w:rPr>
              <w:t>流阀</w:t>
            </w:r>
          </w:p>
        </w:tc>
        <w:tc>
          <w:tcPr>
            <w:tcW w:w="787"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w:t>
            </w:r>
          </w:p>
        </w:tc>
        <w:tc>
          <w:tcPr>
            <w:tcW w:w="512"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-24</w:t>
            </w:r>
          </w:p>
        </w:tc>
        <w:tc>
          <w:tcPr>
            <w:tcW w:w="512" w:type="pct"/>
            <w:vAlign w:val="center"/>
          </w:tcPr>
          <w:p>
            <w:pPr>
              <w:pStyle w:val="118"/>
              <w:rPr>
                <w:rFonts w:eastAsiaTheme="minorEastAsia"/>
                <w:snapToGrid w:val="0"/>
                <w:color w:val="000000" w:themeColor="text1"/>
                <w:highlight w:val="none"/>
                <w14:textFill>
                  <w14:solidFill>
                    <w14:schemeClr w14:val="tx1"/>
                  </w14:solidFill>
                </w14:textFill>
              </w:rPr>
            </w:pPr>
            <w:r>
              <w:rPr>
                <w:rFonts w:hint="eastAsia" w:eastAsiaTheme="minorEastAsia"/>
                <w:snapToGrid w:val="0"/>
                <w:color w:val="000000" w:themeColor="text1"/>
                <w:highlight w:val="none"/>
                <w14:textFill>
                  <w14:solidFill>
                    <w14:schemeClr w14:val="tx1"/>
                  </w14:solidFill>
                </w14:textFill>
              </w:rPr>
              <w:t>-7</w:t>
            </w:r>
          </w:p>
        </w:tc>
        <w:tc>
          <w:tcPr>
            <w:tcW w:w="513" w:type="pct"/>
            <w:vAlign w:val="center"/>
          </w:tcPr>
          <w:p>
            <w:pPr>
              <w:pStyle w:val="118"/>
              <w:rPr>
                <w:rFonts w:eastAsia="Times New Roman"/>
                <w:snapToGrid w:val="0"/>
                <w:color w:val="000000" w:themeColor="text1"/>
                <w:highlight w:val="none"/>
                <w14:textFill>
                  <w14:solidFill>
                    <w14:schemeClr w14:val="tx1"/>
                  </w14:solidFill>
                </w14:textFill>
              </w:rPr>
            </w:pPr>
            <w:r>
              <w:rPr>
                <w:rFonts w:eastAsia="Times New Roman"/>
                <w:snapToGrid w:val="0"/>
                <w:color w:val="000000" w:themeColor="text1"/>
                <w:highlight w:val="none"/>
                <w14:textFill>
                  <w14:solidFill>
                    <w14:schemeClr w14:val="tx1"/>
                  </w14:solidFill>
                </w14:textFill>
              </w:rPr>
              <w:t>0</w:t>
            </w:r>
          </w:p>
        </w:tc>
        <w:tc>
          <w:tcPr>
            <w:tcW w:w="597" w:type="pct"/>
            <w:vAlign w:val="center"/>
          </w:tcPr>
          <w:p>
            <w:pPr>
              <w:pStyle w:val="118"/>
              <w:rPr>
                <w:rFonts w:eastAsia="Times New Roman"/>
                <w:snapToGrid w:val="0"/>
                <w:color w:val="000000" w:themeColor="text1"/>
                <w:highlight w:val="none"/>
                <w14:textFill>
                  <w14:solidFill>
                    <w14:schemeClr w14:val="tx1"/>
                  </w14:solidFill>
                </w14:textFill>
              </w:rPr>
            </w:pPr>
            <w:r>
              <w:rPr>
                <w:rFonts w:hint="eastAsia" w:eastAsia="Times New Roman"/>
                <w:snapToGrid w:val="0"/>
                <w:color w:val="000000" w:themeColor="text1"/>
                <w:highlight w:val="none"/>
                <w14:textFill>
                  <w14:solidFill>
                    <w14:schemeClr w14:val="tx1"/>
                  </w14:solidFill>
                </w14:textFill>
              </w:rPr>
              <w:t>65</w:t>
            </w:r>
            <w:r>
              <w:rPr>
                <w:rFonts w:hint="eastAsia" w:ascii="宋体" w:hAnsi="宋体" w:eastAsia="Times New Roman" w:cs="宋体"/>
                <w:snapToGrid w:val="0"/>
                <w:color w:val="000000" w:themeColor="text1"/>
                <w:highlight w:val="none"/>
                <w14:textFill>
                  <w14:solidFill>
                    <w14:schemeClr w14:val="tx1"/>
                  </w14:solidFill>
                </w14:textFill>
              </w:rPr>
              <w:t>～</w:t>
            </w:r>
            <w:r>
              <w:rPr>
                <w:rFonts w:hint="eastAsia" w:eastAsia="Times New Roman"/>
                <w:snapToGrid w:val="0"/>
                <w:color w:val="000000" w:themeColor="text1"/>
                <w:highlight w:val="none"/>
                <w14:textFill>
                  <w14:solidFill>
                    <w14:schemeClr w14:val="tx1"/>
                  </w14:solidFill>
                </w14:textFill>
              </w:rPr>
              <w:t>70</w:t>
            </w:r>
          </w:p>
        </w:tc>
        <w:tc>
          <w:tcPr>
            <w:tcW w:w="703"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c>
          <w:tcPr>
            <w:tcW w:w="457" w:type="pct"/>
            <w:vMerge w:val="continue"/>
            <w:vAlign w:val="center"/>
          </w:tcPr>
          <w:p>
            <w:pPr>
              <w:pStyle w:val="118"/>
              <w:rPr>
                <w:rFonts w:eastAsia="Times New Roman"/>
                <w:snapToGrid w:val="0"/>
                <w:color w:val="000000" w:themeColor="text1"/>
                <w:highlight w:val="none"/>
                <w14:textFill>
                  <w14:solidFill>
                    <w14:schemeClr w14:val="tx1"/>
                  </w14:solidFill>
                </w14:textFill>
              </w:rPr>
            </w:pPr>
          </w:p>
        </w:tc>
      </w:tr>
    </w:tbl>
    <w:p>
      <w:pPr>
        <w:spacing w:before="120" w:beforeLines="50"/>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噪声影响预测结果见下图与表5.2-</w:t>
      </w:r>
      <w:r>
        <w:rPr>
          <w:rFonts w:hint="eastAsia"/>
          <w:bCs/>
          <w:color w:val="000000" w:themeColor="text1"/>
          <w:highlight w:val="none"/>
          <w14:textFill>
            <w14:solidFill>
              <w14:schemeClr w14:val="tx1"/>
            </w14:solidFill>
          </w14:textFill>
        </w:rPr>
        <w:t>1</w:t>
      </w:r>
      <w:r>
        <w:rPr>
          <w:bCs/>
          <w:color w:val="000000" w:themeColor="text1"/>
          <w:highlight w:val="none"/>
          <w14:textFill>
            <w14:solidFill>
              <w14:schemeClr w14:val="tx1"/>
            </w14:solidFill>
          </w14:textFill>
        </w:rPr>
        <w:t>。</w:t>
      </w:r>
    </w:p>
    <w:p>
      <w:pPr>
        <w:pStyle w:val="6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5276850" cy="3288665"/>
            <wp:effectExtent l="0" t="0" r="0" b="0"/>
            <wp:docPr id="11173670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367073" name="图片 1"/>
                    <pic:cNvPicPr>
                      <a:picLocks noChangeAspect="1"/>
                    </pic:cNvPicPr>
                  </pic:nvPicPr>
                  <pic:blipFill>
                    <a:blip r:embed="rId90"/>
                    <a:stretch>
                      <a:fillRect/>
                    </a:stretch>
                  </pic:blipFill>
                  <pic:spPr>
                    <a:xfrm>
                      <a:off x="0" y="0"/>
                      <a:ext cx="5276850" cy="3288665"/>
                    </a:xfrm>
                    <a:prstGeom prst="rect">
                      <a:avLst/>
                    </a:prstGeom>
                  </pic:spPr>
                </pic:pic>
              </a:graphicData>
            </a:graphic>
          </wp:inline>
        </w:drawing>
      </w:r>
    </w:p>
    <w:p>
      <w:pPr>
        <w:pStyle w:val="14"/>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试采期噪声等声级线图</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试采期噪声影响预测</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4"/>
        <w:gridCol w:w="1272"/>
        <w:gridCol w:w="841"/>
        <w:gridCol w:w="790"/>
        <w:gridCol w:w="854"/>
        <w:gridCol w:w="839"/>
        <w:gridCol w:w="748"/>
        <w:gridCol w:w="748"/>
        <w:gridCol w:w="748"/>
        <w:gridCol w:w="10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323" w:type="pct"/>
            <w:vMerge w:val="restart"/>
            <w:tcMar>
              <w:left w:w="0" w:type="dxa"/>
              <w:right w:w="0" w:type="dxa"/>
            </w:tcMar>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监测点</w:t>
            </w:r>
          </w:p>
        </w:tc>
        <w:tc>
          <w:tcPr>
            <w:tcW w:w="755" w:type="pct"/>
            <w:vMerge w:val="restart"/>
            <w:tcMar>
              <w:left w:w="0" w:type="dxa"/>
              <w:right w:w="0" w:type="dxa"/>
            </w:tcMar>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预测点位置</w:t>
            </w:r>
          </w:p>
        </w:tc>
        <w:tc>
          <w:tcPr>
            <w:tcW w:w="968" w:type="pct"/>
            <w:gridSpan w:val="2"/>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现状值</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〔dB（A）〕</w:t>
            </w:r>
          </w:p>
        </w:tc>
        <w:tc>
          <w:tcPr>
            <w:tcW w:w="1005" w:type="pct"/>
            <w:gridSpan w:val="2"/>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贡献值</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〔dB（A）〕</w:t>
            </w:r>
          </w:p>
        </w:tc>
        <w:tc>
          <w:tcPr>
            <w:tcW w:w="888" w:type="pct"/>
            <w:gridSpan w:val="2"/>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预测值</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〔dB（A）〕</w:t>
            </w:r>
          </w:p>
        </w:tc>
        <w:tc>
          <w:tcPr>
            <w:tcW w:w="1060" w:type="pct"/>
            <w:gridSpan w:val="2"/>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323" w:type="pct"/>
            <w:vMerge w:val="continue"/>
            <w:tcMar>
              <w:left w:w="0" w:type="dxa"/>
              <w:right w:w="0" w:type="dxa"/>
            </w:tcMar>
            <w:vAlign w:val="center"/>
          </w:tcPr>
          <w:p>
            <w:pPr>
              <w:pStyle w:val="118"/>
              <w:rPr>
                <w:color w:val="000000" w:themeColor="text1"/>
                <w:highlight w:val="none"/>
                <w14:textFill>
                  <w14:solidFill>
                    <w14:schemeClr w14:val="tx1"/>
                  </w14:solidFill>
                </w14:textFill>
              </w:rPr>
            </w:pPr>
          </w:p>
        </w:tc>
        <w:tc>
          <w:tcPr>
            <w:tcW w:w="755" w:type="pct"/>
            <w:vMerge w:val="continue"/>
            <w:tcMar>
              <w:left w:w="0" w:type="dxa"/>
              <w:right w:w="0" w:type="dxa"/>
            </w:tcMar>
            <w:vAlign w:val="center"/>
          </w:tcPr>
          <w:p>
            <w:pPr>
              <w:pStyle w:val="118"/>
              <w:rPr>
                <w:color w:val="000000" w:themeColor="text1"/>
                <w:highlight w:val="none"/>
                <w14:textFill>
                  <w14:solidFill>
                    <w14:schemeClr w14:val="tx1"/>
                  </w14:solidFill>
                </w14:textFill>
              </w:rPr>
            </w:pPr>
          </w:p>
        </w:tc>
        <w:tc>
          <w:tcPr>
            <w:tcW w:w="499" w:type="pct"/>
            <w:tcMar>
              <w:left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昼间</w:t>
            </w:r>
          </w:p>
        </w:tc>
        <w:tc>
          <w:tcPr>
            <w:tcW w:w="469" w:type="pct"/>
            <w:tcMar>
              <w:left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夜间</w:t>
            </w:r>
          </w:p>
        </w:tc>
        <w:tc>
          <w:tcPr>
            <w:tcW w:w="507" w:type="pct"/>
            <w:tcMar>
              <w:left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昼间</w:t>
            </w:r>
          </w:p>
        </w:tc>
        <w:tc>
          <w:tcPr>
            <w:tcW w:w="498" w:type="pct"/>
            <w:tcMar>
              <w:left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夜间</w:t>
            </w:r>
          </w:p>
        </w:tc>
        <w:tc>
          <w:tcPr>
            <w:tcW w:w="44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昼间</w:t>
            </w:r>
          </w:p>
        </w:tc>
        <w:tc>
          <w:tcPr>
            <w:tcW w:w="44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夜间</w:t>
            </w:r>
          </w:p>
        </w:tc>
        <w:tc>
          <w:tcPr>
            <w:tcW w:w="444" w:type="pct"/>
            <w:tcMar>
              <w:left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昼间</w:t>
            </w:r>
          </w:p>
        </w:tc>
        <w:tc>
          <w:tcPr>
            <w:tcW w:w="616" w:type="pct"/>
            <w:tcMar>
              <w:left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23" w:type="pct"/>
            <w:tcMar>
              <w:left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755" w:type="pct"/>
            <w:tcMar>
              <w:left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东侧站界</w:t>
            </w:r>
          </w:p>
        </w:tc>
        <w:tc>
          <w:tcPr>
            <w:tcW w:w="499"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469"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507"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35</w:t>
            </w:r>
            <w:r>
              <w:rPr>
                <w:color w:val="000000" w:themeColor="text1"/>
                <w:highlight w:val="none"/>
                <w14:textFill>
                  <w14:solidFill>
                    <w14:schemeClr w14:val="tx1"/>
                  </w14:solidFill>
                </w14:textFill>
              </w:rPr>
              <w:t xml:space="preserve"> </w:t>
            </w:r>
          </w:p>
        </w:tc>
        <w:tc>
          <w:tcPr>
            <w:tcW w:w="498"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35</w:t>
            </w:r>
            <w:r>
              <w:rPr>
                <w:color w:val="000000" w:themeColor="text1"/>
                <w:highlight w:val="none"/>
                <w14:textFill>
                  <w14:solidFill>
                    <w14:schemeClr w14:val="tx1"/>
                  </w14:solidFill>
                </w14:textFill>
              </w:rPr>
              <w:t xml:space="preserve"> </w:t>
            </w:r>
          </w:p>
        </w:tc>
        <w:tc>
          <w:tcPr>
            <w:tcW w:w="44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44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44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61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23" w:type="pct"/>
            <w:tcMar>
              <w:left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755" w:type="pct"/>
            <w:tcMar>
              <w:left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南侧站界</w:t>
            </w:r>
          </w:p>
        </w:tc>
        <w:tc>
          <w:tcPr>
            <w:tcW w:w="499"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469"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507"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37</w:t>
            </w:r>
            <w:r>
              <w:rPr>
                <w:color w:val="000000" w:themeColor="text1"/>
                <w:highlight w:val="none"/>
                <w14:textFill>
                  <w14:solidFill>
                    <w14:schemeClr w14:val="tx1"/>
                  </w14:solidFill>
                </w14:textFill>
              </w:rPr>
              <w:t xml:space="preserve"> </w:t>
            </w:r>
          </w:p>
        </w:tc>
        <w:tc>
          <w:tcPr>
            <w:tcW w:w="498"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37</w:t>
            </w:r>
          </w:p>
        </w:tc>
        <w:tc>
          <w:tcPr>
            <w:tcW w:w="44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44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44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61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23" w:type="pct"/>
            <w:tcMar>
              <w:left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755" w:type="pct"/>
            <w:tcMar>
              <w:left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西侧站界</w:t>
            </w:r>
          </w:p>
        </w:tc>
        <w:tc>
          <w:tcPr>
            <w:tcW w:w="499"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469"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507"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35</w:t>
            </w:r>
            <w:r>
              <w:rPr>
                <w:color w:val="000000" w:themeColor="text1"/>
                <w:highlight w:val="none"/>
                <w14:textFill>
                  <w14:solidFill>
                    <w14:schemeClr w14:val="tx1"/>
                  </w14:solidFill>
                </w14:textFill>
              </w:rPr>
              <w:t xml:space="preserve"> </w:t>
            </w:r>
          </w:p>
        </w:tc>
        <w:tc>
          <w:tcPr>
            <w:tcW w:w="498"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35</w:t>
            </w:r>
            <w:r>
              <w:rPr>
                <w:color w:val="000000" w:themeColor="text1"/>
                <w:highlight w:val="none"/>
                <w14:textFill>
                  <w14:solidFill>
                    <w14:schemeClr w14:val="tx1"/>
                  </w14:solidFill>
                </w14:textFill>
              </w:rPr>
              <w:t xml:space="preserve"> </w:t>
            </w:r>
          </w:p>
        </w:tc>
        <w:tc>
          <w:tcPr>
            <w:tcW w:w="44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44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44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61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23" w:type="pct"/>
            <w:tcMar>
              <w:left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c>
          <w:tcPr>
            <w:tcW w:w="755" w:type="pct"/>
            <w:tcMar>
              <w:left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北侧站界</w:t>
            </w:r>
          </w:p>
        </w:tc>
        <w:tc>
          <w:tcPr>
            <w:tcW w:w="499"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469"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507"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t xml:space="preserve"> </w:t>
            </w:r>
          </w:p>
        </w:tc>
        <w:tc>
          <w:tcPr>
            <w:tcW w:w="498"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27</w:t>
            </w:r>
          </w:p>
        </w:tc>
        <w:tc>
          <w:tcPr>
            <w:tcW w:w="44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44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44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61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23" w:type="pct"/>
            <w:tcMar>
              <w:left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c>
          <w:tcPr>
            <w:tcW w:w="755" w:type="pct"/>
            <w:tcMar>
              <w:left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西</w:t>
            </w:r>
            <w:r>
              <w:rPr>
                <w:rFonts w:hint="eastAsia"/>
                <w:color w:val="000000" w:themeColor="text1"/>
                <w:highlight w:val="none"/>
                <w14:textFill>
                  <w14:solidFill>
                    <w14:schemeClr w14:val="tx1"/>
                  </w14:solidFill>
                </w14:textFill>
              </w:rPr>
              <w:t>南</w:t>
            </w:r>
            <w:r>
              <w:rPr>
                <w:color w:val="000000" w:themeColor="text1"/>
                <w:highlight w:val="none"/>
                <w14:textFill>
                  <w14:solidFill>
                    <w14:schemeClr w14:val="tx1"/>
                  </w14:solidFill>
                </w14:textFill>
              </w:rPr>
              <w:t>侧居民</w:t>
            </w:r>
          </w:p>
        </w:tc>
        <w:tc>
          <w:tcPr>
            <w:tcW w:w="499"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57</w:t>
            </w:r>
          </w:p>
        </w:tc>
        <w:tc>
          <w:tcPr>
            <w:tcW w:w="469"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48</w:t>
            </w:r>
          </w:p>
        </w:tc>
        <w:tc>
          <w:tcPr>
            <w:tcW w:w="507"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31.5</w:t>
            </w:r>
          </w:p>
        </w:tc>
        <w:tc>
          <w:tcPr>
            <w:tcW w:w="498"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31.5</w:t>
            </w:r>
          </w:p>
        </w:tc>
        <w:tc>
          <w:tcPr>
            <w:tcW w:w="44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57.01</w:t>
            </w:r>
          </w:p>
        </w:tc>
        <w:tc>
          <w:tcPr>
            <w:tcW w:w="44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48.</w:t>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0</w:t>
            </w:r>
          </w:p>
        </w:tc>
        <w:tc>
          <w:tcPr>
            <w:tcW w:w="44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61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23" w:type="pct"/>
            <w:tcMar>
              <w:left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w:t>
            </w:r>
          </w:p>
        </w:tc>
        <w:tc>
          <w:tcPr>
            <w:tcW w:w="755" w:type="pct"/>
            <w:tcMar>
              <w:left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西侧居民</w:t>
            </w:r>
          </w:p>
        </w:tc>
        <w:tc>
          <w:tcPr>
            <w:tcW w:w="499"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57</w:t>
            </w:r>
          </w:p>
        </w:tc>
        <w:tc>
          <w:tcPr>
            <w:tcW w:w="469"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48</w:t>
            </w:r>
          </w:p>
        </w:tc>
        <w:tc>
          <w:tcPr>
            <w:tcW w:w="507"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33.3</w:t>
            </w:r>
          </w:p>
        </w:tc>
        <w:tc>
          <w:tcPr>
            <w:tcW w:w="498"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33.3</w:t>
            </w:r>
          </w:p>
        </w:tc>
        <w:tc>
          <w:tcPr>
            <w:tcW w:w="44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r>
              <w:rPr>
                <w:rFonts w:hint="eastAsia"/>
                <w:color w:val="000000" w:themeColor="text1"/>
                <w:highlight w:val="none"/>
                <w14:textFill>
                  <w14:solidFill>
                    <w14:schemeClr w14:val="tx1"/>
                  </w14:solidFill>
                </w14:textFill>
              </w:rPr>
              <w:t>7.02</w:t>
            </w:r>
          </w:p>
        </w:tc>
        <w:tc>
          <w:tcPr>
            <w:tcW w:w="44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48.14</w:t>
            </w:r>
          </w:p>
        </w:tc>
        <w:tc>
          <w:tcPr>
            <w:tcW w:w="44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61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23" w:type="pct"/>
            <w:tcMar>
              <w:left w:w="0" w:type="dxa"/>
              <w:right w:w="0" w:type="dxa"/>
            </w:tcMar>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w:t>
            </w:r>
          </w:p>
        </w:tc>
        <w:tc>
          <w:tcPr>
            <w:tcW w:w="755" w:type="pct"/>
            <w:tcMar>
              <w:left w:w="0" w:type="dxa"/>
              <w:right w:w="0" w:type="dxa"/>
            </w:tcMar>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北</w:t>
            </w:r>
            <w:r>
              <w:rPr>
                <w:color w:val="000000" w:themeColor="text1"/>
                <w:highlight w:val="none"/>
                <w14:textFill>
                  <w14:solidFill>
                    <w14:schemeClr w14:val="tx1"/>
                  </w14:solidFill>
                </w14:textFill>
              </w:rPr>
              <w:t>侧居民</w:t>
            </w:r>
          </w:p>
        </w:tc>
        <w:tc>
          <w:tcPr>
            <w:tcW w:w="499"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57</w:t>
            </w:r>
          </w:p>
        </w:tc>
        <w:tc>
          <w:tcPr>
            <w:tcW w:w="469"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48</w:t>
            </w:r>
          </w:p>
        </w:tc>
        <w:tc>
          <w:tcPr>
            <w:tcW w:w="507"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23.5</w:t>
            </w:r>
          </w:p>
        </w:tc>
        <w:tc>
          <w:tcPr>
            <w:tcW w:w="498"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23.5</w:t>
            </w:r>
          </w:p>
        </w:tc>
        <w:tc>
          <w:tcPr>
            <w:tcW w:w="444"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57.00</w:t>
            </w:r>
          </w:p>
        </w:tc>
        <w:tc>
          <w:tcPr>
            <w:tcW w:w="44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r>
              <w:rPr>
                <w:rFonts w:hint="eastAsia"/>
                <w:color w:val="000000" w:themeColor="text1"/>
                <w:highlight w:val="none"/>
                <w14:textFill>
                  <w14:solidFill>
                    <w14:schemeClr w14:val="tx1"/>
                  </w14:solidFill>
                </w14:textFill>
              </w:rPr>
              <w:t>8.02</w:t>
            </w:r>
          </w:p>
        </w:tc>
        <w:tc>
          <w:tcPr>
            <w:tcW w:w="444"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61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r>
    </w:tbl>
    <w:p>
      <w:pPr>
        <w:spacing w:before="120" w:beforeLines="50"/>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由上表可见，项目开采期通过工艺管道的设计考虑合理的流速，减少气流噪声；站内设备合理布局；选用低噪声设备，合理布局，对燃气发电机组安装减振设备等综合防噪措施后，厂界噪声能满足《工业企业厂界环境噪声排放标准》</w:t>
      </w:r>
      <w:r>
        <w:rPr>
          <w:rFonts w:hint="eastAsia"/>
          <w:bCs/>
          <w:color w:val="000000" w:themeColor="text1"/>
          <w:highlight w:val="none"/>
          <w14:textFill>
            <w14:solidFill>
              <w14:schemeClr w14:val="tx1"/>
            </w14:solidFill>
          </w14:textFill>
        </w:rPr>
        <w:t>（</w:t>
      </w:r>
      <w:r>
        <w:rPr>
          <w:bCs/>
          <w:color w:val="000000" w:themeColor="text1"/>
          <w:highlight w:val="none"/>
          <w14:textFill>
            <w14:solidFill>
              <w14:schemeClr w14:val="tx1"/>
            </w14:solidFill>
          </w14:textFill>
        </w:rPr>
        <w:t>GB12348-2008</w:t>
      </w:r>
      <w:r>
        <w:rPr>
          <w:rFonts w:hint="eastAsia"/>
          <w:bCs/>
          <w:color w:val="000000" w:themeColor="text1"/>
          <w:highlight w:val="none"/>
          <w14:textFill>
            <w14:solidFill>
              <w14:schemeClr w14:val="tx1"/>
            </w14:solidFill>
          </w14:textFill>
        </w:rPr>
        <w:t>）</w:t>
      </w:r>
      <w:r>
        <w:rPr>
          <w:bCs/>
          <w:color w:val="000000" w:themeColor="text1"/>
          <w:highlight w:val="none"/>
          <w14:textFill>
            <w14:solidFill>
              <w14:schemeClr w14:val="tx1"/>
            </w14:solidFill>
          </w14:textFill>
        </w:rPr>
        <w:t>中2类标准。采气回收站周边200m范围内居民点声环境均能满足《声环境质量标准》（GB3096-2008）2类标准要求。由此可见，项目开采期不会对区域声环境造成噪声污染影响。</w:t>
      </w:r>
    </w:p>
    <w:p>
      <w:pPr>
        <w:pStyle w:val="33"/>
        <w:ind w:left="240" w:leftChars="100" w:firstLine="241" w:firstLineChars="100"/>
        <w:rPr>
          <w:b/>
          <w:smallCaps w:val="0"/>
          <w:color w:val="000000" w:themeColor="text1"/>
          <w:sz w:val="24"/>
          <w:szCs w:val="24"/>
          <w:highlight w:val="none"/>
          <w14:textFill>
            <w14:solidFill>
              <w14:schemeClr w14:val="tx1"/>
            </w14:solidFill>
          </w14:textFill>
        </w:rPr>
      </w:pPr>
      <w:r>
        <w:rPr>
          <w:b/>
          <w:smallCaps w:val="0"/>
          <w:color w:val="000000" w:themeColor="text1"/>
          <w:sz w:val="24"/>
          <w:szCs w:val="24"/>
          <w:highlight w:val="none"/>
          <w14:textFill>
            <w14:solidFill>
              <w14:schemeClr w14:val="tx1"/>
            </w14:solidFill>
          </w14:textFill>
        </w:rPr>
        <w:t>（2）与拟建工程（雷茅页1HF井和雷页1-1HF井钻探工程）噪声共同影响分析</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根据建设单位提供的《雷茅页1HF井和雷页1-1HF井钻探工程环境影响报告表》（四川中环立新环保工程咨询有限公司，2023年12月），雷茅页1HF井和雷页1-1HF井钻探工程在实施阶段钻井设备噪声源强在85~105dB（A）之间，结合其噪声影响预测结果，钻井阶段各敏感点处噪声贡献值昼间、夜间均在43.5~53.5dB（A）之间，压裂测试阶段其噪声贡献值在51.2~60.8dB（A）之间。本项目工艺流程较简单，采用的噪声设备较少，主要噪声设备为</w:t>
      </w:r>
      <w:r>
        <w:rPr>
          <w:rFonts w:hint="eastAsia"/>
          <w:bCs/>
          <w:color w:val="000000" w:themeColor="text1"/>
          <w:highlight w:val="none"/>
          <w14:textFill>
            <w14:solidFill>
              <w14:schemeClr w14:val="tx1"/>
            </w14:solidFill>
          </w14:textFill>
        </w:rPr>
        <w:t>装车泵撬</w:t>
      </w:r>
      <w:r>
        <w:rPr>
          <w:bCs/>
          <w:color w:val="000000" w:themeColor="text1"/>
          <w:highlight w:val="none"/>
          <w14:textFill>
            <w14:solidFill>
              <w14:schemeClr w14:val="tx1"/>
            </w14:solidFill>
          </w14:textFill>
        </w:rPr>
        <w:t>，噪声源强为65~75dB（A）之间，结果本项目噪声预测结果，本项目建成后噪声对周边敏感点的贡献值在13.09~32.54dB（A）之间。叠加</w:t>
      </w:r>
      <w:r>
        <w:rPr>
          <w:rFonts w:hint="eastAsia"/>
          <w:bCs/>
          <w:color w:val="000000" w:themeColor="text1"/>
          <w:highlight w:val="none"/>
          <w14:textFill>
            <w14:solidFill>
              <w14:schemeClr w14:val="tx1"/>
            </w14:solidFill>
          </w14:textFill>
        </w:rPr>
        <w:t>拟建工程施工期</w:t>
      </w:r>
      <w:r>
        <w:rPr>
          <w:bCs/>
          <w:color w:val="000000" w:themeColor="text1"/>
          <w:highlight w:val="none"/>
          <w14:textFill>
            <w14:solidFill>
              <w14:schemeClr w14:val="tx1"/>
            </w14:solidFill>
          </w14:textFill>
        </w:rPr>
        <w:t>噪声贡献值，钻井阶段各敏感点处噪声贡献值昼间、夜间均在43.5~53.53dB（A）之间，压裂测试阶段其噪声贡献值在51.2~60.8 1dB（A）之间。由此可见，本项目的建设对周边声敏感目标的噪声影响贡献值较小，其产生的影响较小。本项目与拟建工程共同的噪声影响与单个拟建工程（雷茅页1HF井和雷页1-1HF井钻探工程）噪声影响相当，需按雷茅页1HF井和雷页1-1HF井钻探工程环境影响报告表采取</w:t>
      </w:r>
      <w:r>
        <w:rPr>
          <w:rFonts w:hint="eastAsia"/>
          <w:bCs/>
          <w:color w:val="000000" w:themeColor="text1"/>
          <w:highlight w:val="none"/>
          <w14:textFill>
            <w14:solidFill>
              <w14:schemeClr w14:val="tx1"/>
            </w14:solidFill>
          </w14:textFill>
        </w:rPr>
        <w:t>噪声</w:t>
      </w:r>
      <w:r>
        <w:rPr>
          <w:bCs/>
          <w:color w:val="000000" w:themeColor="text1"/>
          <w:highlight w:val="none"/>
          <w14:textFill>
            <w14:solidFill>
              <w14:schemeClr w14:val="tx1"/>
            </w14:solidFill>
          </w14:textFill>
        </w:rPr>
        <w:t>环境影响防治措施即可，本工程无需因两工程噪声影响，增加噪声影响防治措施。</w:t>
      </w:r>
    </w:p>
    <w:p>
      <w:pPr>
        <w:ind w:firstLine="482"/>
        <w:rPr>
          <w:b/>
          <w:color w:val="000000" w:themeColor="text1"/>
          <w:szCs w:val="24"/>
          <w:highlight w:val="none"/>
          <w14:textFill>
            <w14:solidFill>
              <w14:schemeClr w14:val="tx1"/>
            </w14:solidFill>
          </w14:textFill>
        </w:rPr>
      </w:pPr>
      <w:r>
        <w:rPr>
          <w:b/>
          <w:color w:val="000000" w:themeColor="text1"/>
          <w:szCs w:val="24"/>
          <w:highlight w:val="none"/>
          <w14:textFill>
            <w14:solidFill>
              <w14:schemeClr w14:val="tx1"/>
            </w14:solidFill>
          </w14:textFill>
        </w:rPr>
        <w:t>（3）事故和检修放空噪声影响分析</w:t>
      </w:r>
    </w:p>
    <w:p>
      <w:pPr>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在事故和检修放空时，产生的放空噪声等级约为80dB（A），评价预测放空噪声在距声源不同距离的影响值见表5.2-7。</w:t>
      </w:r>
    </w:p>
    <w:p>
      <w:pPr>
        <w:pStyle w:val="196"/>
        <w:spacing w:line="240" w:lineRule="auto"/>
        <w:ind w:firstLine="480"/>
        <w:rPr>
          <w:rFonts w:ascii="Times New Roman"/>
          <w:color w:val="000000" w:themeColor="text1"/>
          <w:highlight w:val="none"/>
          <w14:textFill>
            <w14:solidFill>
              <w14:schemeClr w14:val="tx1"/>
            </w14:solidFill>
          </w14:textFill>
        </w:rPr>
      </w:pPr>
      <w:r>
        <w:rPr>
          <w:rFonts w:ascii="Times New Roman"/>
          <w:color w:val="000000" w:themeColor="text1"/>
          <w:highlight w:val="none"/>
          <w14:textFill>
            <w14:solidFill>
              <w14:schemeClr w14:val="tx1"/>
            </w14:solidFill>
          </w14:textFill>
        </w:rPr>
        <w:t>表5.2-7  放空噪声预测结果  单位：dB（A）</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72"/>
        <w:gridCol w:w="1083"/>
        <w:gridCol w:w="1110"/>
        <w:gridCol w:w="1083"/>
        <w:gridCol w:w="1110"/>
        <w:gridCol w:w="1083"/>
        <w:gridCol w:w="10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56" w:type="pct"/>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与声源距离（m）</w:t>
            </w:r>
          </w:p>
        </w:tc>
        <w:tc>
          <w:tcPr>
            <w:tcW w:w="635" w:type="pct"/>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10</w:t>
            </w:r>
          </w:p>
        </w:tc>
        <w:tc>
          <w:tcPr>
            <w:tcW w:w="651" w:type="pct"/>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15</w:t>
            </w:r>
          </w:p>
        </w:tc>
        <w:tc>
          <w:tcPr>
            <w:tcW w:w="635" w:type="pct"/>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20</w:t>
            </w:r>
          </w:p>
        </w:tc>
        <w:tc>
          <w:tcPr>
            <w:tcW w:w="651" w:type="pct"/>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30</w:t>
            </w:r>
          </w:p>
        </w:tc>
        <w:tc>
          <w:tcPr>
            <w:tcW w:w="635" w:type="pct"/>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40</w:t>
            </w:r>
          </w:p>
        </w:tc>
        <w:tc>
          <w:tcPr>
            <w:tcW w:w="636" w:type="pct"/>
            <w:tcBorders>
              <w:top w:val="single" w:color="auto" w:sz="4" w:space="0"/>
              <w:left w:val="single" w:color="auto" w:sz="4" w:space="0"/>
              <w:bottom w:val="single" w:color="auto" w:sz="4" w:space="0"/>
              <w:right w:val="single" w:color="auto" w:sz="4" w:space="0"/>
            </w:tcBorders>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56"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预测值（dB（A））</w:t>
            </w:r>
          </w:p>
        </w:tc>
        <w:tc>
          <w:tcPr>
            <w:tcW w:w="635"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60</w:t>
            </w:r>
          </w:p>
        </w:tc>
        <w:tc>
          <w:tcPr>
            <w:tcW w:w="65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56.5</w:t>
            </w:r>
          </w:p>
        </w:tc>
        <w:tc>
          <w:tcPr>
            <w:tcW w:w="635"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54</w:t>
            </w:r>
          </w:p>
        </w:tc>
        <w:tc>
          <w:tcPr>
            <w:tcW w:w="651"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50.5</w:t>
            </w:r>
          </w:p>
        </w:tc>
        <w:tc>
          <w:tcPr>
            <w:tcW w:w="635"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48</w:t>
            </w:r>
          </w:p>
        </w:tc>
        <w:tc>
          <w:tcPr>
            <w:tcW w:w="636" w:type="pct"/>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46</w:t>
            </w:r>
          </w:p>
        </w:tc>
      </w:tr>
    </w:tbl>
    <w:p>
      <w:pPr>
        <w:spacing w:before="120" w:beforeLines="50"/>
        <w:ind w:firstLine="480"/>
        <w:rPr>
          <w:rFonts w:cs="Times New Roman"/>
          <w:bCs/>
          <w:color w:val="000000" w:themeColor="text1"/>
          <w:szCs w:val="24"/>
          <w:highlight w:val="none"/>
          <w14:textFill>
            <w14:solidFill>
              <w14:schemeClr w14:val="tx1"/>
            </w14:solidFill>
          </w14:textFill>
        </w:rPr>
      </w:pPr>
      <w:r>
        <w:rPr>
          <w:bCs/>
          <w:color w:val="000000" w:themeColor="text1"/>
          <w:highlight w:val="none"/>
          <w14:textFill>
            <w14:solidFill>
              <w14:schemeClr w14:val="tx1"/>
            </w14:solidFill>
          </w14:textFill>
        </w:rPr>
        <w:t>由表5.2-7可知，</w:t>
      </w:r>
      <w:r>
        <w:rPr>
          <w:bCs/>
          <w:color w:val="000000" w:themeColor="text1"/>
          <w:szCs w:val="24"/>
          <w:highlight w:val="none"/>
          <w14:textFill>
            <w14:solidFill>
              <w14:schemeClr w14:val="tx1"/>
            </w14:solidFill>
          </w14:textFill>
        </w:rPr>
        <w:t>在事故和检修放空时，</w:t>
      </w:r>
      <w:r>
        <w:rPr>
          <w:bCs/>
          <w:color w:val="000000" w:themeColor="text1"/>
          <w:highlight w:val="none"/>
          <w14:textFill>
            <w14:solidFill>
              <w14:schemeClr w14:val="tx1"/>
            </w14:solidFill>
          </w14:textFill>
        </w:rPr>
        <w:t>距离</w:t>
      </w:r>
      <w:r>
        <w:rPr>
          <w:rFonts w:hint="eastAsia"/>
          <w:bCs/>
          <w:color w:val="000000" w:themeColor="text1"/>
          <w:highlight w:val="none"/>
          <w14:textFill>
            <w14:solidFill>
              <w14:schemeClr w14:val="tx1"/>
            </w14:solidFill>
          </w14:textFill>
        </w:rPr>
        <w:t>放空管</w:t>
      </w:r>
      <w:r>
        <w:rPr>
          <w:bCs/>
          <w:color w:val="000000" w:themeColor="text1"/>
          <w:highlight w:val="none"/>
          <w14:textFill>
            <w14:solidFill>
              <w14:schemeClr w14:val="tx1"/>
            </w14:solidFill>
          </w14:textFill>
        </w:rPr>
        <w:t>10m外的昼间噪声便可达标，约在32m处夜间噪声便可达标。事故和检修放空属偶发工况，对外环境及周边居民影响小</w:t>
      </w:r>
      <w:r>
        <w:rPr>
          <w:rFonts w:cs="Times New Roman"/>
          <w:bCs/>
          <w:color w:val="000000" w:themeColor="text1"/>
          <w:szCs w:val="24"/>
          <w:highlight w:val="none"/>
          <w14:textFill>
            <w14:solidFill>
              <w14:schemeClr w14:val="tx1"/>
            </w14:solidFill>
          </w14:textFill>
        </w:rPr>
        <w:t>。</w:t>
      </w:r>
    </w:p>
    <w:p>
      <w:pPr>
        <w:pStyle w:val="5"/>
        <w:spacing w:before="120"/>
        <w:ind w:firstLine="480"/>
        <w:rPr>
          <w:color w:val="000000" w:themeColor="text1"/>
          <w:highlight w:val="none"/>
          <w14:textFill>
            <w14:solidFill>
              <w14:schemeClr w14:val="tx1"/>
            </w14:solidFill>
          </w14:textFill>
        </w:rPr>
      </w:pPr>
      <w:bookmarkStart w:id="278" w:name="_Toc120173159"/>
      <w:r>
        <w:rPr>
          <w:color w:val="000000" w:themeColor="text1"/>
          <w:highlight w:val="none"/>
          <w14:textFill>
            <w14:solidFill>
              <w14:schemeClr w14:val="tx1"/>
            </w14:solidFill>
          </w14:textFill>
        </w:rPr>
        <w:t>固废</w:t>
      </w:r>
      <w:r>
        <w:rPr>
          <w:rFonts w:hint="eastAsia"/>
          <w:color w:val="000000" w:themeColor="text1"/>
          <w:highlight w:val="none"/>
          <w:lang w:eastAsia="zh-CN"/>
          <w14:textFill>
            <w14:solidFill>
              <w14:schemeClr w14:val="tx1"/>
            </w14:solidFill>
          </w14:textFill>
        </w:rPr>
        <w:t>环境</w:t>
      </w:r>
      <w:r>
        <w:rPr>
          <w:color w:val="000000" w:themeColor="text1"/>
          <w:highlight w:val="none"/>
          <w14:textFill>
            <w14:solidFill>
              <w14:schemeClr w14:val="tx1"/>
            </w14:solidFill>
          </w14:textFill>
        </w:rPr>
        <w:t>影响分析</w:t>
      </w:r>
      <w:bookmarkEnd w:id="278"/>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本项目运营期将会涉及一般工业固废、生活垃圾，具体产生及治理情况如下。</w:t>
      </w:r>
    </w:p>
    <w:p>
      <w:pPr>
        <w:ind w:firstLine="482"/>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（1）</w:t>
      </w:r>
      <w:r>
        <w:rPr>
          <w:b/>
          <w:bCs/>
          <w:color w:val="000000" w:themeColor="text1"/>
          <w:highlight w:val="none"/>
          <w14:textFill>
            <w14:solidFill>
              <w14:schemeClr w14:val="tx1"/>
            </w14:solidFill>
          </w14:textFill>
        </w:rPr>
        <w:t>生产固废</w:t>
      </w:r>
    </w:p>
    <w:p>
      <w:pPr>
        <w:pStyle w:val="33"/>
        <w:ind w:left="0" w:firstLine="480"/>
        <w:rPr>
          <w:bCs/>
          <w:smallCaps w:val="0"/>
          <w:color w:val="000000" w:themeColor="text1"/>
          <w:kern w:val="0"/>
          <w:sz w:val="24"/>
          <w:szCs w:val="22"/>
          <w:highlight w:val="none"/>
          <w14:textFill>
            <w14:solidFill>
              <w14:schemeClr w14:val="tx1"/>
            </w14:solidFill>
          </w14:textFill>
        </w:rPr>
      </w:pPr>
      <w:r>
        <w:rPr>
          <w:bCs/>
          <w:smallCaps w:val="0"/>
          <w:color w:val="000000" w:themeColor="text1"/>
          <w:kern w:val="0"/>
          <w:sz w:val="24"/>
          <w:szCs w:val="22"/>
          <w:highlight w:val="none"/>
          <w14:textFill>
            <w14:solidFill>
              <w14:schemeClr w14:val="tx1"/>
            </w14:solidFill>
          </w14:textFill>
        </w:rPr>
        <w:t>根据前文工程分析，本项目装置分离器除砂分离过程产生的废渣，主要为固态杂质，约0.5t/a；脱水分离撬内分子筛使用时产生的废分子筛，废分子筛每3年更换1次，每次约5.5t</w:t>
      </w:r>
      <w:r>
        <w:rPr>
          <w:rFonts w:hint="eastAsia"/>
          <w:bCs/>
          <w:smallCaps w:val="0"/>
          <w:color w:val="000000" w:themeColor="text1"/>
          <w:kern w:val="0"/>
          <w:sz w:val="24"/>
          <w:szCs w:val="22"/>
          <w:highlight w:val="none"/>
          <w14:textFill>
            <w14:solidFill>
              <w14:schemeClr w14:val="tx1"/>
            </w14:solidFill>
          </w14:textFill>
        </w:rPr>
        <w:t>；管线清管/检修废渣，</w:t>
      </w:r>
      <w:r>
        <w:rPr>
          <w:bCs/>
          <w:smallCaps w:val="0"/>
          <w:color w:val="000000" w:themeColor="text1"/>
          <w:kern w:val="0"/>
          <w:sz w:val="24"/>
          <w:szCs w:val="22"/>
          <w:highlight w:val="none"/>
          <w14:textFill>
            <w14:solidFill>
              <w14:schemeClr w14:val="tx1"/>
            </w14:solidFill>
          </w14:textFill>
        </w:rPr>
        <w:t>主要为固态杂质，约</w:t>
      </w:r>
      <w:r>
        <w:rPr>
          <w:rFonts w:hint="eastAsia"/>
          <w:bCs/>
          <w:smallCaps w:val="0"/>
          <w:color w:val="000000" w:themeColor="text1"/>
          <w:kern w:val="0"/>
          <w:sz w:val="24"/>
          <w:szCs w:val="22"/>
          <w:highlight w:val="none"/>
          <w14:textFill>
            <w14:solidFill>
              <w14:schemeClr w14:val="tx1"/>
            </w14:solidFill>
          </w14:textFill>
        </w:rPr>
        <w:t>1</w:t>
      </w:r>
      <w:r>
        <w:rPr>
          <w:bCs/>
          <w:smallCaps w:val="0"/>
          <w:color w:val="000000" w:themeColor="text1"/>
          <w:kern w:val="0"/>
          <w:sz w:val="24"/>
          <w:szCs w:val="22"/>
          <w:highlight w:val="none"/>
          <w14:textFill>
            <w14:solidFill>
              <w14:schemeClr w14:val="tx1"/>
            </w14:solidFill>
          </w14:textFill>
        </w:rPr>
        <w:t>t/a。废渣及废分子筛均为一般工业废物，收集后定期交由当地具备处理工业废物能力的单位处置</w:t>
      </w:r>
      <w:r>
        <w:rPr>
          <w:rFonts w:hint="eastAsia"/>
          <w:bCs/>
          <w:smallCaps w:val="0"/>
          <w:color w:val="000000" w:themeColor="text1"/>
          <w:kern w:val="0"/>
          <w:sz w:val="24"/>
          <w:szCs w:val="22"/>
          <w:highlight w:val="none"/>
          <w14:textFill>
            <w14:solidFill>
              <w14:schemeClr w14:val="tx1"/>
            </w14:solidFill>
          </w14:textFill>
        </w:rPr>
        <w:t>（其中废分子筛若厂家可回收则交由厂家回收）</w:t>
      </w:r>
      <w:r>
        <w:rPr>
          <w:bCs/>
          <w:smallCaps w:val="0"/>
          <w:color w:val="000000" w:themeColor="text1"/>
          <w:kern w:val="0"/>
          <w:sz w:val="24"/>
          <w:szCs w:val="22"/>
          <w:highlight w:val="none"/>
          <w14:textFill>
            <w14:solidFill>
              <w14:schemeClr w14:val="tx1"/>
            </w14:solidFill>
          </w14:textFill>
        </w:rPr>
        <w:t>。</w:t>
      </w:r>
    </w:p>
    <w:p>
      <w:pPr>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本项目</w:t>
      </w:r>
      <w:r>
        <w:rPr>
          <w:rFonts w:hint="eastAsia"/>
          <w:bCs/>
          <w:color w:val="000000" w:themeColor="text1"/>
          <w:szCs w:val="24"/>
          <w:highlight w:val="none"/>
          <w14:textFill>
            <w14:solidFill>
              <w14:schemeClr w14:val="tx1"/>
            </w14:solidFill>
          </w14:textFill>
        </w:rPr>
        <w:t>试采期</w:t>
      </w:r>
      <w:r>
        <w:rPr>
          <w:bCs/>
          <w:color w:val="000000" w:themeColor="text1"/>
          <w:szCs w:val="24"/>
          <w:highlight w:val="none"/>
          <w14:textFill>
            <w14:solidFill>
              <w14:schemeClr w14:val="tx1"/>
            </w14:solidFill>
          </w14:textFill>
        </w:rPr>
        <w:t>一般工业固体废物产生量见表</w:t>
      </w:r>
      <w:r>
        <w:rPr>
          <w:rFonts w:hint="eastAsia"/>
          <w:bCs/>
          <w:color w:val="000000" w:themeColor="text1"/>
          <w:szCs w:val="24"/>
          <w:highlight w:val="none"/>
          <w14:textFill>
            <w14:solidFill>
              <w14:schemeClr w14:val="tx1"/>
            </w14:solidFill>
          </w14:textFill>
        </w:rPr>
        <w:t>5.2</w:t>
      </w:r>
      <w:r>
        <w:rPr>
          <w:bCs/>
          <w:color w:val="000000" w:themeColor="text1"/>
          <w:szCs w:val="24"/>
          <w:highlight w:val="none"/>
          <w14:textFill>
            <w14:solidFill>
              <w14:schemeClr w14:val="tx1"/>
            </w14:solidFill>
          </w14:textFill>
        </w:rPr>
        <w:t>-7。</w:t>
      </w:r>
    </w:p>
    <w:p>
      <w:pPr>
        <w:pStyle w:val="96"/>
        <w:spacing w:before="12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STYLEREF 2 \s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7   本项目</w:t>
      </w:r>
      <w:r>
        <w:rPr>
          <w:rFonts w:hint="eastAsia"/>
          <w:color w:val="000000" w:themeColor="text1"/>
          <w:highlight w:val="none"/>
          <w14:textFill>
            <w14:solidFill>
              <w14:schemeClr w14:val="tx1"/>
            </w14:solidFill>
          </w14:textFill>
        </w:rPr>
        <w:t>试采期</w:t>
      </w:r>
      <w:r>
        <w:rPr>
          <w:color w:val="000000" w:themeColor="text1"/>
          <w:highlight w:val="none"/>
          <w14:textFill>
            <w14:solidFill>
              <w14:schemeClr w14:val="tx1"/>
            </w14:solidFill>
          </w14:textFill>
        </w:rPr>
        <w:t>一般工业固体废物汇总表</w:t>
      </w:r>
    </w:p>
    <w:tbl>
      <w:tblPr>
        <w:tblStyle w:val="41"/>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04"/>
        <w:gridCol w:w="1559"/>
        <w:gridCol w:w="1134"/>
        <w:gridCol w:w="1276"/>
        <w:gridCol w:w="1134"/>
        <w:gridCol w:w="24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263" w:type="dxa"/>
            <w:gridSpan w:val="2"/>
            <w:vAlign w:val="center"/>
          </w:tcPr>
          <w:p>
            <w:pPr>
              <w:spacing w:line="240" w:lineRule="auto"/>
              <w:ind w:firstLine="0" w:firstLineChars="0"/>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污染源</w:t>
            </w:r>
          </w:p>
        </w:tc>
        <w:tc>
          <w:tcPr>
            <w:tcW w:w="1134" w:type="dxa"/>
            <w:vAlign w:val="center"/>
          </w:tcPr>
          <w:p>
            <w:pPr>
              <w:spacing w:line="240" w:lineRule="auto"/>
              <w:ind w:firstLine="0" w:firstLineChars="0"/>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主要污染物</w:t>
            </w:r>
          </w:p>
        </w:tc>
        <w:tc>
          <w:tcPr>
            <w:tcW w:w="1276" w:type="dxa"/>
            <w:vAlign w:val="center"/>
          </w:tcPr>
          <w:p>
            <w:pPr>
              <w:spacing w:line="240" w:lineRule="auto"/>
              <w:ind w:firstLine="0" w:firstLineChars="0"/>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产生量</w:t>
            </w:r>
          </w:p>
        </w:tc>
        <w:tc>
          <w:tcPr>
            <w:tcW w:w="1134" w:type="dxa"/>
            <w:vAlign w:val="center"/>
          </w:tcPr>
          <w:p>
            <w:pPr>
              <w:spacing w:line="240" w:lineRule="auto"/>
              <w:ind w:firstLine="0" w:firstLineChars="0"/>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排放量</w:t>
            </w:r>
          </w:p>
        </w:tc>
        <w:tc>
          <w:tcPr>
            <w:tcW w:w="2415" w:type="dxa"/>
            <w:vAlign w:val="center"/>
          </w:tcPr>
          <w:p>
            <w:pPr>
              <w:spacing w:line="240" w:lineRule="auto"/>
              <w:ind w:firstLine="0" w:firstLineChars="0"/>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704" w:type="dxa"/>
            <w:vMerge w:val="restart"/>
            <w:tcMar>
              <w:left w:w="0" w:type="dxa"/>
              <w:right w:w="0" w:type="dxa"/>
            </w:tcMar>
            <w:vAlign w:val="center"/>
          </w:tcPr>
          <w:p>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一般工业固废</w:t>
            </w:r>
          </w:p>
        </w:tc>
        <w:tc>
          <w:tcPr>
            <w:tcW w:w="1559" w:type="dxa"/>
            <w:vAlign w:val="center"/>
          </w:tcPr>
          <w:p>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废渣（分离器除砂）</w:t>
            </w:r>
          </w:p>
        </w:tc>
        <w:tc>
          <w:tcPr>
            <w:tcW w:w="1134" w:type="dxa"/>
            <w:vAlign w:val="center"/>
          </w:tcPr>
          <w:p>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杂质</w:t>
            </w:r>
          </w:p>
        </w:tc>
        <w:tc>
          <w:tcPr>
            <w:tcW w:w="1276" w:type="dxa"/>
            <w:vAlign w:val="center"/>
          </w:tcPr>
          <w:p>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0.5t/a</w:t>
            </w:r>
          </w:p>
        </w:tc>
        <w:tc>
          <w:tcPr>
            <w:tcW w:w="1134" w:type="dxa"/>
            <w:vAlign w:val="center"/>
          </w:tcPr>
          <w:p>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0.5t/a</w:t>
            </w:r>
          </w:p>
        </w:tc>
        <w:tc>
          <w:tcPr>
            <w:tcW w:w="2415" w:type="dxa"/>
            <w:vAlign w:val="center"/>
          </w:tcPr>
          <w:p>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收集后定期交由当地具备处理工业废物能力的单位处置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704" w:type="dxa"/>
            <w:vMerge w:val="continue"/>
            <w:tcMar>
              <w:left w:w="0" w:type="dxa"/>
              <w:right w:w="0" w:type="dxa"/>
            </w:tcMar>
            <w:vAlign w:val="center"/>
          </w:tcPr>
          <w:p>
            <w:pPr>
              <w:spacing w:line="240" w:lineRule="auto"/>
              <w:ind w:firstLine="0" w:firstLineChars="0"/>
              <w:jc w:val="center"/>
              <w:rPr>
                <w:color w:val="000000" w:themeColor="text1"/>
                <w:sz w:val="21"/>
                <w:szCs w:val="21"/>
                <w:highlight w:val="none"/>
                <w14:textFill>
                  <w14:solidFill>
                    <w14:schemeClr w14:val="tx1"/>
                  </w14:solidFill>
                </w14:textFill>
              </w:rPr>
            </w:pPr>
          </w:p>
        </w:tc>
        <w:tc>
          <w:tcPr>
            <w:tcW w:w="1559" w:type="dxa"/>
            <w:vAlign w:val="center"/>
          </w:tcPr>
          <w:p>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废分子筛</w:t>
            </w:r>
          </w:p>
        </w:tc>
        <w:tc>
          <w:tcPr>
            <w:tcW w:w="1134" w:type="dxa"/>
            <w:vAlign w:val="center"/>
          </w:tcPr>
          <w:p>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固体</w:t>
            </w:r>
          </w:p>
        </w:tc>
        <w:tc>
          <w:tcPr>
            <w:tcW w:w="1276" w:type="dxa"/>
            <w:vAlign w:val="center"/>
          </w:tcPr>
          <w:p>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5.5t/</w:t>
            </w:r>
            <w:r>
              <w:rPr>
                <w:rFonts w:hint="eastAsia"/>
                <w:color w:val="000000" w:themeColor="text1"/>
                <w:sz w:val="21"/>
                <w:szCs w:val="21"/>
                <w:highlight w:val="none"/>
                <w14:textFill>
                  <w14:solidFill>
                    <w14:schemeClr w14:val="tx1"/>
                  </w14:solidFill>
                </w14:textFill>
              </w:rPr>
              <w:t>3</w:t>
            </w:r>
            <w:r>
              <w:rPr>
                <w:color w:val="000000" w:themeColor="text1"/>
                <w:sz w:val="21"/>
                <w:szCs w:val="21"/>
                <w:highlight w:val="none"/>
                <w14:textFill>
                  <w14:solidFill>
                    <w14:schemeClr w14:val="tx1"/>
                  </w14:solidFill>
                </w14:textFill>
              </w:rPr>
              <w:t>a</w:t>
            </w:r>
          </w:p>
        </w:tc>
        <w:tc>
          <w:tcPr>
            <w:tcW w:w="1134" w:type="dxa"/>
            <w:vAlign w:val="center"/>
          </w:tcPr>
          <w:p>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5.5t/</w:t>
            </w:r>
            <w:r>
              <w:rPr>
                <w:rFonts w:hint="eastAsia"/>
                <w:color w:val="000000" w:themeColor="text1"/>
                <w:sz w:val="21"/>
                <w:szCs w:val="21"/>
                <w:highlight w:val="none"/>
                <w14:textFill>
                  <w14:solidFill>
                    <w14:schemeClr w14:val="tx1"/>
                  </w14:solidFill>
                </w14:textFill>
              </w:rPr>
              <w:t>3</w:t>
            </w:r>
            <w:r>
              <w:rPr>
                <w:color w:val="000000" w:themeColor="text1"/>
                <w:sz w:val="21"/>
                <w:szCs w:val="21"/>
                <w:highlight w:val="none"/>
                <w14:textFill>
                  <w14:solidFill>
                    <w14:schemeClr w14:val="tx1"/>
                  </w14:solidFill>
                </w14:textFill>
              </w:rPr>
              <w:t>a</w:t>
            </w:r>
          </w:p>
        </w:tc>
        <w:tc>
          <w:tcPr>
            <w:tcW w:w="2415" w:type="dxa"/>
            <w:vAlign w:val="center"/>
          </w:tcPr>
          <w:p>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收集后定期交由当地具备处理工业废物能力的单位处置</w:t>
            </w:r>
            <w:r>
              <w:rPr>
                <w:rFonts w:hint="eastAsia"/>
                <w:color w:val="000000" w:themeColor="text1"/>
                <w:sz w:val="21"/>
                <w:szCs w:val="21"/>
                <w:highlight w:val="none"/>
                <w14:textFill>
                  <w14:solidFill>
                    <w14:schemeClr w14:val="tx1"/>
                  </w14:solidFill>
                </w14:textFill>
              </w:rPr>
              <w:t>或交由厂家回收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704" w:type="dxa"/>
            <w:vMerge w:val="continue"/>
            <w:tcMar>
              <w:left w:w="0" w:type="dxa"/>
              <w:right w:w="0" w:type="dxa"/>
            </w:tcMar>
            <w:vAlign w:val="center"/>
          </w:tcPr>
          <w:p>
            <w:pPr>
              <w:spacing w:line="240" w:lineRule="auto"/>
              <w:ind w:firstLine="0" w:firstLineChars="0"/>
              <w:jc w:val="center"/>
              <w:rPr>
                <w:color w:val="000000" w:themeColor="text1"/>
                <w:sz w:val="21"/>
                <w:szCs w:val="21"/>
                <w:highlight w:val="none"/>
                <w14:textFill>
                  <w14:solidFill>
                    <w14:schemeClr w14:val="tx1"/>
                  </w14:solidFill>
                </w14:textFill>
              </w:rPr>
            </w:pPr>
          </w:p>
        </w:tc>
        <w:tc>
          <w:tcPr>
            <w:tcW w:w="1559" w:type="dxa"/>
            <w:vAlign w:val="center"/>
          </w:tcPr>
          <w:p>
            <w:pPr>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清管/检修废渣</w:t>
            </w:r>
          </w:p>
        </w:tc>
        <w:tc>
          <w:tcPr>
            <w:tcW w:w="1134" w:type="dxa"/>
            <w:vAlign w:val="center"/>
          </w:tcPr>
          <w:p>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固体</w:t>
            </w:r>
          </w:p>
        </w:tc>
        <w:tc>
          <w:tcPr>
            <w:tcW w:w="1276" w:type="dxa"/>
            <w:vAlign w:val="center"/>
          </w:tcPr>
          <w:p>
            <w:pPr>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r>
              <w:rPr>
                <w:color w:val="000000" w:themeColor="text1"/>
                <w:sz w:val="21"/>
                <w:szCs w:val="21"/>
                <w:highlight w:val="none"/>
                <w14:textFill>
                  <w14:solidFill>
                    <w14:schemeClr w14:val="tx1"/>
                  </w14:solidFill>
                </w14:textFill>
              </w:rPr>
              <w:t>t/a</w:t>
            </w:r>
          </w:p>
        </w:tc>
        <w:tc>
          <w:tcPr>
            <w:tcW w:w="1134" w:type="dxa"/>
            <w:vAlign w:val="center"/>
          </w:tcPr>
          <w:p>
            <w:pPr>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r>
              <w:rPr>
                <w:color w:val="000000" w:themeColor="text1"/>
                <w:sz w:val="21"/>
                <w:szCs w:val="21"/>
                <w:highlight w:val="none"/>
                <w14:textFill>
                  <w14:solidFill>
                    <w14:schemeClr w14:val="tx1"/>
                  </w14:solidFill>
                </w14:textFill>
              </w:rPr>
              <w:t>t/a</w:t>
            </w:r>
          </w:p>
        </w:tc>
        <w:tc>
          <w:tcPr>
            <w:tcW w:w="2415" w:type="dxa"/>
            <w:vAlign w:val="center"/>
          </w:tcPr>
          <w:p>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收集后定期交由当地具备处理工业废物能力的单位处置</w:t>
            </w:r>
          </w:p>
        </w:tc>
      </w:tr>
    </w:tbl>
    <w:p>
      <w:pPr>
        <w:spacing w:before="120" w:beforeLines="50"/>
        <w:ind w:firstLine="482"/>
        <w:rPr>
          <w:b/>
          <w:bCs/>
          <w:color w:val="000000" w:themeColor="text1"/>
          <w:highlight w:val="none"/>
          <w14:textFill>
            <w14:solidFill>
              <w14:schemeClr w14:val="tx1"/>
            </w14:solidFill>
          </w14:textFill>
        </w:rPr>
      </w:pPr>
      <w:bookmarkStart w:id="279" w:name="_Toc120173160"/>
      <w:r>
        <w:rPr>
          <w:rFonts w:hint="eastAsia"/>
          <w:b/>
          <w:bCs/>
          <w:color w:val="000000" w:themeColor="text1"/>
          <w:highlight w:val="none"/>
          <w14:textFill>
            <w14:solidFill>
              <w14:schemeClr w14:val="tx1"/>
            </w14:solidFill>
          </w14:textFill>
        </w:rPr>
        <w:t>（2）</w:t>
      </w:r>
      <w:r>
        <w:rPr>
          <w:b/>
          <w:bCs/>
          <w:color w:val="000000" w:themeColor="text1"/>
          <w:highlight w:val="none"/>
          <w14:textFill>
            <w14:solidFill>
              <w14:schemeClr w14:val="tx1"/>
            </w14:solidFill>
          </w14:textFill>
        </w:rPr>
        <w:t>生活垃圾</w:t>
      </w:r>
    </w:p>
    <w:p>
      <w:pPr>
        <w:ind w:firstLine="480"/>
        <w:rPr>
          <w:color w:val="000000" w:themeColor="text1"/>
          <w:highlight w:val="none"/>
          <w14:textFill>
            <w14:solidFill>
              <w14:schemeClr w14:val="tx1"/>
            </w14:solidFill>
          </w14:textFill>
        </w:rPr>
      </w:pPr>
      <w:bookmarkStart w:id="280" w:name="_Hlk56951339"/>
      <w:bookmarkStart w:id="281" w:name="_Hlk65088105"/>
      <w:r>
        <w:rPr>
          <w:color w:val="000000" w:themeColor="text1"/>
          <w:highlight w:val="none"/>
          <w14:textFill>
            <w14:solidFill>
              <w14:schemeClr w14:val="tx1"/>
            </w14:solidFill>
          </w14:textFill>
        </w:rPr>
        <w:t>本项目采气生产期间每座采气站</w:t>
      </w:r>
      <w:r>
        <w:rPr>
          <w:rFonts w:hint="eastAsia"/>
          <w:color w:val="000000" w:themeColor="text1"/>
          <w:highlight w:val="none"/>
          <w14:textFill>
            <w14:solidFill>
              <w14:schemeClr w14:val="tx1"/>
            </w14:solidFill>
          </w14:textFill>
        </w:rPr>
        <w:t>场</w:t>
      </w:r>
      <w:r>
        <w:rPr>
          <w:color w:val="000000" w:themeColor="text1"/>
          <w:highlight w:val="none"/>
          <w14:textFill>
            <w14:solidFill>
              <w14:schemeClr w14:val="tx1"/>
            </w14:solidFill>
          </w14:textFill>
        </w:rPr>
        <w:t>值班人员</w:t>
      </w:r>
      <w:r>
        <w:rPr>
          <w:rFonts w:hint="eastAsia"/>
          <w:color w:val="000000" w:themeColor="text1"/>
          <w:highlight w:val="none"/>
          <w14:textFill>
            <w14:solidFill>
              <w14:schemeClr w14:val="tx1"/>
            </w14:solidFill>
          </w14:textFill>
        </w:rPr>
        <w:t>10</w:t>
      </w:r>
      <w:r>
        <w:rPr>
          <w:color w:val="000000" w:themeColor="text1"/>
          <w:highlight w:val="none"/>
          <w14:textFill>
            <w14:solidFill>
              <w14:schemeClr w14:val="tx1"/>
            </w14:solidFill>
          </w14:textFill>
        </w:rPr>
        <w:t>人，生活垃圾产生量按0.5kg/（d人）计，预计采气生产期间站场生活垃圾产生量约为</w:t>
      </w: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.0kg/d</w:t>
      </w:r>
      <w:bookmarkEnd w:id="280"/>
      <w:bookmarkStart w:id="282" w:name="_Hlk56951354"/>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通过在</w:t>
      </w:r>
      <w:r>
        <w:rPr>
          <w:rFonts w:hint="eastAsia"/>
          <w:color w:val="000000" w:themeColor="text1"/>
          <w:highlight w:val="none"/>
          <w14:textFill>
            <w14:solidFill>
              <w14:schemeClr w14:val="tx1"/>
            </w14:solidFill>
          </w14:textFill>
        </w:rPr>
        <w:t>试采</w:t>
      </w:r>
      <w:r>
        <w:rPr>
          <w:color w:val="000000" w:themeColor="text1"/>
          <w:highlight w:val="none"/>
          <w14:textFill>
            <w14:solidFill>
              <w14:schemeClr w14:val="tx1"/>
            </w14:solidFill>
          </w14:textFill>
        </w:rPr>
        <w:t>站</w:t>
      </w:r>
      <w:r>
        <w:rPr>
          <w:rFonts w:hint="eastAsia"/>
          <w:color w:val="000000" w:themeColor="text1"/>
          <w:highlight w:val="none"/>
          <w14:textFill>
            <w14:solidFill>
              <w14:schemeClr w14:val="tx1"/>
            </w14:solidFill>
          </w14:textFill>
        </w:rPr>
        <w:t>场</w:t>
      </w:r>
      <w:r>
        <w:rPr>
          <w:color w:val="000000" w:themeColor="text1"/>
          <w:highlight w:val="none"/>
          <w14:textFill>
            <w14:solidFill>
              <w14:schemeClr w14:val="tx1"/>
            </w14:solidFill>
          </w14:textFill>
        </w:rPr>
        <w:t>内设置垃圾收集桶，将垃圾集中收集后送当地城镇垃圾清运系统交由环卫部门处理。</w:t>
      </w:r>
    </w:p>
    <w:bookmarkEnd w:id="282"/>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项目运营期所产生的生活垃圾，不得随意堆放和丢弃，以保持站内和站外的环境卫生。项目投入运行时，应及时与当地环卫部门进行衔接，确保生活垃圾能得以有效处置，避免造成环境污染。</w:t>
      </w:r>
    </w:p>
    <w:bookmarkEnd w:id="281"/>
    <w:p>
      <w:pPr>
        <w:pStyle w:val="5"/>
        <w:spacing w:before="12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土壤环境影响分析</w:t>
      </w:r>
      <w:bookmarkEnd w:id="279"/>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本项目</w:t>
      </w:r>
      <w:r>
        <w:rPr>
          <w:rFonts w:hint="eastAsia"/>
          <w:bCs/>
          <w:color w:val="000000" w:themeColor="text1"/>
          <w:highlight w:val="none"/>
          <w14:textFill>
            <w14:solidFill>
              <w14:schemeClr w14:val="tx1"/>
            </w14:solidFill>
          </w14:textFill>
        </w:rPr>
        <w:t>试</w:t>
      </w:r>
      <w:r>
        <w:rPr>
          <w:bCs/>
          <w:color w:val="000000" w:themeColor="text1"/>
          <w:highlight w:val="none"/>
          <w14:textFill>
            <w14:solidFill>
              <w14:schemeClr w14:val="tx1"/>
            </w14:solidFill>
          </w14:textFill>
        </w:rPr>
        <w:t>采期污染物主要通过地面漫流、垂直入渗途径污染土壤。对于污水</w:t>
      </w:r>
      <w:r>
        <w:rPr>
          <w:rFonts w:hint="eastAsia"/>
          <w:bCs/>
          <w:color w:val="000000" w:themeColor="text1"/>
          <w:highlight w:val="none"/>
          <w14:textFill>
            <w14:solidFill>
              <w14:schemeClr w14:val="tx1"/>
            </w14:solidFill>
          </w14:textFill>
        </w:rPr>
        <w:t>罐</w:t>
      </w:r>
      <w:r>
        <w:rPr>
          <w:bCs/>
          <w:color w:val="000000" w:themeColor="text1"/>
          <w:highlight w:val="none"/>
          <w14:textFill>
            <w14:solidFill>
              <w14:schemeClr w14:val="tx1"/>
            </w14:solidFill>
          </w14:textFill>
        </w:rPr>
        <w:t>区，在事故情况下会造成污染物的</w:t>
      </w:r>
      <w:r>
        <w:rPr>
          <w:rFonts w:hint="eastAsia"/>
          <w:bCs/>
          <w:color w:val="000000" w:themeColor="text1"/>
          <w:highlight w:val="none"/>
          <w14:textFill>
            <w14:solidFill>
              <w14:schemeClr w14:val="tx1"/>
            </w14:solidFill>
          </w14:textFill>
        </w:rPr>
        <w:t>泄漏</w:t>
      </w:r>
      <w:r>
        <w:rPr>
          <w:bCs/>
          <w:color w:val="000000" w:themeColor="text1"/>
          <w:highlight w:val="none"/>
          <w14:textFill>
            <w14:solidFill>
              <w14:schemeClr w14:val="tx1"/>
            </w14:solidFill>
          </w14:textFill>
        </w:rPr>
        <w:t>，通过地面漫流、垂直入渗途径污染土壤。</w:t>
      </w:r>
    </w:p>
    <w:p>
      <w:pPr>
        <w:ind w:firstLine="480"/>
        <w:rPr>
          <w:color w:val="000000" w:themeColor="text1"/>
          <w:szCs w:val="24"/>
          <w:highlight w:val="none"/>
          <w14:textFill>
            <w14:solidFill>
              <w14:schemeClr w14:val="tx1"/>
            </w14:solidFill>
          </w14:textFill>
        </w:rPr>
      </w:pPr>
      <w:r>
        <w:rPr>
          <w:bCs/>
          <w:color w:val="000000" w:themeColor="text1"/>
          <w:highlight w:val="none"/>
          <w14:textFill>
            <w14:solidFill>
              <w14:schemeClr w14:val="tx1"/>
            </w14:solidFill>
          </w14:textFill>
        </w:rPr>
        <w:t>本项目开采期</w:t>
      </w:r>
      <w:r>
        <w:rPr>
          <w:color w:val="000000" w:themeColor="text1"/>
          <w:szCs w:val="24"/>
          <w:highlight w:val="none"/>
          <w14:textFill>
            <w14:solidFill>
              <w14:schemeClr w14:val="tx1"/>
            </w14:solidFill>
          </w14:textFill>
        </w:rPr>
        <w:t>气田水暂存于</w:t>
      </w:r>
      <w:r>
        <w:rPr>
          <w:bCs/>
          <w:color w:val="000000" w:themeColor="text1"/>
          <w:highlight w:val="none"/>
          <w14:textFill>
            <w14:solidFill>
              <w14:schemeClr w14:val="tx1"/>
            </w14:solidFill>
          </w14:textFill>
        </w:rPr>
        <w:t>污水</w:t>
      </w:r>
      <w:r>
        <w:rPr>
          <w:rFonts w:hint="eastAsia"/>
          <w:bCs/>
          <w:color w:val="000000" w:themeColor="text1"/>
          <w:highlight w:val="none"/>
          <w14:textFill>
            <w14:solidFill>
              <w14:schemeClr w14:val="tx1"/>
            </w14:solidFill>
          </w14:textFill>
        </w:rPr>
        <w:t>罐，污水罐设置有围堰</w:t>
      </w:r>
      <w:r>
        <w:rPr>
          <w:color w:val="000000" w:themeColor="text1"/>
          <w:szCs w:val="24"/>
          <w:highlight w:val="none"/>
          <w14:textFill>
            <w14:solidFill>
              <w14:schemeClr w14:val="tx1"/>
            </w14:solidFill>
          </w14:textFill>
        </w:rPr>
        <w:t>，废水</w:t>
      </w:r>
      <w:r>
        <w:rPr>
          <w:rFonts w:hint="eastAsia"/>
          <w:color w:val="000000" w:themeColor="text1"/>
          <w:szCs w:val="24"/>
          <w:highlight w:val="none"/>
          <w14:textFill>
            <w14:solidFill>
              <w14:schemeClr w14:val="tx1"/>
            </w14:solidFill>
          </w14:textFill>
        </w:rPr>
        <w:t>通过密闭罐车拉运至赵家坝污水处理站达到《气田水回注方法》（SY/T 6596-2016）中注入水基本要求后管输至普光3井回注站回注处理，不外排</w:t>
      </w:r>
      <w:r>
        <w:rPr>
          <w:color w:val="000000" w:themeColor="text1"/>
          <w:szCs w:val="24"/>
          <w:highlight w:val="none"/>
          <w14:textFill>
            <w14:solidFill>
              <w14:schemeClr w14:val="tx1"/>
            </w14:solidFill>
          </w14:textFill>
        </w:rPr>
        <w:t>；开采期工作人员生活污水经站场已建设的生态厕所收集后定期由密闭罐车拉运至周边生活污水处理厂处理；除此之外，无其他废水产生。</w:t>
      </w:r>
    </w:p>
    <w:p>
      <w:pPr>
        <w:ind w:firstLine="480"/>
        <w:rPr>
          <w:bCs/>
          <w:color w:val="000000" w:themeColor="text1"/>
          <w:highlight w:val="none"/>
          <w14:textFill>
            <w14:solidFill>
              <w14:schemeClr w14:val="tx1"/>
            </w14:solidFill>
          </w14:textFill>
        </w:rPr>
      </w:pPr>
      <w:r>
        <w:rPr>
          <w:rFonts w:hint="eastAsia"/>
          <w:color w:val="000000" w:themeColor="text1"/>
          <w:szCs w:val="24"/>
          <w:highlight w:val="none"/>
          <w14:textFill>
            <w14:solidFill>
              <w14:schemeClr w14:val="tx1"/>
            </w14:solidFill>
          </w14:textFill>
        </w:rPr>
        <w:t>试采站</w:t>
      </w:r>
      <w:r>
        <w:rPr>
          <w:bCs/>
          <w:color w:val="000000" w:themeColor="text1"/>
          <w:highlight w:val="none"/>
          <w14:textFill>
            <w14:solidFill>
              <w14:schemeClr w14:val="tx1"/>
            </w14:solidFill>
          </w14:textFill>
        </w:rPr>
        <w:t>四周设置有排水沟与自然沟渠连接，便于疏导场地雨水。此外，本项目采取了分区防渗设置，对污水</w:t>
      </w:r>
      <w:r>
        <w:rPr>
          <w:rFonts w:hint="eastAsia"/>
          <w:bCs/>
          <w:color w:val="000000" w:themeColor="text1"/>
          <w:highlight w:val="none"/>
          <w14:textFill>
            <w14:solidFill>
              <w14:schemeClr w14:val="tx1"/>
            </w14:solidFill>
          </w14:textFill>
        </w:rPr>
        <w:t>罐区</w:t>
      </w:r>
      <w:r>
        <w:rPr>
          <w:bCs/>
          <w:color w:val="000000" w:themeColor="text1"/>
          <w:highlight w:val="none"/>
          <w14:textFill>
            <w14:solidFill>
              <w14:schemeClr w14:val="tx1"/>
            </w14:solidFill>
          </w14:textFill>
        </w:rPr>
        <w:t>周边采取了重点防渗</w:t>
      </w:r>
      <w:r>
        <w:rPr>
          <w:rFonts w:hint="eastAsia"/>
          <w:bCs/>
          <w:color w:val="000000" w:themeColor="text1"/>
          <w:highlight w:val="none"/>
          <w14:textFill>
            <w14:solidFill>
              <w14:schemeClr w14:val="tx1"/>
            </w14:solidFill>
          </w14:textFill>
        </w:rPr>
        <w:t>，并设置围堰</w:t>
      </w:r>
      <w:r>
        <w:rPr>
          <w:bCs/>
          <w:color w:val="000000" w:themeColor="text1"/>
          <w:highlight w:val="none"/>
          <w14:textFill>
            <w14:solidFill>
              <w14:schemeClr w14:val="tx1"/>
            </w14:solidFill>
          </w14:textFill>
        </w:rPr>
        <w:t>，本次还将对工艺区进行一般防渗；同时污水</w:t>
      </w:r>
      <w:r>
        <w:rPr>
          <w:rFonts w:hint="eastAsia"/>
          <w:bCs/>
          <w:color w:val="000000" w:themeColor="text1"/>
          <w:highlight w:val="none"/>
          <w14:textFill>
            <w14:solidFill>
              <w14:schemeClr w14:val="tx1"/>
            </w14:solidFill>
          </w14:textFill>
        </w:rPr>
        <w:t>罐</w:t>
      </w:r>
      <w:r>
        <w:rPr>
          <w:bCs/>
          <w:color w:val="000000" w:themeColor="text1"/>
          <w:highlight w:val="none"/>
          <w14:textFill>
            <w14:solidFill>
              <w14:schemeClr w14:val="tx1"/>
            </w14:solidFill>
          </w14:textFill>
        </w:rPr>
        <w:t>暂存</w:t>
      </w:r>
      <w:r>
        <w:rPr>
          <w:rFonts w:hint="eastAsia"/>
          <w:bCs/>
          <w:color w:val="000000" w:themeColor="text1"/>
          <w:highlight w:val="none"/>
          <w14:textFill>
            <w14:solidFill>
              <w14:schemeClr w14:val="tx1"/>
            </w14:solidFill>
          </w14:textFill>
        </w:rPr>
        <w:t>气田</w:t>
      </w:r>
      <w:r>
        <w:rPr>
          <w:bCs/>
          <w:color w:val="000000" w:themeColor="text1"/>
          <w:highlight w:val="none"/>
          <w14:textFill>
            <w14:solidFill>
              <w14:schemeClr w14:val="tx1"/>
            </w14:solidFill>
          </w14:textFill>
        </w:rPr>
        <w:t>水及时转运。</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综上所述，本项目污水发生渗漏、</w:t>
      </w:r>
      <w:r>
        <w:rPr>
          <w:rFonts w:hint="eastAsia"/>
          <w:bCs/>
          <w:color w:val="000000" w:themeColor="text1"/>
          <w:highlight w:val="none"/>
          <w14:textFill>
            <w14:solidFill>
              <w14:schemeClr w14:val="tx1"/>
            </w14:solidFill>
          </w14:textFill>
        </w:rPr>
        <w:t>泄漏</w:t>
      </w:r>
      <w:r>
        <w:rPr>
          <w:bCs/>
          <w:color w:val="000000" w:themeColor="text1"/>
          <w:highlight w:val="none"/>
          <w14:textFill>
            <w14:solidFill>
              <w14:schemeClr w14:val="tx1"/>
            </w14:solidFill>
          </w14:textFill>
        </w:rPr>
        <w:t>进入土壤环境可能性较小，在加强土壤环境的跟踪</w:t>
      </w:r>
      <w:r>
        <w:rPr>
          <w:rFonts w:hint="eastAsia"/>
          <w:bCs/>
          <w:color w:val="000000" w:themeColor="text1"/>
          <w:highlight w:val="none"/>
          <w14:textFill>
            <w14:solidFill>
              <w14:schemeClr w14:val="tx1"/>
            </w14:solidFill>
          </w14:textFill>
        </w:rPr>
        <w:t>监测</w:t>
      </w:r>
      <w:r>
        <w:rPr>
          <w:bCs/>
          <w:color w:val="000000" w:themeColor="text1"/>
          <w:highlight w:val="none"/>
          <w14:textFill>
            <w14:solidFill>
              <w14:schemeClr w14:val="tx1"/>
            </w14:solidFill>
          </w14:textFill>
        </w:rPr>
        <w:t>后，开采期不会对土壤环境造成不利影响。</w:t>
      </w:r>
    </w:p>
    <w:p>
      <w:pPr>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类比分析情况：本次土壤环境影响评价采用周边P103集气站、</w:t>
      </w:r>
      <w:r>
        <w:rPr>
          <w:rFonts w:hint="eastAsia"/>
          <w:color w:val="000000" w:themeColor="text1"/>
          <w:szCs w:val="24"/>
          <w:highlight w:val="none"/>
          <w:lang w:eastAsia="zh-CN"/>
          <w14:textFill>
            <w14:solidFill>
              <w14:schemeClr w14:val="tx1"/>
            </w14:solidFill>
          </w14:textFill>
        </w:rPr>
        <w:t>**</w:t>
      </w:r>
      <w:r>
        <w:rPr>
          <w:color w:val="000000" w:themeColor="text1"/>
          <w:szCs w:val="24"/>
          <w:highlight w:val="none"/>
          <w14:textFill>
            <w14:solidFill>
              <w14:schemeClr w14:val="tx1"/>
            </w14:solidFill>
          </w14:textFill>
        </w:rPr>
        <w:t>1试采站平台内监测数据进行分析（P103集气站、</w:t>
      </w:r>
      <w:r>
        <w:rPr>
          <w:rFonts w:hint="eastAsia"/>
          <w:color w:val="000000" w:themeColor="text1"/>
          <w:szCs w:val="24"/>
          <w:highlight w:val="none"/>
          <w:lang w:eastAsia="zh-CN"/>
          <w14:textFill>
            <w14:solidFill>
              <w14:schemeClr w14:val="tx1"/>
            </w14:solidFill>
          </w14:textFill>
        </w:rPr>
        <w:t>**</w:t>
      </w:r>
      <w:r>
        <w:rPr>
          <w:color w:val="000000" w:themeColor="text1"/>
          <w:szCs w:val="24"/>
          <w:highlight w:val="none"/>
          <w14:textFill>
            <w14:solidFill>
              <w14:schemeClr w14:val="tx1"/>
            </w14:solidFill>
          </w14:textFill>
        </w:rPr>
        <w:t>1试采站涉及施工钻井期与运营采气期，因此具有可比性）。</w:t>
      </w:r>
    </w:p>
    <w:p>
      <w:pPr>
        <w:pStyle w:val="22"/>
        <w:snapToGrid w:val="0"/>
        <w:spacing w:line="360" w:lineRule="auto"/>
        <w:ind w:firstLine="480" w:firstLineChars="200"/>
        <w:rPr>
          <w:rFonts w:ascii="Times New Roman" w:hAnsi="Times New Roman"/>
          <w:color w:val="000000" w:themeColor="text1"/>
          <w:szCs w:val="24"/>
          <w:highlight w:val="none"/>
          <w14:textFill>
            <w14:solidFill>
              <w14:schemeClr w14:val="tx1"/>
            </w14:solidFill>
          </w14:textFill>
        </w:rPr>
      </w:pPr>
      <w:r>
        <w:rPr>
          <w:rFonts w:hint="eastAsia" w:hAnsi="宋体" w:eastAsia="宋体" w:cs="宋体"/>
          <w:color w:val="000000" w:themeColor="text1"/>
          <w:szCs w:val="24"/>
          <w:highlight w:val="none"/>
          <w14:textFill>
            <w14:solidFill>
              <w14:schemeClr w14:val="tx1"/>
            </w14:solidFill>
          </w14:textFill>
        </w:rPr>
        <w:t>根</w:t>
      </w:r>
      <w:r>
        <w:rPr>
          <w:rFonts w:ascii="Times New Roman" w:hAnsi="Times New Roman"/>
          <w:color w:val="000000" w:themeColor="text1"/>
          <w:szCs w:val="24"/>
          <w:highlight w:val="none"/>
          <w14:textFill>
            <w14:solidFill>
              <w14:schemeClr w14:val="tx1"/>
            </w14:solidFill>
          </w14:textFill>
        </w:rPr>
        <w:t>据上述2个平台的土壤环境现状监测数据，在已钻井施工完成的P103集气站、</w:t>
      </w:r>
      <w:r>
        <w:rPr>
          <w:rFonts w:hint="eastAsia" w:ascii="Times New Roman" w:hAnsi="Times New Roman" w:eastAsia="宋体"/>
          <w:color w:val="000000" w:themeColor="text1"/>
          <w:szCs w:val="24"/>
          <w:highlight w:val="none"/>
          <w:lang w:eastAsia="zh-CN"/>
          <w14:textFill>
            <w14:solidFill>
              <w14:schemeClr w14:val="tx1"/>
            </w14:solidFill>
          </w14:textFill>
        </w:rPr>
        <w:t>**</w:t>
      </w:r>
      <w:r>
        <w:rPr>
          <w:rFonts w:ascii="Times New Roman" w:hAnsi="Times New Roman"/>
          <w:color w:val="000000" w:themeColor="text1"/>
          <w:szCs w:val="24"/>
          <w:highlight w:val="none"/>
          <w14:textFill>
            <w14:solidFill>
              <w14:schemeClr w14:val="tx1"/>
            </w14:solidFill>
          </w14:textFill>
        </w:rPr>
        <w:t>1试采站内各布置1个表层样点，3个柱状样点，井场外布置2个表层样点，各监测指标均满足</w:t>
      </w:r>
      <w:r>
        <w:rPr>
          <w:rFonts w:ascii="Times New Roman" w:hAnsi="Times New Roman"/>
          <w:bCs/>
          <w:color w:val="000000" w:themeColor="text1"/>
          <w:szCs w:val="24"/>
          <w:highlight w:val="none"/>
          <w14:textFill>
            <w14:solidFill>
              <w14:schemeClr w14:val="tx1"/>
            </w14:solidFill>
          </w14:textFill>
        </w:rPr>
        <w:t>《土壤环境质量 建设用地土壤污染风险管控标准（试行）</w:t>
      </w:r>
      <w:r>
        <w:rPr>
          <w:rFonts w:hint="eastAsia" w:hAnsi="宋体" w:eastAsia="宋体" w:cs="宋体"/>
          <w:bCs/>
          <w:color w:val="000000" w:themeColor="text1"/>
          <w:szCs w:val="24"/>
          <w:highlight w:val="none"/>
          <w14:textFill>
            <w14:solidFill>
              <w14:schemeClr w14:val="tx1"/>
            </w14:solidFill>
          </w14:textFill>
        </w:rPr>
        <w:t>（</w:t>
      </w:r>
      <w:r>
        <w:rPr>
          <w:rFonts w:ascii="Times New Roman" w:hAnsi="Times New Roman"/>
          <w:bCs/>
          <w:color w:val="000000" w:themeColor="text1"/>
          <w:szCs w:val="24"/>
          <w:highlight w:val="none"/>
          <w14:textFill>
            <w14:solidFill>
              <w14:schemeClr w14:val="tx1"/>
            </w14:solidFill>
          </w14:textFill>
        </w:rPr>
        <w:t>GB36600—2018</w:t>
      </w:r>
      <w:r>
        <w:rPr>
          <w:rFonts w:hint="eastAsia" w:ascii="Times New Roman" w:hAnsi="Times New Roman" w:eastAsia="宋体"/>
          <w:bCs/>
          <w:color w:val="000000" w:themeColor="text1"/>
          <w:szCs w:val="24"/>
          <w:highlight w:val="none"/>
          <w14:textFill>
            <w14:solidFill>
              <w14:schemeClr w14:val="tx1"/>
            </w14:solidFill>
          </w14:textFill>
        </w:rPr>
        <w:t>）</w:t>
      </w:r>
      <w:r>
        <w:rPr>
          <w:rFonts w:ascii="Times New Roman" w:hAnsi="Times New Roman"/>
          <w:bCs/>
          <w:color w:val="000000" w:themeColor="text1"/>
          <w:szCs w:val="24"/>
          <w:highlight w:val="none"/>
          <w14:textFill>
            <w14:solidFill>
              <w14:schemeClr w14:val="tx1"/>
            </w14:solidFill>
          </w14:textFill>
        </w:rPr>
        <w:t>》第二类用地筛选值和《土壤环境质量 农用地土壤污染风险管控标准（试行）</w:t>
      </w:r>
      <w:r>
        <w:rPr>
          <w:rFonts w:hint="eastAsia" w:hAnsi="宋体" w:eastAsia="宋体" w:cs="宋体"/>
          <w:bCs/>
          <w:color w:val="000000" w:themeColor="text1"/>
          <w:szCs w:val="24"/>
          <w:highlight w:val="none"/>
          <w14:textFill>
            <w14:solidFill>
              <w14:schemeClr w14:val="tx1"/>
            </w14:solidFill>
          </w14:textFill>
        </w:rPr>
        <w:t>（</w:t>
      </w:r>
      <w:r>
        <w:rPr>
          <w:rFonts w:ascii="Times New Roman" w:hAnsi="Times New Roman"/>
          <w:bCs/>
          <w:color w:val="000000" w:themeColor="text1"/>
          <w:szCs w:val="24"/>
          <w:highlight w:val="none"/>
          <w14:textFill>
            <w14:solidFill>
              <w14:schemeClr w14:val="tx1"/>
            </w14:solidFill>
          </w14:textFill>
        </w:rPr>
        <w:t>GB15618—2018</w:t>
      </w:r>
      <w:r>
        <w:rPr>
          <w:rFonts w:hint="eastAsia" w:hAnsi="宋体" w:eastAsia="宋体" w:cs="宋体"/>
          <w:bCs/>
          <w:color w:val="000000" w:themeColor="text1"/>
          <w:szCs w:val="24"/>
          <w:highlight w:val="none"/>
          <w14:textFill>
            <w14:solidFill>
              <w14:schemeClr w14:val="tx1"/>
            </w14:solidFill>
          </w14:textFill>
        </w:rPr>
        <w:t>）</w:t>
      </w:r>
      <w:r>
        <w:rPr>
          <w:rFonts w:ascii="Times New Roman" w:hAnsi="Times New Roman"/>
          <w:bCs/>
          <w:color w:val="000000" w:themeColor="text1"/>
          <w:szCs w:val="24"/>
          <w:highlight w:val="none"/>
          <w14:textFill>
            <w14:solidFill>
              <w14:schemeClr w14:val="tx1"/>
            </w14:solidFill>
          </w14:textFill>
        </w:rPr>
        <w:t>》中</w:t>
      </w:r>
      <w:r>
        <w:rPr>
          <w:rFonts w:hAnsi="宋体" w:eastAsia="宋体"/>
          <w:bCs/>
          <w:color w:val="000000" w:themeColor="text1"/>
          <w:szCs w:val="24"/>
          <w:highlight w:val="none"/>
          <w14:textFill>
            <w14:solidFill>
              <w14:schemeClr w14:val="tx1"/>
            </w14:solidFill>
          </w14:textFill>
        </w:rPr>
        <w:t>“其他”</w:t>
      </w:r>
      <w:r>
        <w:rPr>
          <w:rFonts w:ascii="Times New Roman" w:hAnsi="Times New Roman"/>
          <w:bCs/>
          <w:color w:val="000000" w:themeColor="text1"/>
          <w:szCs w:val="24"/>
          <w:highlight w:val="none"/>
          <w14:textFill>
            <w14:solidFill>
              <w14:schemeClr w14:val="tx1"/>
            </w14:solidFill>
          </w14:textFill>
        </w:rPr>
        <w:t>用地类型筛选值，特征因子石油烃满足参考的《土壤环境质量 建设用地土壤污染风险管控标准（试行）</w:t>
      </w:r>
      <w:r>
        <w:rPr>
          <w:rFonts w:hint="eastAsia" w:hAnsi="宋体" w:eastAsia="宋体" w:cs="宋体"/>
          <w:bCs/>
          <w:color w:val="000000" w:themeColor="text1"/>
          <w:szCs w:val="24"/>
          <w:highlight w:val="none"/>
          <w14:textFill>
            <w14:solidFill>
              <w14:schemeClr w14:val="tx1"/>
            </w14:solidFill>
          </w14:textFill>
        </w:rPr>
        <w:t>（</w:t>
      </w:r>
      <w:r>
        <w:rPr>
          <w:rFonts w:ascii="Times New Roman" w:hAnsi="Times New Roman"/>
          <w:bCs/>
          <w:color w:val="000000" w:themeColor="text1"/>
          <w:szCs w:val="24"/>
          <w:highlight w:val="none"/>
          <w14:textFill>
            <w14:solidFill>
              <w14:schemeClr w14:val="tx1"/>
            </w14:solidFill>
          </w14:textFill>
        </w:rPr>
        <w:t>GB36600—2018</w:t>
      </w:r>
      <w:r>
        <w:rPr>
          <w:rFonts w:hint="eastAsia" w:hAnsi="宋体" w:eastAsia="宋体" w:cs="宋体"/>
          <w:bCs/>
          <w:color w:val="000000" w:themeColor="text1"/>
          <w:szCs w:val="24"/>
          <w:highlight w:val="none"/>
          <w14:textFill>
            <w14:solidFill>
              <w14:schemeClr w14:val="tx1"/>
            </w14:solidFill>
          </w14:textFill>
        </w:rPr>
        <w:t>）</w:t>
      </w:r>
      <w:r>
        <w:rPr>
          <w:rFonts w:ascii="Times New Roman" w:hAnsi="Times New Roman"/>
          <w:bCs/>
          <w:color w:val="000000" w:themeColor="text1"/>
          <w:szCs w:val="24"/>
          <w:highlight w:val="none"/>
          <w14:textFill>
            <w14:solidFill>
              <w14:schemeClr w14:val="tx1"/>
            </w14:solidFill>
          </w14:textFill>
        </w:rPr>
        <w:t>》筛选值。由此可见，</w:t>
      </w:r>
      <w:r>
        <w:rPr>
          <w:rFonts w:ascii="Times New Roman" w:hAnsi="Times New Roman"/>
          <w:color w:val="000000" w:themeColor="text1"/>
          <w:szCs w:val="24"/>
          <w:highlight w:val="none"/>
          <w14:textFill>
            <w14:solidFill>
              <w14:schemeClr w14:val="tx1"/>
            </w14:solidFill>
          </w14:textFill>
        </w:rPr>
        <w:t>P103集气站、</w:t>
      </w:r>
      <w:r>
        <w:rPr>
          <w:rFonts w:hint="eastAsia" w:ascii="Times New Roman" w:hAnsi="Times New Roman" w:eastAsia="宋体"/>
          <w:color w:val="000000" w:themeColor="text1"/>
          <w:szCs w:val="24"/>
          <w:highlight w:val="none"/>
          <w:lang w:eastAsia="zh-CN"/>
          <w14:textFill>
            <w14:solidFill>
              <w14:schemeClr w14:val="tx1"/>
            </w14:solidFill>
          </w14:textFill>
        </w:rPr>
        <w:t>**</w:t>
      </w:r>
      <w:r>
        <w:rPr>
          <w:rFonts w:ascii="Times New Roman" w:hAnsi="Times New Roman"/>
          <w:color w:val="000000" w:themeColor="text1"/>
          <w:szCs w:val="24"/>
          <w:highlight w:val="none"/>
          <w14:textFill>
            <w14:solidFill>
              <w14:schemeClr w14:val="tx1"/>
            </w14:solidFill>
          </w14:textFill>
        </w:rPr>
        <w:t>1试采站的建设并未对土壤环境造成污染，因此可类比本项目的建设与运营对土壤环境影响较小。</w:t>
      </w:r>
    </w:p>
    <w:p>
      <w:pPr>
        <w:ind w:firstLine="480"/>
        <w:rPr>
          <w:rFonts w:cs="Times New Roman"/>
          <w:bCs/>
          <w:color w:val="000000" w:themeColor="text1"/>
          <w:szCs w:val="24"/>
          <w:highlight w:val="none"/>
          <w14:textFill>
            <w14:solidFill>
              <w14:schemeClr w14:val="tx1"/>
            </w14:solidFill>
          </w14:textFill>
        </w:rPr>
      </w:pPr>
      <w:r>
        <w:rPr>
          <w:bCs/>
          <w:color w:val="000000" w:themeColor="text1"/>
          <w:highlight w:val="none"/>
          <w14:textFill>
            <w14:solidFill>
              <w14:schemeClr w14:val="tx1"/>
            </w14:solidFill>
          </w14:textFill>
        </w:rPr>
        <w:t>因此，根据项目对土壤环境影响途径分析、</w:t>
      </w:r>
      <w:r>
        <w:rPr>
          <w:color w:val="000000" w:themeColor="text1"/>
          <w:szCs w:val="24"/>
          <w:highlight w:val="none"/>
          <w14:textFill>
            <w14:solidFill>
              <w14:schemeClr w14:val="tx1"/>
            </w14:solidFill>
          </w14:textFill>
        </w:rPr>
        <w:t>P103集气站、</w:t>
      </w:r>
      <w:r>
        <w:rPr>
          <w:rFonts w:hint="eastAsia"/>
          <w:color w:val="000000" w:themeColor="text1"/>
          <w:szCs w:val="24"/>
          <w:highlight w:val="none"/>
          <w:lang w:eastAsia="zh-CN"/>
          <w14:textFill>
            <w14:solidFill>
              <w14:schemeClr w14:val="tx1"/>
            </w14:solidFill>
          </w14:textFill>
        </w:rPr>
        <w:t>**</w:t>
      </w:r>
      <w:r>
        <w:rPr>
          <w:color w:val="000000" w:themeColor="text1"/>
          <w:szCs w:val="24"/>
          <w:highlight w:val="none"/>
          <w14:textFill>
            <w14:solidFill>
              <w14:schemeClr w14:val="tx1"/>
            </w14:solidFill>
          </w14:textFill>
        </w:rPr>
        <w:t>1试采站</w:t>
      </w:r>
      <w:r>
        <w:rPr>
          <w:bCs/>
          <w:color w:val="000000" w:themeColor="text1"/>
          <w:highlight w:val="none"/>
          <w14:textFill>
            <w14:solidFill>
              <w14:schemeClr w14:val="tx1"/>
            </w14:solidFill>
          </w14:textFill>
        </w:rPr>
        <w:t>的监测结果和类比同类项目同类地区的建设经验，项目建设对土壤环境的影响很小，可接受</w:t>
      </w:r>
      <w:r>
        <w:rPr>
          <w:rFonts w:cs="Times New Roman"/>
          <w:bCs/>
          <w:color w:val="000000" w:themeColor="text1"/>
          <w:highlight w:val="none"/>
          <w14:textFill>
            <w14:solidFill>
              <w14:schemeClr w14:val="tx1"/>
            </w14:solidFill>
          </w14:textFill>
        </w:rPr>
        <w:t>。</w:t>
      </w:r>
    </w:p>
    <w:p>
      <w:pPr>
        <w:pStyle w:val="5"/>
        <w:spacing w:before="120"/>
        <w:ind w:firstLine="480"/>
        <w:rPr>
          <w:color w:val="000000" w:themeColor="text1"/>
          <w:highlight w:val="none"/>
          <w14:textFill>
            <w14:solidFill>
              <w14:schemeClr w14:val="tx1"/>
            </w14:solidFill>
          </w14:textFill>
        </w:rPr>
      </w:pPr>
      <w:bookmarkStart w:id="283" w:name="5.3环境风险分析"/>
      <w:bookmarkEnd w:id="283"/>
      <w:bookmarkStart w:id="284" w:name="5.2.5营运期固体废弃物对环境的影响"/>
      <w:bookmarkEnd w:id="284"/>
      <w:bookmarkStart w:id="285" w:name="5.2.4营运期声环境影响分析"/>
      <w:bookmarkEnd w:id="285"/>
      <w:bookmarkStart w:id="286" w:name="_bookmark30"/>
      <w:bookmarkEnd w:id="286"/>
      <w:r>
        <w:rPr>
          <w:color w:val="000000" w:themeColor="text1"/>
          <w:highlight w:val="none"/>
          <w14:textFill>
            <w14:solidFill>
              <w14:schemeClr w14:val="tx1"/>
            </w14:solidFill>
          </w14:textFill>
        </w:rPr>
        <w:t>地下水环境影响分析</w:t>
      </w:r>
    </w:p>
    <w:p>
      <w:pPr>
        <w:pStyle w:val="6"/>
        <w:spacing w:before="120"/>
        <w:rPr>
          <w:color w:val="000000" w:themeColor="text1"/>
          <w:highlight w:val="none"/>
          <w14:textFill>
            <w14:solidFill>
              <w14:schemeClr w14:val="tx1"/>
            </w14:solidFill>
          </w14:textFill>
        </w:rPr>
      </w:pPr>
      <w:bookmarkStart w:id="287" w:name="_Toc148467288"/>
      <w:bookmarkStart w:id="288" w:name="_Toc155259316"/>
      <w:r>
        <w:rPr>
          <w:color w:val="000000" w:themeColor="text1"/>
          <w:highlight w:val="none"/>
          <w14:textFill>
            <w14:solidFill>
              <w14:schemeClr w14:val="tx1"/>
            </w14:solidFill>
          </w14:textFill>
        </w:rPr>
        <w:t>项目区水文地质条件</w:t>
      </w:r>
      <w:bookmarkEnd w:id="287"/>
      <w:bookmarkEnd w:id="288"/>
    </w:p>
    <w:p>
      <w:pPr>
        <w:widowControl/>
        <w:ind w:firstLine="480"/>
        <w:rPr>
          <w:rFonts w:eastAsia="黑体" w:cs="Times New Roman"/>
          <w:bCs/>
          <w:color w:val="000000" w:themeColor="text1"/>
          <w:szCs w:val="24"/>
          <w:highlight w:val="none"/>
          <w14:textFill>
            <w14:solidFill>
              <w14:schemeClr w14:val="tx1"/>
            </w14:solidFill>
          </w14:textFill>
        </w:rPr>
      </w:pPr>
      <w:r>
        <w:rPr>
          <w:rFonts w:eastAsia="黑体" w:cs="Times New Roman"/>
          <w:bCs/>
          <w:color w:val="000000" w:themeColor="text1"/>
          <w:szCs w:val="24"/>
          <w:highlight w:val="none"/>
          <w14:textFill>
            <w14:solidFill>
              <w14:schemeClr w14:val="tx1"/>
            </w14:solidFill>
          </w14:textFill>
        </w:rPr>
        <w:t>1、地下水类型及补给、径流和排泄</w:t>
      </w:r>
    </w:p>
    <w:p>
      <w:pPr>
        <w:widowControl/>
        <w:ind w:firstLine="480"/>
        <w:rPr>
          <w:rFonts w:cs="Times New Roman"/>
          <w:color w:val="000000" w:themeColor="text1"/>
          <w:kern w:val="0"/>
          <w:szCs w:val="24"/>
          <w:highlight w:val="none"/>
          <w14:textFill>
            <w14:solidFill>
              <w14:schemeClr w14:val="tx1"/>
            </w14:solidFill>
          </w14:textFill>
        </w:rPr>
      </w:pPr>
      <w:bookmarkStart w:id="289" w:name="_Toc14702819"/>
      <w:r>
        <w:rPr>
          <w:rFonts w:cs="Times New Roman"/>
          <w:color w:val="000000" w:themeColor="text1"/>
          <w:kern w:val="0"/>
          <w:szCs w:val="24"/>
          <w:highlight w:val="none"/>
          <w14:textFill>
            <w14:solidFill>
              <w14:schemeClr w14:val="tx1"/>
            </w14:solidFill>
          </w14:textFill>
        </w:rPr>
        <w:t>大气降雨是红层浅层风化带裂隙水的主要补给来源，其次是地表水体，水库、堰塘、稻田、溪沟等对地下水均有一定的补给。区内降雨充沛，但降水时段分布不均，集中性大，这种补给是周期性补给。宣汉县每年5～10月为雨季，大量的大气降水入渗补给地下水，是地下水的峰值期，12月～翌年4月为地下水的主要消耗期，是水位、流量强烈削减季节。</w:t>
      </w:r>
    </w:p>
    <w:p>
      <w:pPr>
        <w:widowControl/>
        <w:ind w:firstLine="480"/>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地下水的</w:t>
      </w:r>
      <w:r>
        <w:rPr>
          <w:rFonts w:hint="eastAsia" w:cs="Times New Roman"/>
          <w:color w:val="000000" w:themeColor="text1"/>
          <w:kern w:val="0"/>
          <w:szCs w:val="24"/>
          <w:highlight w:val="none"/>
          <w14:textFill>
            <w14:solidFill>
              <w14:schemeClr w14:val="tx1"/>
            </w14:solidFill>
          </w14:textFill>
        </w:rPr>
        <w:t>径流</w:t>
      </w:r>
      <w:r>
        <w:rPr>
          <w:rFonts w:cs="Times New Roman"/>
          <w:color w:val="000000" w:themeColor="text1"/>
          <w:kern w:val="0"/>
          <w:szCs w:val="24"/>
          <w:highlight w:val="none"/>
          <w14:textFill>
            <w14:solidFill>
              <w14:schemeClr w14:val="tx1"/>
            </w14:solidFill>
          </w14:textFill>
        </w:rPr>
        <w:t>和排泄条件与地形地貌密切相关。宣汉县红层区主要地貌类型为中低山台地及山前斜坡地貌和中－深丘状宽谷地貌，对于台地及山前斜坡地貌分布区，由于褶皱较平缓，砂泥岩倾角较缓，局部地段岩层倾角较大，可达15～25度，切割强烈，一般是不利于大气降雨渗入补给的，故这些区域有就地补给就近排泄的特点，交替和排泄条件相对较好，泉水多出露在砂泥岩层间裂隙附近；对于中－深丘状地貌的浅层风化带裂隙水的交替和排泄条件相对较差，出露泉水较少，丘间平缓地带为地下水埋藏带，由两侧斜坡接受大气降雨补给汇集于埋藏带的地下水，一部分在斜坡中下部位或坡脚基岩裸露地段以泉或溢水点的形式排泄，一部分顺着沟水的流向更低的侵蚀面潜流排泄。</w:t>
      </w:r>
    </w:p>
    <w:p>
      <w:pPr>
        <w:widowControl/>
        <w:ind w:firstLine="480"/>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lang w:eastAsia="zh-CN"/>
          <w14:textFill>
            <w14:solidFill>
              <w14:schemeClr w14:val="tx1"/>
            </w14:solidFill>
          </w14:textFill>
        </w:rPr>
        <w:t>**</w:t>
      </w:r>
      <w:r>
        <w:rPr>
          <w:rFonts w:cs="Times New Roman"/>
          <w:color w:val="000000" w:themeColor="text1"/>
          <w:kern w:val="0"/>
          <w:szCs w:val="24"/>
          <w:highlight w:val="none"/>
          <w14:textFill>
            <w14:solidFill>
              <w14:schemeClr w14:val="tx1"/>
            </w14:solidFill>
          </w14:textFill>
        </w:rPr>
        <w:t>整体为低山丘陵坳谷地形地貌，地形条件较为复杂，由于地形坡度不大，大部分风化网状裂隙水直接贮存在基岩裂隙中，故地下水的埋藏条件相对较好。区内地下水以就地补给，就近运移，就近排泄为主。但由于山体连接紧密，较浅部风化网状孔隙含水层中还接受相邻地势较高的含水单元的越流补给。本项目</w:t>
      </w:r>
      <w:r>
        <w:rPr>
          <w:rFonts w:hint="eastAsia" w:cs="Times New Roman"/>
          <w:color w:val="000000" w:themeColor="text1"/>
          <w:kern w:val="0"/>
          <w:szCs w:val="24"/>
          <w:highlight w:val="none"/>
          <w14:textFill>
            <w14:solidFill>
              <w14:schemeClr w14:val="tx1"/>
            </w14:solidFill>
          </w14:textFill>
        </w:rPr>
        <w:t>试采站</w:t>
      </w:r>
      <w:r>
        <w:rPr>
          <w:rFonts w:cs="Times New Roman"/>
          <w:color w:val="000000" w:themeColor="text1"/>
          <w:kern w:val="0"/>
          <w:szCs w:val="24"/>
          <w:highlight w:val="none"/>
          <w14:textFill>
            <w14:solidFill>
              <w14:schemeClr w14:val="tx1"/>
            </w14:solidFill>
          </w14:textFill>
        </w:rPr>
        <w:t>周边地下水从北西侧地表</w:t>
      </w:r>
      <w:r>
        <w:rPr>
          <w:rFonts w:hint="eastAsia" w:cs="Times New Roman"/>
          <w:color w:val="000000" w:themeColor="text1"/>
          <w:kern w:val="0"/>
          <w:szCs w:val="24"/>
          <w:highlight w:val="none"/>
          <w:lang w:eastAsia="zh-CN"/>
          <w14:textFill>
            <w14:solidFill>
              <w14:schemeClr w14:val="tx1"/>
            </w14:solidFill>
          </w14:textFill>
        </w:rPr>
        <w:t>**</w:t>
      </w:r>
      <w:r>
        <w:rPr>
          <w:rFonts w:cs="Times New Roman"/>
          <w:color w:val="000000" w:themeColor="text1"/>
          <w:kern w:val="0"/>
          <w:szCs w:val="24"/>
          <w:highlight w:val="none"/>
          <w14:textFill>
            <w14:solidFill>
              <w14:schemeClr w14:val="tx1"/>
            </w14:solidFill>
          </w14:textFill>
        </w:rPr>
        <w:t>接受补给，沿南东侧径流，汇入南西侧州河支流，最终汇入州河。</w:t>
      </w:r>
    </w:p>
    <w:p>
      <w:pPr>
        <w:widowControl/>
        <w:ind w:firstLine="480"/>
        <w:rPr>
          <w:rFonts w:cs="Times New Roman"/>
          <w:color w:val="000000" w:themeColor="text1"/>
          <w:kern w:val="0"/>
          <w:szCs w:val="24"/>
          <w:highlight w:val="none"/>
          <w14:textFill>
            <w14:solidFill>
              <w14:schemeClr w14:val="tx1"/>
            </w14:solidFill>
          </w14:textFill>
        </w:rPr>
      </w:pPr>
      <w:r>
        <w:rPr>
          <w:rFonts w:eastAsia="黑体" w:cs="Times New Roman"/>
          <w:bCs/>
          <w:color w:val="000000" w:themeColor="text1"/>
          <w:szCs w:val="24"/>
          <w:highlight w:val="none"/>
          <w14:textFill>
            <w14:solidFill>
              <w14:schemeClr w14:val="tx1"/>
            </w14:solidFill>
          </w14:textFill>
        </w:rPr>
        <w:t>2、地下水开发利用现状</w:t>
      </w:r>
      <w:bookmarkEnd w:id="289"/>
      <w:r>
        <w:rPr>
          <w:rFonts w:eastAsia="黑体" w:cs="Times New Roman"/>
          <w:bCs/>
          <w:color w:val="000000" w:themeColor="text1"/>
          <w:szCs w:val="24"/>
          <w:highlight w:val="none"/>
          <w14:textFill>
            <w14:solidFill>
              <w14:schemeClr w14:val="tx1"/>
            </w14:solidFill>
          </w14:textFill>
        </w:rPr>
        <w:t>及动态特征</w:t>
      </w:r>
    </w:p>
    <w:p>
      <w:pPr>
        <w:widowControl/>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项目区地下水主要受大气降水补给，动态特征表现为受降雨和季节控制，变化较大。动态成因属雨水型。区内5～9月为丰水期，11月至次年4月为枯水期，丰水期的地下水位随不同微地貌地段而不同。经调查，评价区内无集中地下水水源地，评价区内分布有多口水井，居民多为3~15户1井。</w:t>
      </w:r>
    </w:p>
    <w:p>
      <w:pPr>
        <w:widowControl/>
        <w:ind w:firstLine="480"/>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为查明评价区地下水水位情况，委托检测单位现状监测了雷页1井</w:t>
      </w:r>
      <w:r>
        <w:rPr>
          <w:rFonts w:hint="eastAsia" w:cs="Times New Roman"/>
          <w:color w:val="000000" w:themeColor="text1"/>
          <w:kern w:val="0"/>
          <w:szCs w:val="24"/>
          <w:highlight w:val="none"/>
          <w14:textFill>
            <w14:solidFill>
              <w14:schemeClr w14:val="tx1"/>
            </w14:solidFill>
          </w14:textFill>
        </w:rPr>
        <w:t>和管线</w:t>
      </w:r>
      <w:r>
        <w:rPr>
          <w:rFonts w:cs="Times New Roman"/>
          <w:color w:val="000000" w:themeColor="text1"/>
          <w:kern w:val="0"/>
          <w:szCs w:val="24"/>
          <w:highlight w:val="none"/>
          <w14:textFill>
            <w14:solidFill>
              <w14:schemeClr w14:val="tx1"/>
            </w14:solidFill>
          </w14:textFill>
        </w:rPr>
        <w:t>附近的居民水井水位高程情况，统计结果如下表。</w:t>
      </w:r>
    </w:p>
    <w:p>
      <w:pPr>
        <w:widowControl/>
        <w:tabs>
          <w:tab w:val="left" w:pos="3864"/>
        </w:tabs>
        <w:spacing w:line="240" w:lineRule="auto"/>
        <w:ind w:firstLine="0" w:firstLineChars="0"/>
        <w:jc w:val="center"/>
        <w:rPr>
          <w:rFonts w:eastAsia="黑体" w:cs="Times New Roman"/>
          <w:color w:val="000000" w:themeColor="text1"/>
          <w:kern w:val="0"/>
          <w:sz w:val="21"/>
          <w:szCs w:val="21"/>
          <w:highlight w:val="none"/>
          <w14:textFill>
            <w14:solidFill>
              <w14:schemeClr w14:val="tx1"/>
            </w14:solidFill>
          </w14:textFill>
        </w:rPr>
      </w:pPr>
      <w:r>
        <w:rPr>
          <w:rFonts w:eastAsia="黑体" w:cs="Times New Roman"/>
          <w:color w:val="000000" w:themeColor="text1"/>
          <w:kern w:val="0"/>
          <w:sz w:val="21"/>
          <w:szCs w:val="21"/>
          <w:highlight w:val="none"/>
          <w14:textFill>
            <w14:solidFill>
              <w14:schemeClr w14:val="tx1"/>
            </w14:solidFill>
          </w14:textFill>
        </w:rPr>
        <w:t>表5.2-8   本项目区地下水水位统计结果</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5"/>
        <w:gridCol w:w="2803"/>
        <w:gridCol w:w="2143"/>
        <w:gridCol w:w="22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1" w:type="pct"/>
            <w:vAlign w:val="center"/>
          </w:tcPr>
          <w:p>
            <w:pPr>
              <w:adjustRightInd/>
              <w:snapToGrid/>
              <w:spacing w:line="240" w:lineRule="auto"/>
              <w:ind w:firstLine="0" w:firstLineChars="0"/>
              <w:jc w:val="center"/>
              <w:rPr>
                <w:rFonts w:cs="Times New Roman"/>
                <w:b/>
                <w:bCs/>
                <w:color w:val="000000" w:themeColor="text1"/>
                <w:sz w:val="2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采样日期</w:t>
            </w:r>
          </w:p>
        </w:tc>
        <w:tc>
          <w:tcPr>
            <w:tcW w:w="1644" w:type="pct"/>
            <w:vAlign w:val="center"/>
          </w:tcPr>
          <w:p>
            <w:pPr>
              <w:adjustRightInd/>
              <w:snapToGrid/>
              <w:spacing w:line="240" w:lineRule="auto"/>
              <w:ind w:firstLine="0" w:firstLineChars="0"/>
              <w:jc w:val="center"/>
              <w:rPr>
                <w:rFonts w:cs="Times New Roman"/>
                <w:b/>
                <w:bCs/>
                <w:color w:val="000000" w:themeColor="text1"/>
                <w:sz w:val="2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检测点位信息</w:t>
            </w:r>
          </w:p>
        </w:tc>
        <w:tc>
          <w:tcPr>
            <w:tcW w:w="1257" w:type="pct"/>
            <w:vAlign w:val="center"/>
          </w:tcPr>
          <w:p>
            <w:pPr>
              <w:adjustRightInd/>
              <w:snapToGrid/>
              <w:spacing w:line="240" w:lineRule="auto"/>
              <w:ind w:firstLine="0" w:firstLineChars="0"/>
              <w:jc w:val="center"/>
              <w:rPr>
                <w:rFonts w:cs="Times New Roman"/>
                <w:b/>
                <w:bCs/>
                <w:color w:val="000000" w:themeColor="text1"/>
                <w:sz w:val="2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坐标</w:t>
            </w:r>
          </w:p>
        </w:tc>
        <w:tc>
          <w:tcPr>
            <w:tcW w:w="1328" w:type="pct"/>
            <w:vAlign w:val="center"/>
          </w:tcPr>
          <w:p>
            <w:pPr>
              <w:adjustRightInd/>
              <w:snapToGrid/>
              <w:spacing w:line="240" w:lineRule="auto"/>
              <w:ind w:firstLine="0" w:firstLineChars="0"/>
              <w:jc w:val="center"/>
              <w:rPr>
                <w:rFonts w:cs="Times New Roman"/>
                <w:b/>
                <w:bCs/>
                <w:color w:val="000000" w:themeColor="text1"/>
                <w:sz w:val="2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水位（m）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1" w:type="pct"/>
            <w:vMerge w:val="restar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2023.08.18-2023.08.19</w:t>
            </w:r>
          </w:p>
        </w:tc>
        <w:tc>
          <w:tcPr>
            <w:tcW w:w="1644"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1#雷页1井井口西南侧距项目地约800m处</w:t>
            </w:r>
          </w:p>
        </w:tc>
        <w:tc>
          <w:tcPr>
            <w:tcW w:w="1257"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东经107.606503，</w:t>
            </w:r>
          </w:p>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北纬31.325909</w:t>
            </w:r>
          </w:p>
        </w:tc>
        <w:tc>
          <w:tcPr>
            <w:tcW w:w="1328"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771" w:type="pct"/>
            <w:vMerge w:val="continue"/>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1644"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2#雷页1井井口西侧距项目地约50m处</w:t>
            </w:r>
          </w:p>
        </w:tc>
        <w:tc>
          <w:tcPr>
            <w:tcW w:w="1257"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东经107.607740，北纬31.329294</w:t>
            </w:r>
          </w:p>
        </w:tc>
        <w:tc>
          <w:tcPr>
            <w:tcW w:w="1328"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1" w:type="pct"/>
            <w:vMerge w:val="continue"/>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1644"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3#雷页1井井口东北侧距项目地约100m处</w:t>
            </w:r>
          </w:p>
        </w:tc>
        <w:tc>
          <w:tcPr>
            <w:tcW w:w="1257"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东经107.604594，北纬31.302145</w:t>
            </w:r>
          </w:p>
        </w:tc>
        <w:tc>
          <w:tcPr>
            <w:tcW w:w="1328"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0.34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1" w:type="pct"/>
            <w:vMerge w:val="continue"/>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1644"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4#雷页1井井口东北侧距项目地约160m处</w:t>
            </w:r>
          </w:p>
        </w:tc>
        <w:tc>
          <w:tcPr>
            <w:tcW w:w="1257"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东经107.608375，北纬31.334384</w:t>
            </w:r>
          </w:p>
        </w:tc>
        <w:tc>
          <w:tcPr>
            <w:tcW w:w="1328"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0.56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1" w:type="pct"/>
            <w:vMerge w:val="continue"/>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1644"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5#雷页1井井口东侧距项目地约360m处</w:t>
            </w:r>
          </w:p>
        </w:tc>
        <w:tc>
          <w:tcPr>
            <w:tcW w:w="1257"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东经107.611668，北纬31.328721</w:t>
            </w:r>
          </w:p>
        </w:tc>
        <w:tc>
          <w:tcPr>
            <w:tcW w:w="1328"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0.31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1" w:type="pct"/>
            <w:vMerge w:val="continue"/>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1644"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6#雷页1井井口西侧距项目地约586m处</w:t>
            </w:r>
          </w:p>
        </w:tc>
        <w:tc>
          <w:tcPr>
            <w:tcW w:w="1257"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东经107.601373，北纬31.328809</w:t>
            </w:r>
          </w:p>
        </w:tc>
        <w:tc>
          <w:tcPr>
            <w:tcW w:w="1328"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0.63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1" w:type="pct"/>
            <w:vMerge w:val="continue"/>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1644"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7#雷页1井井口西侧距项目地约406m处</w:t>
            </w:r>
          </w:p>
        </w:tc>
        <w:tc>
          <w:tcPr>
            <w:tcW w:w="1257"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东经107.602373，北纬31.327019</w:t>
            </w:r>
          </w:p>
        </w:tc>
        <w:tc>
          <w:tcPr>
            <w:tcW w:w="1328"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1" w:type="pct"/>
            <w:vMerge w:val="continue"/>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1644"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8#雷页1井井口东南侧距项目地约433.26m处</w:t>
            </w:r>
          </w:p>
        </w:tc>
        <w:tc>
          <w:tcPr>
            <w:tcW w:w="1257"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东经107.611895，北纬31.326692</w:t>
            </w:r>
          </w:p>
        </w:tc>
        <w:tc>
          <w:tcPr>
            <w:tcW w:w="1328"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0.55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1" w:type="pct"/>
            <w:vMerge w:val="continue"/>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1644"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9#雷页1井井口东北侧距项目地约137m处</w:t>
            </w:r>
          </w:p>
        </w:tc>
        <w:tc>
          <w:tcPr>
            <w:tcW w:w="1257"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东经107.609480，北纬31.331528</w:t>
            </w:r>
          </w:p>
        </w:tc>
        <w:tc>
          <w:tcPr>
            <w:tcW w:w="1328"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0.64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1" w:type="pct"/>
            <w:vMerge w:val="continue"/>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1644"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10#雷页1井井口西北侧距项目地约582m处</w:t>
            </w:r>
          </w:p>
        </w:tc>
        <w:tc>
          <w:tcPr>
            <w:tcW w:w="1257"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东经107.604985，北纬31.334161</w:t>
            </w:r>
          </w:p>
        </w:tc>
        <w:tc>
          <w:tcPr>
            <w:tcW w:w="1328"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1" w:type="pct"/>
            <w:vMerge w:val="restar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eastAsia="仿宋体" w:cs="Times New Roman"/>
                <w:b/>
                <w:bCs/>
                <w:color w:val="000000" w:themeColor="text1"/>
                <w:sz w:val="21"/>
                <w:szCs w:val="21"/>
                <w:highlight w:val="none"/>
                <w14:textFill>
                  <w14:solidFill>
                    <w14:schemeClr w14:val="tx1"/>
                  </w14:solidFill>
                </w14:textFill>
              </w:rPr>
              <w:t>202</w:t>
            </w:r>
            <w:r>
              <w:rPr>
                <w:rFonts w:hint="eastAsia" w:eastAsia="仿宋体" w:cs="Times New Roman"/>
                <w:b/>
                <w:bCs/>
                <w:color w:val="000000" w:themeColor="text1"/>
                <w:sz w:val="21"/>
                <w:szCs w:val="21"/>
                <w:highlight w:val="none"/>
                <w14:textFill>
                  <w14:solidFill>
                    <w14:schemeClr w14:val="tx1"/>
                  </w14:solidFill>
                </w14:textFill>
              </w:rPr>
              <w:t>4</w:t>
            </w:r>
            <w:r>
              <w:rPr>
                <w:rFonts w:eastAsia="仿宋体" w:cs="Times New Roman"/>
                <w:b/>
                <w:bCs/>
                <w:color w:val="000000" w:themeColor="text1"/>
                <w:sz w:val="21"/>
                <w:szCs w:val="21"/>
                <w:highlight w:val="none"/>
                <w14:textFill>
                  <w14:solidFill>
                    <w14:schemeClr w14:val="tx1"/>
                  </w14:solidFill>
                </w14:textFill>
              </w:rPr>
              <w:t>.0</w:t>
            </w:r>
            <w:r>
              <w:rPr>
                <w:rFonts w:hint="eastAsia" w:eastAsia="仿宋体" w:cs="Times New Roman"/>
                <w:b/>
                <w:bCs/>
                <w:color w:val="000000" w:themeColor="text1"/>
                <w:sz w:val="21"/>
                <w:szCs w:val="21"/>
                <w:highlight w:val="none"/>
                <w14:textFill>
                  <w14:solidFill>
                    <w14:schemeClr w14:val="tx1"/>
                  </w14:solidFill>
                </w14:textFill>
              </w:rPr>
              <w:t>3</w:t>
            </w:r>
            <w:r>
              <w:rPr>
                <w:rFonts w:eastAsia="仿宋体" w:cs="Times New Roman"/>
                <w:b/>
                <w:bCs/>
                <w:color w:val="000000" w:themeColor="text1"/>
                <w:sz w:val="21"/>
                <w:szCs w:val="21"/>
                <w:highlight w:val="none"/>
                <w14:textFill>
                  <w14:solidFill>
                    <w14:schemeClr w14:val="tx1"/>
                  </w14:solidFill>
                </w14:textFill>
              </w:rPr>
              <w:t>.</w:t>
            </w:r>
            <w:r>
              <w:rPr>
                <w:rFonts w:hint="eastAsia" w:eastAsia="仿宋体" w:cs="Times New Roman"/>
                <w:b/>
                <w:bCs/>
                <w:color w:val="000000" w:themeColor="text1"/>
                <w:sz w:val="21"/>
                <w:szCs w:val="21"/>
                <w:highlight w:val="none"/>
                <w14:textFill>
                  <w14:solidFill>
                    <w14:schemeClr w14:val="tx1"/>
                  </w14:solidFill>
                </w14:textFill>
              </w:rPr>
              <w:t>03</w:t>
            </w:r>
          </w:p>
        </w:tc>
        <w:tc>
          <w:tcPr>
            <w:tcW w:w="1644"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1</w:t>
            </w:r>
            <w:r>
              <w:rPr>
                <w:rFonts w:hint="eastAsia" w:cs="Times New Roman"/>
                <w:color w:val="000000" w:themeColor="text1"/>
                <w:sz w:val="21"/>
                <w:szCs w:val="21"/>
                <w:highlight w:val="none"/>
                <w14:textFill>
                  <w14:solidFill>
                    <w14:schemeClr w14:val="tx1"/>
                  </w14:solidFill>
                </w14:textFill>
              </w:rPr>
              <w:t>1</w:t>
            </w:r>
            <w:r>
              <w:rPr>
                <w:rFonts w:cs="Times New Roman"/>
                <w:color w:val="000000" w:themeColor="text1"/>
                <w:sz w:val="21"/>
                <w:szCs w:val="21"/>
                <w:highlight w:val="none"/>
                <w14:textFill>
                  <w14:solidFill>
                    <w14:schemeClr w14:val="tx1"/>
                  </w14:solidFill>
                </w14:textFill>
              </w:rPr>
              <w:t>#雷页1井</w:t>
            </w:r>
            <w:r>
              <w:rPr>
                <w:rFonts w:hint="eastAsia" w:cs="Times New Roman"/>
                <w:color w:val="000000" w:themeColor="text1"/>
                <w:sz w:val="21"/>
                <w:szCs w:val="21"/>
                <w:highlight w:val="none"/>
                <w14:textFill>
                  <w14:solidFill>
                    <w14:schemeClr w14:val="tx1"/>
                  </w14:solidFill>
                </w14:textFill>
              </w:rPr>
              <w:t>至魏兴站管线南侧</w:t>
            </w:r>
            <w:r>
              <w:rPr>
                <w:rFonts w:cs="Times New Roman"/>
                <w:color w:val="000000" w:themeColor="text1"/>
                <w:sz w:val="21"/>
                <w:szCs w:val="21"/>
                <w:highlight w:val="none"/>
                <w14:textFill>
                  <w14:solidFill>
                    <w14:schemeClr w14:val="tx1"/>
                  </w14:solidFill>
                </w14:textFill>
              </w:rPr>
              <w:t>处</w:t>
            </w:r>
          </w:p>
        </w:tc>
        <w:tc>
          <w:tcPr>
            <w:tcW w:w="1257"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东经</w:t>
            </w:r>
            <w:r>
              <w:rPr>
                <w:color w:val="000000" w:themeColor="text1"/>
                <w:sz w:val="21"/>
                <w:szCs w:val="21"/>
                <w:highlight w:val="none"/>
                <w14:textFill>
                  <w14:solidFill>
                    <w14:schemeClr w14:val="tx1"/>
                  </w14:solidFill>
                </w14:textFill>
              </w:rPr>
              <w:t>107.521166</w:t>
            </w:r>
            <w:r>
              <w:rPr>
                <w:rFonts w:hint="eastAsia"/>
                <w:color w:val="000000" w:themeColor="text1"/>
                <w:sz w:val="21"/>
                <w:szCs w:val="21"/>
                <w:highlight w:val="none"/>
                <w14:textFill>
                  <w14:solidFill>
                    <w14:schemeClr w14:val="tx1"/>
                  </w14:solidFill>
                </w14:textFill>
              </w:rPr>
              <w:t>，北纬</w:t>
            </w:r>
            <w:r>
              <w:rPr>
                <w:color w:val="000000" w:themeColor="text1"/>
                <w:sz w:val="21"/>
                <w:szCs w:val="21"/>
                <w:highlight w:val="none"/>
                <w14:textFill>
                  <w14:solidFill>
                    <w14:schemeClr w14:val="tx1"/>
                  </w14:solidFill>
                </w14:textFill>
              </w:rPr>
              <w:t>31.360347</w:t>
            </w:r>
          </w:p>
        </w:tc>
        <w:tc>
          <w:tcPr>
            <w:tcW w:w="1328"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kern w:val="0"/>
                <w:sz w:val="21"/>
                <w:szCs w:val="21"/>
                <w:highlight w:val="none"/>
                <w14:textFill>
                  <w14:solidFill>
                    <w14:schemeClr w14:val="tx1"/>
                  </w14:solidFill>
                </w14:textFill>
              </w:rPr>
              <w:t>0.55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1" w:type="pct"/>
            <w:vMerge w:val="continue"/>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1644"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1</w:t>
            </w:r>
            <w:r>
              <w:rPr>
                <w:rFonts w:hint="eastAsia" w:cs="Times New Roman"/>
                <w:color w:val="000000" w:themeColor="text1"/>
                <w:sz w:val="21"/>
                <w:szCs w:val="21"/>
                <w:highlight w:val="none"/>
                <w14:textFill>
                  <w14:solidFill>
                    <w14:schemeClr w14:val="tx1"/>
                  </w14:solidFill>
                </w14:textFill>
              </w:rPr>
              <w:t>2</w:t>
            </w:r>
            <w:r>
              <w:rPr>
                <w:rFonts w:cs="Times New Roman"/>
                <w:color w:val="000000" w:themeColor="text1"/>
                <w:sz w:val="21"/>
                <w:szCs w:val="21"/>
                <w:highlight w:val="none"/>
                <w14:textFill>
                  <w14:solidFill>
                    <w14:schemeClr w14:val="tx1"/>
                  </w14:solidFill>
                </w14:textFill>
              </w:rPr>
              <w:t>#雷页1井</w:t>
            </w:r>
            <w:r>
              <w:rPr>
                <w:rFonts w:hint="eastAsia" w:cs="Times New Roman"/>
                <w:color w:val="000000" w:themeColor="text1"/>
                <w:sz w:val="21"/>
                <w:szCs w:val="21"/>
                <w:highlight w:val="none"/>
                <w14:textFill>
                  <w14:solidFill>
                    <w14:schemeClr w14:val="tx1"/>
                  </w14:solidFill>
                </w14:textFill>
              </w:rPr>
              <w:t>至魏兴站管线南侧</w:t>
            </w:r>
            <w:r>
              <w:rPr>
                <w:rFonts w:cs="Times New Roman"/>
                <w:color w:val="000000" w:themeColor="text1"/>
                <w:sz w:val="21"/>
                <w:szCs w:val="21"/>
                <w:highlight w:val="none"/>
                <w14:textFill>
                  <w14:solidFill>
                    <w14:schemeClr w14:val="tx1"/>
                  </w14:solidFill>
                </w14:textFill>
              </w:rPr>
              <w:t>处</w:t>
            </w:r>
          </w:p>
        </w:tc>
        <w:tc>
          <w:tcPr>
            <w:tcW w:w="1257"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东经</w:t>
            </w:r>
            <w:r>
              <w:rPr>
                <w:color w:val="000000" w:themeColor="text1"/>
                <w:sz w:val="21"/>
                <w:szCs w:val="21"/>
                <w:highlight w:val="none"/>
                <w14:textFill>
                  <w14:solidFill>
                    <w14:schemeClr w14:val="tx1"/>
                  </w14:solidFill>
                </w14:textFill>
              </w:rPr>
              <w:t>107.522681</w:t>
            </w:r>
            <w:r>
              <w:rPr>
                <w:rFonts w:hint="eastAsia"/>
                <w:color w:val="000000" w:themeColor="text1"/>
                <w:sz w:val="21"/>
                <w:szCs w:val="21"/>
                <w:highlight w:val="none"/>
                <w14:textFill>
                  <w14:solidFill>
                    <w14:schemeClr w14:val="tx1"/>
                  </w14:solidFill>
                </w14:textFill>
              </w:rPr>
              <w:t>，北纬</w:t>
            </w:r>
            <w:r>
              <w:rPr>
                <w:color w:val="000000" w:themeColor="text1"/>
                <w:sz w:val="21"/>
                <w:szCs w:val="21"/>
                <w:highlight w:val="none"/>
                <w14:textFill>
                  <w14:solidFill>
                    <w14:schemeClr w14:val="tx1"/>
                  </w14:solidFill>
                </w14:textFill>
              </w:rPr>
              <w:t>31.360657</w:t>
            </w:r>
          </w:p>
        </w:tc>
        <w:tc>
          <w:tcPr>
            <w:tcW w:w="1328"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kern w:val="0"/>
                <w:sz w:val="21"/>
                <w:szCs w:val="21"/>
                <w:highlight w:val="none"/>
                <w14:textFill>
                  <w14:solidFill>
                    <w14:schemeClr w14:val="tx1"/>
                  </w14:solidFill>
                </w14:textFill>
              </w:rPr>
              <w:t>0.75</w:t>
            </w:r>
          </w:p>
        </w:tc>
      </w:tr>
    </w:tbl>
    <w:p>
      <w:pPr>
        <w:widowControl/>
        <w:spacing w:before="120" w:beforeLines="50"/>
        <w:ind w:firstLine="480"/>
        <w:rPr>
          <w:rFonts w:eastAsia="黑体" w:cs="Times New Roman"/>
          <w:bCs/>
          <w:color w:val="000000" w:themeColor="text1"/>
          <w:szCs w:val="24"/>
          <w:highlight w:val="none"/>
          <w14:textFill>
            <w14:solidFill>
              <w14:schemeClr w14:val="tx1"/>
            </w14:solidFill>
          </w14:textFill>
        </w:rPr>
      </w:pPr>
      <w:bookmarkStart w:id="290" w:name="_Toc14702820"/>
      <w:bookmarkStart w:id="291" w:name="_Toc498501600"/>
      <w:r>
        <w:rPr>
          <w:rFonts w:eastAsia="黑体" w:cs="Times New Roman"/>
          <w:bCs/>
          <w:color w:val="000000" w:themeColor="text1"/>
          <w:szCs w:val="24"/>
          <w:highlight w:val="none"/>
          <w14:textFill>
            <w14:solidFill>
              <w14:schemeClr w14:val="tx1"/>
            </w14:solidFill>
          </w14:textFill>
        </w:rPr>
        <w:t>3、环境水文地质调查</w:t>
      </w:r>
      <w:bookmarkEnd w:id="290"/>
      <w:bookmarkEnd w:id="291"/>
    </w:p>
    <w:p>
      <w:pPr>
        <w:widowControl/>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按照地下水环境影响评价导则，针对本项目特征，本次调查包括：</w:t>
      </w:r>
      <w:r>
        <w:rPr>
          <w:rFonts w:hint="eastAsia" w:ascii="宋体" w:hAnsi="宋体" w:cs="宋体"/>
          <w:bCs/>
          <w:color w:val="000000" w:themeColor="text1"/>
          <w:szCs w:val="24"/>
          <w:highlight w:val="none"/>
          <w14:textFill>
            <w14:solidFill>
              <w14:schemeClr w14:val="tx1"/>
            </w14:solidFill>
          </w14:textFill>
        </w:rPr>
        <w:t>①</w:t>
      </w:r>
      <w:r>
        <w:rPr>
          <w:rFonts w:cs="Times New Roman"/>
          <w:bCs/>
          <w:color w:val="000000" w:themeColor="text1"/>
          <w:szCs w:val="24"/>
          <w:highlight w:val="none"/>
          <w14:textFill>
            <w14:solidFill>
              <w14:schemeClr w14:val="tx1"/>
            </w14:solidFill>
          </w14:textFill>
        </w:rPr>
        <w:t>原生水文地质问题调查；</w:t>
      </w:r>
      <w:r>
        <w:rPr>
          <w:rFonts w:hint="eastAsia" w:ascii="宋体" w:hAnsi="宋体" w:cs="宋体"/>
          <w:bCs/>
          <w:color w:val="000000" w:themeColor="text1"/>
          <w:szCs w:val="24"/>
          <w:highlight w:val="none"/>
          <w14:textFill>
            <w14:solidFill>
              <w14:schemeClr w14:val="tx1"/>
            </w14:solidFill>
          </w14:textFill>
        </w:rPr>
        <w:t>②</w:t>
      </w:r>
      <w:r>
        <w:rPr>
          <w:rFonts w:cs="Times New Roman"/>
          <w:bCs/>
          <w:color w:val="000000" w:themeColor="text1"/>
          <w:szCs w:val="24"/>
          <w:highlight w:val="none"/>
          <w14:textFill>
            <w14:solidFill>
              <w14:schemeClr w14:val="tx1"/>
            </w14:solidFill>
          </w14:textFill>
        </w:rPr>
        <w:t>地下水污染源分布及类型调查。</w:t>
      </w:r>
    </w:p>
    <w:p>
      <w:pPr>
        <w:widowControl/>
        <w:ind w:firstLine="482"/>
        <w:rPr>
          <w:rFonts w:cs="Times New Roman"/>
          <w:b/>
          <w:color w:val="000000" w:themeColor="text1"/>
          <w:szCs w:val="24"/>
          <w:highlight w:val="none"/>
          <w14:textFill>
            <w14:solidFill>
              <w14:schemeClr w14:val="tx1"/>
            </w14:solidFill>
          </w14:textFill>
        </w:rPr>
      </w:pPr>
      <w:bookmarkStart w:id="292" w:name="_Toc14702821"/>
      <w:r>
        <w:rPr>
          <w:rFonts w:cs="Times New Roman"/>
          <w:b/>
          <w:color w:val="000000" w:themeColor="text1"/>
          <w:szCs w:val="24"/>
          <w:highlight w:val="none"/>
          <w14:textFill>
            <w14:solidFill>
              <w14:schemeClr w14:val="tx1"/>
            </w14:solidFill>
          </w14:textFill>
        </w:rPr>
        <w:t>（1）原生水文地质问题调查</w:t>
      </w:r>
      <w:bookmarkEnd w:id="292"/>
    </w:p>
    <w:p>
      <w:pPr>
        <w:widowControl/>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根据评价区下水水质监测结果，本项目区地下水属于低矿化度淡水，水质情况尚可；根据相关资料及调查访问，评价区未出现地方病等与地下水相关的环境问题。</w:t>
      </w:r>
    </w:p>
    <w:p>
      <w:pPr>
        <w:widowControl/>
        <w:ind w:firstLine="482"/>
        <w:rPr>
          <w:rFonts w:cs="Times New Roman"/>
          <w:b/>
          <w:color w:val="000000" w:themeColor="text1"/>
          <w:szCs w:val="24"/>
          <w:highlight w:val="none"/>
          <w14:textFill>
            <w14:solidFill>
              <w14:schemeClr w14:val="tx1"/>
            </w14:solidFill>
          </w14:textFill>
        </w:rPr>
      </w:pPr>
      <w:bookmarkStart w:id="293" w:name="_Toc14702822"/>
      <w:r>
        <w:rPr>
          <w:rFonts w:cs="Times New Roman"/>
          <w:b/>
          <w:color w:val="000000" w:themeColor="text1"/>
          <w:szCs w:val="24"/>
          <w:highlight w:val="none"/>
          <w14:textFill>
            <w14:solidFill>
              <w14:schemeClr w14:val="tx1"/>
            </w14:solidFill>
          </w14:textFill>
        </w:rPr>
        <w:t>（2）地下水污染源调查</w:t>
      </w:r>
      <w:bookmarkEnd w:id="293"/>
    </w:p>
    <w:p>
      <w:pPr>
        <w:widowControl/>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根据现场调查，评价范围内主要地下水污染源为：分散居民农业生产及生活污水对地下水水质的扰动。</w:t>
      </w:r>
    </w:p>
    <w:p>
      <w:pPr>
        <w:pStyle w:val="6"/>
        <w:spacing w:before="120"/>
        <w:rPr>
          <w:color w:val="000000" w:themeColor="text1"/>
          <w:highlight w:val="none"/>
          <w14:textFill>
            <w14:solidFill>
              <w14:schemeClr w14:val="tx1"/>
            </w14:solidFill>
          </w14:textFill>
        </w:rPr>
      </w:pPr>
      <w:bookmarkStart w:id="294" w:name="_Toc155259317"/>
      <w:bookmarkStart w:id="295" w:name="_Toc148467289"/>
      <w:r>
        <w:rPr>
          <w:color w:val="000000" w:themeColor="text1"/>
          <w:highlight w:val="none"/>
          <w14:textFill>
            <w14:solidFill>
              <w14:schemeClr w14:val="tx1"/>
            </w14:solidFill>
          </w14:textFill>
        </w:rPr>
        <w:t>地下水环境功能与环境保护目标</w:t>
      </w:r>
      <w:bookmarkEnd w:id="294"/>
      <w:bookmarkEnd w:id="295"/>
    </w:p>
    <w:p>
      <w:pPr>
        <w:widowControl/>
        <w:ind w:firstLine="480"/>
        <w:rPr>
          <w:rFonts w:eastAsia="黑体" w:cs="Times New Roman"/>
          <w:bCs/>
          <w:color w:val="000000" w:themeColor="text1"/>
          <w:szCs w:val="24"/>
          <w:highlight w:val="none"/>
          <w14:textFill>
            <w14:solidFill>
              <w14:schemeClr w14:val="tx1"/>
            </w14:solidFill>
          </w14:textFill>
        </w:rPr>
      </w:pPr>
      <w:r>
        <w:rPr>
          <w:rFonts w:eastAsia="黑体" w:cs="Times New Roman"/>
          <w:bCs/>
          <w:color w:val="000000" w:themeColor="text1"/>
          <w:szCs w:val="24"/>
          <w:highlight w:val="none"/>
          <w14:textFill>
            <w14:solidFill>
              <w14:schemeClr w14:val="tx1"/>
            </w14:solidFill>
          </w14:textFill>
        </w:rPr>
        <w:t>1、地下水功能划分</w:t>
      </w:r>
    </w:p>
    <w:p>
      <w:pPr>
        <w:widowControl/>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确定评价区地下水环境的主要功能是分析地下水环境影响、布置工作重点的重要工作之一。地下水系统是一个具有综合服务功能的开放系统，是维持社会经济发展的重要供水水源，也是维持生态环境系统稳定的重要因素。本研究确定工程区地下水环境功能从两个方面进行：依据《全国地下水功能区划分技术大纲》的要求和规定、根据实地调查的本项目工程区的地下水环境状况。</w:t>
      </w:r>
    </w:p>
    <w:p>
      <w:pPr>
        <w:widowControl/>
        <w:ind w:firstLine="482"/>
        <w:rPr>
          <w:rFonts w:cs="Times New Roman"/>
          <w:b/>
          <w:color w:val="000000" w:themeColor="text1"/>
          <w:szCs w:val="24"/>
          <w:highlight w:val="none"/>
          <w14:textFill>
            <w14:solidFill>
              <w14:schemeClr w14:val="tx1"/>
            </w14:solidFill>
          </w14:textFill>
        </w:rPr>
      </w:pPr>
      <w:r>
        <w:rPr>
          <w:rFonts w:cs="Times New Roman"/>
          <w:b/>
          <w:color w:val="000000" w:themeColor="text1"/>
          <w:szCs w:val="24"/>
          <w:highlight w:val="none"/>
          <w14:textFill>
            <w14:solidFill>
              <w14:schemeClr w14:val="tx1"/>
            </w14:solidFill>
          </w14:textFill>
        </w:rPr>
        <w:t>（1）地下水功能及其划分</w:t>
      </w:r>
    </w:p>
    <w:p>
      <w:pPr>
        <w:widowControl/>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地下水功能是指地下水的水质和水量及其在空间和时间上的变化对人类社会和环境所产生的作用或效应，它由地下水的资源功能、生态环境功能和地质环境功能组成。</w:t>
      </w:r>
    </w:p>
    <w:p>
      <w:pPr>
        <w:widowControl/>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1）地下水的资源功能是指具备一定的补给、储存和更新条件的地下水资源供给保障作用或效应。为了保持地下水的资源供给功能，首先在水量上，地下水要得到可持续的稳定补给，这样才能保障可持续开发。</w:t>
      </w:r>
    </w:p>
    <w:p>
      <w:pPr>
        <w:widowControl/>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地下水的生态功能是指地下水系统对陆表植被或湖泊、湿地或土地质量良性维持的作用或效应，如果地下水系统发生变化，则生态环境出现相应的改变。地表水生态系统（河道基流、湿地、泉水等）和陆地非地带性植被都需要地下水的补给和调节。地下水位下降和水质的恶化对地表生态系统会带来严重影响。</w:t>
      </w:r>
    </w:p>
    <w:p>
      <w:pPr>
        <w:widowControl/>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3）地下水的地质环境功能是指地下水的地质安全保障功能，是指地下水系统对其所赋存的地质环境稳定性所具有支撑和保护的作用或效应，如果地下水系统发生变化，则地质环境出现相应的改变。</w:t>
      </w:r>
    </w:p>
    <w:p>
      <w:pPr>
        <w:widowControl/>
        <w:ind w:firstLine="482"/>
        <w:rPr>
          <w:rFonts w:cs="Times New Roman"/>
          <w:b/>
          <w:color w:val="000000" w:themeColor="text1"/>
          <w:szCs w:val="24"/>
          <w:highlight w:val="none"/>
          <w14:textFill>
            <w14:solidFill>
              <w14:schemeClr w14:val="tx1"/>
            </w14:solidFill>
          </w14:textFill>
        </w:rPr>
      </w:pPr>
      <w:r>
        <w:rPr>
          <w:rFonts w:cs="Times New Roman"/>
          <w:b/>
          <w:color w:val="000000" w:themeColor="text1"/>
          <w:szCs w:val="24"/>
          <w:highlight w:val="none"/>
          <w14:textFill>
            <w14:solidFill>
              <w14:schemeClr w14:val="tx1"/>
            </w14:solidFill>
          </w14:textFill>
        </w:rPr>
        <w:t>（2）地下水环境调查</w:t>
      </w:r>
    </w:p>
    <w:p>
      <w:pPr>
        <w:widowControl/>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通过对项目区地下水、地表水、居民用水及环境状况调查，本项目位于四川省达州市宣汉县</w:t>
      </w:r>
      <w:r>
        <w:rPr>
          <w:rFonts w:hint="eastAsia" w:cs="Times New Roman"/>
          <w:bCs/>
          <w:color w:val="000000" w:themeColor="text1"/>
          <w:szCs w:val="24"/>
          <w:highlight w:val="none"/>
          <w:lang w:eastAsia="zh-CN"/>
          <w14:textFill>
            <w14:solidFill>
              <w14:schemeClr w14:val="tx1"/>
            </w14:solidFill>
          </w14:textFill>
        </w:rPr>
        <w:t>**</w:t>
      </w:r>
      <w:r>
        <w:rPr>
          <w:rFonts w:cs="Times New Roman"/>
          <w:bCs/>
          <w:color w:val="000000" w:themeColor="text1"/>
          <w:szCs w:val="24"/>
          <w:highlight w:val="none"/>
          <w14:textFill>
            <w14:solidFill>
              <w14:schemeClr w14:val="tx1"/>
            </w14:solidFill>
          </w14:textFill>
        </w:rPr>
        <w:t>石虎村8组（原雷页1井场</w:t>
      </w:r>
      <w:r>
        <w:rPr>
          <w:rFonts w:hint="eastAsia" w:cs="Times New Roman"/>
          <w:bCs/>
          <w:color w:val="000000" w:themeColor="text1"/>
          <w:szCs w:val="24"/>
          <w:highlight w:val="none"/>
          <w14:textFill>
            <w14:solidFill>
              <w14:schemeClr w14:val="tx1"/>
            </w14:solidFill>
          </w14:textFill>
        </w:rPr>
        <w:t>西侧</w:t>
      </w:r>
      <w:r>
        <w:rPr>
          <w:rFonts w:cs="Times New Roman"/>
          <w:bCs/>
          <w:color w:val="000000" w:themeColor="text1"/>
          <w:szCs w:val="24"/>
          <w:highlight w:val="none"/>
          <w14:textFill>
            <w14:solidFill>
              <w14:schemeClr w14:val="tx1"/>
            </w14:solidFill>
          </w14:textFill>
        </w:rPr>
        <w:t>），评价区内有居民分布，均为饮用山泉水，</w:t>
      </w:r>
      <w:r>
        <w:rPr>
          <w:rFonts w:cs="Times New Roman"/>
          <w:color w:val="000000" w:themeColor="text1"/>
          <w:kern w:val="0"/>
          <w:szCs w:val="24"/>
          <w:highlight w:val="none"/>
          <w14:textFill>
            <w14:solidFill>
              <w14:schemeClr w14:val="tx1"/>
            </w14:solidFill>
          </w14:textFill>
        </w:rPr>
        <w:t>居民3~15户1泉井。</w:t>
      </w:r>
    </w:p>
    <w:p>
      <w:pPr>
        <w:widowControl/>
        <w:ind w:firstLine="480"/>
        <w:rPr>
          <w:rFonts w:eastAsia="黑体" w:cs="Times New Roman"/>
          <w:bCs/>
          <w:color w:val="000000" w:themeColor="text1"/>
          <w:szCs w:val="24"/>
          <w:highlight w:val="none"/>
          <w14:textFill>
            <w14:solidFill>
              <w14:schemeClr w14:val="tx1"/>
            </w14:solidFill>
          </w14:textFill>
        </w:rPr>
      </w:pPr>
      <w:r>
        <w:rPr>
          <w:rFonts w:eastAsia="黑体" w:cs="Times New Roman"/>
          <w:bCs/>
          <w:color w:val="000000" w:themeColor="text1"/>
          <w:szCs w:val="24"/>
          <w:highlight w:val="none"/>
          <w14:textFill>
            <w14:solidFill>
              <w14:schemeClr w14:val="tx1"/>
            </w14:solidFill>
          </w14:textFill>
        </w:rPr>
        <w:t>2、地下水环境保护目标</w:t>
      </w:r>
    </w:p>
    <w:p>
      <w:pPr>
        <w:widowControl/>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根据外环境调查，结合项目场地所处水文地质条件，区域地下水总体流向为</w:t>
      </w:r>
      <w:r>
        <w:rPr>
          <w:rFonts w:hint="eastAsia" w:cs="Times New Roman"/>
          <w:bCs/>
          <w:color w:val="000000" w:themeColor="text1"/>
          <w:szCs w:val="24"/>
          <w:highlight w:val="none"/>
          <w14:textFill>
            <w14:solidFill>
              <w14:schemeClr w14:val="tx1"/>
            </w14:solidFill>
          </w14:textFill>
        </w:rPr>
        <w:t>西北</w:t>
      </w:r>
      <w:r>
        <w:rPr>
          <w:rFonts w:cs="Times New Roman"/>
          <w:bCs/>
          <w:color w:val="000000" w:themeColor="text1"/>
          <w:szCs w:val="24"/>
          <w:highlight w:val="none"/>
          <w14:textFill>
            <w14:solidFill>
              <w14:schemeClr w14:val="tx1"/>
            </w14:solidFill>
          </w14:textFill>
        </w:rPr>
        <w:t>至</w:t>
      </w:r>
      <w:r>
        <w:rPr>
          <w:rFonts w:hint="eastAsia" w:cs="Times New Roman"/>
          <w:bCs/>
          <w:color w:val="000000" w:themeColor="text1"/>
          <w:szCs w:val="24"/>
          <w:highlight w:val="none"/>
          <w14:textFill>
            <w14:solidFill>
              <w14:schemeClr w14:val="tx1"/>
            </w14:solidFill>
          </w14:textFill>
        </w:rPr>
        <w:t>东</w:t>
      </w:r>
      <w:r>
        <w:rPr>
          <w:rFonts w:cs="Times New Roman"/>
          <w:bCs/>
          <w:color w:val="000000" w:themeColor="text1"/>
          <w:szCs w:val="24"/>
          <w:highlight w:val="none"/>
          <w14:textFill>
            <w14:solidFill>
              <w14:schemeClr w14:val="tx1"/>
            </w14:solidFill>
          </w14:textFill>
        </w:rPr>
        <w:t>南，排泄至州河。项目施工可能受影响的含水层为</w:t>
      </w:r>
      <w:r>
        <w:rPr>
          <w:rFonts w:cs="Times New Roman"/>
          <w:color w:val="000000" w:themeColor="text1"/>
          <w:kern w:val="0"/>
          <w:szCs w:val="24"/>
          <w:highlight w:val="none"/>
          <w14:textFill>
            <w14:solidFill>
              <w14:schemeClr w14:val="tx1"/>
            </w14:solidFill>
          </w14:textFill>
        </w:rPr>
        <w:t>基岩裂隙水与碎屑岩类裂隙水</w:t>
      </w:r>
      <w:r>
        <w:rPr>
          <w:rFonts w:cs="Times New Roman"/>
          <w:bCs/>
          <w:color w:val="000000" w:themeColor="text1"/>
          <w:szCs w:val="24"/>
          <w:highlight w:val="none"/>
          <w14:textFill>
            <w14:solidFill>
              <w14:schemeClr w14:val="tx1"/>
            </w14:solidFill>
          </w14:textFill>
        </w:rPr>
        <w:t>。本项目地下水环境保护目标见前文“2.9.2外环境关系”。</w:t>
      </w:r>
    </w:p>
    <w:p>
      <w:pPr>
        <w:pStyle w:val="6"/>
        <w:spacing w:before="120"/>
        <w:rPr>
          <w:color w:val="000000" w:themeColor="text1"/>
          <w:highlight w:val="none"/>
          <w14:textFill>
            <w14:solidFill>
              <w14:schemeClr w14:val="tx1"/>
            </w14:solidFill>
          </w14:textFill>
        </w:rPr>
      </w:pPr>
      <w:bookmarkStart w:id="296" w:name="_Toc148467290"/>
      <w:bookmarkStart w:id="297" w:name="_Toc155259318"/>
      <w:r>
        <w:rPr>
          <w:color w:val="000000" w:themeColor="text1"/>
          <w:highlight w:val="none"/>
          <w14:textFill>
            <w14:solidFill>
              <w14:schemeClr w14:val="tx1"/>
            </w14:solidFill>
          </w14:textFill>
        </w:rPr>
        <w:t>地下水评价因子及识别</w:t>
      </w:r>
      <w:bookmarkEnd w:id="296"/>
      <w:bookmarkEnd w:id="297"/>
    </w:p>
    <w:p>
      <w:pPr>
        <w:widowControl/>
        <w:ind w:firstLine="480"/>
        <w:rPr>
          <w:rFonts w:eastAsia="黑体" w:cs="Times New Roman"/>
          <w:bCs/>
          <w:color w:val="000000" w:themeColor="text1"/>
          <w:szCs w:val="24"/>
          <w:highlight w:val="none"/>
          <w14:textFill>
            <w14:solidFill>
              <w14:schemeClr w14:val="tx1"/>
            </w14:solidFill>
          </w14:textFill>
        </w:rPr>
      </w:pPr>
      <w:bookmarkStart w:id="298" w:name="_Toc14702795"/>
      <w:bookmarkStart w:id="299" w:name="_Toc9106"/>
      <w:r>
        <w:rPr>
          <w:rFonts w:eastAsia="黑体" w:cs="Times New Roman"/>
          <w:bCs/>
          <w:color w:val="000000" w:themeColor="text1"/>
          <w:szCs w:val="24"/>
          <w:highlight w:val="none"/>
          <w14:textFill>
            <w14:solidFill>
              <w14:schemeClr w14:val="tx1"/>
            </w14:solidFill>
          </w14:textFill>
        </w:rPr>
        <w:t>1、地下水环境现状评价因子</w:t>
      </w:r>
      <w:bookmarkEnd w:id="298"/>
      <w:bookmarkEnd w:id="299"/>
    </w:p>
    <w:p>
      <w:pPr>
        <w:widowControl/>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地下水环境：K</w:t>
      </w:r>
      <w:r>
        <w:rPr>
          <w:rFonts w:cs="Times New Roman"/>
          <w:bCs/>
          <w:color w:val="000000" w:themeColor="text1"/>
          <w:szCs w:val="24"/>
          <w:highlight w:val="none"/>
          <w:vertAlign w:val="superscript"/>
          <w14:textFill>
            <w14:solidFill>
              <w14:schemeClr w14:val="tx1"/>
            </w14:solidFill>
          </w14:textFill>
        </w:rPr>
        <w:t>+</w:t>
      </w:r>
      <w:r>
        <w:rPr>
          <w:rFonts w:cs="Times New Roman"/>
          <w:bCs/>
          <w:color w:val="000000" w:themeColor="text1"/>
          <w:szCs w:val="24"/>
          <w:highlight w:val="none"/>
          <w14:textFill>
            <w14:solidFill>
              <w14:schemeClr w14:val="tx1"/>
            </w14:solidFill>
          </w14:textFill>
        </w:rPr>
        <w:t>、Na</w:t>
      </w:r>
      <w:r>
        <w:rPr>
          <w:rFonts w:cs="Times New Roman"/>
          <w:bCs/>
          <w:color w:val="000000" w:themeColor="text1"/>
          <w:szCs w:val="24"/>
          <w:highlight w:val="none"/>
          <w:vertAlign w:val="superscript"/>
          <w14:textFill>
            <w14:solidFill>
              <w14:schemeClr w14:val="tx1"/>
            </w14:solidFill>
          </w14:textFill>
        </w:rPr>
        <w:t>+</w:t>
      </w:r>
      <w:r>
        <w:rPr>
          <w:rFonts w:cs="Times New Roman"/>
          <w:bCs/>
          <w:color w:val="000000" w:themeColor="text1"/>
          <w:szCs w:val="24"/>
          <w:highlight w:val="none"/>
          <w14:textFill>
            <w14:solidFill>
              <w14:schemeClr w14:val="tx1"/>
            </w14:solidFill>
          </w14:textFill>
        </w:rPr>
        <w:t>、Ca</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、Mg</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、CO</w:t>
      </w:r>
      <w:r>
        <w:rPr>
          <w:rFonts w:cs="Times New Roman"/>
          <w:bCs/>
          <w:color w:val="000000" w:themeColor="text1"/>
          <w:szCs w:val="24"/>
          <w:highlight w:val="none"/>
          <w:vertAlign w:val="subscript"/>
          <w14:textFill>
            <w14:solidFill>
              <w14:schemeClr w14:val="tx1"/>
            </w14:solidFill>
          </w14:textFill>
        </w:rPr>
        <w:t>3</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、HCO</w:t>
      </w:r>
      <w:r>
        <w:rPr>
          <w:rFonts w:cs="Times New Roman"/>
          <w:bCs/>
          <w:color w:val="000000" w:themeColor="text1"/>
          <w:szCs w:val="24"/>
          <w:highlight w:val="none"/>
          <w:vertAlign w:val="superscript"/>
          <w14:textFill>
            <w14:solidFill>
              <w14:schemeClr w14:val="tx1"/>
            </w14:solidFill>
          </w14:textFill>
        </w:rPr>
        <w:t>3-</w:t>
      </w:r>
      <w:r>
        <w:rPr>
          <w:rFonts w:cs="Times New Roman"/>
          <w:bCs/>
          <w:color w:val="000000" w:themeColor="text1"/>
          <w:szCs w:val="24"/>
          <w:highlight w:val="none"/>
          <w14:textFill>
            <w14:solidFill>
              <w14:schemeClr w14:val="tx1"/>
            </w14:solidFill>
          </w14:textFill>
        </w:rPr>
        <w:t>、Cl</w:t>
      </w:r>
      <w:r>
        <w:rPr>
          <w:rFonts w:cs="Times New Roman"/>
          <w:bCs/>
          <w:color w:val="000000" w:themeColor="text1"/>
          <w:szCs w:val="24"/>
          <w:highlight w:val="none"/>
          <w:vertAlign w:val="superscript"/>
          <w14:textFill>
            <w14:solidFill>
              <w14:schemeClr w14:val="tx1"/>
            </w14:solidFill>
          </w14:textFill>
        </w:rPr>
        <w:t>-</w:t>
      </w:r>
      <w:r>
        <w:rPr>
          <w:rFonts w:cs="Times New Roman"/>
          <w:bCs/>
          <w:color w:val="000000" w:themeColor="text1"/>
          <w:szCs w:val="24"/>
          <w:highlight w:val="none"/>
          <w14:textFill>
            <w14:solidFill>
              <w14:schemeClr w14:val="tx1"/>
            </w14:solidFill>
          </w14:textFill>
        </w:rPr>
        <w:t>、SO</w:t>
      </w:r>
      <w:r>
        <w:rPr>
          <w:rFonts w:cs="Times New Roman"/>
          <w:bCs/>
          <w:color w:val="000000" w:themeColor="text1"/>
          <w:szCs w:val="24"/>
          <w:highlight w:val="none"/>
          <w:vertAlign w:val="subscript"/>
          <w14:textFill>
            <w14:solidFill>
              <w14:schemeClr w14:val="tx1"/>
            </w14:solidFill>
          </w14:textFill>
        </w:rPr>
        <w:t>4</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、pH、氨氮、硝酸盐、亚硝酸盐、挥发性酚类、氰化物、砷、汞、铬（六价）、总硬度、铅、氟、镉、铁、锰、溶解性总固体、高锰酸盐指数、硫酸盐、总大肠菌群、细菌总数。</w:t>
      </w:r>
    </w:p>
    <w:p>
      <w:pPr>
        <w:widowControl/>
        <w:ind w:firstLine="480"/>
        <w:rPr>
          <w:rFonts w:eastAsia="黑体" w:cs="Times New Roman"/>
          <w:bCs/>
          <w:color w:val="000000" w:themeColor="text1"/>
          <w:szCs w:val="24"/>
          <w:highlight w:val="none"/>
          <w14:textFill>
            <w14:solidFill>
              <w14:schemeClr w14:val="tx1"/>
            </w14:solidFill>
          </w14:textFill>
        </w:rPr>
      </w:pPr>
      <w:bookmarkStart w:id="300" w:name="_Toc14702796"/>
      <w:bookmarkStart w:id="301" w:name="_Toc21960"/>
      <w:r>
        <w:rPr>
          <w:rFonts w:eastAsia="黑体" w:cs="Times New Roman"/>
          <w:bCs/>
          <w:color w:val="000000" w:themeColor="text1"/>
          <w:szCs w:val="24"/>
          <w:highlight w:val="none"/>
          <w14:textFill>
            <w14:solidFill>
              <w14:schemeClr w14:val="tx1"/>
            </w14:solidFill>
          </w14:textFill>
        </w:rPr>
        <w:t>2、地下水环境影响评价因子</w:t>
      </w:r>
      <w:bookmarkEnd w:id="300"/>
      <w:bookmarkEnd w:id="301"/>
    </w:p>
    <w:p>
      <w:pPr>
        <w:widowControl/>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鉴于本项目废水具有氯化物、悬浮物含量高，含石油类、有机物，且变化范围大，水质复杂的特点，类比同类项目，本项目产生废水水质主要含有有机物、石油类、氯离子、无机盐等。</w:t>
      </w:r>
    </w:p>
    <w:p>
      <w:pPr>
        <w:widowControl/>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环境影响评价技术导则-地下水环境》（HJ610-2016），预测因子识别应对项目污染物进行分类后（重金属、持久性污染物和其他类别进行分类），对每一类中各项因子采用标准指数法进行排序，分别取标准指数最大的因子作为预测因子；如该项目属于改扩建项目，将选择技改后继续产生的特征因子，改扩建后新增加的特征因子作为预测因子；污染场地已经查明的主要污染物作为预测因子。</w:t>
      </w:r>
    </w:p>
    <w:p>
      <w:pPr>
        <w:widowControl/>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根据监测资料，雷页1</w:t>
      </w:r>
      <w:r>
        <w:rPr>
          <w:rFonts w:hint="eastAsia" w:cs="Times New Roman"/>
          <w:bCs/>
          <w:color w:val="000000" w:themeColor="text1"/>
          <w:szCs w:val="24"/>
          <w:highlight w:val="none"/>
          <w14:textFill>
            <w14:solidFill>
              <w14:schemeClr w14:val="tx1"/>
            </w14:solidFill>
          </w14:textFill>
        </w:rPr>
        <w:t>试采站</w:t>
      </w:r>
      <w:r>
        <w:rPr>
          <w:rFonts w:cs="Times New Roman"/>
          <w:bCs/>
          <w:color w:val="000000" w:themeColor="text1"/>
          <w:szCs w:val="24"/>
          <w:highlight w:val="none"/>
          <w14:textFill>
            <w14:solidFill>
              <w14:schemeClr w14:val="tx1"/>
            </w14:solidFill>
          </w14:textFill>
        </w:rPr>
        <w:t>附近潜水含水层地下水水质良好，所有指标均未超过《地下水质量标准》（GB/T14848-2017）中的Ⅲ类标准限值要求。基于本项目废水的水质特征，选择无机离子中等标污染负荷最大的氯离子，持久性污染物中等标污染负荷最大的COD</w:t>
      </w:r>
      <w:r>
        <w:rPr>
          <w:rFonts w:cs="Times New Roman"/>
          <w:bCs/>
          <w:color w:val="000000" w:themeColor="text1"/>
          <w:szCs w:val="24"/>
          <w:highlight w:val="none"/>
          <w:vertAlign w:val="subscript"/>
          <w14:textFill>
            <w14:solidFill>
              <w14:schemeClr w14:val="tx1"/>
            </w14:solidFill>
          </w14:textFill>
        </w:rPr>
        <w:t>Cr</w:t>
      </w:r>
      <w:r>
        <w:rPr>
          <w:rFonts w:cs="Times New Roman"/>
          <w:bCs/>
          <w:color w:val="000000" w:themeColor="text1"/>
          <w:szCs w:val="24"/>
          <w:highlight w:val="none"/>
          <w14:textFill>
            <w14:solidFill>
              <w14:schemeClr w14:val="tx1"/>
            </w14:solidFill>
          </w14:textFill>
        </w:rPr>
        <w:t>，特征污染因子石油类作为本次评价的预测因子。</w:t>
      </w:r>
    </w:p>
    <w:p>
      <w:pPr>
        <w:pStyle w:val="6"/>
        <w:spacing w:before="120"/>
        <w:rPr>
          <w:color w:val="000000" w:themeColor="text1"/>
          <w:highlight w:val="none"/>
          <w14:textFill>
            <w14:solidFill>
              <w14:schemeClr w14:val="tx1"/>
            </w14:solidFill>
          </w14:textFill>
        </w:rPr>
      </w:pPr>
      <w:bookmarkStart w:id="302" w:name="_Toc155259319"/>
      <w:bookmarkStart w:id="303" w:name="_Toc148467291"/>
      <w:bookmarkStart w:id="304" w:name="_Toc14702804"/>
      <w:r>
        <w:rPr>
          <w:color w:val="000000" w:themeColor="text1"/>
          <w:highlight w:val="none"/>
          <w14:textFill>
            <w14:solidFill>
              <w14:schemeClr w14:val="tx1"/>
            </w14:solidFill>
          </w14:textFill>
        </w:rPr>
        <w:t>水文地质参数识别</w:t>
      </w:r>
      <w:bookmarkEnd w:id="302"/>
      <w:bookmarkEnd w:id="303"/>
      <w:bookmarkEnd w:id="304"/>
    </w:p>
    <w:p>
      <w:pPr>
        <w:widowControl/>
        <w:ind w:firstLine="480"/>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本次评价充分参考《雷页1井钻探工程环境影响评价专题》的地下水环境影响评价成果来选取水文地质参数。项目区域浅层风化带裂隙水储水介质为侏罗系中统上沙溪庙组</w:t>
      </w:r>
      <w:r>
        <w:rPr>
          <w:rFonts w:hint="eastAsia" w:cs="Times New Roman"/>
          <w:color w:val="000000" w:themeColor="text1"/>
          <w:kern w:val="0"/>
          <w:szCs w:val="24"/>
          <w:highlight w:val="none"/>
          <w14:textFill>
            <w14:solidFill>
              <w14:schemeClr w14:val="tx1"/>
            </w14:solidFill>
          </w14:textFill>
        </w:rPr>
        <w:t>（</w:t>
      </w:r>
      <w:r>
        <w:rPr>
          <w:rFonts w:cs="Times New Roman"/>
          <w:color w:val="000000" w:themeColor="text1"/>
          <w:kern w:val="0"/>
          <w:szCs w:val="24"/>
          <w:highlight w:val="none"/>
          <w14:textFill>
            <w14:solidFill>
              <w14:schemeClr w14:val="tx1"/>
            </w14:solidFill>
          </w14:textFill>
        </w:rPr>
        <w:t>J</w:t>
      </w:r>
      <w:r>
        <w:rPr>
          <w:rFonts w:cs="Times New Roman"/>
          <w:color w:val="000000" w:themeColor="text1"/>
          <w:kern w:val="0"/>
          <w:szCs w:val="24"/>
          <w:highlight w:val="none"/>
          <w:vertAlign w:val="subscript"/>
          <w14:textFill>
            <w14:solidFill>
              <w14:schemeClr w14:val="tx1"/>
            </w14:solidFill>
          </w14:textFill>
        </w:rPr>
        <w:t>2</w:t>
      </w:r>
      <w:r>
        <w:rPr>
          <w:rFonts w:cs="Times New Roman"/>
          <w:color w:val="000000" w:themeColor="text1"/>
          <w:kern w:val="0"/>
          <w:szCs w:val="24"/>
          <w:highlight w:val="none"/>
          <w14:textFill>
            <w14:solidFill>
              <w14:schemeClr w14:val="tx1"/>
            </w14:solidFill>
          </w14:textFill>
        </w:rPr>
        <w:t>s</w:t>
      </w:r>
      <w:r>
        <w:rPr>
          <w:rFonts w:cs="Times New Roman"/>
          <w:color w:val="000000" w:themeColor="text1"/>
          <w:kern w:val="0"/>
          <w:szCs w:val="24"/>
          <w:highlight w:val="none"/>
          <w:vertAlign w:val="superscript"/>
          <w14:textFill>
            <w14:solidFill>
              <w14:schemeClr w14:val="tx1"/>
            </w14:solidFill>
          </w14:textFill>
        </w:rPr>
        <w:t>2</w:t>
      </w:r>
      <w:r>
        <w:rPr>
          <w:rFonts w:hint="eastAsia" w:cs="Times New Roman"/>
          <w:color w:val="000000" w:themeColor="text1"/>
          <w:kern w:val="0"/>
          <w:szCs w:val="24"/>
          <w:highlight w:val="none"/>
          <w:vertAlign w:val="superscript"/>
          <w14:textFill>
            <w14:solidFill>
              <w14:schemeClr w14:val="tx1"/>
            </w14:solidFill>
          </w14:textFill>
        </w:rPr>
        <w:t>）</w:t>
      </w:r>
      <w:r>
        <w:rPr>
          <w:rFonts w:cs="Times New Roman"/>
          <w:color w:val="000000" w:themeColor="text1"/>
          <w:kern w:val="0"/>
          <w:szCs w:val="24"/>
          <w:highlight w:val="none"/>
          <w14:textFill>
            <w14:solidFill>
              <w14:schemeClr w14:val="tx1"/>
            </w14:solidFill>
          </w14:textFill>
        </w:rPr>
        <w:t>地层，地层岩性为紫红色泥岩、粉砂质泥岩与灰～绿灰色细砂岩、粉砂岩、泥质粉砂岩呈不等厚互层；砂岩类在上部以薄～中层状为主，中、下部以厚层状为主。与下伏下沙溪庙组整合接触。</w:t>
      </w:r>
    </w:p>
    <w:p>
      <w:pPr>
        <w:pStyle w:val="6"/>
        <w:spacing w:before="120"/>
        <w:rPr>
          <w:color w:val="000000" w:themeColor="text1"/>
          <w:highlight w:val="none"/>
          <w14:textFill>
            <w14:solidFill>
              <w14:schemeClr w14:val="tx1"/>
            </w14:solidFill>
          </w14:textFill>
        </w:rPr>
      </w:pPr>
      <w:bookmarkStart w:id="305" w:name="_Toc155259320"/>
      <w:bookmarkStart w:id="306" w:name="_Toc148467292"/>
      <w:r>
        <w:rPr>
          <w:color w:val="000000" w:themeColor="text1"/>
          <w:highlight w:val="none"/>
          <w14:textFill>
            <w14:solidFill>
              <w14:schemeClr w14:val="tx1"/>
            </w14:solidFill>
          </w14:textFill>
        </w:rPr>
        <w:t>地下水污染源源强分析</w:t>
      </w:r>
      <w:bookmarkEnd w:id="305"/>
      <w:bookmarkEnd w:id="306"/>
    </w:p>
    <w:p>
      <w:pPr>
        <w:widowControl/>
        <w:ind w:firstLine="480"/>
        <w:rPr>
          <w:rFonts w:eastAsia="黑体" w:cs="Times New Roman"/>
          <w:bCs/>
          <w:color w:val="000000" w:themeColor="text1"/>
          <w:szCs w:val="24"/>
          <w:highlight w:val="none"/>
          <w14:textFill>
            <w14:solidFill>
              <w14:schemeClr w14:val="tx1"/>
            </w14:solidFill>
          </w14:textFill>
        </w:rPr>
      </w:pPr>
      <w:r>
        <w:rPr>
          <w:rFonts w:eastAsia="黑体" w:cs="Times New Roman"/>
          <w:bCs/>
          <w:color w:val="000000" w:themeColor="text1"/>
          <w:szCs w:val="24"/>
          <w:highlight w:val="none"/>
          <w14:textFill>
            <w14:solidFill>
              <w14:schemeClr w14:val="tx1"/>
            </w14:solidFill>
          </w14:textFill>
        </w:rPr>
        <w:t>1、产污环节分析</w:t>
      </w:r>
    </w:p>
    <w:p>
      <w:pPr>
        <w:widowControl/>
        <w:ind w:firstLine="480"/>
        <w:rPr>
          <w:rFonts w:cs="Times New Roman"/>
          <w:bCs/>
          <w:color w:val="000000" w:themeColor="text1"/>
          <w:kern w:val="0"/>
          <w:szCs w:val="24"/>
          <w:highlight w:val="none"/>
          <w14:textFill>
            <w14:solidFill>
              <w14:schemeClr w14:val="tx1"/>
            </w14:solidFill>
          </w14:textFill>
        </w:rPr>
      </w:pPr>
      <w:r>
        <w:rPr>
          <w:rFonts w:hint="eastAsia" w:cs="Times New Roman"/>
          <w:bCs/>
          <w:color w:val="000000" w:themeColor="text1"/>
          <w:kern w:val="0"/>
          <w:szCs w:val="24"/>
          <w:highlight w:val="none"/>
          <w14:textFill>
            <w14:solidFill>
              <w14:schemeClr w14:val="tx1"/>
            </w14:solidFill>
          </w14:textFill>
        </w:rPr>
        <w:t>试采站</w:t>
      </w:r>
      <w:r>
        <w:rPr>
          <w:rFonts w:cs="Times New Roman"/>
          <w:bCs/>
          <w:color w:val="000000" w:themeColor="text1"/>
          <w:kern w:val="0"/>
          <w:szCs w:val="24"/>
          <w:highlight w:val="none"/>
          <w14:textFill>
            <w14:solidFill>
              <w14:schemeClr w14:val="tx1"/>
            </w14:solidFill>
          </w14:textFill>
        </w:rPr>
        <w:t>施工期施工时间短，废水产生量小且为一般施工废水，无特殊污染物，回用于洒水降尘不会对地下水环境造成影响；</w:t>
      </w:r>
      <w:r>
        <w:rPr>
          <w:rFonts w:hint="eastAsia" w:cs="Times New Roman"/>
          <w:bCs/>
          <w:color w:val="000000" w:themeColor="text1"/>
          <w:kern w:val="0"/>
          <w:szCs w:val="24"/>
          <w:highlight w:val="none"/>
          <w14:textFill>
            <w14:solidFill>
              <w14:schemeClr w14:val="tx1"/>
            </w14:solidFill>
          </w14:textFill>
        </w:rPr>
        <w:t>试</w:t>
      </w:r>
      <w:r>
        <w:rPr>
          <w:rFonts w:cs="Times New Roman"/>
          <w:bCs/>
          <w:color w:val="000000" w:themeColor="text1"/>
          <w:kern w:val="0"/>
          <w:szCs w:val="24"/>
          <w:highlight w:val="none"/>
          <w14:textFill>
            <w14:solidFill>
              <w14:schemeClr w14:val="tx1"/>
            </w14:solidFill>
          </w14:textFill>
        </w:rPr>
        <w:t>采期</w:t>
      </w:r>
      <w:r>
        <w:rPr>
          <w:rFonts w:hint="eastAsia" w:cs="Times New Roman"/>
          <w:bCs/>
          <w:color w:val="000000" w:themeColor="text1"/>
          <w:kern w:val="0"/>
          <w:szCs w:val="24"/>
          <w:highlight w:val="none"/>
          <w14:textFill>
            <w14:solidFill>
              <w14:schemeClr w14:val="tx1"/>
            </w14:solidFill>
          </w14:textFill>
        </w:rPr>
        <w:t>管线埋设于地下，集气管线输送介质为原料气，主要成分为甲烷（CH</w:t>
      </w:r>
      <w:r>
        <w:rPr>
          <w:rFonts w:hint="eastAsia" w:cs="Times New Roman"/>
          <w:bCs/>
          <w:color w:val="000000" w:themeColor="text1"/>
          <w:kern w:val="0"/>
          <w:szCs w:val="24"/>
          <w:highlight w:val="none"/>
          <w:vertAlign w:val="subscript"/>
          <w14:textFill>
            <w14:solidFill>
              <w14:schemeClr w14:val="tx1"/>
            </w14:solidFill>
          </w14:textFill>
        </w:rPr>
        <w:t>4</w:t>
      </w:r>
      <w:r>
        <w:rPr>
          <w:rFonts w:hint="eastAsia" w:cs="Times New Roman"/>
          <w:bCs/>
          <w:color w:val="000000" w:themeColor="text1"/>
          <w:kern w:val="0"/>
          <w:szCs w:val="24"/>
          <w:highlight w:val="none"/>
          <w14:textFill>
            <w14:solidFill>
              <w14:schemeClr w14:val="tx1"/>
            </w14:solidFill>
          </w14:textFill>
        </w:rPr>
        <w:t>），运营期间无废水产生。管道防腐设计严格按照相关规定，采用外防腐层和阴极保护联合保护的方案对管道进行保护，因此对地下水也不会造成影响；试采期雷页1井试采站内</w:t>
      </w:r>
      <w:r>
        <w:rPr>
          <w:rFonts w:cs="Times New Roman"/>
          <w:bCs/>
          <w:color w:val="000000" w:themeColor="text1"/>
          <w:kern w:val="0"/>
          <w:szCs w:val="24"/>
          <w:highlight w:val="none"/>
          <w14:textFill>
            <w14:solidFill>
              <w14:schemeClr w14:val="tx1"/>
            </w14:solidFill>
          </w14:textFill>
        </w:rPr>
        <w:t>产生</w:t>
      </w:r>
      <w:r>
        <w:rPr>
          <w:rFonts w:hint="eastAsia" w:cs="Times New Roman"/>
          <w:bCs/>
          <w:color w:val="000000" w:themeColor="text1"/>
          <w:kern w:val="0"/>
          <w:szCs w:val="24"/>
          <w:highlight w:val="none"/>
          <w14:textFill>
            <w14:solidFill>
              <w14:schemeClr w14:val="tx1"/>
            </w14:solidFill>
          </w14:textFill>
        </w:rPr>
        <w:t>的</w:t>
      </w:r>
      <w:r>
        <w:rPr>
          <w:rFonts w:cs="Times New Roman"/>
          <w:bCs/>
          <w:color w:val="000000" w:themeColor="text1"/>
          <w:kern w:val="0"/>
          <w:szCs w:val="24"/>
          <w:highlight w:val="none"/>
          <w14:textFill>
            <w14:solidFill>
              <w14:schemeClr w14:val="tx1"/>
            </w14:solidFill>
          </w14:textFill>
        </w:rPr>
        <w:t>气田水由污水</w:t>
      </w:r>
      <w:r>
        <w:rPr>
          <w:rFonts w:hint="eastAsia" w:cs="Times New Roman"/>
          <w:bCs/>
          <w:color w:val="000000" w:themeColor="text1"/>
          <w:kern w:val="0"/>
          <w:szCs w:val="24"/>
          <w:highlight w:val="none"/>
          <w14:textFill>
            <w14:solidFill>
              <w14:schemeClr w14:val="tx1"/>
            </w14:solidFill>
          </w14:textFill>
        </w:rPr>
        <w:t>罐</w:t>
      </w:r>
      <w:r>
        <w:rPr>
          <w:rFonts w:cs="Times New Roman"/>
          <w:bCs/>
          <w:color w:val="000000" w:themeColor="text1"/>
          <w:kern w:val="0"/>
          <w:szCs w:val="24"/>
          <w:highlight w:val="none"/>
          <w14:textFill>
            <w14:solidFill>
              <w14:schemeClr w14:val="tx1"/>
            </w14:solidFill>
          </w14:textFill>
        </w:rPr>
        <w:t>收集后外运处理，污水池设置于防渗区</w:t>
      </w:r>
      <w:r>
        <w:rPr>
          <w:rFonts w:hint="eastAsia" w:cs="Times New Roman"/>
          <w:bCs/>
          <w:color w:val="000000" w:themeColor="text1"/>
          <w:kern w:val="0"/>
          <w:szCs w:val="24"/>
          <w:highlight w:val="none"/>
          <w14:textFill>
            <w14:solidFill>
              <w14:schemeClr w14:val="tx1"/>
            </w14:solidFill>
          </w14:textFill>
        </w:rPr>
        <w:t>并设置了围堰</w:t>
      </w:r>
      <w:r>
        <w:rPr>
          <w:rFonts w:cs="Times New Roman"/>
          <w:bCs/>
          <w:color w:val="000000" w:themeColor="text1"/>
          <w:kern w:val="0"/>
          <w:szCs w:val="24"/>
          <w:highlight w:val="none"/>
          <w14:textFill>
            <w14:solidFill>
              <w14:schemeClr w14:val="tx1"/>
            </w14:solidFill>
          </w14:textFill>
        </w:rPr>
        <w:t>，事故情况下也难以入渗地下水系统，不会对地下水造成污染；</w:t>
      </w:r>
      <w:r>
        <w:rPr>
          <w:rFonts w:cs="Times New Roman"/>
          <w:color w:val="000000" w:themeColor="text1"/>
          <w:kern w:val="0"/>
          <w:szCs w:val="24"/>
          <w:highlight w:val="none"/>
          <w14:textFill>
            <w14:solidFill>
              <w14:schemeClr w14:val="tx1"/>
            </w14:solidFill>
          </w14:textFill>
        </w:rPr>
        <w:t>开采期工作人员生活污水经生态厕所收集后定期由密闭罐车拉运至周边生活污水处理厂处理</w:t>
      </w:r>
      <w:r>
        <w:rPr>
          <w:rFonts w:cs="Times New Roman"/>
          <w:bCs/>
          <w:color w:val="000000" w:themeColor="text1"/>
          <w:kern w:val="0"/>
          <w:szCs w:val="24"/>
          <w:highlight w:val="none"/>
          <w14:textFill>
            <w14:solidFill>
              <w14:schemeClr w14:val="tx1"/>
            </w14:solidFill>
          </w14:textFill>
        </w:rPr>
        <w:t>。</w:t>
      </w:r>
    </w:p>
    <w:p>
      <w:pPr>
        <w:widowControl/>
        <w:ind w:firstLine="480"/>
        <w:rPr>
          <w:rFonts w:eastAsia="黑体" w:cs="Times New Roman"/>
          <w:bCs/>
          <w:color w:val="000000" w:themeColor="text1"/>
          <w:szCs w:val="24"/>
          <w:highlight w:val="none"/>
          <w14:textFill>
            <w14:solidFill>
              <w14:schemeClr w14:val="tx1"/>
            </w14:solidFill>
          </w14:textFill>
        </w:rPr>
      </w:pPr>
      <w:bookmarkStart w:id="307" w:name="_Toc14702812"/>
      <w:r>
        <w:rPr>
          <w:rFonts w:eastAsia="黑体" w:cs="Times New Roman"/>
          <w:bCs/>
          <w:color w:val="000000" w:themeColor="text1"/>
          <w:szCs w:val="24"/>
          <w:highlight w:val="none"/>
          <w14:textFill>
            <w14:solidFill>
              <w14:schemeClr w14:val="tx1"/>
            </w14:solidFill>
          </w14:textFill>
        </w:rPr>
        <w:t>2、地下水污染源分析</w:t>
      </w:r>
      <w:bookmarkEnd w:id="307"/>
    </w:p>
    <w:p>
      <w:pPr>
        <w:widowControl/>
        <w:ind w:firstLine="482"/>
        <w:rPr>
          <w:rFonts w:cs="Times New Roman"/>
          <w:b/>
          <w:bCs/>
          <w:color w:val="000000" w:themeColor="text1"/>
          <w:kern w:val="0"/>
          <w:szCs w:val="24"/>
          <w:highlight w:val="none"/>
          <w14:textFill>
            <w14:solidFill>
              <w14:schemeClr w14:val="tx1"/>
            </w14:solidFill>
          </w14:textFill>
        </w:rPr>
      </w:pPr>
      <w:bookmarkStart w:id="308" w:name="_Toc29002"/>
      <w:r>
        <w:rPr>
          <w:rFonts w:cs="Times New Roman"/>
          <w:b/>
          <w:bCs/>
          <w:color w:val="000000" w:themeColor="text1"/>
          <w:kern w:val="0"/>
          <w:szCs w:val="24"/>
          <w:highlight w:val="none"/>
          <w14:textFill>
            <w14:solidFill>
              <w14:schemeClr w14:val="tx1"/>
            </w14:solidFill>
          </w14:textFill>
        </w:rPr>
        <w:t>（1）正常状况</w:t>
      </w:r>
    </w:p>
    <w:p>
      <w:pPr>
        <w:widowControl/>
        <w:ind w:firstLine="480"/>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本项目的地下水污染源主要为气田水，气田水储存于污水</w:t>
      </w:r>
      <w:r>
        <w:rPr>
          <w:rFonts w:hint="eastAsia" w:cs="Times New Roman"/>
          <w:color w:val="000000" w:themeColor="text1"/>
          <w:kern w:val="0"/>
          <w:szCs w:val="24"/>
          <w:highlight w:val="none"/>
          <w14:textFill>
            <w14:solidFill>
              <w14:schemeClr w14:val="tx1"/>
            </w14:solidFill>
          </w14:textFill>
        </w:rPr>
        <w:t>罐</w:t>
      </w:r>
      <w:r>
        <w:rPr>
          <w:rFonts w:cs="Times New Roman"/>
          <w:color w:val="000000" w:themeColor="text1"/>
          <w:kern w:val="0"/>
          <w:szCs w:val="24"/>
          <w:highlight w:val="none"/>
          <w14:textFill>
            <w14:solidFill>
              <w14:schemeClr w14:val="tx1"/>
            </w14:solidFill>
          </w14:textFill>
        </w:rPr>
        <w:t>中，一般情况下，只要对各种地下水污染源及时采取转运、防渗等方式处理，就不会对地下水水质产生大的影响。与此同时，</w:t>
      </w:r>
      <w:r>
        <w:rPr>
          <w:rFonts w:hint="eastAsia" w:cs="Times New Roman"/>
          <w:color w:val="000000" w:themeColor="text1"/>
          <w:kern w:val="0"/>
          <w:szCs w:val="24"/>
          <w:highlight w:val="none"/>
          <w14:textFill>
            <w14:solidFill>
              <w14:schemeClr w14:val="tx1"/>
            </w14:solidFill>
          </w14:textFill>
        </w:rPr>
        <w:t>站场</w:t>
      </w:r>
      <w:r>
        <w:rPr>
          <w:rFonts w:cs="Times New Roman"/>
          <w:color w:val="000000" w:themeColor="text1"/>
          <w:kern w:val="0"/>
          <w:szCs w:val="24"/>
          <w:highlight w:val="none"/>
          <w14:textFill>
            <w14:solidFill>
              <w14:schemeClr w14:val="tx1"/>
            </w14:solidFill>
          </w14:textFill>
        </w:rPr>
        <w:t>选址于地质稳定地带，也不受当地河水洪灾危险，正常状况下废水外溢及下渗造成地下水污染的可能性极小。</w:t>
      </w:r>
    </w:p>
    <w:p>
      <w:pPr>
        <w:widowControl/>
        <w:ind w:firstLine="480"/>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本工程按《环境影响评价技术导则—地下水环境》（HJ 610-2016）和《石油化工工程防渗技术规范》（GB/T50934-2013）设计地下水防渗措施，根据《环境影响评价技术导则—地下水环境》（HJ 610-2016）中9.4.2，本工程不进行正常状况情景下的预测。</w:t>
      </w:r>
    </w:p>
    <w:p>
      <w:pPr>
        <w:widowControl/>
        <w:ind w:firstLine="482"/>
        <w:rPr>
          <w:rFonts w:cs="Times New Roman"/>
          <w:b/>
          <w:bCs/>
          <w:color w:val="000000" w:themeColor="text1"/>
          <w:kern w:val="0"/>
          <w:szCs w:val="24"/>
          <w:highlight w:val="none"/>
          <w14:textFill>
            <w14:solidFill>
              <w14:schemeClr w14:val="tx1"/>
            </w14:solidFill>
          </w14:textFill>
        </w:rPr>
      </w:pPr>
      <w:r>
        <w:rPr>
          <w:rFonts w:cs="Times New Roman"/>
          <w:b/>
          <w:bCs/>
          <w:color w:val="000000" w:themeColor="text1"/>
          <w:kern w:val="0"/>
          <w:szCs w:val="24"/>
          <w:highlight w:val="none"/>
          <w14:textFill>
            <w14:solidFill>
              <w14:schemeClr w14:val="tx1"/>
            </w14:solidFill>
          </w14:textFill>
        </w:rPr>
        <w:t>（2）非正常状况</w:t>
      </w:r>
    </w:p>
    <w:p>
      <w:pPr>
        <w:widowControl/>
        <w:ind w:firstLine="480"/>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1）污染源分析</w:t>
      </w:r>
    </w:p>
    <w:p>
      <w:pPr>
        <w:widowControl/>
        <w:ind w:firstLine="480"/>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非正常状况下本项目对地下水可能产生的不利影响途径主要为污水</w:t>
      </w:r>
      <w:r>
        <w:rPr>
          <w:rFonts w:hint="eastAsia" w:cs="Times New Roman"/>
          <w:color w:val="000000" w:themeColor="text1"/>
          <w:kern w:val="0"/>
          <w:szCs w:val="24"/>
          <w:highlight w:val="none"/>
          <w14:textFill>
            <w14:solidFill>
              <w14:schemeClr w14:val="tx1"/>
            </w14:solidFill>
          </w14:textFill>
        </w:rPr>
        <w:t>罐</w:t>
      </w:r>
      <w:r>
        <w:rPr>
          <w:rFonts w:cs="Times New Roman"/>
          <w:color w:val="000000" w:themeColor="text1"/>
          <w:kern w:val="0"/>
          <w:szCs w:val="24"/>
          <w:highlight w:val="none"/>
          <w14:textFill>
            <w14:solidFill>
              <w14:schemeClr w14:val="tx1"/>
            </w14:solidFill>
          </w14:textFill>
        </w:rPr>
        <w:t>发生腐蚀</w:t>
      </w:r>
      <w:r>
        <w:rPr>
          <w:rFonts w:hint="eastAsia" w:cs="Times New Roman"/>
          <w:color w:val="000000" w:themeColor="text1"/>
          <w:kern w:val="0"/>
          <w:szCs w:val="24"/>
          <w:highlight w:val="none"/>
          <w14:textFill>
            <w14:solidFill>
              <w14:schemeClr w14:val="tx1"/>
            </w14:solidFill>
          </w14:textFill>
        </w:rPr>
        <w:t>导致气田水</w:t>
      </w:r>
      <w:r>
        <w:rPr>
          <w:rFonts w:cs="Times New Roman"/>
          <w:color w:val="000000" w:themeColor="text1"/>
          <w:kern w:val="0"/>
          <w:szCs w:val="24"/>
          <w:highlight w:val="none"/>
          <w14:textFill>
            <w14:solidFill>
              <w14:schemeClr w14:val="tx1"/>
            </w14:solidFill>
          </w14:textFill>
        </w:rPr>
        <w:t>渗漏</w:t>
      </w:r>
      <w:r>
        <w:rPr>
          <w:rFonts w:hint="eastAsia" w:cs="Times New Roman"/>
          <w:color w:val="000000" w:themeColor="text1"/>
          <w:kern w:val="0"/>
          <w:szCs w:val="24"/>
          <w:highlight w:val="none"/>
          <w14:textFill>
            <w14:solidFill>
              <w14:schemeClr w14:val="tx1"/>
            </w14:solidFill>
          </w14:textFill>
        </w:rPr>
        <w:t>至外环境</w:t>
      </w:r>
      <w:r>
        <w:rPr>
          <w:rFonts w:cs="Times New Roman"/>
          <w:color w:val="000000" w:themeColor="text1"/>
          <w:kern w:val="0"/>
          <w:szCs w:val="24"/>
          <w:highlight w:val="none"/>
          <w14:textFill>
            <w14:solidFill>
              <w14:schemeClr w14:val="tx1"/>
            </w14:solidFill>
          </w14:textFill>
        </w:rPr>
        <w:t>，入渗地下水，造成地下水污染；</w:t>
      </w:r>
    </w:p>
    <w:p>
      <w:pPr>
        <w:widowControl/>
        <w:ind w:firstLine="480"/>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2）源强分析</w:t>
      </w:r>
    </w:p>
    <w:p>
      <w:pPr>
        <w:widowControl/>
        <w:ind w:firstLine="480"/>
        <w:rPr>
          <w:rFonts w:cs="Times New Roman"/>
          <w:color w:val="000000" w:themeColor="text1"/>
          <w:kern w:val="0"/>
          <w:szCs w:val="24"/>
          <w:highlight w:val="none"/>
          <w14:textFill>
            <w14:solidFill>
              <w14:schemeClr w14:val="tx1"/>
            </w14:solidFill>
          </w14:textFill>
        </w:rPr>
      </w:pPr>
      <w:r>
        <w:rPr>
          <w:rFonts w:cs="Times New Roman"/>
          <w:snapToGrid w:val="0"/>
          <w:color w:val="000000" w:themeColor="text1"/>
          <w:kern w:val="0"/>
          <w:szCs w:val="24"/>
          <w:highlight w:val="none"/>
          <w14:textFill>
            <w14:solidFill>
              <w14:schemeClr w14:val="tx1"/>
            </w14:solidFill>
          </w14:textFill>
        </w:rPr>
        <w:t>本项目在</w:t>
      </w:r>
      <w:r>
        <w:rPr>
          <w:rFonts w:hint="eastAsia" w:cs="Times New Roman"/>
          <w:snapToGrid w:val="0"/>
          <w:color w:val="000000" w:themeColor="text1"/>
          <w:kern w:val="0"/>
          <w:szCs w:val="24"/>
          <w:highlight w:val="none"/>
          <w14:textFill>
            <w14:solidFill>
              <w14:schemeClr w14:val="tx1"/>
            </w14:solidFill>
          </w14:textFill>
        </w:rPr>
        <w:t>试采站内</w:t>
      </w:r>
      <w:r>
        <w:rPr>
          <w:rFonts w:cs="Times New Roman"/>
          <w:snapToGrid w:val="0"/>
          <w:color w:val="000000" w:themeColor="text1"/>
          <w:kern w:val="0"/>
          <w:szCs w:val="24"/>
          <w:highlight w:val="none"/>
          <w14:textFill>
            <w14:solidFill>
              <w14:schemeClr w14:val="tx1"/>
            </w14:solidFill>
          </w14:textFill>
        </w:rPr>
        <w:t>修建有污水</w:t>
      </w:r>
      <w:r>
        <w:rPr>
          <w:rFonts w:hint="eastAsia" w:cs="Times New Roman"/>
          <w:snapToGrid w:val="0"/>
          <w:color w:val="000000" w:themeColor="text1"/>
          <w:kern w:val="0"/>
          <w:szCs w:val="24"/>
          <w:highlight w:val="none"/>
          <w14:textFill>
            <w14:solidFill>
              <w14:schemeClr w14:val="tx1"/>
            </w14:solidFill>
          </w14:textFill>
        </w:rPr>
        <w:t>罐1</w:t>
      </w:r>
      <w:r>
        <w:rPr>
          <w:rFonts w:cs="Times New Roman"/>
          <w:snapToGrid w:val="0"/>
          <w:color w:val="000000" w:themeColor="text1"/>
          <w:kern w:val="0"/>
          <w:szCs w:val="24"/>
          <w:highlight w:val="none"/>
          <w14:textFill>
            <w14:solidFill>
              <w14:schemeClr w14:val="tx1"/>
            </w14:solidFill>
          </w14:textFill>
        </w:rPr>
        <w:t>座，设计容积50m</w:t>
      </w:r>
      <w:r>
        <w:rPr>
          <w:rFonts w:cs="Times New Roman"/>
          <w:snapToGrid w:val="0"/>
          <w:color w:val="000000" w:themeColor="text1"/>
          <w:kern w:val="0"/>
          <w:szCs w:val="24"/>
          <w:highlight w:val="none"/>
          <w:vertAlign w:val="superscript"/>
          <w14:textFill>
            <w14:solidFill>
              <w14:schemeClr w14:val="tx1"/>
            </w14:solidFill>
          </w14:textFill>
        </w:rPr>
        <w:t>3</w:t>
      </w:r>
      <w:r>
        <w:rPr>
          <w:rFonts w:cs="Times New Roman"/>
          <w:snapToGrid w:val="0"/>
          <w:color w:val="000000" w:themeColor="text1"/>
          <w:kern w:val="0"/>
          <w:szCs w:val="24"/>
          <w:highlight w:val="none"/>
          <w14:textFill>
            <w14:solidFill>
              <w14:schemeClr w14:val="tx1"/>
            </w14:solidFill>
          </w14:textFill>
        </w:rPr>
        <w:t>。假定污水</w:t>
      </w:r>
      <w:r>
        <w:rPr>
          <w:rFonts w:hint="eastAsia" w:cs="Times New Roman"/>
          <w:snapToGrid w:val="0"/>
          <w:color w:val="000000" w:themeColor="text1"/>
          <w:kern w:val="0"/>
          <w:szCs w:val="24"/>
          <w:highlight w:val="none"/>
          <w14:textFill>
            <w14:solidFill>
              <w14:schemeClr w14:val="tx1"/>
            </w14:solidFill>
          </w14:textFill>
        </w:rPr>
        <w:t>罐底部发生裂口，同时围堰存在裂缝，气田水</w:t>
      </w:r>
      <w:r>
        <w:rPr>
          <w:rFonts w:cs="Times New Roman"/>
          <w:snapToGrid w:val="0"/>
          <w:color w:val="000000" w:themeColor="text1"/>
          <w:kern w:val="0"/>
          <w:szCs w:val="24"/>
          <w:highlight w:val="none"/>
          <w14:textFill>
            <w14:solidFill>
              <w14:schemeClr w14:val="tx1"/>
            </w14:solidFill>
          </w14:textFill>
        </w:rPr>
        <w:t>通过裂缝逐渐渗漏到地下含水层中，对地下水水质造成污染。</w:t>
      </w:r>
      <w:r>
        <w:rPr>
          <w:rFonts w:hint="eastAsia" w:cs="Times New Roman"/>
          <w:snapToGrid w:val="0"/>
          <w:color w:val="000000" w:themeColor="text1"/>
          <w:kern w:val="0"/>
          <w:szCs w:val="24"/>
          <w:highlight w:val="none"/>
          <w14:textFill>
            <w14:solidFill>
              <w14:schemeClr w14:val="tx1"/>
            </w14:solidFill>
          </w14:textFill>
        </w:rPr>
        <w:t>发生泄漏后，因储罐区设置有围堰，取其泄漏量的1</w:t>
      </w:r>
      <w:r>
        <w:rPr>
          <w:rFonts w:cs="Times New Roman"/>
          <w:snapToGrid w:val="0"/>
          <w:color w:val="000000" w:themeColor="text1"/>
          <w:kern w:val="0"/>
          <w:szCs w:val="24"/>
          <w:highlight w:val="none"/>
          <w14:textFill>
            <w14:solidFill>
              <w14:schemeClr w14:val="tx1"/>
            </w14:solidFill>
          </w14:textFill>
        </w:rPr>
        <w:t>0</w:t>
      </w:r>
      <w:r>
        <w:rPr>
          <w:rFonts w:hint="eastAsia" w:cs="Times New Roman"/>
          <w:snapToGrid w:val="0"/>
          <w:color w:val="000000" w:themeColor="text1"/>
          <w:kern w:val="0"/>
          <w:szCs w:val="24"/>
          <w:highlight w:val="none"/>
          <w14:textFill>
            <w14:solidFill>
              <w14:schemeClr w14:val="tx1"/>
            </w14:solidFill>
          </w14:textFill>
        </w:rPr>
        <w:t>%通过地表进入地下水。本次源强参考《建设项目环境风险评价技术导则》（HJ/T169-2018）中液体泄漏的伯努利方程方法计算，采气废水泄漏速率按下式计算</w:t>
      </w:r>
      <w:r>
        <w:rPr>
          <w:rFonts w:cs="Times New Roman"/>
          <w:color w:val="000000" w:themeColor="text1"/>
          <w:kern w:val="0"/>
          <w:szCs w:val="24"/>
          <w:highlight w:val="none"/>
          <w14:textFill>
            <w14:solidFill>
              <w14:schemeClr w14:val="tx1"/>
            </w14:solidFill>
          </w14:textFill>
        </w:rPr>
        <w:t>：</w:t>
      </w:r>
    </w:p>
    <w:p>
      <w:pPr>
        <w:adjustRightInd/>
        <w:snapToGrid/>
        <w:ind w:firstLine="0" w:firstLineChars="0"/>
        <w:jc w:val="center"/>
        <w:textAlignment w:val="baseline"/>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drawing>
          <wp:inline distT="0" distB="0" distL="0" distR="0">
            <wp:extent cx="2188210" cy="616585"/>
            <wp:effectExtent l="0" t="0" r="2540" b="12065"/>
            <wp:docPr id="1262" name="图片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 name="图片 126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2188210" cy="616585"/>
                    </a:xfrm>
                    <a:prstGeom prst="rect">
                      <a:avLst/>
                    </a:prstGeom>
                    <a:noFill/>
                    <a:ln>
                      <a:noFill/>
                    </a:ln>
                  </pic:spPr>
                </pic:pic>
              </a:graphicData>
            </a:graphic>
          </wp:inline>
        </w:drawing>
      </w:r>
    </w:p>
    <w:p>
      <w:pPr>
        <w:snapToGrid/>
        <w:ind w:firstLine="480"/>
        <w:jc w:val="left"/>
        <w:textAlignment w:val="baseline"/>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式中：Q</w:t>
      </w:r>
      <w:r>
        <w:rPr>
          <w:rFonts w:cs="Times New Roman"/>
          <w:color w:val="000000" w:themeColor="text1"/>
          <w:kern w:val="0"/>
          <w:szCs w:val="24"/>
          <w:highlight w:val="none"/>
          <w:vertAlign w:val="subscript"/>
          <w14:textFill>
            <w14:solidFill>
              <w14:schemeClr w14:val="tx1"/>
            </w14:solidFill>
          </w14:textFill>
        </w:rPr>
        <w:t>L</w:t>
      </w:r>
      <w:r>
        <w:rPr>
          <w:rFonts w:cs="Times New Roman"/>
          <w:color w:val="000000" w:themeColor="text1"/>
          <w:kern w:val="0"/>
          <w:szCs w:val="24"/>
          <w:highlight w:val="none"/>
          <w14:textFill>
            <w14:solidFill>
              <w14:schemeClr w14:val="tx1"/>
            </w14:solidFill>
          </w14:textFill>
        </w:rPr>
        <w:t>—液体的泄漏速度，kg/s；</w:t>
      </w:r>
    </w:p>
    <w:p>
      <w:pPr>
        <w:snapToGrid/>
        <w:ind w:firstLine="1200" w:firstLineChars="500"/>
        <w:jc w:val="left"/>
        <w:textAlignment w:val="baseline"/>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C</w:t>
      </w:r>
      <w:r>
        <w:rPr>
          <w:rFonts w:cs="Times New Roman"/>
          <w:color w:val="000000" w:themeColor="text1"/>
          <w:kern w:val="0"/>
          <w:szCs w:val="24"/>
          <w:highlight w:val="none"/>
          <w:vertAlign w:val="subscript"/>
          <w14:textFill>
            <w14:solidFill>
              <w14:schemeClr w14:val="tx1"/>
            </w14:solidFill>
          </w14:textFill>
        </w:rPr>
        <w:t>d</w:t>
      </w:r>
      <w:r>
        <w:rPr>
          <w:rFonts w:cs="Times New Roman"/>
          <w:color w:val="000000" w:themeColor="text1"/>
          <w:kern w:val="0"/>
          <w:szCs w:val="24"/>
          <w:highlight w:val="none"/>
          <w14:textFill>
            <w14:solidFill>
              <w14:schemeClr w14:val="tx1"/>
            </w14:solidFill>
          </w14:textFill>
        </w:rPr>
        <w:t>—液体泄漏系数，取C</w:t>
      </w:r>
      <w:r>
        <w:rPr>
          <w:rFonts w:cs="Times New Roman"/>
          <w:color w:val="000000" w:themeColor="text1"/>
          <w:kern w:val="0"/>
          <w:szCs w:val="24"/>
          <w:highlight w:val="none"/>
          <w:vertAlign w:val="subscript"/>
          <w14:textFill>
            <w14:solidFill>
              <w14:schemeClr w14:val="tx1"/>
            </w14:solidFill>
          </w14:textFill>
        </w:rPr>
        <w:t>d</w:t>
      </w:r>
      <w:r>
        <w:rPr>
          <w:rFonts w:cs="Times New Roman"/>
          <w:color w:val="000000" w:themeColor="text1"/>
          <w:kern w:val="0"/>
          <w:szCs w:val="24"/>
          <w:highlight w:val="none"/>
          <w14:textFill>
            <w14:solidFill>
              <w14:schemeClr w14:val="tx1"/>
            </w14:solidFill>
          </w14:textFill>
        </w:rPr>
        <w:t>=0.65；</w:t>
      </w:r>
    </w:p>
    <w:p>
      <w:pPr>
        <w:snapToGrid/>
        <w:ind w:firstLine="1200" w:firstLineChars="500"/>
        <w:jc w:val="left"/>
        <w:textAlignment w:val="baseline"/>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A—裂口面积，</w:t>
      </w:r>
      <w:r>
        <w:rPr>
          <w:rFonts w:hint="eastAsia" w:cs="Times New Roman"/>
          <w:color w:val="000000" w:themeColor="text1"/>
          <w:kern w:val="0"/>
          <w:szCs w:val="24"/>
          <w:highlight w:val="none"/>
          <w14:textFill>
            <w14:solidFill>
              <w14:schemeClr w14:val="tx1"/>
            </w14:solidFill>
          </w14:textFill>
        </w:rPr>
        <w:t>根据《建设项目环境风险评价技术导则》（HJ/T169-2018）中附录E确定，本次评价按不利取50mm孔径</w:t>
      </w:r>
      <w:r>
        <w:rPr>
          <w:rFonts w:cs="Times New Roman"/>
          <w:color w:val="000000" w:themeColor="text1"/>
          <w:kern w:val="0"/>
          <w:szCs w:val="24"/>
          <w:highlight w:val="none"/>
          <w14:textFill>
            <w14:solidFill>
              <w14:schemeClr w14:val="tx1"/>
            </w14:solidFill>
          </w14:textFill>
        </w:rPr>
        <w:t>；</w:t>
      </w:r>
    </w:p>
    <w:p>
      <w:pPr>
        <w:snapToGrid/>
        <w:ind w:firstLine="1200" w:firstLineChars="500"/>
        <w:jc w:val="left"/>
        <w:textAlignment w:val="baseline"/>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ρ—泄漏液体密度；</w:t>
      </w:r>
    </w:p>
    <w:p>
      <w:pPr>
        <w:snapToGrid/>
        <w:ind w:firstLine="1200" w:firstLineChars="500"/>
        <w:jc w:val="left"/>
        <w:textAlignment w:val="baseline"/>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P</w:t>
      </w:r>
      <w:r>
        <w:rPr>
          <w:rFonts w:hint="eastAsia" w:cs="Times New Roman"/>
          <w:color w:val="000000" w:themeColor="text1"/>
          <w:kern w:val="0"/>
          <w:szCs w:val="24"/>
          <w:highlight w:val="none"/>
          <w14:textFill>
            <w14:solidFill>
              <w14:schemeClr w14:val="tx1"/>
            </w14:solidFill>
          </w14:textFill>
        </w:rPr>
        <w:t>.</w:t>
      </w:r>
      <w:r>
        <w:rPr>
          <w:rFonts w:cs="Times New Roman"/>
          <w:color w:val="000000" w:themeColor="text1"/>
          <w:kern w:val="0"/>
          <w:szCs w:val="24"/>
          <w:highlight w:val="none"/>
          <w14:textFill>
            <w14:solidFill>
              <w14:schemeClr w14:val="tx1"/>
            </w14:solidFill>
          </w14:textFill>
        </w:rPr>
        <w:t>P</w:t>
      </w:r>
      <w:r>
        <w:rPr>
          <w:rFonts w:cs="Times New Roman"/>
          <w:color w:val="000000" w:themeColor="text1"/>
          <w:kern w:val="0"/>
          <w:szCs w:val="24"/>
          <w:highlight w:val="none"/>
          <w:vertAlign w:val="subscript"/>
          <w14:textFill>
            <w14:solidFill>
              <w14:schemeClr w14:val="tx1"/>
            </w14:solidFill>
          </w14:textFill>
        </w:rPr>
        <w:t>0</w:t>
      </w:r>
      <w:r>
        <w:rPr>
          <w:rFonts w:cs="Times New Roman"/>
          <w:color w:val="000000" w:themeColor="text1"/>
          <w:kern w:val="0"/>
          <w:szCs w:val="24"/>
          <w:highlight w:val="none"/>
          <w14:textFill>
            <w14:solidFill>
              <w14:schemeClr w14:val="tx1"/>
            </w14:solidFill>
          </w14:textFill>
        </w:rPr>
        <w:t>—容器内压力、环境压力，Pa；</w:t>
      </w:r>
    </w:p>
    <w:p>
      <w:pPr>
        <w:snapToGrid/>
        <w:ind w:firstLine="1200" w:firstLineChars="500"/>
        <w:jc w:val="left"/>
        <w:textAlignment w:val="baseline"/>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g—重力加速度，9.81m/s</w:t>
      </w:r>
      <w:r>
        <w:rPr>
          <w:rFonts w:cs="Times New Roman"/>
          <w:color w:val="000000" w:themeColor="text1"/>
          <w:kern w:val="0"/>
          <w:szCs w:val="24"/>
          <w:highlight w:val="none"/>
          <w:vertAlign w:val="superscript"/>
          <w14:textFill>
            <w14:solidFill>
              <w14:schemeClr w14:val="tx1"/>
            </w14:solidFill>
          </w14:textFill>
        </w:rPr>
        <w:t>2</w:t>
      </w:r>
      <w:r>
        <w:rPr>
          <w:rFonts w:cs="Times New Roman"/>
          <w:color w:val="000000" w:themeColor="text1"/>
          <w:kern w:val="0"/>
          <w:szCs w:val="24"/>
          <w:highlight w:val="none"/>
          <w14:textFill>
            <w14:solidFill>
              <w14:schemeClr w14:val="tx1"/>
            </w14:solidFill>
          </w14:textFill>
        </w:rPr>
        <w:t>；</w:t>
      </w:r>
    </w:p>
    <w:p>
      <w:pPr>
        <w:snapToGrid/>
        <w:ind w:firstLine="1200" w:firstLineChars="500"/>
        <w:jc w:val="left"/>
        <w:textAlignment w:val="baseline"/>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h—裂口之上液位高度。</w:t>
      </w:r>
    </w:p>
    <w:p>
      <w:pPr>
        <w:widowControl/>
        <w:ind w:firstLine="480"/>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储液罐发生泄漏能及时发现处置，根据</w:t>
      </w:r>
      <w:r>
        <w:rPr>
          <w:rFonts w:cs="Times New Roman"/>
          <w:color w:val="000000" w:themeColor="text1"/>
          <w:kern w:val="0"/>
          <w:szCs w:val="24"/>
          <w:highlight w:val="none"/>
          <w14:textFill>
            <w14:solidFill>
              <w14:schemeClr w14:val="tx1"/>
            </w14:solidFill>
          </w14:textFill>
        </w:rPr>
        <w:t>《建设项目环境风险评价技术导则》（HJ/T169-2018）</w:t>
      </w:r>
      <w:r>
        <w:rPr>
          <w:rFonts w:hint="eastAsia" w:cs="Times New Roman"/>
          <w:color w:val="000000" w:themeColor="text1"/>
          <w:kern w:val="0"/>
          <w:szCs w:val="24"/>
          <w:highlight w:val="none"/>
          <w14:textFill>
            <w14:solidFill>
              <w14:schemeClr w14:val="tx1"/>
            </w14:solidFill>
          </w14:textFill>
        </w:rPr>
        <w:t>，泄漏时间可设定为10min，经</w:t>
      </w:r>
      <w:r>
        <w:rPr>
          <w:rFonts w:cs="Times New Roman"/>
          <w:color w:val="000000" w:themeColor="text1"/>
          <w:kern w:val="0"/>
          <w:szCs w:val="24"/>
          <w:highlight w:val="none"/>
          <w14:textFill>
            <w14:solidFill>
              <w14:schemeClr w14:val="tx1"/>
            </w14:solidFill>
          </w14:textFill>
        </w:rPr>
        <w:t>计算可知，非正常状况下</w:t>
      </w:r>
      <w:r>
        <w:rPr>
          <w:rFonts w:hint="eastAsia" w:cs="Times New Roman"/>
          <w:color w:val="000000" w:themeColor="text1"/>
          <w:kern w:val="0"/>
          <w:szCs w:val="24"/>
          <w:highlight w:val="none"/>
          <w14:textFill>
            <w14:solidFill>
              <w14:schemeClr w14:val="tx1"/>
            </w14:solidFill>
          </w14:textFill>
        </w:rPr>
        <w:t>试采站废水</w:t>
      </w:r>
      <w:r>
        <w:rPr>
          <w:rFonts w:cs="Times New Roman"/>
          <w:color w:val="000000" w:themeColor="text1"/>
          <w:kern w:val="0"/>
          <w:szCs w:val="24"/>
          <w:highlight w:val="none"/>
          <w14:textFill>
            <w14:solidFill>
              <w14:schemeClr w14:val="tx1"/>
            </w14:solidFill>
          </w14:textFill>
        </w:rPr>
        <w:t>最大泄漏量见</w:t>
      </w:r>
      <w:r>
        <w:rPr>
          <w:rFonts w:cs="Times New Roman"/>
          <w:color w:val="000000" w:themeColor="text1"/>
          <w:kern w:val="0"/>
          <w:szCs w:val="24"/>
          <w:highlight w:val="none"/>
          <w14:textFill>
            <w14:solidFill>
              <w14:schemeClr w14:val="tx1"/>
            </w14:solidFill>
          </w14:textFill>
        </w:rPr>
        <w:fldChar w:fldCharType="begin"/>
      </w:r>
      <w:r>
        <w:rPr>
          <w:rFonts w:cs="Times New Roman"/>
          <w:color w:val="000000" w:themeColor="text1"/>
          <w:kern w:val="0"/>
          <w:szCs w:val="24"/>
          <w:highlight w:val="none"/>
          <w14:textFill>
            <w14:solidFill>
              <w14:schemeClr w14:val="tx1"/>
            </w14:solidFill>
          </w14:textFill>
        </w:rPr>
        <w:instrText xml:space="preserve"> REF _Ref154735289 \h  \* MERGEFORMAT </w:instrText>
      </w:r>
      <w:r>
        <w:rPr>
          <w:rFonts w:cs="Times New Roman"/>
          <w:color w:val="000000" w:themeColor="text1"/>
          <w:kern w:val="0"/>
          <w:szCs w:val="24"/>
          <w:highlight w:val="none"/>
          <w14:textFill>
            <w14:solidFill>
              <w14:schemeClr w14:val="tx1"/>
            </w14:solidFill>
          </w14:textFill>
        </w:rPr>
        <w:fldChar w:fldCharType="separate"/>
      </w:r>
      <w:r>
        <w:rPr>
          <w:rFonts w:cs="Times New Roman"/>
          <w:color w:val="000000" w:themeColor="text1"/>
          <w:kern w:val="0"/>
          <w:szCs w:val="24"/>
          <w:highlight w:val="none"/>
          <w14:textFill>
            <w14:solidFill>
              <w14:schemeClr w14:val="tx1"/>
            </w14:solidFill>
          </w14:textFill>
        </w:rPr>
        <w:t>表5.2</w:t>
      </w:r>
      <w:r>
        <w:rPr>
          <w:rFonts w:cs="Times New Roman"/>
          <w:color w:val="000000" w:themeColor="text1"/>
          <w:kern w:val="0"/>
          <w:szCs w:val="24"/>
          <w:highlight w:val="none"/>
          <w14:textFill>
            <w14:solidFill>
              <w14:schemeClr w14:val="tx1"/>
            </w14:solidFill>
          </w14:textFill>
        </w:rPr>
        <w:noBreakHyphen/>
      </w:r>
      <w:r>
        <w:rPr>
          <w:rFonts w:cs="Times New Roman"/>
          <w:color w:val="000000" w:themeColor="text1"/>
          <w:kern w:val="0"/>
          <w:szCs w:val="24"/>
          <w:highlight w:val="none"/>
          <w14:textFill>
            <w14:solidFill>
              <w14:schemeClr w14:val="tx1"/>
            </w14:solidFill>
          </w14:textFill>
        </w:rPr>
        <w:t>6</w:t>
      </w:r>
      <w:r>
        <w:rPr>
          <w:rFonts w:cs="Times New Roman"/>
          <w:color w:val="000000" w:themeColor="text1"/>
          <w:kern w:val="0"/>
          <w:szCs w:val="24"/>
          <w:highlight w:val="none"/>
          <w14:textFill>
            <w14:solidFill>
              <w14:schemeClr w14:val="tx1"/>
            </w14:solidFill>
          </w14:textFill>
        </w:rPr>
        <w:fldChar w:fldCharType="end"/>
      </w:r>
      <w:r>
        <w:rPr>
          <w:rFonts w:cs="Times New Roman"/>
          <w:color w:val="000000" w:themeColor="text1"/>
          <w:kern w:val="0"/>
          <w:szCs w:val="24"/>
          <w:highlight w:val="none"/>
          <w14:textFill>
            <w14:solidFill>
              <w14:schemeClr w14:val="tx1"/>
            </w14:solidFill>
          </w14:textFill>
        </w:rPr>
        <w:t>，</w:t>
      </w:r>
      <w:r>
        <w:rPr>
          <w:rFonts w:hint="eastAsia" w:cs="Times New Roman"/>
          <w:color w:val="000000" w:themeColor="text1"/>
          <w:kern w:val="0"/>
          <w:szCs w:val="24"/>
          <w:highlight w:val="none"/>
          <w14:textFill>
            <w14:solidFill>
              <w14:schemeClr w14:val="tx1"/>
            </w14:solidFill>
          </w14:textFill>
        </w:rPr>
        <w:t>试采期</w:t>
      </w:r>
      <w:r>
        <w:rPr>
          <w:rFonts w:cs="Times New Roman"/>
          <w:color w:val="000000" w:themeColor="text1"/>
          <w:kern w:val="0"/>
          <w:szCs w:val="24"/>
          <w:highlight w:val="none"/>
          <w14:textFill>
            <w14:solidFill>
              <w14:schemeClr w14:val="tx1"/>
            </w14:solidFill>
          </w14:textFill>
        </w:rPr>
        <w:t>污染物预测指标及浓度见</w:t>
      </w:r>
      <w:r>
        <w:rPr>
          <w:rFonts w:cs="Times New Roman"/>
          <w:color w:val="000000" w:themeColor="text1"/>
          <w:kern w:val="0"/>
          <w:szCs w:val="24"/>
          <w:highlight w:val="none"/>
          <w14:textFill>
            <w14:solidFill>
              <w14:schemeClr w14:val="tx1"/>
            </w14:solidFill>
          </w14:textFill>
        </w:rPr>
        <w:fldChar w:fldCharType="begin"/>
      </w:r>
      <w:r>
        <w:rPr>
          <w:rFonts w:cs="Times New Roman"/>
          <w:color w:val="000000" w:themeColor="text1"/>
          <w:kern w:val="0"/>
          <w:szCs w:val="24"/>
          <w:highlight w:val="none"/>
          <w14:textFill>
            <w14:solidFill>
              <w14:schemeClr w14:val="tx1"/>
            </w14:solidFill>
          </w14:textFill>
        </w:rPr>
        <w:instrText xml:space="preserve"> REF _Ref154735296 \h  \* MERGEFORMAT </w:instrText>
      </w:r>
      <w:r>
        <w:rPr>
          <w:rFonts w:cs="Times New Roman"/>
          <w:color w:val="000000" w:themeColor="text1"/>
          <w:kern w:val="0"/>
          <w:szCs w:val="24"/>
          <w:highlight w:val="none"/>
          <w14:textFill>
            <w14:solidFill>
              <w14:schemeClr w14:val="tx1"/>
            </w14:solidFill>
          </w14:textFill>
        </w:rPr>
        <w:fldChar w:fldCharType="separate"/>
      </w:r>
      <w:r>
        <w:rPr>
          <w:rFonts w:cs="Times New Roman"/>
          <w:color w:val="000000" w:themeColor="text1"/>
          <w:kern w:val="0"/>
          <w:szCs w:val="24"/>
          <w:highlight w:val="none"/>
          <w14:textFill>
            <w14:solidFill>
              <w14:schemeClr w14:val="tx1"/>
            </w14:solidFill>
          </w14:textFill>
        </w:rPr>
        <w:t>表5.2</w:t>
      </w:r>
      <w:r>
        <w:rPr>
          <w:rFonts w:cs="Times New Roman"/>
          <w:color w:val="000000" w:themeColor="text1"/>
          <w:kern w:val="0"/>
          <w:szCs w:val="24"/>
          <w:highlight w:val="none"/>
          <w14:textFill>
            <w14:solidFill>
              <w14:schemeClr w14:val="tx1"/>
            </w14:solidFill>
          </w14:textFill>
        </w:rPr>
        <w:noBreakHyphen/>
      </w:r>
      <w:r>
        <w:rPr>
          <w:rFonts w:cs="Times New Roman"/>
          <w:color w:val="000000" w:themeColor="text1"/>
          <w:kern w:val="0"/>
          <w:szCs w:val="24"/>
          <w:highlight w:val="none"/>
          <w14:textFill>
            <w14:solidFill>
              <w14:schemeClr w14:val="tx1"/>
            </w14:solidFill>
          </w14:textFill>
        </w:rPr>
        <w:t>7</w:t>
      </w:r>
      <w:r>
        <w:rPr>
          <w:rFonts w:cs="Times New Roman"/>
          <w:color w:val="000000" w:themeColor="text1"/>
          <w:kern w:val="0"/>
          <w:szCs w:val="24"/>
          <w:highlight w:val="none"/>
          <w14:textFill>
            <w14:solidFill>
              <w14:schemeClr w14:val="tx1"/>
            </w14:solidFill>
          </w14:textFill>
        </w:rPr>
        <w:fldChar w:fldCharType="end"/>
      </w:r>
      <w:r>
        <w:rPr>
          <w:rFonts w:hint="eastAsia" w:cs="Times New Roman"/>
          <w:color w:val="000000" w:themeColor="text1"/>
          <w:kern w:val="0"/>
          <w:szCs w:val="24"/>
          <w:highlight w:val="none"/>
          <w14:textFill>
            <w14:solidFill>
              <w14:schemeClr w14:val="tx1"/>
            </w14:solidFill>
          </w14:textFill>
        </w:rPr>
        <w:t>。</w:t>
      </w:r>
    </w:p>
    <w:p>
      <w:pPr>
        <w:keepNext/>
        <w:widowControl/>
        <w:spacing w:before="120" w:beforeLines="50" w:line="240" w:lineRule="auto"/>
        <w:ind w:firstLine="0" w:firstLineChars="0"/>
        <w:jc w:val="center"/>
        <w:rPr>
          <w:rFonts w:eastAsia="黑体" w:cs="Times New Roman"/>
          <w:snapToGrid w:val="0"/>
          <w:color w:val="000000" w:themeColor="text1"/>
          <w:kern w:val="0"/>
          <w:sz w:val="22"/>
          <w:szCs w:val="24"/>
          <w:highlight w:val="none"/>
          <w14:textFill>
            <w14:solidFill>
              <w14:schemeClr w14:val="tx1"/>
            </w14:solidFill>
          </w14:textFill>
        </w:rPr>
      </w:pPr>
      <w:bookmarkStart w:id="309" w:name="_Ref154735289"/>
      <w:r>
        <w:rPr>
          <w:rFonts w:eastAsia="黑体" w:cs="Times New Roman"/>
          <w:snapToGrid w:val="0"/>
          <w:color w:val="000000" w:themeColor="text1"/>
          <w:kern w:val="0"/>
          <w:sz w:val="22"/>
          <w:szCs w:val="24"/>
          <w:highlight w:val="none"/>
          <w14:textFill>
            <w14:solidFill>
              <w14:schemeClr w14:val="tx1"/>
            </w14:solidFill>
          </w14:textFill>
        </w:rPr>
        <w:t>表</w:t>
      </w:r>
      <w:r>
        <w:rPr>
          <w:rFonts w:eastAsia="黑体" w:cs="Times New Roman"/>
          <w:snapToGrid w:val="0"/>
          <w:color w:val="000000" w:themeColor="text1"/>
          <w:kern w:val="0"/>
          <w:sz w:val="22"/>
          <w:szCs w:val="24"/>
          <w:highlight w:val="none"/>
          <w14:textFill>
            <w14:solidFill>
              <w14:schemeClr w14:val="tx1"/>
            </w14:solidFill>
          </w14:textFill>
        </w:rPr>
        <w:fldChar w:fldCharType="begin"/>
      </w:r>
      <w:r>
        <w:rPr>
          <w:rFonts w:eastAsia="黑体" w:cs="Times New Roman"/>
          <w:snapToGrid w:val="0"/>
          <w:color w:val="000000" w:themeColor="text1"/>
          <w:kern w:val="0"/>
          <w:sz w:val="22"/>
          <w:szCs w:val="24"/>
          <w:highlight w:val="none"/>
          <w14:textFill>
            <w14:solidFill>
              <w14:schemeClr w14:val="tx1"/>
            </w14:solidFill>
          </w14:textFill>
        </w:rPr>
        <w:instrText xml:space="preserve"> STYLEREF 2 \s </w:instrText>
      </w:r>
      <w:r>
        <w:rPr>
          <w:rFonts w:eastAsia="黑体" w:cs="Times New Roman"/>
          <w:snapToGrid w:val="0"/>
          <w:color w:val="000000" w:themeColor="text1"/>
          <w:kern w:val="0"/>
          <w:sz w:val="22"/>
          <w:szCs w:val="24"/>
          <w:highlight w:val="none"/>
          <w14:textFill>
            <w14:solidFill>
              <w14:schemeClr w14:val="tx1"/>
            </w14:solidFill>
          </w14:textFill>
        </w:rPr>
        <w:fldChar w:fldCharType="separate"/>
      </w:r>
      <w:r>
        <w:rPr>
          <w:rFonts w:eastAsia="黑体" w:cs="Times New Roman"/>
          <w:snapToGrid w:val="0"/>
          <w:color w:val="000000" w:themeColor="text1"/>
          <w:kern w:val="0"/>
          <w:sz w:val="22"/>
          <w:szCs w:val="24"/>
          <w:highlight w:val="none"/>
          <w14:textFill>
            <w14:solidFill>
              <w14:schemeClr w14:val="tx1"/>
            </w14:solidFill>
          </w14:textFill>
        </w:rPr>
        <w:t>5.2</w:t>
      </w:r>
      <w:r>
        <w:rPr>
          <w:rFonts w:eastAsia="黑体" w:cs="Times New Roman"/>
          <w:snapToGrid w:val="0"/>
          <w:color w:val="000000" w:themeColor="text1"/>
          <w:kern w:val="0"/>
          <w:sz w:val="22"/>
          <w:szCs w:val="24"/>
          <w:highlight w:val="none"/>
          <w14:textFill>
            <w14:solidFill>
              <w14:schemeClr w14:val="tx1"/>
            </w14:solidFill>
          </w14:textFill>
        </w:rPr>
        <w:fldChar w:fldCharType="end"/>
      </w:r>
      <w:r>
        <w:rPr>
          <w:rFonts w:eastAsia="黑体" w:cs="Times New Roman"/>
          <w:snapToGrid w:val="0"/>
          <w:color w:val="000000" w:themeColor="text1"/>
          <w:kern w:val="0"/>
          <w:sz w:val="22"/>
          <w:szCs w:val="24"/>
          <w:highlight w:val="none"/>
          <w14:textFill>
            <w14:solidFill>
              <w14:schemeClr w14:val="tx1"/>
            </w14:solidFill>
          </w14:textFill>
        </w:rPr>
        <w:noBreakHyphen/>
      </w:r>
      <w:r>
        <w:rPr>
          <w:rFonts w:eastAsia="黑体" w:cs="Times New Roman"/>
          <w:snapToGrid w:val="0"/>
          <w:color w:val="000000" w:themeColor="text1"/>
          <w:kern w:val="0"/>
          <w:sz w:val="22"/>
          <w:szCs w:val="24"/>
          <w:highlight w:val="none"/>
          <w14:textFill>
            <w14:solidFill>
              <w14:schemeClr w14:val="tx1"/>
            </w14:solidFill>
          </w14:textFill>
        </w:rPr>
        <w:fldChar w:fldCharType="begin"/>
      </w:r>
      <w:r>
        <w:rPr>
          <w:rFonts w:eastAsia="黑体" w:cs="Times New Roman"/>
          <w:snapToGrid w:val="0"/>
          <w:color w:val="000000" w:themeColor="text1"/>
          <w:kern w:val="0"/>
          <w:sz w:val="22"/>
          <w:szCs w:val="24"/>
          <w:highlight w:val="none"/>
          <w14:textFill>
            <w14:solidFill>
              <w14:schemeClr w14:val="tx1"/>
            </w14:solidFill>
          </w14:textFill>
        </w:rPr>
        <w:instrText xml:space="preserve"> SEQ 表 \* ARABIC \s 2 </w:instrText>
      </w:r>
      <w:r>
        <w:rPr>
          <w:rFonts w:eastAsia="黑体" w:cs="Times New Roman"/>
          <w:snapToGrid w:val="0"/>
          <w:color w:val="000000" w:themeColor="text1"/>
          <w:kern w:val="0"/>
          <w:sz w:val="22"/>
          <w:szCs w:val="24"/>
          <w:highlight w:val="none"/>
          <w14:textFill>
            <w14:solidFill>
              <w14:schemeClr w14:val="tx1"/>
            </w14:solidFill>
          </w14:textFill>
        </w:rPr>
        <w:fldChar w:fldCharType="separate"/>
      </w:r>
      <w:r>
        <w:rPr>
          <w:rFonts w:eastAsia="黑体" w:cs="Times New Roman"/>
          <w:snapToGrid w:val="0"/>
          <w:color w:val="000000" w:themeColor="text1"/>
          <w:kern w:val="0"/>
          <w:sz w:val="22"/>
          <w:szCs w:val="24"/>
          <w:highlight w:val="none"/>
          <w14:textFill>
            <w14:solidFill>
              <w14:schemeClr w14:val="tx1"/>
            </w14:solidFill>
          </w14:textFill>
        </w:rPr>
        <w:t>6</w:t>
      </w:r>
      <w:r>
        <w:rPr>
          <w:rFonts w:eastAsia="黑体" w:cs="Times New Roman"/>
          <w:snapToGrid w:val="0"/>
          <w:color w:val="000000" w:themeColor="text1"/>
          <w:kern w:val="0"/>
          <w:sz w:val="22"/>
          <w:szCs w:val="24"/>
          <w:highlight w:val="none"/>
          <w14:textFill>
            <w14:solidFill>
              <w14:schemeClr w14:val="tx1"/>
            </w14:solidFill>
          </w14:textFill>
        </w:rPr>
        <w:fldChar w:fldCharType="end"/>
      </w:r>
      <w:bookmarkEnd w:id="309"/>
      <w:r>
        <w:rPr>
          <w:rFonts w:eastAsia="黑体" w:cs="Times New Roman"/>
          <w:snapToGrid w:val="0"/>
          <w:color w:val="000000" w:themeColor="text1"/>
          <w:kern w:val="0"/>
          <w:sz w:val="22"/>
          <w:szCs w:val="24"/>
          <w:highlight w:val="none"/>
          <w14:textFill>
            <w14:solidFill>
              <w14:schemeClr w14:val="tx1"/>
            </w14:solidFill>
          </w14:textFill>
        </w:rPr>
        <w:t xml:space="preserve"> </w:t>
      </w:r>
      <w:r>
        <w:rPr>
          <w:rFonts w:hint="eastAsia" w:eastAsia="黑体" w:cs="Times New Roman"/>
          <w:snapToGrid w:val="0"/>
          <w:color w:val="000000" w:themeColor="text1"/>
          <w:kern w:val="0"/>
          <w:sz w:val="22"/>
          <w:szCs w:val="24"/>
          <w:highlight w:val="none"/>
          <w14:textFill>
            <w14:solidFill>
              <w14:schemeClr w14:val="tx1"/>
            </w14:solidFill>
          </w14:textFill>
        </w:rPr>
        <w:t>试采期试采站污水罐泄漏采气废水泄漏量计算结果表</w:t>
      </w:r>
    </w:p>
    <w:tbl>
      <w:tblPr>
        <w:tblStyle w:val="21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143"/>
        <w:gridCol w:w="1209"/>
        <w:gridCol w:w="938"/>
        <w:gridCol w:w="897"/>
        <w:gridCol w:w="759"/>
        <w:gridCol w:w="759"/>
        <w:gridCol w:w="1016"/>
        <w:gridCol w:w="9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1" w:type="pct"/>
            <w:vAlign w:val="center"/>
          </w:tcPr>
          <w:p>
            <w:pPr>
              <w:spacing w:line="240" w:lineRule="auto"/>
              <w:ind w:firstLine="0" w:firstLineChars="0"/>
              <w:jc w:val="center"/>
              <w:rPr>
                <w:rFonts w:eastAsia="Times New Roman" w:cs="Times New Roman"/>
                <w:b/>
                <w:bCs/>
                <w:snapToGrid/>
                <w:color w:val="000000" w:themeColor="text1"/>
                <w:kern w:val="0"/>
                <w:sz w:val="21"/>
                <w:szCs w:val="21"/>
                <w:highlight w:val="none"/>
                <w14:textFill>
                  <w14:solidFill>
                    <w14:schemeClr w14:val="tx1"/>
                  </w14:solidFill>
                </w14:textFill>
              </w:rPr>
            </w:pPr>
            <w:r>
              <w:rPr>
                <w:rFonts w:hint="eastAsia" w:ascii="宋体" w:hAnsi="宋体" w:eastAsia="Times New Roman" w:cs="宋体"/>
                <w:b/>
                <w:bCs/>
                <w:snapToGrid/>
                <w:color w:val="000000" w:themeColor="text1"/>
                <w:kern w:val="0"/>
                <w:sz w:val="21"/>
                <w:szCs w:val="21"/>
                <w:highlight w:val="none"/>
                <w14:textFill>
                  <w14:solidFill>
                    <w14:schemeClr w14:val="tx1"/>
                  </w14:solidFill>
                </w14:textFill>
              </w:rPr>
              <w:t>环境压力</w:t>
            </w:r>
            <w:r>
              <w:rPr>
                <w:rFonts w:eastAsia="Times New Roman" w:cs="Times New Roman"/>
                <w:b/>
                <w:bCs/>
                <w:snapToGrid/>
                <w:color w:val="000000" w:themeColor="text1"/>
                <w:kern w:val="0"/>
                <w:sz w:val="21"/>
                <w:szCs w:val="21"/>
                <w:highlight w:val="none"/>
                <w14:textFill>
                  <w14:solidFill>
                    <w14:schemeClr w14:val="tx1"/>
                  </w14:solidFill>
                </w14:textFill>
              </w:rPr>
              <w:t>P</w:t>
            </w:r>
            <w:r>
              <w:rPr>
                <w:rFonts w:eastAsia="Times New Roman" w:cs="Times New Roman"/>
                <w:b/>
                <w:bCs/>
                <w:snapToGrid/>
                <w:color w:val="000000" w:themeColor="text1"/>
                <w:kern w:val="0"/>
                <w:sz w:val="21"/>
                <w:szCs w:val="21"/>
                <w:highlight w:val="none"/>
                <w:vertAlign w:val="subscript"/>
                <w14:textFill>
                  <w14:solidFill>
                    <w14:schemeClr w14:val="tx1"/>
                  </w14:solidFill>
                </w14:textFill>
              </w:rPr>
              <w:t>0</w:t>
            </w:r>
            <w:r>
              <w:rPr>
                <w:rFonts w:hint="eastAsia" w:ascii="宋体" w:hAnsi="宋体" w:eastAsia="Times New Roman" w:cs="宋体"/>
                <w:b/>
                <w:bCs/>
                <w:snapToGrid/>
                <w:color w:val="000000" w:themeColor="text1"/>
                <w:kern w:val="0"/>
                <w:sz w:val="21"/>
                <w:szCs w:val="21"/>
                <w:highlight w:val="none"/>
                <w14:textFill>
                  <w14:solidFill>
                    <w14:schemeClr w14:val="tx1"/>
                  </w14:solidFill>
                </w14:textFill>
              </w:rPr>
              <w:t>（</w:t>
            </w:r>
            <w:r>
              <w:rPr>
                <w:rFonts w:eastAsia="Times New Roman" w:cs="Times New Roman"/>
                <w:b/>
                <w:bCs/>
                <w:snapToGrid/>
                <w:color w:val="000000" w:themeColor="text1"/>
                <w:kern w:val="0"/>
                <w:sz w:val="21"/>
                <w:szCs w:val="21"/>
                <w:highlight w:val="none"/>
                <w14:textFill>
                  <w14:solidFill>
                    <w14:schemeClr w14:val="tx1"/>
                  </w14:solidFill>
                </w14:textFill>
              </w:rPr>
              <w:t>Pa</w:t>
            </w:r>
            <w:r>
              <w:rPr>
                <w:rFonts w:hint="eastAsia" w:ascii="宋体" w:hAnsi="宋体" w:eastAsia="Times New Roman" w:cs="宋体"/>
                <w:b/>
                <w:bCs/>
                <w:snapToGrid/>
                <w:color w:val="000000" w:themeColor="text1"/>
                <w:kern w:val="0"/>
                <w:sz w:val="21"/>
                <w:szCs w:val="21"/>
                <w:highlight w:val="none"/>
                <w14:textFill>
                  <w14:solidFill>
                    <w14:schemeClr w14:val="tx1"/>
                  </w14:solidFill>
                </w14:textFill>
              </w:rPr>
              <w:t>）</w:t>
            </w:r>
          </w:p>
        </w:tc>
        <w:tc>
          <w:tcPr>
            <w:tcW w:w="670" w:type="pct"/>
            <w:vAlign w:val="center"/>
          </w:tcPr>
          <w:p>
            <w:pPr>
              <w:spacing w:line="240" w:lineRule="auto"/>
              <w:ind w:firstLine="0" w:firstLineChars="0"/>
              <w:jc w:val="center"/>
              <w:rPr>
                <w:rFonts w:eastAsia="Times New Roman" w:cs="Times New Roman"/>
                <w:b/>
                <w:bCs/>
                <w:snapToGrid/>
                <w:color w:val="000000" w:themeColor="text1"/>
                <w:kern w:val="0"/>
                <w:sz w:val="21"/>
                <w:szCs w:val="21"/>
                <w:highlight w:val="none"/>
                <w14:textFill>
                  <w14:solidFill>
                    <w14:schemeClr w14:val="tx1"/>
                  </w14:solidFill>
                </w14:textFill>
              </w:rPr>
            </w:pPr>
            <w:r>
              <w:rPr>
                <w:rFonts w:hint="eastAsia" w:ascii="宋体" w:hAnsi="宋体" w:eastAsia="Times New Roman" w:cs="宋体"/>
                <w:b/>
                <w:bCs/>
                <w:snapToGrid/>
                <w:color w:val="000000" w:themeColor="text1"/>
                <w:kern w:val="0"/>
                <w:sz w:val="21"/>
                <w:szCs w:val="21"/>
                <w:highlight w:val="none"/>
                <w14:textFill>
                  <w14:solidFill>
                    <w14:schemeClr w14:val="tx1"/>
                  </w14:solidFill>
                </w14:textFill>
              </w:rPr>
              <w:t>容器内介质压力</w:t>
            </w:r>
            <w:r>
              <w:rPr>
                <w:rFonts w:eastAsia="Times New Roman" w:cs="Times New Roman"/>
                <w:b/>
                <w:bCs/>
                <w:snapToGrid/>
                <w:color w:val="000000" w:themeColor="text1"/>
                <w:kern w:val="0"/>
                <w:sz w:val="21"/>
                <w:szCs w:val="21"/>
                <w:highlight w:val="none"/>
                <w14:textFill>
                  <w14:solidFill>
                    <w14:schemeClr w14:val="tx1"/>
                  </w14:solidFill>
                </w14:textFill>
              </w:rPr>
              <w:t>P</w:t>
            </w:r>
            <w:r>
              <w:rPr>
                <w:rFonts w:hint="eastAsia" w:ascii="宋体" w:hAnsi="宋体" w:eastAsia="Times New Roman" w:cs="宋体"/>
                <w:b/>
                <w:bCs/>
                <w:snapToGrid/>
                <w:color w:val="000000" w:themeColor="text1"/>
                <w:kern w:val="0"/>
                <w:sz w:val="21"/>
                <w:szCs w:val="21"/>
                <w:highlight w:val="none"/>
                <w14:textFill>
                  <w14:solidFill>
                    <w14:schemeClr w14:val="tx1"/>
                  </w14:solidFill>
                </w14:textFill>
              </w:rPr>
              <w:t>（</w:t>
            </w:r>
            <w:r>
              <w:rPr>
                <w:rFonts w:eastAsia="Times New Roman" w:cs="Times New Roman"/>
                <w:b/>
                <w:bCs/>
                <w:snapToGrid/>
                <w:color w:val="000000" w:themeColor="text1"/>
                <w:kern w:val="0"/>
                <w:sz w:val="21"/>
                <w:szCs w:val="21"/>
                <w:highlight w:val="none"/>
                <w14:textFill>
                  <w14:solidFill>
                    <w14:schemeClr w14:val="tx1"/>
                  </w14:solidFill>
                </w14:textFill>
              </w:rPr>
              <w:t>Pa</w:t>
            </w:r>
            <w:r>
              <w:rPr>
                <w:rFonts w:hint="eastAsia" w:ascii="宋体" w:hAnsi="宋体" w:eastAsia="Times New Roman" w:cs="宋体"/>
                <w:b/>
                <w:bCs/>
                <w:snapToGrid/>
                <w:color w:val="000000" w:themeColor="text1"/>
                <w:kern w:val="0"/>
                <w:sz w:val="21"/>
                <w:szCs w:val="21"/>
                <w:highlight w:val="none"/>
                <w14:textFill>
                  <w14:solidFill>
                    <w14:schemeClr w14:val="tx1"/>
                  </w14:solidFill>
                </w14:textFill>
              </w:rPr>
              <w:t>）</w:t>
            </w:r>
          </w:p>
        </w:tc>
        <w:tc>
          <w:tcPr>
            <w:tcW w:w="709" w:type="pct"/>
            <w:vAlign w:val="center"/>
          </w:tcPr>
          <w:p>
            <w:pPr>
              <w:spacing w:line="240" w:lineRule="auto"/>
              <w:ind w:firstLine="0" w:firstLineChars="0"/>
              <w:jc w:val="center"/>
              <w:rPr>
                <w:rFonts w:eastAsia="Times New Roman" w:cs="Times New Roman"/>
                <w:b/>
                <w:bCs/>
                <w:snapToGrid/>
                <w:color w:val="000000" w:themeColor="text1"/>
                <w:kern w:val="0"/>
                <w:sz w:val="21"/>
                <w:szCs w:val="21"/>
                <w:highlight w:val="none"/>
                <w14:textFill>
                  <w14:solidFill>
                    <w14:schemeClr w14:val="tx1"/>
                  </w14:solidFill>
                </w14:textFill>
              </w:rPr>
            </w:pPr>
            <w:r>
              <w:rPr>
                <w:rFonts w:hint="eastAsia" w:ascii="宋体" w:hAnsi="宋体" w:eastAsia="Times New Roman" w:cs="Times New Roman"/>
                <w:b/>
                <w:bCs/>
                <w:snapToGrid/>
                <w:color w:val="000000" w:themeColor="text1"/>
                <w:kern w:val="0"/>
                <w:sz w:val="21"/>
                <w:szCs w:val="21"/>
                <w:highlight w:val="none"/>
                <w14:textFill>
                  <w14:solidFill>
                    <w14:schemeClr w14:val="tx1"/>
                  </w14:solidFill>
                </w14:textFill>
              </w:rPr>
              <w:t>液体密度</w:t>
            </w:r>
            <w:r>
              <w:rPr>
                <w:rFonts w:eastAsia="Times New Roman" w:cs="Times New Roman"/>
                <w:b/>
                <w:bCs/>
                <w:snapToGrid/>
                <w:color w:val="000000" w:themeColor="text1"/>
                <w:kern w:val="0"/>
                <w:sz w:val="21"/>
                <w:szCs w:val="21"/>
                <w:highlight w:val="none"/>
                <w14:textFill>
                  <w14:solidFill>
                    <w14:schemeClr w14:val="tx1"/>
                  </w14:solidFill>
                </w14:textFill>
              </w:rPr>
              <w:t>ρ</w:t>
            </w:r>
            <w:r>
              <w:rPr>
                <w:rFonts w:hint="eastAsia" w:ascii="宋体" w:hAnsi="宋体" w:eastAsia="Times New Roman" w:cs="Times New Roman"/>
                <w:b/>
                <w:bCs/>
                <w:snapToGrid/>
                <w:color w:val="000000" w:themeColor="text1"/>
                <w:kern w:val="0"/>
                <w:sz w:val="21"/>
                <w:szCs w:val="21"/>
                <w:highlight w:val="none"/>
                <w14:textFill>
                  <w14:solidFill>
                    <w14:schemeClr w14:val="tx1"/>
                  </w14:solidFill>
                </w14:textFill>
              </w:rPr>
              <w:t>（</w:t>
            </w:r>
            <w:r>
              <w:rPr>
                <w:rFonts w:eastAsia="Times New Roman" w:cs="Times New Roman"/>
                <w:b/>
                <w:bCs/>
                <w:snapToGrid/>
                <w:color w:val="000000" w:themeColor="text1"/>
                <w:kern w:val="0"/>
                <w:sz w:val="21"/>
                <w:szCs w:val="21"/>
                <w:highlight w:val="none"/>
                <w14:textFill>
                  <w14:solidFill>
                    <w14:schemeClr w14:val="tx1"/>
                  </w14:solidFill>
                </w14:textFill>
              </w:rPr>
              <w:t>kg/m</w:t>
            </w:r>
            <w:r>
              <w:rPr>
                <w:rFonts w:eastAsia="Times New Roman" w:cs="Times New Roman"/>
                <w:b/>
                <w:bCs/>
                <w:snapToGrid/>
                <w:color w:val="000000" w:themeColor="text1"/>
                <w:kern w:val="0"/>
                <w:sz w:val="21"/>
                <w:szCs w:val="21"/>
                <w:highlight w:val="none"/>
                <w:vertAlign w:val="superscript"/>
                <w14:textFill>
                  <w14:solidFill>
                    <w14:schemeClr w14:val="tx1"/>
                  </w14:solidFill>
                </w14:textFill>
              </w:rPr>
              <w:t>3</w:t>
            </w:r>
            <w:r>
              <w:rPr>
                <w:rFonts w:hint="eastAsia" w:ascii="宋体" w:hAnsi="宋体" w:eastAsia="Times New Roman" w:cs="Times New Roman"/>
                <w:b/>
                <w:bCs/>
                <w:snapToGrid/>
                <w:color w:val="000000" w:themeColor="text1"/>
                <w:kern w:val="0"/>
                <w:sz w:val="21"/>
                <w:szCs w:val="21"/>
                <w:highlight w:val="none"/>
                <w14:textFill>
                  <w14:solidFill>
                    <w14:schemeClr w14:val="tx1"/>
                  </w14:solidFill>
                </w14:textFill>
              </w:rPr>
              <w:t>）</w:t>
            </w:r>
          </w:p>
        </w:tc>
        <w:tc>
          <w:tcPr>
            <w:tcW w:w="550" w:type="pct"/>
            <w:vAlign w:val="center"/>
          </w:tcPr>
          <w:p>
            <w:pPr>
              <w:spacing w:line="240" w:lineRule="auto"/>
              <w:ind w:firstLine="0" w:firstLineChars="0"/>
              <w:jc w:val="center"/>
              <w:rPr>
                <w:rFonts w:eastAsia="Times New Roman" w:cs="Times New Roman"/>
                <w:b/>
                <w:bCs/>
                <w:snapToGrid/>
                <w:color w:val="000000" w:themeColor="text1"/>
                <w:kern w:val="0"/>
                <w:sz w:val="21"/>
                <w:szCs w:val="21"/>
                <w:highlight w:val="none"/>
                <w14:textFill>
                  <w14:solidFill>
                    <w14:schemeClr w14:val="tx1"/>
                  </w14:solidFill>
                </w14:textFill>
              </w:rPr>
            </w:pPr>
            <w:r>
              <w:rPr>
                <w:rFonts w:hint="eastAsia" w:ascii="宋体" w:hAnsi="宋体" w:eastAsia="Times New Roman" w:cs="宋体"/>
                <w:b/>
                <w:bCs/>
                <w:snapToGrid/>
                <w:color w:val="000000" w:themeColor="text1"/>
                <w:kern w:val="0"/>
                <w:sz w:val="21"/>
                <w:szCs w:val="21"/>
                <w:highlight w:val="none"/>
                <w14:textFill>
                  <w14:solidFill>
                    <w14:schemeClr w14:val="tx1"/>
                  </w14:solidFill>
                </w14:textFill>
              </w:rPr>
              <w:t>裂口面积</w:t>
            </w:r>
            <w:r>
              <w:rPr>
                <w:rFonts w:eastAsia="Times New Roman" w:cs="Times New Roman"/>
                <w:b/>
                <w:bCs/>
                <w:snapToGrid/>
                <w:color w:val="000000" w:themeColor="text1"/>
                <w:kern w:val="0"/>
                <w:sz w:val="21"/>
                <w:szCs w:val="21"/>
                <w:highlight w:val="none"/>
                <w14:textFill>
                  <w14:solidFill>
                    <w14:schemeClr w14:val="tx1"/>
                  </w14:solidFill>
                </w14:textFill>
              </w:rPr>
              <w:t>A</w:t>
            </w:r>
            <w:r>
              <w:rPr>
                <w:rFonts w:hint="eastAsia" w:ascii="宋体" w:hAnsi="宋体" w:eastAsia="Times New Roman" w:cs="宋体"/>
                <w:b/>
                <w:bCs/>
                <w:snapToGrid/>
                <w:color w:val="000000" w:themeColor="text1"/>
                <w:kern w:val="0"/>
                <w:sz w:val="21"/>
                <w:szCs w:val="21"/>
                <w:highlight w:val="none"/>
                <w14:textFill>
                  <w14:solidFill>
                    <w14:schemeClr w14:val="tx1"/>
                  </w14:solidFill>
                </w14:textFill>
              </w:rPr>
              <w:t>（</w:t>
            </w:r>
            <w:r>
              <w:rPr>
                <w:rFonts w:eastAsia="Times New Roman" w:cs="Times New Roman"/>
                <w:b/>
                <w:bCs/>
                <w:snapToGrid/>
                <w:color w:val="000000" w:themeColor="text1"/>
                <w:kern w:val="0"/>
                <w:sz w:val="21"/>
                <w:szCs w:val="21"/>
                <w:highlight w:val="none"/>
                <w14:textFill>
                  <w14:solidFill>
                    <w14:schemeClr w14:val="tx1"/>
                  </w14:solidFill>
                </w14:textFill>
              </w:rPr>
              <w:t>m</w:t>
            </w:r>
            <w:r>
              <w:rPr>
                <w:rFonts w:eastAsia="Times New Roman" w:cs="Times New Roman"/>
                <w:b/>
                <w:bCs/>
                <w:snapToGrid/>
                <w:color w:val="000000" w:themeColor="text1"/>
                <w:kern w:val="0"/>
                <w:sz w:val="21"/>
                <w:szCs w:val="21"/>
                <w:highlight w:val="none"/>
                <w:vertAlign w:val="superscript"/>
                <w14:textFill>
                  <w14:solidFill>
                    <w14:schemeClr w14:val="tx1"/>
                  </w14:solidFill>
                </w14:textFill>
              </w:rPr>
              <w:t>2</w:t>
            </w:r>
            <w:r>
              <w:rPr>
                <w:rFonts w:hint="eastAsia" w:ascii="宋体" w:hAnsi="宋体" w:eastAsia="Times New Roman" w:cs="宋体"/>
                <w:b/>
                <w:bCs/>
                <w:snapToGrid/>
                <w:color w:val="000000" w:themeColor="text1"/>
                <w:kern w:val="0"/>
                <w:sz w:val="21"/>
                <w:szCs w:val="21"/>
                <w:highlight w:val="none"/>
                <w14:textFill>
                  <w14:solidFill>
                    <w14:schemeClr w14:val="tx1"/>
                  </w14:solidFill>
                </w14:textFill>
              </w:rPr>
              <w:t>）</w:t>
            </w:r>
          </w:p>
        </w:tc>
        <w:tc>
          <w:tcPr>
            <w:tcW w:w="526" w:type="pct"/>
            <w:vAlign w:val="center"/>
          </w:tcPr>
          <w:p>
            <w:pPr>
              <w:spacing w:line="240" w:lineRule="auto"/>
              <w:ind w:firstLine="0" w:firstLineChars="0"/>
              <w:jc w:val="center"/>
              <w:rPr>
                <w:rFonts w:eastAsia="Times New Roman" w:cs="Times New Roman"/>
                <w:b/>
                <w:bCs/>
                <w:snapToGrid/>
                <w:color w:val="000000" w:themeColor="text1"/>
                <w:kern w:val="0"/>
                <w:sz w:val="21"/>
                <w:szCs w:val="21"/>
                <w:highlight w:val="none"/>
                <w14:textFill>
                  <w14:solidFill>
                    <w14:schemeClr w14:val="tx1"/>
                  </w14:solidFill>
                </w14:textFill>
              </w:rPr>
            </w:pPr>
            <w:r>
              <w:rPr>
                <w:rFonts w:hint="eastAsia" w:ascii="宋体" w:hAnsi="宋体" w:eastAsia="Times New Roman" w:cs="宋体"/>
                <w:b/>
                <w:bCs/>
                <w:snapToGrid/>
                <w:color w:val="000000" w:themeColor="text1"/>
                <w:kern w:val="0"/>
                <w:sz w:val="21"/>
                <w:szCs w:val="21"/>
                <w:highlight w:val="none"/>
                <w14:textFill>
                  <w14:solidFill>
                    <w14:schemeClr w14:val="tx1"/>
                  </w14:solidFill>
                </w14:textFill>
              </w:rPr>
              <w:t>裂口之上液位高度（</w:t>
            </w:r>
            <w:r>
              <w:rPr>
                <w:rFonts w:eastAsia="Times New Roman" w:cs="Times New Roman"/>
                <w:b/>
                <w:bCs/>
                <w:snapToGrid/>
                <w:color w:val="000000" w:themeColor="text1"/>
                <w:kern w:val="0"/>
                <w:sz w:val="21"/>
                <w:szCs w:val="21"/>
                <w:highlight w:val="none"/>
                <w14:textFill>
                  <w14:solidFill>
                    <w14:schemeClr w14:val="tx1"/>
                  </w14:solidFill>
                </w14:textFill>
              </w:rPr>
              <w:t>m</w:t>
            </w:r>
            <w:r>
              <w:rPr>
                <w:rFonts w:hint="eastAsia" w:ascii="宋体" w:hAnsi="宋体" w:eastAsia="Times New Roman" w:cs="宋体"/>
                <w:b/>
                <w:bCs/>
                <w:snapToGrid/>
                <w:color w:val="000000" w:themeColor="text1"/>
                <w:kern w:val="0"/>
                <w:sz w:val="21"/>
                <w:szCs w:val="21"/>
                <w:highlight w:val="none"/>
                <w14:textFill>
                  <w14:solidFill>
                    <w14:schemeClr w14:val="tx1"/>
                  </w14:solidFill>
                </w14:textFill>
              </w:rPr>
              <w:t>）</w:t>
            </w:r>
          </w:p>
        </w:tc>
        <w:tc>
          <w:tcPr>
            <w:tcW w:w="445" w:type="pct"/>
            <w:vAlign w:val="center"/>
          </w:tcPr>
          <w:p>
            <w:pPr>
              <w:spacing w:line="240" w:lineRule="auto"/>
              <w:ind w:firstLine="0" w:firstLineChars="0"/>
              <w:jc w:val="center"/>
              <w:rPr>
                <w:rFonts w:eastAsia="Times New Roman" w:cs="Times New Roman"/>
                <w:b/>
                <w:bCs/>
                <w:snapToGrid/>
                <w:color w:val="000000" w:themeColor="text1"/>
                <w:kern w:val="0"/>
                <w:sz w:val="21"/>
                <w:szCs w:val="21"/>
                <w:highlight w:val="none"/>
                <w14:textFill>
                  <w14:solidFill>
                    <w14:schemeClr w14:val="tx1"/>
                  </w14:solidFill>
                </w14:textFill>
              </w:rPr>
            </w:pPr>
            <w:r>
              <w:rPr>
                <w:rFonts w:hint="eastAsia" w:ascii="宋体" w:hAnsi="宋体" w:eastAsia="Times New Roman" w:cs="宋体"/>
                <w:b/>
                <w:bCs/>
                <w:snapToGrid/>
                <w:color w:val="000000" w:themeColor="text1"/>
                <w:kern w:val="0"/>
                <w:sz w:val="21"/>
                <w:szCs w:val="21"/>
                <w:highlight w:val="none"/>
                <w14:textFill>
                  <w14:solidFill>
                    <w14:schemeClr w14:val="tx1"/>
                  </w14:solidFill>
                </w14:textFill>
              </w:rPr>
              <w:t>液体泄漏系数</w:t>
            </w:r>
            <w:r>
              <w:rPr>
                <w:rFonts w:eastAsia="Times New Roman" w:cs="Times New Roman"/>
                <w:b/>
                <w:bCs/>
                <w:snapToGrid/>
                <w:color w:val="000000" w:themeColor="text1"/>
                <w:kern w:val="0"/>
                <w:sz w:val="21"/>
                <w:szCs w:val="21"/>
                <w:highlight w:val="none"/>
                <w14:textFill>
                  <w14:solidFill>
                    <w14:schemeClr w14:val="tx1"/>
                  </w14:solidFill>
                </w14:textFill>
              </w:rPr>
              <w:t>C</w:t>
            </w:r>
            <w:r>
              <w:rPr>
                <w:rFonts w:eastAsia="Times New Roman" w:cs="Times New Roman"/>
                <w:b/>
                <w:bCs/>
                <w:snapToGrid/>
                <w:color w:val="000000" w:themeColor="text1"/>
                <w:kern w:val="0"/>
                <w:sz w:val="21"/>
                <w:szCs w:val="21"/>
                <w:highlight w:val="none"/>
                <w:vertAlign w:val="subscript"/>
                <w14:textFill>
                  <w14:solidFill>
                    <w14:schemeClr w14:val="tx1"/>
                  </w14:solidFill>
                </w14:textFill>
              </w:rPr>
              <w:t>d</w:t>
            </w:r>
          </w:p>
        </w:tc>
        <w:tc>
          <w:tcPr>
            <w:tcW w:w="445" w:type="pct"/>
            <w:vAlign w:val="center"/>
          </w:tcPr>
          <w:p>
            <w:pPr>
              <w:spacing w:line="240" w:lineRule="auto"/>
              <w:ind w:firstLine="0" w:firstLineChars="0"/>
              <w:jc w:val="center"/>
              <w:rPr>
                <w:rFonts w:eastAsia="Times New Roman" w:cs="Times New Roman"/>
                <w:b/>
                <w:bCs/>
                <w:snapToGrid/>
                <w:color w:val="000000" w:themeColor="text1"/>
                <w:kern w:val="0"/>
                <w:sz w:val="21"/>
                <w:szCs w:val="21"/>
                <w:highlight w:val="none"/>
                <w14:textFill>
                  <w14:solidFill>
                    <w14:schemeClr w14:val="tx1"/>
                  </w14:solidFill>
                </w14:textFill>
              </w:rPr>
            </w:pPr>
            <w:r>
              <w:rPr>
                <w:rFonts w:hint="eastAsia" w:ascii="宋体" w:hAnsi="宋体" w:eastAsia="Times New Roman" w:cs="宋体"/>
                <w:b/>
                <w:bCs/>
                <w:snapToGrid/>
                <w:color w:val="000000" w:themeColor="text1"/>
                <w:kern w:val="0"/>
                <w:sz w:val="21"/>
                <w:szCs w:val="21"/>
                <w:highlight w:val="none"/>
                <w14:textFill>
                  <w14:solidFill>
                    <w14:schemeClr w14:val="tx1"/>
                  </w14:solidFill>
                </w14:textFill>
              </w:rPr>
              <w:t>重力加速度</w:t>
            </w:r>
            <w:r>
              <w:rPr>
                <w:rFonts w:eastAsia="Times New Roman" w:cs="Times New Roman"/>
                <w:b/>
                <w:bCs/>
                <w:snapToGrid/>
                <w:color w:val="000000" w:themeColor="text1"/>
                <w:kern w:val="0"/>
                <w:sz w:val="21"/>
                <w:szCs w:val="21"/>
                <w:highlight w:val="none"/>
                <w14:textFill>
                  <w14:solidFill>
                    <w14:schemeClr w14:val="tx1"/>
                  </w14:solidFill>
                </w14:textFill>
              </w:rPr>
              <w:t>m/s</w:t>
            </w:r>
            <w:r>
              <w:rPr>
                <w:rFonts w:eastAsia="Times New Roman" w:cs="Times New Roman"/>
                <w:b/>
                <w:bCs/>
                <w:snapToGrid/>
                <w:color w:val="000000" w:themeColor="text1"/>
                <w:kern w:val="0"/>
                <w:sz w:val="21"/>
                <w:szCs w:val="21"/>
                <w:highlight w:val="none"/>
                <w:vertAlign w:val="superscript"/>
                <w14:textFill>
                  <w14:solidFill>
                    <w14:schemeClr w14:val="tx1"/>
                  </w14:solidFill>
                </w14:textFill>
              </w:rPr>
              <w:t>2</w:t>
            </w:r>
          </w:p>
        </w:tc>
        <w:tc>
          <w:tcPr>
            <w:tcW w:w="596" w:type="pct"/>
            <w:vAlign w:val="center"/>
          </w:tcPr>
          <w:p>
            <w:pPr>
              <w:spacing w:line="240" w:lineRule="auto"/>
              <w:ind w:firstLine="0" w:firstLineChars="0"/>
              <w:jc w:val="center"/>
              <w:rPr>
                <w:rFonts w:eastAsia="Times New Roman" w:cs="Times New Roman"/>
                <w:b/>
                <w:bCs/>
                <w:snapToGrid/>
                <w:color w:val="000000" w:themeColor="text1"/>
                <w:kern w:val="0"/>
                <w:sz w:val="21"/>
                <w:szCs w:val="21"/>
                <w:highlight w:val="none"/>
                <w14:textFill>
                  <w14:solidFill>
                    <w14:schemeClr w14:val="tx1"/>
                  </w14:solidFill>
                </w14:textFill>
              </w:rPr>
            </w:pPr>
            <w:r>
              <w:rPr>
                <w:rFonts w:hint="eastAsia" w:ascii="宋体" w:hAnsi="宋体" w:eastAsia="Times New Roman" w:cs="宋体"/>
                <w:b/>
                <w:bCs/>
                <w:snapToGrid/>
                <w:color w:val="000000" w:themeColor="text1"/>
                <w:kern w:val="0"/>
                <w:sz w:val="21"/>
                <w:szCs w:val="21"/>
                <w:highlight w:val="none"/>
                <w14:textFill>
                  <w14:solidFill>
                    <w14:schemeClr w14:val="tx1"/>
                  </w14:solidFill>
                </w14:textFill>
              </w:rPr>
              <w:t>液体泄漏速度</w:t>
            </w:r>
            <w:r>
              <w:rPr>
                <w:rFonts w:eastAsia="Times New Roman" w:cs="Times New Roman"/>
                <w:b/>
                <w:bCs/>
                <w:snapToGrid/>
                <w:color w:val="000000" w:themeColor="text1"/>
                <w:kern w:val="0"/>
                <w:sz w:val="21"/>
                <w:szCs w:val="21"/>
                <w:highlight w:val="none"/>
                <w14:textFill>
                  <w14:solidFill>
                    <w14:schemeClr w14:val="tx1"/>
                  </w14:solidFill>
                </w14:textFill>
              </w:rPr>
              <w:t>Q</w:t>
            </w:r>
            <w:r>
              <w:rPr>
                <w:rFonts w:eastAsia="Times New Roman" w:cs="Times New Roman"/>
                <w:b/>
                <w:bCs/>
                <w:snapToGrid/>
                <w:color w:val="000000" w:themeColor="text1"/>
                <w:kern w:val="0"/>
                <w:sz w:val="21"/>
                <w:szCs w:val="21"/>
                <w:highlight w:val="none"/>
                <w:vertAlign w:val="subscript"/>
                <w14:textFill>
                  <w14:solidFill>
                    <w14:schemeClr w14:val="tx1"/>
                  </w14:solidFill>
                </w14:textFill>
              </w:rPr>
              <w:t>L</w:t>
            </w:r>
            <w:r>
              <w:rPr>
                <w:rFonts w:hint="eastAsia" w:ascii="宋体" w:hAnsi="宋体" w:eastAsia="Times New Roman" w:cs="宋体"/>
                <w:b/>
                <w:bCs/>
                <w:snapToGrid/>
                <w:color w:val="000000" w:themeColor="text1"/>
                <w:kern w:val="0"/>
                <w:sz w:val="21"/>
                <w:szCs w:val="21"/>
                <w:highlight w:val="none"/>
                <w14:textFill>
                  <w14:solidFill>
                    <w14:schemeClr w14:val="tx1"/>
                  </w14:solidFill>
                </w14:textFill>
              </w:rPr>
              <w:t>（</w:t>
            </w:r>
            <w:r>
              <w:rPr>
                <w:rFonts w:eastAsia="Times New Roman" w:cs="Times New Roman"/>
                <w:b/>
                <w:bCs/>
                <w:snapToGrid/>
                <w:color w:val="000000" w:themeColor="text1"/>
                <w:kern w:val="0"/>
                <w:sz w:val="21"/>
                <w:szCs w:val="21"/>
                <w:highlight w:val="none"/>
                <w14:textFill>
                  <w14:solidFill>
                    <w14:schemeClr w14:val="tx1"/>
                  </w14:solidFill>
                </w14:textFill>
              </w:rPr>
              <w:t>kg/s</w:t>
            </w:r>
            <w:r>
              <w:rPr>
                <w:rFonts w:hint="eastAsia" w:ascii="宋体" w:hAnsi="宋体" w:eastAsia="Times New Roman" w:cs="宋体"/>
                <w:b/>
                <w:bCs/>
                <w:snapToGrid/>
                <w:color w:val="000000" w:themeColor="text1"/>
                <w:kern w:val="0"/>
                <w:sz w:val="21"/>
                <w:szCs w:val="21"/>
                <w:highlight w:val="none"/>
                <w14:textFill>
                  <w14:solidFill>
                    <w14:schemeClr w14:val="tx1"/>
                  </w14:solidFill>
                </w14:textFill>
              </w:rPr>
              <w:t>）</w:t>
            </w:r>
          </w:p>
        </w:tc>
        <w:tc>
          <w:tcPr>
            <w:tcW w:w="547" w:type="pct"/>
            <w:vAlign w:val="center"/>
          </w:tcPr>
          <w:p>
            <w:pPr>
              <w:spacing w:line="240" w:lineRule="auto"/>
              <w:ind w:firstLine="0" w:firstLineChars="0"/>
              <w:jc w:val="center"/>
              <w:rPr>
                <w:rFonts w:eastAsia="Times New Roman" w:cs="Times New Roman"/>
                <w:b/>
                <w:bCs/>
                <w:snapToGrid/>
                <w:color w:val="000000" w:themeColor="text1"/>
                <w:kern w:val="0"/>
                <w:sz w:val="21"/>
                <w:szCs w:val="21"/>
                <w:highlight w:val="none"/>
                <w14:textFill>
                  <w14:solidFill>
                    <w14:schemeClr w14:val="tx1"/>
                  </w14:solidFill>
                </w14:textFill>
              </w:rPr>
            </w:pPr>
            <w:r>
              <w:rPr>
                <w:rFonts w:hint="eastAsia" w:ascii="宋体" w:hAnsi="宋体" w:eastAsia="Times New Roman" w:cs="宋体"/>
                <w:b/>
                <w:bCs/>
                <w:snapToGrid/>
                <w:color w:val="000000" w:themeColor="text1"/>
                <w:kern w:val="0"/>
                <w:sz w:val="21"/>
                <w:szCs w:val="21"/>
                <w:highlight w:val="none"/>
                <w14:textFill>
                  <w14:solidFill>
                    <w14:schemeClr w14:val="tx1"/>
                  </w14:solidFill>
                </w14:textFill>
              </w:rPr>
              <w:t>液体泄漏体积（</w:t>
            </w:r>
            <w:r>
              <w:rPr>
                <w:rFonts w:eastAsia="Times New Roman" w:cs="Times New Roman"/>
                <w:b/>
                <w:bCs/>
                <w:snapToGrid/>
                <w:color w:val="000000" w:themeColor="text1"/>
                <w:kern w:val="0"/>
                <w:sz w:val="21"/>
                <w:szCs w:val="21"/>
                <w:highlight w:val="none"/>
                <w14:textFill>
                  <w14:solidFill>
                    <w14:schemeClr w14:val="tx1"/>
                  </w14:solidFill>
                </w14:textFill>
              </w:rPr>
              <w:t>m</w:t>
            </w:r>
            <w:r>
              <w:rPr>
                <w:rFonts w:eastAsia="Times New Roman" w:cs="Times New Roman"/>
                <w:b/>
                <w:bCs/>
                <w:snapToGrid/>
                <w:color w:val="000000" w:themeColor="text1"/>
                <w:kern w:val="0"/>
                <w:sz w:val="21"/>
                <w:szCs w:val="21"/>
                <w:highlight w:val="none"/>
                <w:vertAlign w:val="superscript"/>
                <w14:textFill>
                  <w14:solidFill>
                    <w14:schemeClr w14:val="tx1"/>
                  </w14:solidFill>
                </w14:textFill>
              </w:rPr>
              <w:t>3</w:t>
            </w:r>
            <w:r>
              <w:rPr>
                <w:rFonts w:hint="eastAsia" w:ascii="宋体" w:hAnsi="宋体" w:eastAsia="Times New Roman" w:cs="宋体"/>
                <w:b/>
                <w:bCs/>
                <w:snapToGrid/>
                <w:color w:val="000000" w:themeColor="text1"/>
                <w:kern w:val="0"/>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1" w:type="pct"/>
            <w:vAlign w:val="center"/>
          </w:tcPr>
          <w:p>
            <w:pPr>
              <w:spacing w:line="240" w:lineRule="auto"/>
              <w:ind w:firstLine="0" w:firstLineChars="0"/>
              <w:jc w:val="center"/>
              <w:rPr>
                <w:rFonts w:eastAsia="Times New Roman" w:cs="Times New Roman"/>
                <w:snapToGrid/>
                <w:color w:val="000000" w:themeColor="text1"/>
                <w:kern w:val="0"/>
                <w:sz w:val="21"/>
                <w:szCs w:val="21"/>
                <w:highlight w:val="none"/>
                <w14:textFill>
                  <w14:solidFill>
                    <w14:schemeClr w14:val="tx1"/>
                  </w14:solidFill>
                </w14:textFill>
              </w:rPr>
            </w:pPr>
            <w:r>
              <w:rPr>
                <w:rFonts w:eastAsia="Times New Roman" w:cs="Times New Roman"/>
                <w:snapToGrid/>
                <w:color w:val="000000" w:themeColor="text1"/>
                <w:kern w:val="0"/>
                <w:sz w:val="21"/>
                <w:szCs w:val="21"/>
                <w:highlight w:val="none"/>
                <w14:textFill>
                  <w14:solidFill>
                    <w14:schemeClr w14:val="tx1"/>
                  </w14:solidFill>
                </w14:textFill>
              </w:rPr>
              <w:t>101325</w:t>
            </w:r>
          </w:p>
        </w:tc>
        <w:tc>
          <w:tcPr>
            <w:tcW w:w="670" w:type="pct"/>
            <w:vAlign w:val="center"/>
          </w:tcPr>
          <w:p>
            <w:pPr>
              <w:spacing w:line="240" w:lineRule="auto"/>
              <w:ind w:firstLine="0" w:firstLineChars="0"/>
              <w:jc w:val="center"/>
              <w:rPr>
                <w:rFonts w:eastAsia="Times New Roman" w:cs="Times New Roman"/>
                <w:snapToGrid/>
                <w:color w:val="000000" w:themeColor="text1"/>
                <w:kern w:val="0"/>
                <w:sz w:val="21"/>
                <w:szCs w:val="21"/>
                <w:highlight w:val="none"/>
                <w14:textFill>
                  <w14:solidFill>
                    <w14:schemeClr w14:val="tx1"/>
                  </w14:solidFill>
                </w14:textFill>
              </w:rPr>
            </w:pPr>
            <w:r>
              <w:rPr>
                <w:rFonts w:eastAsia="Times New Roman" w:cs="Times New Roman"/>
                <w:snapToGrid/>
                <w:color w:val="000000" w:themeColor="text1"/>
                <w:kern w:val="0"/>
                <w:sz w:val="21"/>
                <w:szCs w:val="21"/>
                <w:highlight w:val="none"/>
                <w14:textFill>
                  <w14:solidFill>
                    <w14:schemeClr w14:val="tx1"/>
                  </w14:solidFill>
                </w14:textFill>
              </w:rPr>
              <w:t>101325</w:t>
            </w:r>
          </w:p>
        </w:tc>
        <w:tc>
          <w:tcPr>
            <w:tcW w:w="709" w:type="pct"/>
            <w:vAlign w:val="center"/>
          </w:tcPr>
          <w:p>
            <w:pPr>
              <w:spacing w:line="240" w:lineRule="auto"/>
              <w:ind w:firstLine="0" w:firstLineChars="0"/>
              <w:jc w:val="center"/>
              <w:rPr>
                <w:rFonts w:eastAsia="Times New Roman" w:cs="Times New Roman"/>
                <w:snapToGrid/>
                <w:color w:val="000000" w:themeColor="text1"/>
                <w:kern w:val="0"/>
                <w:sz w:val="21"/>
                <w:szCs w:val="21"/>
                <w:highlight w:val="none"/>
                <w14:textFill>
                  <w14:solidFill>
                    <w14:schemeClr w14:val="tx1"/>
                  </w14:solidFill>
                </w14:textFill>
              </w:rPr>
            </w:pPr>
            <w:r>
              <w:rPr>
                <w:rFonts w:eastAsia="Times New Roman" w:cs="Times New Roman"/>
                <w:snapToGrid/>
                <w:color w:val="000000" w:themeColor="text1"/>
                <w:kern w:val="0"/>
                <w:sz w:val="21"/>
                <w:szCs w:val="21"/>
                <w:highlight w:val="none"/>
                <w14:textFill>
                  <w14:solidFill>
                    <w14:schemeClr w14:val="tx1"/>
                  </w14:solidFill>
                </w14:textFill>
              </w:rPr>
              <w:t>1000</w:t>
            </w:r>
          </w:p>
        </w:tc>
        <w:tc>
          <w:tcPr>
            <w:tcW w:w="550" w:type="pct"/>
            <w:vAlign w:val="center"/>
          </w:tcPr>
          <w:p>
            <w:pPr>
              <w:spacing w:line="240" w:lineRule="auto"/>
              <w:ind w:firstLine="0" w:firstLineChars="0"/>
              <w:jc w:val="center"/>
              <w:rPr>
                <w:rFonts w:eastAsia="Times New Roman" w:cs="Times New Roman"/>
                <w:snapToGrid/>
                <w:color w:val="000000" w:themeColor="text1"/>
                <w:kern w:val="0"/>
                <w:sz w:val="21"/>
                <w:szCs w:val="21"/>
                <w:highlight w:val="none"/>
                <w14:textFill>
                  <w14:solidFill>
                    <w14:schemeClr w14:val="tx1"/>
                  </w14:solidFill>
                </w14:textFill>
              </w:rPr>
            </w:pPr>
            <w:r>
              <w:rPr>
                <w:rFonts w:eastAsia="Times New Roman" w:cs="Times New Roman"/>
                <w:snapToGrid/>
                <w:color w:val="000000" w:themeColor="text1"/>
                <w:kern w:val="0"/>
                <w:sz w:val="21"/>
                <w:szCs w:val="21"/>
                <w:highlight w:val="none"/>
                <w14:textFill>
                  <w14:solidFill>
                    <w14:schemeClr w14:val="tx1"/>
                  </w14:solidFill>
                </w14:textFill>
              </w:rPr>
              <w:t>0.00</w:t>
            </w:r>
            <w:r>
              <w:rPr>
                <w:rFonts w:hint="eastAsia" w:eastAsia="Times New Roman" w:cs="Times New Roman"/>
                <w:snapToGrid/>
                <w:color w:val="000000" w:themeColor="text1"/>
                <w:kern w:val="0"/>
                <w:sz w:val="21"/>
                <w:szCs w:val="21"/>
                <w:highlight w:val="none"/>
                <w14:textFill>
                  <w14:solidFill>
                    <w14:schemeClr w14:val="tx1"/>
                  </w14:solidFill>
                </w14:textFill>
              </w:rPr>
              <w:t>196</w:t>
            </w:r>
          </w:p>
        </w:tc>
        <w:tc>
          <w:tcPr>
            <w:tcW w:w="526" w:type="pct"/>
            <w:vAlign w:val="center"/>
          </w:tcPr>
          <w:p>
            <w:pPr>
              <w:spacing w:line="240" w:lineRule="auto"/>
              <w:ind w:firstLine="0" w:firstLineChars="0"/>
              <w:jc w:val="center"/>
              <w:rPr>
                <w:rFonts w:eastAsia="Times New Roman" w:cs="Times New Roman"/>
                <w:snapToGrid/>
                <w:color w:val="000000" w:themeColor="text1"/>
                <w:kern w:val="0"/>
                <w:sz w:val="21"/>
                <w:szCs w:val="21"/>
                <w:highlight w:val="none"/>
                <w14:textFill>
                  <w14:solidFill>
                    <w14:schemeClr w14:val="tx1"/>
                  </w14:solidFill>
                </w14:textFill>
              </w:rPr>
            </w:pPr>
            <w:r>
              <w:rPr>
                <w:rFonts w:hint="eastAsia" w:eastAsia="Times New Roman" w:cs="Times New Roman"/>
                <w:snapToGrid/>
                <w:color w:val="000000" w:themeColor="text1"/>
                <w:kern w:val="0"/>
                <w:sz w:val="21"/>
                <w:szCs w:val="21"/>
                <w:highlight w:val="none"/>
                <w14:textFill>
                  <w14:solidFill>
                    <w14:schemeClr w14:val="tx1"/>
                  </w14:solidFill>
                </w14:textFill>
              </w:rPr>
              <w:t>4.5</w:t>
            </w:r>
          </w:p>
        </w:tc>
        <w:tc>
          <w:tcPr>
            <w:tcW w:w="445" w:type="pct"/>
            <w:vAlign w:val="center"/>
          </w:tcPr>
          <w:p>
            <w:pPr>
              <w:spacing w:line="240" w:lineRule="auto"/>
              <w:ind w:firstLine="0" w:firstLineChars="0"/>
              <w:jc w:val="center"/>
              <w:rPr>
                <w:rFonts w:eastAsia="Times New Roman" w:cs="Times New Roman"/>
                <w:snapToGrid/>
                <w:color w:val="000000" w:themeColor="text1"/>
                <w:kern w:val="0"/>
                <w:sz w:val="21"/>
                <w:szCs w:val="21"/>
                <w:highlight w:val="none"/>
                <w14:textFill>
                  <w14:solidFill>
                    <w14:schemeClr w14:val="tx1"/>
                  </w14:solidFill>
                </w14:textFill>
              </w:rPr>
            </w:pPr>
            <w:r>
              <w:rPr>
                <w:rFonts w:eastAsia="Times New Roman" w:cs="Times New Roman"/>
                <w:snapToGrid/>
                <w:color w:val="000000" w:themeColor="text1"/>
                <w:kern w:val="0"/>
                <w:sz w:val="21"/>
                <w:szCs w:val="21"/>
                <w:highlight w:val="none"/>
                <w14:textFill>
                  <w14:solidFill>
                    <w14:schemeClr w14:val="tx1"/>
                  </w14:solidFill>
                </w14:textFill>
              </w:rPr>
              <w:t>0.65</w:t>
            </w:r>
          </w:p>
        </w:tc>
        <w:tc>
          <w:tcPr>
            <w:tcW w:w="445" w:type="pct"/>
            <w:vAlign w:val="center"/>
          </w:tcPr>
          <w:p>
            <w:pPr>
              <w:spacing w:line="240" w:lineRule="auto"/>
              <w:ind w:firstLine="0" w:firstLineChars="0"/>
              <w:jc w:val="center"/>
              <w:rPr>
                <w:rFonts w:eastAsia="Times New Roman" w:cs="Times New Roman"/>
                <w:snapToGrid/>
                <w:color w:val="000000" w:themeColor="text1"/>
                <w:kern w:val="0"/>
                <w:sz w:val="21"/>
                <w:szCs w:val="21"/>
                <w:highlight w:val="none"/>
                <w14:textFill>
                  <w14:solidFill>
                    <w14:schemeClr w14:val="tx1"/>
                  </w14:solidFill>
                </w14:textFill>
              </w:rPr>
            </w:pPr>
            <w:r>
              <w:rPr>
                <w:rFonts w:eastAsia="Times New Roman" w:cs="Times New Roman"/>
                <w:snapToGrid/>
                <w:color w:val="000000" w:themeColor="text1"/>
                <w:kern w:val="0"/>
                <w:sz w:val="21"/>
                <w:szCs w:val="21"/>
                <w:highlight w:val="none"/>
                <w14:textFill>
                  <w14:solidFill>
                    <w14:schemeClr w14:val="tx1"/>
                  </w14:solidFill>
                </w14:textFill>
              </w:rPr>
              <w:t>9.81</w:t>
            </w:r>
          </w:p>
        </w:tc>
        <w:tc>
          <w:tcPr>
            <w:tcW w:w="596" w:type="pct"/>
            <w:vAlign w:val="center"/>
          </w:tcPr>
          <w:p>
            <w:pPr>
              <w:spacing w:line="240" w:lineRule="auto"/>
              <w:ind w:firstLine="0" w:firstLineChars="0"/>
              <w:jc w:val="center"/>
              <w:rPr>
                <w:rFonts w:eastAsia="Times New Roman" w:cs="Times New Roman"/>
                <w:snapToGrid/>
                <w:color w:val="000000" w:themeColor="text1"/>
                <w:kern w:val="0"/>
                <w:sz w:val="21"/>
                <w:szCs w:val="21"/>
                <w:highlight w:val="none"/>
                <w14:textFill>
                  <w14:solidFill>
                    <w14:schemeClr w14:val="tx1"/>
                  </w14:solidFill>
                </w14:textFill>
              </w:rPr>
            </w:pPr>
            <w:r>
              <w:rPr>
                <w:rFonts w:eastAsia="Times New Roman" w:cs="Times New Roman"/>
                <w:snapToGrid/>
                <w:color w:val="000000" w:themeColor="text1"/>
                <w:kern w:val="0"/>
                <w:sz w:val="21"/>
                <w:szCs w:val="21"/>
                <w:highlight w:val="none"/>
                <w14:textFill>
                  <w14:solidFill>
                    <w14:schemeClr w14:val="tx1"/>
                  </w14:solidFill>
                </w14:textFill>
              </w:rPr>
              <w:t>1</w:t>
            </w:r>
            <w:r>
              <w:rPr>
                <w:rFonts w:hint="eastAsia" w:eastAsia="Times New Roman" w:cs="Times New Roman"/>
                <w:snapToGrid/>
                <w:color w:val="000000" w:themeColor="text1"/>
                <w:kern w:val="0"/>
                <w:sz w:val="21"/>
                <w:szCs w:val="21"/>
                <w:highlight w:val="none"/>
                <w14:textFill>
                  <w14:solidFill>
                    <w14:schemeClr w14:val="tx1"/>
                  </w14:solidFill>
                </w14:textFill>
              </w:rPr>
              <w:t>1.98</w:t>
            </w:r>
            <w:r>
              <w:rPr>
                <w:rFonts w:eastAsia="Times New Roman" w:cs="Times New Roman"/>
                <w:snapToGrid/>
                <w:color w:val="000000" w:themeColor="text1"/>
                <w:kern w:val="0"/>
                <w:sz w:val="21"/>
                <w:szCs w:val="21"/>
                <w:highlight w:val="none"/>
                <w14:textFill>
                  <w14:solidFill>
                    <w14:schemeClr w14:val="tx1"/>
                  </w14:solidFill>
                </w14:textFill>
              </w:rPr>
              <w:t xml:space="preserve"> </w:t>
            </w:r>
          </w:p>
        </w:tc>
        <w:tc>
          <w:tcPr>
            <w:tcW w:w="547" w:type="pct"/>
            <w:noWrap/>
            <w:vAlign w:val="center"/>
          </w:tcPr>
          <w:p>
            <w:pPr>
              <w:spacing w:line="240" w:lineRule="auto"/>
              <w:ind w:firstLine="0" w:firstLineChars="0"/>
              <w:jc w:val="center"/>
              <w:rPr>
                <w:rFonts w:eastAsia="Times New Roman" w:cs="Times New Roman"/>
                <w:snapToGrid/>
                <w:color w:val="000000" w:themeColor="text1"/>
                <w:kern w:val="0"/>
                <w:sz w:val="21"/>
                <w:szCs w:val="21"/>
                <w:highlight w:val="none"/>
                <w14:textFill>
                  <w14:solidFill>
                    <w14:schemeClr w14:val="tx1"/>
                  </w14:solidFill>
                </w14:textFill>
              </w:rPr>
            </w:pPr>
            <w:r>
              <w:rPr>
                <w:rFonts w:hint="eastAsia" w:eastAsia="Times New Roman" w:cs="Times New Roman"/>
                <w:snapToGrid/>
                <w:color w:val="000000" w:themeColor="text1"/>
                <w:kern w:val="0"/>
                <w:sz w:val="21"/>
                <w:szCs w:val="21"/>
                <w:highlight w:val="none"/>
                <w14:textFill>
                  <w14:solidFill>
                    <w14:schemeClr w14:val="tx1"/>
                  </w14:solidFill>
                </w14:textFill>
              </w:rPr>
              <w:t>7</w:t>
            </w:r>
            <w:r>
              <w:rPr>
                <w:rFonts w:eastAsia="Times New Roman" w:cs="Times New Roman"/>
                <w:snapToGrid/>
                <w:color w:val="000000" w:themeColor="text1"/>
                <w:kern w:val="0"/>
                <w:sz w:val="21"/>
                <w:szCs w:val="21"/>
                <w:highlight w:val="none"/>
                <w14:textFill>
                  <w14:solidFill>
                    <w14:schemeClr w14:val="tx1"/>
                  </w14:solidFill>
                </w14:textFill>
              </w:rPr>
              <w:t>.2</w:t>
            </w:r>
          </w:p>
        </w:tc>
      </w:tr>
    </w:tbl>
    <w:p>
      <w:pPr>
        <w:keepNext/>
        <w:widowControl/>
        <w:spacing w:before="120" w:beforeLines="50" w:line="240" w:lineRule="auto"/>
        <w:ind w:firstLine="0" w:firstLineChars="0"/>
        <w:jc w:val="center"/>
        <w:rPr>
          <w:rFonts w:eastAsia="黑体" w:cs="Times New Roman"/>
          <w:snapToGrid w:val="0"/>
          <w:color w:val="000000" w:themeColor="text1"/>
          <w:kern w:val="0"/>
          <w:sz w:val="22"/>
          <w:szCs w:val="24"/>
          <w:highlight w:val="none"/>
          <w14:textFill>
            <w14:solidFill>
              <w14:schemeClr w14:val="tx1"/>
            </w14:solidFill>
          </w14:textFill>
        </w:rPr>
      </w:pPr>
      <w:bookmarkStart w:id="310" w:name="_Ref154735296"/>
      <w:r>
        <w:rPr>
          <w:rFonts w:eastAsia="黑体" w:cs="Times New Roman"/>
          <w:snapToGrid w:val="0"/>
          <w:color w:val="000000" w:themeColor="text1"/>
          <w:kern w:val="0"/>
          <w:sz w:val="22"/>
          <w:szCs w:val="24"/>
          <w:highlight w:val="none"/>
          <w14:textFill>
            <w14:solidFill>
              <w14:schemeClr w14:val="tx1"/>
            </w14:solidFill>
          </w14:textFill>
        </w:rPr>
        <w:t>表</w:t>
      </w:r>
      <w:r>
        <w:rPr>
          <w:rFonts w:eastAsia="黑体" w:cs="Times New Roman"/>
          <w:snapToGrid w:val="0"/>
          <w:color w:val="000000" w:themeColor="text1"/>
          <w:kern w:val="0"/>
          <w:sz w:val="22"/>
          <w:szCs w:val="24"/>
          <w:highlight w:val="none"/>
          <w14:textFill>
            <w14:solidFill>
              <w14:schemeClr w14:val="tx1"/>
            </w14:solidFill>
          </w14:textFill>
        </w:rPr>
        <w:fldChar w:fldCharType="begin"/>
      </w:r>
      <w:r>
        <w:rPr>
          <w:rFonts w:eastAsia="黑体" w:cs="Times New Roman"/>
          <w:snapToGrid w:val="0"/>
          <w:color w:val="000000" w:themeColor="text1"/>
          <w:kern w:val="0"/>
          <w:sz w:val="22"/>
          <w:szCs w:val="24"/>
          <w:highlight w:val="none"/>
          <w14:textFill>
            <w14:solidFill>
              <w14:schemeClr w14:val="tx1"/>
            </w14:solidFill>
          </w14:textFill>
        </w:rPr>
        <w:instrText xml:space="preserve"> STYLEREF 2 \s </w:instrText>
      </w:r>
      <w:r>
        <w:rPr>
          <w:rFonts w:eastAsia="黑体" w:cs="Times New Roman"/>
          <w:snapToGrid w:val="0"/>
          <w:color w:val="000000" w:themeColor="text1"/>
          <w:kern w:val="0"/>
          <w:sz w:val="22"/>
          <w:szCs w:val="24"/>
          <w:highlight w:val="none"/>
          <w14:textFill>
            <w14:solidFill>
              <w14:schemeClr w14:val="tx1"/>
            </w14:solidFill>
          </w14:textFill>
        </w:rPr>
        <w:fldChar w:fldCharType="separate"/>
      </w:r>
      <w:r>
        <w:rPr>
          <w:rFonts w:eastAsia="黑体" w:cs="Times New Roman"/>
          <w:snapToGrid w:val="0"/>
          <w:color w:val="000000" w:themeColor="text1"/>
          <w:kern w:val="0"/>
          <w:sz w:val="22"/>
          <w:szCs w:val="24"/>
          <w:highlight w:val="none"/>
          <w14:textFill>
            <w14:solidFill>
              <w14:schemeClr w14:val="tx1"/>
            </w14:solidFill>
          </w14:textFill>
        </w:rPr>
        <w:t>5.2</w:t>
      </w:r>
      <w:r>
        <w:rPr>
          <w:rFonts w:eastAsia="黑体" w:cs="Times New Roman"/>
          <w:snapToGrid w:val="0"/>
          <w:color w:val="000000" w:themeColor="text1"/>
          <w:kern w:val="0"/>
          <w:sz w:val="22"/>
          <w:szCs w:val="24"/>
          <w:highlight w:val="none"/>
          <w14:textFill>
            <w14:solidFill>
              <w14:schemeClr w14:val="tx1"/>
            </w14:solidFill>
          </w14:textFill>
        </w:rPr>
        <w:fldChar w:fldCharType="end"/>
      </w:r>
      <w:r>
        <w:rPr>
          <w:rFonts w:eastAsia="黑体" w:cs="Times New Roman"/>
          <w:snapToGrid w:val="0"/>
          <w:color w:val="000000" w:themeColor="text1"/>
          <w:kern w:val="0"/>
          <w:sz w:val="22"/>
          <w:szCs w:val="24"/>
          <w:highlight w:val="none"/>
          <w14:textFill>
            <w14:solidFill>
              <w14:schemeClr w14:val="tx1"/>
            </w14:solidFill>
          </w14:textFill>
        </w:rPr>
        <w:noBreakHyphen/>
      </w:r>
      <w:r>
        <w:rPr>
          <w:rFonts w:eastAsia="黑体" w:cs="Times New Roman"/>
          <w:snapToGrid w:val="0"/>
          <w:color w:val="000000" w:themeColor="text1"/>
          <w:kern w:val="0"/>
          <w:sz w:val="22"/>
          <w:szCs w:val="24"/>
          <w:highlight w:val="none"/>
          <w14:textFill>
            <w14:solidFill>
              <w14:schemeClr w14:val="tx1"/>
            </w14:solidFill>
          </w14:textFill>
        </w:rPr>
        <w:fldChar w:fldCharType="begin"/>
      </w:r>
      <w:r>
        <w:rPr>
          <w:rFonts w:eastAsia="黑体" w:cs="Times New Roman"/>
          <w:snapToGrid w:val="0"/>
          <w:color w:val="000000" w:themeColor="text1"/>
          <w:kern w:val="0"/>
          <w:sz w:val="22"/>
          <w:szCs w:val="24"/>
          <w:highlight w:val="none"/>
          <w14:textFill>
            <w14:solidFill>
              <w14:schemeClr w14:val="tx1"/>
            </w14:solidFill>
          </w14:textFill>
        </w:rPr>
        <w:instrText xml:space="preserve"> SEQ 表 \* ARABIC \s 2 </w:instrText>
      </w:r>
      <w:r>
        <w:rPr>
          <w:rFonts w:eastAsia="黑体" w:cs="Times New Roman"/>
          <w:snapToGrid w:val="0"/>
          <w:color w:val="000000" w:themeColor="text1"/>
          <w:kern w:val="0"/>
          <w:sz w:val="22"/>
          <w:szCs w:val="24"/>
          <w:highlight w:val="none"/>
          <w14:textFill>
            <w14:solidFill>
              <w14:schemeClr w14:val="tx1"/>
            </w14:solidFill>
          </w14:textFill>
        </w:rPr>
        <w:fldChar w:fldCharType="separate"/>
      </w:r>
      <w:r>
        <w:rPr>
          <w:rFonts w:eastAsia="黑体" w:cs="Times New Roman"/>
          <w:snapToGrid w:val="0"/>
          <w:color w:val="000000" w:themeColor="text1"/>
          <w:kern w:val="0"/>
          <w:sz w:val="22"/>
          <w:szCs w:val="24"/>
          <w:highlight w:val="none"/>
          <w14:textFill>
            <w14:solidFill>
              <w14:schemeClr w14:val="tx1"/>
            </w14:solidFill>
          </w14:textFill>
        </w:rPr>
        <w:t>7</w:t>
      </w:r>
      <w:r>
        <w:rPr>
          <w:rFonts w:eastAsia="黑体" w:cs="Times New Roman"/>
          <w:snapToGrid w:val="0"/>
          <w:color w:val="000000" w:themeColor="text1"/>
          <w:kern w:val="0"/>
          <w:sz w:val="22"/>
          <w:szCs w:val="24"/>
          <w:highlight w:val="none"/>
          <w14:textFill>
            <w14:solidFill>
              <w14:schemeClr w14:val="tx1"/>
            </w14:solidFill>
          </w14:textFill>
        </w:rPr>
        <w:fldChar w:fldCharType="end"/>
      </w:r>
      <w:bookmarkEnd w:id="310"/>
      <w:r>
        <w:rPr>
          <w:rFonts w:eastAsia="黑体" w:cs="Times New Roman"/>
          <w:snapToGrid w:val="0"/>
          <w:color w:val="000000" w:themeColor="text1"/>
          <w:kern w:val="0"/>
          <w:sz w:val="22"/>
          <w:szCs w:val="24"/>
          <w:highlight w:val="none"/>
          <w14:textFill>
            <w14:solidFill>
              <w14:schemeClr w14:val="tx1"/>
            </w14:solidFill>
          </w14:textFill>
        </w:rPr>
        <w:t xml:space="preserve"> </w:t>
      </w:r>
      <w:r>
        <w:rPr>
          <w:rFonts w:hint="eastAsia" w:eastAsia="黑体" w:cs="Times New Roman"/>
          <w:snapToGrid w:val="0"/>
          <w:color w:val="000000" w:themeColor="text1"/>
          <w:kern w:val="0"/>
          <w:sz w:val="22"/>
          <w:szCs w:val="24"/>
          <w:highlight w:val="none"/>
          <w14:textFill>
            <w14:solidFill>
              <w14:schemeClr w14:val="tx1"/>
            </w14:solidFill>
          </w14:textFill>
        </w:rPr>
        <w:t>试采期污水罐泄漏非正常状况下污染物预测源强表</w:t>
      </w:r>
    </w:p>
    <w:tbl>
      <w:tblPr>
        <w:tblStyle w:val="21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5"/>
        <w:gridCol w:w="1095"/>
        <w:gridCol w:w="1553"/>
        <w:gridCol w:w="1652"/>
        <w:gridCol w:w="1567"/>
        <w:gridCol w:w="15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42" w:type="pct"/>
            <w:vAlign w:val="center"/>
          </w:tcPr>
          <w:p>
            <w:pPr>
              <w:spacing w:line="240" w:lineRule="auto"/>
              <w:ind w:firstLine="0" w:firstLineChars="0"/>
              <w:jc w:val="center"/>
              <w:rPr>
                <w:rFonts w:eastAsia="Times New Roman" w:cs="Times New Roman"/>
                <w:b/>
                <w:bCs/>
                <w:snapToGrid/>
                <w:color w:val="000000" w:themeColor="text1"/>
                <w:kern w:val="0"/>
                <w:sz w:val="21"/>
                <w:szCs w:val="21"/>
                <w:highlight w:val="none"/>
                <w14:textFill>
                  <w14:solidFill>
                    <w14:schemeClr w14:val="tx1"/>
                  </w14:solidFill>
                </w14:textFill>
              </w:rPr>
            </w:pPr>
            <w:r>
              <w:rPr>
                <w:rFonts w:hint="eastAsia" w:ascii="宋体" w:hAnsi="宋体" w:eastAsia="Times New Roman" w:cs="宋体"/>
                <w:b/>
                <w:bCs/>
                <w:snapToGrid/>
                <w:color w:val="000000" w:themeColor="text1"/>
                <w:kern w:val="0"/>
                <w:sz w:val="21"/>
                <w:szCs w:val="21"/>
                <w:highlight w:val="none"/>
                <w14:textFill>
                  <w14:solidFill>
                    <w14:schemeClr w14:val="tx1"/>
                  </w14:solidFill>
                </w14:textFill>
              </w:rPr>
              <w:t>预测阶段</w:t>
            </w:r>
          </w:p>
        </w:tc>
        <w:tc>
          <w:tcPr>
            <w:tcW w:w="642" w:type="pct"/>
            <w:vAlign w:val="center"/>
          </w:tcPr>
          <w:p>
            <w:pPr>
              <w:spacing w:line="240" w:lineRule="auto"/>
              <w:ind w:firstLine="0" w:firstLineChars="0"/>
              <w:jc w:val="center"/>
              <w:rPr>
                <w:rFonts w:eastAsia="Times New Roman" w:cs="Times New Roman"/>
                <w:b/>
                <w:bCs/>
                <w:snapToGrid/>
                <w:color w:val="000000" w:themeColor="text1"/>
                <w:kern w:val="0"/>
                <w:sz w:val="21"/>
                <w:szCs w:val="21"/>
                <w:highlight w:val="none"/>
                <w14:textFill>
                  <w14:solidFill>
                    <w14:schemeClr w14:val="tx1"/>
                  </w14:solidFill>
                </w14:textFill>
              </w:rPr>
            </w:pPr>
            <w:r>
              <w:rPr>
                <w:rFonts w:hint="eastAsia" w:ascii="宋体" w:hAnsi="宋体" w:eastAsia="Times New Roman" w:cs="宋体"/>
                <w:b/>
                <w:bCs/>
                <w:snapToGrid/>
                <w:color w:val="000000" w:themeColor="text1"/>
                <w:kern w:val="0"/>
                <w:sz w:val="21"/>
                <w:szCs w:val="21"/>
                <w:highlight w:val="none"/>
                <w14:textFill>
                  <w14:solidFill>
                    <w14:schemeClr w14:val="tx1"/>
                  </w14:solidFill>
                </w14:textFill>
              </w:rPr>
              <w:t>泄漏位置</w:t>
            </w:r>
          </w:p>
        </w:tc>
        <w:tc>
          <w:tcPr>
            <w:tcW w:w="911" w:type="pct"/>
            <w:vAlign w:val="center"/>
          </w:tcPr>
          <w:p>
            <w:pPr>
              <w:spacing w:line="240" w:lineRule="auto"/>
              <w:ind w:firstLine="0" w:firstLineChars="0"/>
              <w:jc w:val="center"/>
              <w:rPr>
                <w:rFonts w:eastAsia="Times New Roman" w:cs="Times New Roman"/>
                <w:b/>
                <w:bCs/>
                <w:snapToGrid/>
                <w:color w:val="000000" w:themeColor="text1"/>
                <w:kern w:val="0"/>
                <w:sz w:val="21"/>
                <w:szCs w:val="21"/>
                <w:highlight w:val="none"/>
                <w14:textFill>
                  <w14:solidFill>
                    <w14:schemeClr w14:val="tx1"/>
                  </w14:solidFill>
                </w14:textFill>
              </w:rPr>
            </w:pPr>
            <w:r>
              <w:rPr>
                <w:rFonts w:hint="eastAsia" w:ascii="宋体" w:hAnsi="宋体" w:eastAsia="Times New Roman" w:cs="宋体"/>
                <w:b/>
                <w:bCs/>
                <w:snapToGrid/>
                <w:color w:val="000000" w:themeColor="text1"/>
                <w:kern w:val="0"/>
                <w:sz w:val="21"/>
                <w:szCs w:val="21"/>
                <w:highlight w:val="none"/>
                <w14:textFill>
                  <w14:solidFill>
                    <w14:schemeClr w14:val="tx1"/>
                  </w14:solidFill>
                </w14:textFill>
              </w:rPr>
              <w:t>污染物</w:t>
            </w:r>
          </w:p>
        </w:tc>
        <w:tc>
          <w:tcPr>
            <w:tcW w:w="969" w:type="pct"/>
            <w:vAlign w:val="center"/>
          </w:tcPr>
          <w:p>
            <w:pPr>
              <w:spacing w:line="240" w:lineRule="auto"/>
              <w:ind w:firstLine="0" w:firstLineChars="0"/>
              <w:jc w:val="center"/>
              <w:rPr>
                <w:rFonts w:eastAsia="Times New Roman" w:cs="Times New Roman"/>
                <w:b/>
                <w:bCs/>
                <w:snapToGrid/>
                <w:color w:val="000000" w:themeColor="text1"/>
                <w:kern w:val="0"/>
                <w:sz w:val="21"/>
                <w:szCs w:val="21"/>
                <w:highlight w:val="none"/>
                <w14:textFill>
                  <w14:solidFill>
                    <w14:schemeClr w14:val="tx1"/>
                  </w14:solidFill>
                </w14:textFill>
              </w:rPr>
            </w:pPr>
            <w:r>
              <w:rPr>
                <w:rFonts w:hint="eastAsia" w:ascii="宋体" w:hAnsi="宋体" w:eastAsia="Times New Roman" w:cs="宋体"/>
                <w:b/>
                <w:bCs/>
                <w:snapToGrid/>
                <w:color w:val="000000" w:themeColor="text1"/>
                <w:kern w:val="0"/>
                <w:sz w:val="21"/>
                <w:szCs w:val="21"/>
                <w:highlight w:val="none"/>
                <w14:textFill>
                  <w14:solidFill>
                    <w14:schemeClr w14:val="tx1"/>
                  </w14:solidFill>
                </w14:textFill>
              </w:rPr>
              <w:t>污染物浓度（</w:t>
            </w:r>
            <w:r>
              <w:rPr>
                <w:rFonts w:eastAsia="Times New Roman" w:cs="Times New Roman"/>
                <w:b/>
                <w:bCs/>
                <w:snapToGrid/>
                <w:color w:val="000000" w:themeColor="text1"/>
                <w:kern w:val="0"/>
                <w:sz w:val="21"/>
                <w:szCs w:val="21"/>
                <w:highlight w:val="none"/>
                <w14:textFill>
                  <w14:solidFill>
                    <w14:schemeClr w14:val="tx1"/>
                  </w14:solidFill>
                </w14:textFill>
              </w:rPr>
              <w:t>mg/L</w:t>
            </w:r>
            <w:r>
              <w:rPr>
                <w:rFonts w:hint="eastAsia" w:ascii="宋体" w:hAnsi="宋体" w:eastAsia="Times New Roman" w:cs="宋体"/>
                <w:b/>
                <w:bCs/>
                <w:snapToGrid/>
                <w:color w:val="000000" w:themeColor="text1"/>
                <w:kern w:val="0"/>
                <w:sz w:val="21"/>
                <w:szCs w:val="21"/>
                <w:highlight w:val="none"/>
                <w14:textFill>
                  <w14:solidFill>
                    <w14:schemeClr w14:val="tx1"/>
                  </w14:solidFill>
                </w14:textFill>
              </w:rPr>
              <w:t>）</w:t>
            </w:r>
          </w:p>
        </w:tc>
        <w:tc>
          <w:tcPr>
            <w:tcW w:w="919" w:type="pct"/>
            <w:vAlign w:val="center"/>
          </w:tcPr>
          <w:p>
            <w:pPr>
              <w:spacing w:line="240" w:lineRule="auto"/>
              <w:ind w:firstLine="0" w:firstLineChars="0"/>
              <w:jc w:val="center"/>
              <w:rPr>
                <w:rFonts w:eastAsia="Times New Roman" w:cs="Times New Roman"/>
                <w:b/>
                <w:bCs/>
                <w:snapToGrid/>
                <w:color w:val="000000" w:themeColor="text1"/>
                <w:kern w:val="0"/>
                <w:sz w:val="21"/>
                <w:szCs w:val="21"/>
                <w:highlight w:val="none"/>
                <w14:textFill>
                  <w14:solidFill>
                    <w14:schemeClr w14:val="tx1"/>
                  </w14:solidFill>
                </w14:textFill>
              </w:rPr>
            </w:pPr>
            <w:r>
              <w:rPr>
                <w:rFonts w:hint="eastAsia" w:ascii="宋体" w:hAnsi="宋体" w:eastAsia="Times New Roman" w:cs="宋体"/>
                <w:b/>
                <w:bCs/>
                <w:snapToGrid/>
                <w:color w:val="000000" w:themeColor="text1"/>
                <w:kern w:val="0"/>
                <w:sz w:val="21"/>
                <w:szCs w:val="21"/>
                <w:highlight w:val="none"/>
                <w14:textFill>
                  <w14:solidFill>
                    <w14:schemeClr w14:val="tx1"/>
                  </w14:solidFill>
                </w14:textFill>
              </w:rPr>
              <w:t>渗漏量（</w:t>
            </w:r>
            <w:r>
              <w:rPr>
                <w:rFonts w:eastAsia="Times New Roman" w:cs="Times New Roman"/>
                <w:b/>
                <w:bCs/>
                <w:snapToGrid/>
                <w:color w:val="000000" w:themeColor="text1"/>
                <w:kern w:val="0"/>
                <w:sz w:val="21"/>
                <w:szCs w:val="21"/>
                <w:highlight w:val="none"/>
                <w14:textFill>
                  <w14:solidFill>
                    <w14:schemeClr w14:val="tx1"/>
                  </w14:solidFill>
                </w14:textFill>
              </w:rPr>
              <w:t>m</w:t>
            </w:r>
            <w:r>
              <w:rPr>
                <w:rFonts w:eastAsia="Times New Roman" w:cs="Times New Roman"/>
                <w:b/>
                <w:bCs/>
                <w:snapToGrid/>
                <w:color w:val="000000" w:themeColor="text1"/>
                <w:kern w:val="0"/>
                <w:sz w:val="21"/>
                <w:szCs w:val="21"/>
                <w:highlight w:val="none"/>
                <w:vertAlign w:val="superscript"/>
                <w14:textFill>
                  <w14:solidFill>
                    <w14:schemeClr w14:val="tx1"/>
                  </w14:solidFill>
                </w14:textFill>
              </w:rPr>
              <w:t>3</w:t>
            </w:r>
            <w:r>
              <w:rPr>
                <w:rFonts w:hint="eastAsia" w:ascii="宋体" w:hAnsi="宋体" w:eastAsia="Times New Roman" w:cs="宋体"/>
                <w:b/>
                <w:bCs/>
                <w:snapToGrid/>
                <w:color w:val="000000" w:themeColor="text1"/>
                <w:kern w:val="0"/>
                <w:sz w:val="21"/>
                <w:szCs w:val="21"/>
                <w:highlight w:val="none"/>
                <w14:textFill>
                  <w14:solidFill>
                    <w14:schemeClr w14:val="tx1"/>
                  </w14:solidFill>
                </w14:textFill>
              </w:rPr>
              <w:t>）</w:t>
            </w:r>
          </w:p>
        </w:tc>
        <w:tc>
          <w:tcPr>
            <w:tcW w:w="917" w:type="pct"/>
            <w:vAlign w:val="center"/>
          </w:tcPr>
          <w:p>
            <w:pPr>
              <w:spacing w:line="240" w:lineRule="auto"/>
              <w:ind w:firstLine="0" w:firstLineChars="0"/>
              <w:jc w:val="center"/>
              <w:rPr>
                <w:rFonts w:eastAsia="Times New Roman" w:cs="Times New Roman"/>
                <w:b/>
                <w:bCs/>
                <w:snapToGrid/>
                <w:color w:val="000000" w:themeColor="text1"/>
                <w:kern w:val="0"/>
                <w:sz w:val="21"/>
                <w:szCs w:val="21"/>
                <w:highlight w:val="none"/>
                <w14:textFill>
                  <w14:solidFill>
                    <w14:schemeClr w14:val="tx1"/>
                  </w14:solidFill>
                </w14:textFill>
              </w:rPr>
            </w:pPr>
            <w:r>
              <w:rPr>
                <w:rFonts w:hint="eastAsia" w:ascii="宋体" w:hAnsi="宋体" w:eastAsia="Times New Roman" w:cs="宋体"/>
                <w:b/>
                <w:bCs/>
                <w:snapToGrid/>
                <w:color w:val="000000" w:themeColor="text1"/>
                <w:kern w:val="0"/>
                <w:sz w:val="21"/>
                <w:szCs w:val="21"/>
                <w:highlight w:val="none"/>
                <w14:textFill>
                  <w14:solidFill>
                    <w14:schemeClr w14:val="tx1"/>
                  </w14:solidFill>
                </w14:textFill>
              </w:rPr>
              <w:t>污染物渗漏量</w:t>
            </w:r>
            <w:r>
              <w:rPr>
                <w:rFonts w:hint="eastAsia" w:eastAsia="Times New Roman" w:cs="Times New Roman"/>
                <w:b/>
                <w:bCs/>
                <w:snapToGrid/>
                <w:color w:val="000000" w:themeColor="text1"/>
                <w:kern w:val="0"/>
                <w:sz w:val="21"/>
                <w:szCs w:val="21"/>
                <w:highlight w:val="none"/>
                <w14:textFill>
                  <w14:solidFill>
                    <w14:schemeClr w14:val="tx1"/>
                  </w14:solidFill>
                </w14:textFill>
              </w:rPr>
              <w:t>*</w:t>
            </w:r>
            <w:r>
              <w:rPr>
                <w:rFonts w:hint="eastAsia" w:ascii="宋体" w:hAnsi="宋体" w:eastAsia="Times New Roman" w:cs="宋体"/>
                <w:b/>
                <w:bCs/>
                <w:snapToGrid/>
                <w:color w:val="000000" w:themeColor="text1"/>
                <w:kern w:val="0"/>
                <w:sz w:val="21"/>
                <w:szCs w:val="21"/>
                <w:highlight w:val="none"/>
                <w14:textFill>
                  <w14:solidFill>
                    <w14:schemeClr w14:val="tx1"/>
                  </w14:solidFill>
                </w14:textFill>
              </w:rPr>
              <w:t>（</w:t>
            </w:r>
            <w:r>
              <w:rPr>
                <w:rFonts w:eastAsia="Times New Roman" w:cs="Times New Roman"/>
                <w:b/>
                <w:bCs/>
                <w:snapToGrid/>
                <w:color w:val="000000" w:themeColor="text1"/>
                <w:kern w:val="0"/>
                <w:sz w:val="21"/>
                <w:szCs w:val="21"/>
                <w:highlight w:val="none"/>
                <w14:textFill>
                  <w14:solidFill>
                    <w14:schemeClr w14:val="tx1"/>
                  </w14:solidFill>
                </w14:textFill>
              </w:rPr>
              <w:t>g</w:t>
            </w:r>
            <w:r>
              <w:rPr>
                <w:rFonts w:hint="eastAsia" w:ascii="宋体" w:hAnsi="宋体" w:eastAsia="Times New Roman" w:cs="宋体"/>
                <w:b/>
                <w:bCs/>
                <w:snapToGrid/>
                <w:color w:val="000000" w:themeColor="text1"/>
                <w:kern w:val="0"/>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42" w:type="pct"/>
            <w:vMerge w:val="restart"/>
            <w:vAlign w:val="center"/>
          </w:tcPr>
          <w:p>
            <w:pPr>
              <w:spacing w:line="240" w:lineRule="auto"/>
              <w:ind w:firstLine="0" w:firstLineChars="0"/>
              <w:jc w:val="center"/>
              <w:rPr>
                <w:rFonts w:eastAsia="Times New Roman" w:cs="Times New Roman"/>
                <w:snapToGrid/>
                <w:color w:val="000000" w:themeColor="text1"/>
                <w:kern w:val="0"/>
                <w:sz w:val="21"/>
                <w:szCs w:val="21"/>
                <w:highlight w:val="none"/>
                <w14:textFill>
                  <w14:solidFill>
                    <w14:schemeClr w14:val="tx1"/>
                  </w14:solidFill>
                </w14:textFill>
              </w:rPr>
            </w:pPr>
            <w:r>
              <w:rPr>
                <w:rFonts w:hint="eastAsia" w:ascii="宋体" w:hAnsi="宋体" w:eastAsia="Times New Roman" w:cs="宋体"/>
                <w:snapToGrid/>
                <w:color w:val="000000" w:themeColor="text1"/>
                <w:kern w:val="0"/>
                <w:sz w:val="21"/>
                <w:szCs w:val="21"/>
                <w:highlight w:val="none"/>
                <w14:textFill>
                  <w14:solidFill>
                    <w14:schemeClr w14:val="tx1"/>
                  </w14:solidFill>
                </w14:textFill>
              </w:rPr>
              <w:t>试采期</w:t>
            </w:r>
          </w:p>
        </w:tc>
        <w:tc>
          <w:tcPr>
            <w:tcW w:w="642" w:type="pct"/>
            <w:vMerge w:val="restart"/>
            <w:vAlign w:val="center"/>
          </w:tcPr>
          <w:p>
            <w:pPr>
              <w:spacing w:line="240" w:lineRule="auto"/>
              <w:ind w:firstLine="0" w:firstLineChars="0"/>
              <w:jc w:val="center"/>
              <w:rPr>
                <w:rFonts w:eastAsia="Times New Roman" w:cs="Times New Roman"/>
                <w:snapToGrid/>
                <w:color w:val="000000" w:themeColor="text1"/>
                <w:kern w:val="0"/>
                <w:sz w:val="21"/>
                <w:szCs w:val="21"/>
                <w:highlight w:val="none"/>
                <w14:textFill>
                  <w14:solidFill>
                    <w14:schemeClr w14:val="tx1"/>
                  </w14:solidFill>
                </w14:textFill>
              </w:rPr>
            </w:pPr>
            <w:r>
              <w:rPr>
                <w:rFonts w:hint="eastAsia" w:ascii="宋体" w:hAnsi="宋体" w:eastAsia="Times New Roman" w:cs="宋体"/>
                <w:snapToGrid/>
                <w:color w:val="000000" w:themeColor="text1"/>
                <w:kern w:val="0"/>
                <w:sz w:val="21"/>
                <w:szCs w:val="21"/>
                <w:highlight w:val="none"/>
                <w14:textFill>
                  <w14:solidFill>
                    <w14:schemeClr w14:val="tx1"/>
                  </w14:solidFill>
                </w14:textFill>
              </w:rPr>
              <w:t>污水罐泄漏</w:t>
            </w:r>
          </w:p>
        </w:tc>
        <w:tc>
          <w:tcPr>
            <w:tcW w:w="911" w:type="pct"/>
            <w:vAlign w:val="center"/>
          </w:tcPr>
          <w:p>
            <w:pPr>
              <w:spacing w:line="240" w:lineRule="auto"/>
              <w:ind w:firstLine="0" w:firstLineChars="0"/>
              <w:jc w:val="center"/>
              <w:rPr>
                <w:rFonts w:eastAsia="Times New Roman" w:cs="Times New Roman"/>
                <w:snapToGrid/>
                <w:color w:val="000000" w:themeColor="text1"/>
                <w:kern w:val="0"/>
                <w:sz w:val="21"/>
                <w:szCs w:val="21"/>
                <w:highlight w:val="none"/>
                <w14:textFill>
                  <w14:solidFill>
                    <w14:schemeClr w14:val="tx1"/>
                  </w14:solidFill>
                </w14:textFill>
              </w:rPr>
            </w:pPr>
            <w:r>
              <w:rPr>
                <w:rFonts w:eastAsia="Times New Roman" w:cs="Times New Roman"/>
                <w:snapToGrid/>
                <w:color w:val="000000" w:themeColor="text1"/>
                <w:kern w:val="0"/>
                <w:sz w:val="21"/>
                <w:szCs w:val="21"/>
                <w:highlight w:val="none"/>
                <w14:textFill>
                  <w14:solidFill>
                    <w14:schemeClr w14:val="tx1"/>
                  </w14:solidFill>
                </w14:textFill>
              </w:rPr>
              <w:t>COD</w:t>
            </w:r>
          </w:p>
        </w:tc>
        <w:tc>
          <w:tcPr>
            <w:tcW w:w="969" w:type="pct"/>
            <w:vAlign w:val="center"/>
          </w:tcPr>
          <w:p>
            <w:pPr>
              <w:spacing w:line="240" w:lineRule="auto"/>
              <w:ind w:firstLine="0" w:firstLineChars="0"/>
              <w:jc w:val="center"/>
              <w:rPr>
                <w:rFonts w:eastAsia="Times New Roman" w:cs="Times New Roman"/>
                <w:snapToGrid/>
                <w:color w:val="000000" w:themeColor="text1"/>
                <w:kern w:val="0"/>
                <w:sz w:val="21"/>
                <w:szCs w:val="21"/>
                <w:highlight w:val="none"/>
                <w14:textFill>
                  <w14:solidFill>
                    <w14:schemeClr w14:val="tx1"/>
                  </w14:solidFill>
                </w14:textFill>
              </w:rPr>
            </w:pPr>
            <w:r>
              <w:rPr>
                <w:rFonts w:eastAsia="Times New Roman" w:cs="Times New Roman"/>
                <w:snapToGrid/>
                <w:color w:val="000000" w:themeColor="text1"/>
                <w:kern w:val="0"/>
                <w:sz w:val="21"/>
                <w:szCs w:val="21"/>
                <w:highlight w:val="none"/>
                <w14:textFill>
                  <w14:solidFill>
                    <w14:schemeClr w14:val="tx1"/>
                  </w14:solidFill>
                </w14:textFill>
              </w:rPr>
              <w:t>5</w:t>
            </w:r>
            <w:r>
              <w:rPr>
                <w:rFonts w:hint="eastAsia" w:eastAsia="Times New Roman" w:cs="Times New Roman"/>
                <w:snapToGrid/>
                <w:color w:val="000000" w:themeColor="text1"/>
                <w:kern w:val="0"/>
                <w:sz w:val="21"/>
                <w:szCs w:val="21"/>
                <w:highlight w:val="none"/>
                <w14:textFill>
                  <w14:solidFill>
                    <w14:schemeClr w14:val="tx1"/>
                  </w14:solidFill>
                </w14:textFill>
              </w:rPr>
              <w:t>000</w:t>
            </w:r>
          </w:p>
        </w:tc>
        <w:tc>
          <w:tcPr>
            <w:tcW w:w="919" w:type="pct"/>
            <w:vMerge w:val="restart"/>
            <w:vAlign w:val="center"/>
          </w:tcPr>
          <w:p>
            <w:pPr>
              <w:spacing w:line="240" w:lineRule="auto"/>
              <w:ind w:firstLine="0" w:firstLineChars="0"/>
              <w:jc w:val="center"/>
              <w:rPr>
                <w:rFonts w:eastAsia="Times New Roman" w:cs="Times New Roman"/>
                <w:snapToGrid/>
                <w:color w:val="000000" w:themeColor="text1"/>
                <w:kern w:val="0"/>
                <w:sz w:val="21"/>
                <w:szCs w:val="21"/>
                <w:highlight w:val="none"/>
                <w14:textFill>
                  <w14:solidFill>
                    <w14:schemeClr w14:val="tx1"/>
                  </w14:solidFill>
                </w14:textFill>
              </w:rPr>
            </w:pPr>
            <w:r>
              <w:rPr>
                <w:rFonts w:eastAsia="Times New Roman" w:cs="Times New Roman"/>
                <w:snapToGrid/>
                <w:color w:val="000000" w:themeColor="text1"/>
                <w:kern w:val="0"/>
                <w:sz w:val="21"/>
                <w:szCs w:val="21"/>
                <w:highlight w:val="none"/>
                <w14:textFill>
                  <w14:solidFill>
                    <w14:schemeClr w14:val="tx1"/>
                  </w14:solidFill>
                </w14:textFill>
              </w:rPr>
              <w:t>0.72</w:t>
            </w:r>
          </w:p>
        </w:tc>
        <w:tc>
          <w:tcPr>
            <w:tcW w:w="917" w:type="pct"/>
            <w:vAlign w:val="center"/>
          </w:tcPr>
          <w:p>
            <w:pPr>
              <w:spacing w:line="240" w:lineRule="auto"/>
              <w:ind w:firstLine="0" w:firstLineChars="0"/>
              <w:jc w:val="center"/>
              <w:rPr>
                <w:rFonts w:eastAsia="Times New Roman" w:cs="Times New Roman"/>
                <w:snapToGrid/>
                <w:color w:val="000000" w:themeColor="text1"/>
                <w:kern w:val="0"/>
                <w:sz w:val="21"/>
                <w:szCs w:val="21"/>
                <w:highlight w:val="none"/>
                <w14:textFill>
                  <w14:solidFill>
                    <w14:schemeClr w14:val="tx1"/>
                  </w14:solidFill>
                </w14:textFill>
              </w:rPr>
            </w:pPr>
            <w:r>
              <w:rPr>
                <w:rFonts w:eastAsia="Times New Roman" w:cs="Times New Roman"/>
                <w:snapToGrid/>
                <w:color w:val="000000" w:themeColor="text1"/>
                <w:kern w:val="0"/>
                <w:sz w:val="21"/>
                <w:szCs w:val="21"/>
                <w:highlight w:val="none"/>
                <w14:textFill>
                  <w14:solidFill>
                    <w14:schemeClr w14:val="tx1"/>
                  </w14:solidFill>
                </w14:textFill>
              </w:rPr>
              <w:t>3600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42" w:type="pct"/>
            <w:vMerge w:val="continue"/>
            <w:vAlign w:val="center"/>
          </w:tcPr>
          <w:p>
            <w:pPr>
              <w:spacing w:line="240" w:lineRule="auto"/>
              <w:ind w:firstLine="0" w:firstLineChars="0"/>
              <w:jc w:val="center"/>
              <w:rPr>
                <w:rFonts w:eastAsia="Times New Roman" w:cs="Times New Roman"/>
                <w:snapToGrid/>
                <w:color w:val="000000" w:themeColor="text1"/>
                <w:kern w:val="0"/>
                <w:sz w:val="21"/>
                <w:szCs w:val="21"/>
                <w:highlight w:val="none"/>
                <w14:textFill>
                  <w14:solidFill>
                    <w14:schemeClr w14:val="tx1"/>
                  </w14:solidFill>
                </w14:textFill>
              </w:rPr>
            </w:pPr>
          </w:p>
        </w:tc>
        <w:tc>
          <w:tcPr>
            <w:tcW w:w="642" w:type="pct"/>
            <w:vMerge w:val="continue"/>
            <w:vAlign w:val="center"/>
          </w:tcPr>
          <w:p>
            <w:pPr>
              <w:spacing w:line="240" w:lineRule="auto"/>
              <w:ind w:firstLine="0" w:firstLineChars="0"/>
              <w:jc w:val="center"/>
              <w:rPr>
                <w:rFonts w:eastAsia="Times New Roman" w:cs="Times New Roman"/>
                <w:snapToGrid/>
                <w:color w:val="000000" w:themeColor="text1"/>
                <w:kern w:val="0"/>
                <w:sz w:val="21"/>
                <w:szCs w:val="21"/>
                <w:highlight w:val="none"/>
                <w14:textFill>
                  <w14:solidFill>
                    <w14:schemeClr w14:val="tx1"/>
                  </w14:solidFill>
                </w14:textFill>
              </w:rPr>
            </w:pPr>
          </w:p>
        </w:tc>
        <w:tc>
          <w:tcPr>
            <w:tcW w:w="911" w:type="pct"/>
            <w:vAlign w:val="center"/>
          </w:tcPr>
          <w:p>
            <w:pPr>
              <w:spacing w:line="240" w:lineRule="auto"/>
              <w:ind w:firstLine="0" w:firstLineChars="0"/>
              <w:jc w:val="center"/>
              <w:rPr>
                <w:rFonts w:eastAsia="Times New Roman" w:cs="Times New Roman"/>
                <w:snapToGrid/>
                <w:color w:val="000000" w:themeColor="text1"/>
                <w:kern w:val="0"/>
                <w:sz w:val="21"/>
                <w:szCs w:val="21"/>
                <w:highlight w:val="none"/>
                <w14:textFill>
                  <w14:solidFill>
                    <w14:schemeClr w14:val="tx1"/>
                  </w14:solidFill>
                </w14:textFill>
              </w:rPr>
            </w:pPr>
            <w:r>
              <w:rPr>
                <w:rFonts w:hint="eastAsia" w:ascii="宋体" w:hAnsi="宋体" w:eastAsia="Times New Roman" w:cs="宋体"/>
                <w:snapToGrid/>
                <w:color w:val="000000" w:themeColor="text1"/>
                <w:kern w:val="0"/>
                <w:sz w:val="21"/>
                <w:szCs w:val="21"/>
                <w:highlight w:val="none"/>
                <w14:textFill>
                  <w14:solidFill>
                    <w14:schemeClr w14:val="tx1"/>
                  </w14:solidFill>
                </w14:textFill>
              </w:rPr>
              <w:t>氯化物</w:t>
            </w:r>
          </w:p>
        </w:tc>
        <w:tc>
          <w:tcPr>
            <w:tcW w:w="969" w:type="pct"/>
            <w:vAlign w:val="center"/>
          </w:tcPr>
          <w:p>
            <w:pPr>
              <w:spacing w:line="240" w:lineRule="auto"/>
              <w:ind w:firstLine="0" w:firstLineChars="0"/>
              <w:jc w:val="center"/>
              <w:rPr>
                <w:rFonts w:eastAsia="Times New Roman" w:cs="Times New Roman"/>
                <w:snapToGrid/>
                <w:color w:val="000000" w:themeColor="text1"/>
                <w:kern w:val="0"/>
                <w:sz w:val="21"/>
                <w:szCs w:val="21"/>
                <w:highlight w:val="none"/>
                <w14:textFill>
                  <w14:solidFill>
                    <w14:schemeClr w14:val="tx1"/>
                  </w14:solidFill>
                </w14:textFill>
              </w:rPr>
            </w:pPr>
            <w:r>
              <w:rPr>
                <w:rFonts w:eastAsia="Times New Roman" w:cs="Times New Roman"/>
                <w:snapToGrid/>
                <w:color w:val="000000" w:themeColor="text1"/>
                <w:kern w:val="0"/>
                <w:sz w:val="21"/>
                <w:szCs w:val="21"/>
                <w:highlight w:val="none"/>
                <w14:textFill>
                  <w14:solidFill>
                    <w14:schemeClr w14:val="tx1"/>
                  </w14:solidFill>
                </w14:textFill>
              </w:rPr>
              <w:t>4</w:t>
            </w:r>
            <w:r>
              <w:rPr>
                <w:rFonts w:hint="eastAsia" w:eastAsia="Times New Roman" w:cs="Times New Roman"/>
                <w:snapToGrid/>
                <w:color w:val="000000" w:themeColor="text1"/>
                <w:kern w:val="0"/>
                <w:sz w:val="21"/>
                <w:szCs w:val="21"/>
                <w:highlight w:val="none"/>
                <w14:textFill>
                  <w14:solidFill>
                    <w14:schemeClr w14:val="tx1"/>
                  </w14:solidFill>
                </w14:textFill>
              </w:rPr>
              <w:t>000</w:t>
            </w:r>
          </w:p>
        </w:tc>
        <w:tc>
          <w:tcPr>
            <w:tcW w:w="919" w:type="pct"/>
            <w:vMerge w:val="continue"/>
            <w:vAlign w:val="center"/>
          </w:tcPr>
          <w:p>
            <w:pPr>
              <w:spacing w:line="240" w:lineRule="auto"/>
              <w:ind w:firstLine="0" w:firstLineChars="0"/>
              <w:jc w:val="center"/>
              <w:rPr>
                <w:rFonts w:eastAsia="Times New Roman" w:cs="Times New Roman"/>
                <w:snapToGrid/>
                <w:color w:val="000000" w:themeColor="text1"/>
                <w:kern w:val="0"/>
                <w:sz w:val="21"/>
                <w:szCs w:val="21"/>
                <w:highlight w:val="none"/>
                <w14:textFill>
                  <w14:solidFill>
                    <w14:schemeClr w14:val="tx1"/>
                  </w14:solidFill>
                </w14:textFill>
              </w:rPr>
            </w:pPr>
          </w:p>
        </w:tc>
        <w:tc>
          <w:tcPr>
            <w:tcW w:w="917" w:type="pct"/>
            <w:vAlign w:val="center"/>
          </w:tcPr>
          <w:p>
            <w:pPr>
              <w:spacing w:line="240" w:lineRule="auto"/>
              <w:ind w:firstLine="0" w:firstLineChars="0"/>
              <w:jc w:val="center"/>
              <w:rPr>
                <w:rFonts w:eastAsia="Times New Roman" w:cs="Times New Roman"/>
                <w:snapToGrid/>
                <w:color w:val="000000" w:themeColor="text1"/>
                <w:kern w:val="0"/>
                <w:sz w:val="21"/>
                <w:szCs w:val="21"/>
                <w:highlight w:val="none"/>
                <w14:textFill>
                  <w14:solidFill>
                    <w14:schemeClr w14:val="tx1"/>
                  </w14:solidFill>
                </w14:textFill>
              </w:rPr>
            </w:pPr>
            <w:r>
              <w:rPr>
                <w:rFonts w:eastAsia="Times New Roman" w:cs="Times New Roman"/>
                <w:snapToGrid/>
                <w:color w:val="000000" w:themeColor="text1"/>
                <w:kern w:val="0"/>
                <w:sz w:val="21"/>
                <w:szCs w:val="21"/>
                <w:highlight w:val="none"/>
                <w14:textFill>
                  <w14:solidFill>
                    <w14:schemeClr w14:val="tx1"/>
                  </w14:solidFill>
                </w14:textFill>
              </w:rPr>
              <w:t>288</w:t>
            </w:r>
            <w:r>
              <w:rPr>
                <w:rFonts w:hint="eastAsia" w:eastAsia="Times New Roman" w:cs="Times New Roman"/>
                <w:snapToGrid/>
                <w:color w:val="000000" w:themeColor="text1"/>
                <w:kern w:val="0"/>
                <w:sz w:val="21"/>
                <w:szCs w:val="21"/>
                <w:highlight w:val="non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42" w:type="pct"/>
            <w:vMerge w:val="continue"/>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p>
        </w:tc>
        <w:tc>
          <w:tcPr>
            <w:tcW w:w="642" w:type="pct"/>
            <w:vMerge w:val="continue"/>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p>
        </w:tc>
        <w:tc>
          <w:tcPr>
            <w:tcW w:w="911" w:type="pct"/>
            <w:vAlign w:val="center"/>
          </w:tcPr>
          <w:p>
            <w:pPr>
              <w:spacing w:line="240" w:lineRule="auto"/>
              <w:ind w:firstLine="0" w:firstLineChars="0"/>
              <w:jc w:val="center"/>
              <w:rPr>
                <w:rFonts w:ascii="宋体" w:hAnsi="宋体" w:eastAsia="Times New Roman" w:cs="宋体"/>
                <w:snapToGrid w:val="0"/>
                <w:color w:val="000000" w:themeColor="text1"/>
                <w:kern w:val="0"/>
                <w:sz w:val="21"/>
                <w:szCs w:val="21"/>
                <w:highlight w:val="none"/>
                <w14:textFill>
                  <w14:solidFill>
                    <w14:schemeClr w14:val="tx1"/>
                  </w14:solidFill>
                </w14:textFill>
              </w:rPr>
            </w:pPr>
            <w:r>
              <w:rPr>
                <w:rFonts w:hint="eastAsia" w:ascii="宋体" w:hAnsi="宋体" w:eastAsia="Times New Roman" w:cs="宋体"/>
                <w:snapToGrid w:val="0"/>
                <w:color w:val="000000" w:themeColor="text1"/>
                <w:kern w:val="0"/>
                <w:sz w:val="21"/>
                <w:szCs w:val="21"/>
                <w:highlight w:val="none"/>
                <w14:textFill>
                  <w14:solidFill>
                    <w14:schemeClr w14:val="tx1"/>
                  </w14:solidFill>
                </w14:textFill>
              </w:rPr>
              <w:t>石油类</w:t>
            </w:r>
          </w:p>
        </w:tc>
        <w:tc>
          <w:tcPr>
            <w:tcW w:w="969" w:type="pct"/>
            <w:vAlign w:val="center"/>
          </w:tcPr>
          <w:p>
            <w:pPr>
              <w:spacing w:line="240" w:lineRule="auto"/>
              <w:ind w:firstLine="0" w:firstLineChars="0"/>
              <w:jc w:val="center"/>
              <w:rPr>
                <w:rFonts w:cs="Times New Roman" w:eastAsiaTheme="minorEastAsia"/>
                <w:snapToGrid w:val="0"/>
                <w:color w:val="000000" w:themeColor="text1"/>
                <w:kern w:val="0"/>
                <w:sz w:val="21"/>
                <w:szCs w:val="21"/>
                <w:highlight w:val="none"/>
                <w14:textFill>
                  <w14:solidFill>
                    <w14:schemeClr w14:val="tx1"/>
                  </w14:solidFill>
                </w14:textFill>
              </w:rPr>
            </w:pPr>
            <w:r>
              <w:rPr>
                <w:rFonts w:hint="eastAsia" w:cs="Times New Roman" w:eastAsiaTheme="minorEastAsia"/>
                <w:snapToGrid w:val="0"/>
                <w:color w:val="000000" w:themeColor="text1"/>
                <w:kern w:val="0"/>
                <w:sz w:val="21"/>
                <w:szCs w:val="21"/>
                <w:highlight w:val="none"/>
                <w14:textFill>
                  <w14:solidFill>
                    <w14:schemeClr w14:val="tx1"/>
                  </w14:solidFill>
                </w14:textFill>
              </w:rPr>
              <w:t>2</w:t>
            </w:r>
            <w:r>
              <w:rPr>
                <w:rFonts w:cs="Times New Roman" w:eastAsiaTheme="minorEastAsia"/>
                <w:snapToGrid w:val="0"/>
                <w:color w:val="000000" w:themeColor="text1"/>
                <w:kern w:val="0"/>
                <w:sz w:val="21"/>
                <w:szCs w:val="21"/>
                <w:highlight w:val="none"/>
                <w14:textFill>
                  <w14:solidFill>
                    <w14:schemeClr w14:val="tx1"/>
                  </w14:solidFill>
                </w14:textFill>
              </w:rPr>
              <w:t>00</w:t>
            </w:r>
          </w:p>
        </w:tc>
        <w:tc>
          <w:tcPr>
            <w:tcW w:w="919" w:type="pct"/>
            <w:vMerge w:val="continue"/>
            <w:vAlign w:val="center"/>
          </w:tcPr>
          <w:p>
            <w:pPr>
              <w:spacing w:line="240" w:lineRule="auto"/>
              <w:ind w:firstLine="0" w:firstLineChars="0"/>
              <w:jc w:val="center"/>
              <w:rPr>
                <w:rFonts w:eastAsia="Times New Roman" w:cs="Times New Roman"/>
                <w:snapToGrid w:val="0"/>
                <w:color w:val="000000" w:themeColor="text1"/>
                <w:kern w:val="0"/>
                <w:sz w:val="21"/>
                <w:szCs w:val="21"/>
                <w:highlight w:val="none"/>
                <w14:textFill>
                  <w14:solidFill>
                    <w14:schemeClr w14:val="tx1"/>
                  </w14:solidFill>
                </w14:textFill>
              </w:rPr>
            </w:pPr>
          </w:p>
        </w:tc>
        <w:tc>
          <w:tcPr>
            <w:tcW w:w="917" w:type="pct"/>
            <w:vAlign w:val="center"/>
          </w:tcPr>
          <w:p>
            <w:pPr>
              <w:spacing w:line="240" w:lineRule="auto"/>
              <w:ind w:firstLine="0" w:firstLineChars="0"/>
              <w:jc w:val="center"/>
              <w:rPr>
                <w:rFonts w:cs="Times New Roman" w:eastAsiaTheme="minorEastAsia"/>
                <w:snapToGrid w:val="0"/>
                <w:color w:val="000000" w:themeColor="text1"/>
                <w:kern w:val="0"/>
                <w:sz w:val="21"/>
                <w:szCs w:val="21"/>
                <w:highlight w:val="none"/>
                <w14:textFill>
                  <w14:solidFill>
                    <w14:schemeClr w14:val="tx1"/>
                  </w14:solidFill>
                </w14:textFill>
              </w:rPr>
            </w:pPr>
            <w:r>
              <w:rPr>
                <w:rFonts w:hint="eastAsia" w:cs="Times New Roman" w:eastAsiaTheme="minorEastAsia"/>
                <w:snapToGrid w:val="0"/>
                <w:color w:val="000000" w:themeColor="text1"/>
                <w:kern w:val="0"/>
                <w:sz w:val="21"/>
                <w:szCs w:val="21"/>
                <w:highlight w:val="none"/>
                <w14:textFill>
                  <w14:solidFill>
                    <w14:schemeClr w14:val="tx1"/>
                  </w14:solidFill>
                </w14:textFill>
              </w:rPr>
              <w:t>1</w:t>
            </w:r>
            <w:r>
              <w:rPr>
                <w:rFonts w:cs="Times New Roman" w:eastAsiaTheme="minorEastAsia"/>
                <w:snapToGrid w:val="0"/>
                <w:color w:val="000000" w:themeColor="text1"/>
                <w:kern w:val="0"/>
                <w:sz w:val="21"/>
                <w:szCs w:val="21"/>
                <w:highlight w:val="none"/>
                <w14:textFill>
                  <w14:solidFill>
                    <w14:schemeClr w14:val="tx1"/>
                  </w14:solidFill>
                </w14:textFill>
              </w:rPr>
              <w:t>44</w:t>
            </w:r>
          </w:p>
        </w:tc>
      </w:tr>
    </w:tbl>
    <w:p>
      <w:pPr>
        <w:widowControl/>
        <w:ind w:firstLine="0" w:firstLineChars="0"/>
        <w:jc w:val="left"/>
        <w:rPr>
          <w:rFonts w:ascii="宋体" w:hAnsi="宋体" w:cs="Times New Roman"/>
          <w:i/>
          <w:iCs/>
          <w:color w:val="000000" w:themeColor="text1"/>
          <w:kern w:val="0"/>
          <w:sz w:val="22"/>
          <w:szCs w:val="20"/>
          <w:highlight w:val="none"/>
          <w14:textFill>
            <w14:solidFill>
              <w14:schemeClr w14:val="tx1"/>
            </w14:solidFill>
          </w14:textFill>
        </w:rPr>
      </w:pPr>
      <w:r>
        <w:rPr>
          <w:rFonts w:ascii="宋体" w:hAnsi="宋体" w:cs="Times New Roman"/>
          <w:i/>
          <w:iCs/>
          <w:color w:val="000000" w:themeColor="text1"/>
          <w:kern w:val="0"/>
          <w:sz w:val="20"/>
          <w:szCs w:val="16"/>
          <w:highlight w:val="none"/>
          <w14:textFill>
            <w14:solidFill>
              <w14:schemeClr w14:val="tx1"/>
            </w14:solidFill>
          </w14:textFill>
        </w:rPr>
        <w:t>*注：废水泄漏后</w:t>
      </w:r>
      <w:r>
        <w:rPr>
          <w:rFonts w:hint="eastAsia" w:ascii="宋体" w:hAnsi="宋体" w:cs="Times New Roman"/>
          <w:i/>
          <w:iCs/>
          <w:color w:val="000000" w:themeColor="text1"/>
          <w:kern w:val="0"/>
          <w:sz w:val="20"/>
          <w:szCs w:val="16"/>
          <w:highlight w:val="none"/>
          <w14:textFill>
            <w14:solidFill>
              <w14:schemeClr w14:val="tx1"/>
            </w14:solidFill>
          </w14:textFill>
        </w:rPr>
        <w:t>因储罐区设置有围堰，取其泄漏量的1</w:t>
      </w:r>
      <w:r>
        <w:rPr>
          <w:rFonts w:ascii="宋体" w:hAnsi="宋体" w:cs="Times New Roman"/>
          <w:i/>
          <w:iCs/>
          <w:color w:val="000000" w:themeColor="text1"/>
          <w:kern w:val="0"/>
          <w:sz w:val="20"/>
          <w:szCs w:val="16"/>
          <w:highlight w:val="none"/>
          <w14:textFill>
            <w14:solidFill>
              <w14:schemeClr w14:val="tx1"/>
            </w14:solidFill>
          </w14:textFill>
        </w:rPr>
        <w:t>0</w:t>
      </w:r>
      <w:r>
        <w:rPr>
          <w:rFonts w:hint="eastAsia" w:ascii="宋体" w:hAnsi="宋体" w:cs="Times New Roman"/>
          <w:i/>
          <w:iCs/>
          <w:color w:val="000000" w:themeColor="text1"/>
          <w:kern w:val="0"/>
          <w:sz w:val="20"/>
          <w:szCs w:val="16"/>
          <w:highlight w:val="none"/>
          <w14:textFill>
            <w14:solidFill>
              <w14:schemeClr w14:val="tx1"/>
            </w14:solidFill>
          </w14:textFill>
        </w:rPr>
        <w:t>%通过地表进入地下水。</w:t>
      </w:r>
    </w:p>
    <w:bookmarkEnd w:id="308"/>
    <w:p>
      <w:pPr>
        <w:pStyle w:val="6"/>
        <w:spacing w:before="120"/>
        <w:rPr>
          <w:color w:val="000000" w:themeColor="text1"/>
          <w:highlight w:val="none"/>
          <w14:textFill>
            <w14:solidFill>
              <w14:schemeClr w14:val="tx1"/>
            </w14:solidFill>
          </w14:textFill>
        </w:rPr>
      </w:pPr>
      <w:bookmarkStart w:id="311" w:name="_Toc155259321"/>
      <w:bookmarkStart w:id="312" w:name="_Toc148467293"/>
      <w:r>
        <w:rPr>
          <w:color w:val="000000" w:themeColor="text1"/>
          <w:highlight w:val="none"/>
          <w14:textFill>
            <w14:solidFill>
              <w14:schemeClr w14:val="tx1"/>
            </w14:solidFill>
          </w14:textFill>
        </w:rPr>
        <w:t>地下水环境影响预测及评价</w:t>
      </w:r>
      <w:bookmarkEnd w:id="311"/>
      <w:bookmarkEnd w:id="312"/>
    </w:p>
    <w:p>
      <w:pPr>
        <w:widowControl/>
        <w:ind w:firstLine="480"/>
        <w:rPr>
          <w:rFonts w:eastAsia="黑体" w:cs="Times New Roman"/>
          <w:bCs/>
          <w:color w:val="000000" w:themeColor="text1"/>
          <w:szCs w:val="24"/>
          <w:highlight w:val="none"/>
          <w14:textFill>
            <w14:solidFill>
              <w14:schemeClr w14:val="tx1"/>
            </w14:solidFill>
          </w14:textFill>
        </w:rPr>
      </w:pPr>
      <w:r>
        <w:rPr>
          <w:rFonts w:eastAsia="黑体" w:cs="Times New Roman"/>
          <w:bCs/>
          <w:color w:val="000000" w:themeColor="text1"/>
          <w:szCs w:val="24"/>
          <w:highlight w:val="none"/>
          <w14:textFill>
            <w14:solidFill>
              <w14:schemeClr w14:val="tx1"/>
            </w14:solidFill>
          </w14:textFill>
        </w:rPr>
        <w:t>1、地下水环境影响预测原则</w:t>
      </w:r>
    </w:p>
    <w:p>
      <w:pPr>
        <w:widowControl/>
        <w:ind w:firstLine="480"/>
        <w:rPr>
          <w:rFonts w:cs="Times New Roman"/>
          <w:color w:val="000000" w:themeColor="text1"/>
          <w:kern w:val="0"/>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预测遵循保护地下水资源与环境的原则、遵循环境安全性原则，预测范围、时段、内容和方法根据评价工作等级、工程特征与环境特征，结合当地环境功能和环保要求确定，以拟建项目对地下水资源量、水质的影响及由此而产生的主要环境水文地质问题为重点，预测为评价项目的环境安全和环境保护措施的合理性提供依据。</w:t>
      </w:r>
    </w:p>
    <w:p>
      <w:pPr>
        <w:widowControl/>
        <w:ind w:firstLine="480"/>
        <w:rPr>
          <w:rFonts w:eastAsia="黑体" w:cs="Times New Roman"/>
          <w:bCs/>
          <w:color w:val="000000" w:themeColor="text1"/>
          <w:szCs w:val="24"/>
          <w:highlight w:val="none"/>
          <w14:textFill>
            <w14:solidFill>
              <w14:schemeClr w14:val="tx1"/>
            </w14:solidFill>
          </w14:textFill>
        </w:rPr>
      </w:pPr>
      <w:r>
        <w:rPr>
          <w:rFonts w:eastAsia="黑体" w:cs="Times New Roman"/>
          <w:bCs/>
          <w:color w:val="000000" w:themeColor="text1"/>
          <w:szCs w:val="24"/>
          <w:highlight w:val="none"/>
          <w14:textFill>
            <w14:solidFill>
              <w14:schemeClr w14:val="tx1"/>
            </w14:solidFill>
          </w14:textFill>
        </w:rPr>
        <w:t>2、模型概化及参数选取</w:t>
      </w:r>
    </w:p>
    <w:p>
      <w:pPr>
        <w:widowControl/>
        <w:ind w:firstLine="482"/>
        <w:rPr>
          <w:rFonts w:cs="Times New Roman"/>
          <w:b/>
          <w:bCs/>
          <w:color w:val="000000" w:themeColor="text1"/>
          <w:kern w:val="0"/>
          <w:szCs w:val="24"/>
          <w:highlight w:val="none"/>
          <w14:textFill>
            <w14:solidFill>
              <w14:schemeClr w14:val="tx1"/>
            </w14:solidFill>
          </w14:textFill>
        </w:rPr>
      </w:pPr>
      <w:r>
        <w:rPr>
          <w:rFonts w:cs="Times New Roman"/>
          <w:b/>
          <w:bCs/>
          <w:color w:val="000000" w:themeColor="text1"/>
          <w:kern w:val="0"/>
          <w:szCs w:val="24"/>
          <w:highlight w:val="none"/>
          <w14:textFill>
            <w14:solidFill>
              <w14:schemeClr w14:val="tx1"/>
            </w14:solidFill>
          </w14:textFill>
        </w:rPr>
        <w:t>（1）模型概化</w:t>
      </w:r>
    </w:p>
    <w:p>
      <w:pPr>
        <w:widowControl/>
        <w:ind w:firstLine="480"/>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含有污染物的废水将以入渗的方式进入含水层，从保守角度，本次计算忽略污染物在包气带的运移过程。建设场地地下水流向呈一维流动，地下水位动态稳定，因此污染物在浅层含水层中的迁移，可概化为瞬时注入示踪剂（平面瞬时点源）的一维稳定流动二维水动力弥散问题。本次评价采用《环境影响评价技术导则—地下水》（HJ610-2016）中的地下水一维稳定流二维水动力弥散瞬时注入模式，采用解析法进行估算。</w:t>
      </w:r>
    </w:p>
    <w:p>
      <w:pPr>
        <w:widowControl/>
        <w:ind w:firstLine="480"/>
        <w:rPr>
          <w:rFonts w:cs="Times New Roman"/>
          <w:color w:val="000000" w:themeColor="text1"/>
          <w:kern w:val="0"/>
          <w:szCs w:val="24"/>
          <w:highlight w:val="none"/>
          <w:lang w:eastAsia="en-US"/>
          <w14:textFill>
            <w14:solidFill>
              <w14:schemeClr w14:val="tx1"/>
            </w14:solidFill>
          </w14:textFill>
        </w:rPr>
      </w:pPr>
      <w:r>
        <w:rPr>
          <w:rFonts w:cs="Times New Roman"/>
          <w:color w:val="000000" w:themeColor="text1"/>
          <w:kern w:val="0"/>
          <w:szCs w:val="24"/>
          <w:highlight w:val="none"/>
          <w:lang w:eastAsia="en-US"/>
          <w14:textFill>
            <w14:solidFill>
              <w14:schemeClr w14:val="tx1"/>
            </w14:solidFill>
          </w14:textFill>
        </w:rPr>
        <w:drawing>
          <wp:inline distT="0" distB="0" distL="0" distR="0">
            <wp:extent cx="2826385" cy="724535"/>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2826385" cy="724535"/>
                    </a:xfrm>
                    <a:prstGeom prst="rect">
                      <a:avLst/>
                    </a:prstGeom>
                    <a:noFill/>
                    <a:ln>
                      <a:noFill/>
                    </a:ln>
                  </pic:spPr>
                </pic:pic>
              </a:graphicData>
            </a:graphic>
          </wp:inline>
        </w:drawing>
      </w:r>
    </w:p>
    <w:p>
      <w:pPr>
        <w:widowControl/>
        <w:ind w:firstLine="480"/>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式中：</w:t>
      </w:r>
    </w:p>
    <w:p>
      <w:pPr>
        <w:widowControl/>
        <w:ind w:firstLine="480"/>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x，y—计算点处的位置坐标；</w:t>
      </w:r>
    </w:p>
    <w:p>
      <w:pPr>
        <w:widowControl/>
        <w:ind w:firstLine="480"/>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t—时间，d；</w:t>
      </w:r>
    </w:p>
    <w:p>
      <w:pPr>
        <w:widowControl/>
        <w:ind w:firstLine="480"/>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C（x，y，t）—t时刻点x，y处的示踪剂浓度，g/L；</w:t>
      </w:r>
    </w:p>
    <w:p>
      <w:pPr>
        <w:widowControl/>
        <w:ind w:firstLine="480"/>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M—含水层的厚度，m；</w:t>
      </w:r>
    </w:p>
    <w:p>
      <w:pPr>
        <w:widowControl/>
        <w:ind w:firstLine="480"/>
        <w:rPr>
          <w:rFonts w:cs="Times New Roman"/>
          <w:color w:val="000000" w:themeColor="text1"/>
          <w:kern w:val="0"/>
          <w:szCs w:val="24"/>
          <w:highlight w:val="none"/>
          <w14:textFill>
            <w14:solidFill>
              <w14:schemeClr w14:val="tx1"/>
            </w14:solidFill>
          </w14:textFill>
        </w:rPr>
      </w:pPr>
      <m:oMath>
        <m:sSub>
          <m:sSubPr>
            <m:ctrlPr>
              <w:rPr>
                <w:rFonts w:ascii="Cambria Math" w:hAnsi="Cambria Math" w:cs="Times New Roman"/>
                <w:i/>
                <w:snapToGrid w:val="0"/>
                <w:color w:val="000000" w:themeColor="text1"/>
                <w:kern w:val="0"/>
                <w:szCs w:val="24"/>
                <w:highlight w:val="none"/>
                <w:lang w:eastAsia="en-US"/>
                <w14:textFill>
                  <w14:solidFill>
                    <w14:schemeClr w14:val="tx1"/>
                  </w14:solidFill>
                </w14:textFill>
              </w:rPr>
            </m:ctrlPr>
          </m:sSubPr>
          <m:e>
            <m:r>
              <m:rPr/>
              <w:rPr>
                <w:rFonts w:ascii="Cambria Math" w:hAnsi="Cambria Math" w:cs="Times New Roman"/>
                <w:snapToGrid w:val="0"/>
                <w:color w:val="000000" w:themeColor="text1"/>
                <w:kern w:val="0"/>
                <w:szCs w:val="24"/>
                <w:highlight w:val="none"/>
                <w14:textFill>
                  <w14:solidFill>
                    <w14:schemeClr w14:val="tx1"/>
                  </w14:solidFill>
                </w14:textFill>
              </w:rPr>
              <m:t>m</m:t>
            </m:r>
            <m:ctrlPr>
              <w:rPr>
                <w:rFonts w:ascii="Cambria Math" w:hAnsi="Cambria Math" w:cs="Times New Roman"/>
                <w:i/>
                <w:snapToGrid w:val="0"/>
                <w:color w:val="000000" w:themeColor="text1"/>
                <w:kern w:val="0"/>
                <w:szCs w:val="24"/>
                <w:highlight w:val="none"/>
                <w:lang w:eastAsia="en-US"/>
                <w14:textFill>
                  <w14:solidFill>
                    <w14:schemeClr w14:val="tx1"/>
                  </w14:solidFill>
                </w14:textFill>
              </w:rPr>
            </m:ctrlPr>
          </m:e>
          <m:sub>
            <m:r>
              <m:rPr/>
              <w:rPr>
                <w:rFonts w:ascii="Cambria Math" w:hAnsi="Cambria Math" w:cs="Times New Roman"/>
                <w:snapToGrid w:val="0"/>
                <w:color w:val="000000" w:themeColor="text1"/>
                <w:kern w:val="0"/>
                <w:szCs w:val="24"/>
                <w:highlight w:val="none"/>
                <w14:textFill>
                  <w14:solidFill>
                    <w14:schemeClr w14:val="tx1"/>
                  </w14:solidFill>
                </w14:textFill>
              </w:rPr>
              <m:t>M</m:t>
            </m:r>
            <m:ctrlPr>
              <w:rPr>
                <w:rFonts w:ascii="Cambria Math" w:hAnsi="Cambria Math" w:cs="Times New Roman"/>
                <w:i/>
                <w:snapToGrid w:val="0"/>
                <w:color w:val="000000" w:themeColor="text1"/>
                <w:kern w:val="0"/>
                <w:szCs w:val="24"/>
                <w:highlight w:val="none"/>
                <w:lang w:eastAsia="en-US"/>
                <w14:textFill>
                  <w14:solidFill>
                    <w14:schemeClr w14:val="tx1"/>
                  </w14:solidFill>
                </w14:textFill>
              </w:rPr>
            </m:ctrlPr>
          </m:sub>
        </m:sSub>
      </m:oMath>
      <w:r>
        <w:rPr>
          <w:rFonts w:cs="Times New Roman"/>
          <w:color w:val="000000" w:themeColor="text1"/>
          <w:kern w:val="0"/>
          <w:szCs w:val="24"/>
          <w:highlight w:val="none"/>
          <w14:textFill>
            <w14:solidFill>
              <w14:schemeClr w14:val="tx1"/>
            </w14:solidFill>
          </w14:textFill>
        </w:rPr>
        <w:t>—瞬时注入示踪剂的质量，kg；</w:t>
      </w:r>
    </w:p>
    <w:p>
      <w:pPr>
        <w:widowControl/>
        <w:ind w:firstLine="480"/>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u—水流速度，m/d；</w:t>
      </w:r>
    </w:p>
    <w:p>
      <w:pPr>
        <w:widowControl/>
        <w:ind w:firstLine="480"/>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n—有效孔隙度，无量纲；</w:t>
      </w:r>
    </w:p>
    <w:p>
      <w:pPr>
        <w:widowControl/>
        <w:ind w:firstLine="480"/>
        <w:rPr>
          <w:rFonts w:cs="Times New Roman"/>
          <w:color w:val="000000" w:themeColor="text1"/>
          <w:kern w:val="0"/>
          <w:szCs w:val="24"/>
          <w:highlight w:val="none"/>
          <w14:textFill>
            <w14:solidFill>
              <w14:schemeClr w14:val="tx1"/>
            </w14:solidFill>
          </w14:textFill>
        </w:rPr>
      </w:pPr>
      <m:oMath>
        <m:sSub>
          <m:sSubPr>
            <m:ctrlPr>
              <w:rPr>
                <w:rFonts w:ascii="Cambria Math" w:hAnsi="Cambria Math" w:cs="Times New Roman"/>
                <w:i/>
                <w:snapToGrid w:val="0"/>
                <w:color w:val="000000" w:themeColor="text1"/>
                <w:kern w:val="0"/>
                <w:szCs w:val="24"/>
                <w:highlight w:val="none"/>
                <w:lang w:eastAsia="en-US"/>
                <w14:textFill>
                  <w14:solidFill>
                    <w14:schemeClr w14:val="tx1"/>
                  </w14:solidFill>
                </w14:textFill>
              </w:rPr>
            </m:ctrlPr>
          </m:sSubPr>
          <m:e>
            <m:r>
              <m:rPr/>
              <w:rPr>
                <w:rFonts w:ascii="Cambria Math" w:hAnsi="Cambria Math" w:cs="Times New Roman"/>
                <w:snapToGrid w:val="0"/>
                <w:color w:val="000000" w:themeColor="text1"/>
                <w:kern w:val="0"/>
                <w:szCs w:val="24"/>
                <w:highlight w:val="none"/>
                <w14:textFill>
                  <w14:solidFill>
                    <w14:schemeClr w14:val="tx1"/>
                  </w14:solidFill>
                </w14:textFill>
              </w:rPr>
              <m:t>D</m:t>
            </m:r>
            <m:ctrlPr>
              <w:rPr>
                <w:rFonts w:ascii="Cambria Math" w:hAnsi="Cambria Math" w:cs="Times New Roman"/>
                <w:i/>
                <w:snapToGrid w:val="0"/>
                <w:color w:val="000000" w:themeColor="text1"/>
                <w:kern w:val="0"/>
                <w:szCs w:val="24"/>
                <w:highlight w:val="none"/>
                <w:lang w:eastAsia="en-US"/>
                <w14:textFill>
                  <w14:solidFill>
                    <w14:schemeClr w14:val="tx1"/>
                  </w14:solidFill>
                </w14:textFill>
              </w:rPr>
            </m:ctrlPr>
          </m:e>
          <m:sub>
            <m:r>
              <m:rPr/>
              <w:rPr>
                <w:rFonts w:ascii="Cambria Math" w:hAnsi="Cambria Math" w:cs="Times New Roman"/>
                <w:snapToGrid w:val="0"/>
                <w:color w:val="000000" w:themeColor="text1"/>
                <w:kern w:val="0"/>
                <w:szCs w:val="24"/>
                <w:highlight w:val="none"/>
                <w14:textFill>
                  <w14:solidFill>
                    <w14:schemeClr w14:val="tx1"/>
                  </w14:solidFill>
                </w14:textFill>
              </w:rPr>
              <m:t>L</m:t>
            </m:r>
            <m:ctrlPr>
              <w:rPr>
                <w:rFonts w:ascii="Cambria Math" w:hAnsi="Cambria Math" w:cs="Times New Roman"/>
                <w:i/>
                <w:snapToGrid w:val="0"/>
                <w:color w:val="000000" w:themeColor="text1"/>
                <w:kern w:val="0"/>
                <w:szCs w:val="24"/>
                <w:highlight w:val="none"/>
                <w:lang w:eastAsia="en-US"/>
                <w14:textFill>
                  <w14:solidFill>
                    <w14:schemeClr w14:val="tx1"/>
                  </w14:solidFill>
                </w14:textFill>
              </w:rPr>
            </m:ctrlPr>
          </m:sub>
        </m:sSub>
      </m:oMath>
      <w:r>
        <w:rPr>
          <w:rFonts w:cs="Times New Roman"/>
          <w:color w:val="000000" w:themeColor="text1"/>
          <w:kern w:val="0"/>
          <w:szCs w:val="24"/>
          <w:highlight w:val="none"/>
          <w14:textFill>
            <w14:solidFill>
              <w14:schemeClr w14:val="tx1"/>
            </w14:solidFill>
          </w14:textFill>
        </w:rPr>
        <w:t>—纵向弥散系数，m</w:t>
      </w:r>
      <w:r>
        <w:rPr>
          <w:rFonts w:cs="Times New Roman"/>
          <w:color w:val="000000" w:themeColor="text1"/>
          <w:kern w:val="0"/>
          <w:szCs w:val="24"/>
          <w:highlight w:val="none"/>
          <w:vertAlign w:val="superscript"/>
          <w14:textFill>
            <w14:solidFill>
              <w14:schemeClr w14:val="tx1"/>
            </w14:solidFill>
          </w14:textFill>
        </w:rPr>
        <w:t>2</w:t>
      </w:r>
      <w:r>
        <w:rPr>
          <w:rFonts w:cs="Times New Roman"/>
          <w:color w:val="000000" w:themeColor="text1"/>
          <w:kern w:val="0"/>
          <w:szCs w:val="24"/>
          <w:highlight w:val="none"/>
          <w14:textFill>
            <w14:solidFill>
              <w14:schemeClr w14:val="tx1"/>
            </w14:solidFill>
          </w14:textFill>
        </w:rPr>
        <w:t>/d；</w:t>
      </w:r>
    </w:p>
    <w:p>
      <w:pPr>
        <w:widowControl/>
        <w:ind w:firstLine="480"/>
        <w:rPr>
          <w:rFonts w:cs="Times New Roman"/>
          <w:color w:val="000000" w:themeColor="text1"/>
          <w:kern w:val="0"/>
          <w:szCs w:val="24"/>
          <w:highlight w:val="none"/>
          <w14:textFill>
            <w14:solidFill>
              <w14:schemeClr w14:val="tx1"/>
            </w14:solidFill>
          </w14:textFill>
        </w:rPr>
      </w:pPr>
      <m:oMath>
        <m:sSub>
          <m:sSubPr>
            <m:ctrlPr>
              <w:rPr>
                <w:rFonts w:ascii="Cambria Math" w:hAnsi="Cambria Math" w:cs="Times New Roman"/>
                <w:i/>
                <w:snapToGrid w:val="0"/>
                <w:color w:val="000000" w:themeColor="text1"/>
                <w:kern w:val="0"/>
                <w:szCs w:val="24"/>
                <w:highlight w:val="none"/>
                <w:lang w:eastAsia="en-US"/>
                <w14:textFill>
                  <w14:solidFill>
                    <w14:schemeClr w14:val="tx1"/>
                  </w14:solidFill>
                </w14:textFill>
              </w:rPr>
            </m:ctrlPr>
          </m:sSubPr>
          <m:e>
            <m:r>
              <m:rPr/>
              <w:rPr>
                <w:rFonts w:ascii="Cambria Math" w:hAnsi="Cambria Math" w:cs="Times New Roman"/>
                <w:snapToGrid w:val="0"/>
                <w:color w:val="000000" w:themeColor="text1"/>
                <w:kern w:val="0"/>
                <w:szCs w:val="24"/>
                <w:highlight w:val="none"/>
                <w14:textFill>
                  <w14:solidFill>
                    <w14:schemeClr w14:val="tx1"/>
                  </w14:solidFill>
                </w14:textFill>
              </w:rPr>
              <m:t>D</m:t>
            </m:r>
            <m:ctrlPr>
              <w:rPr>
                <w:rFonts w:ascii="Cambria Math" w:hAnsi="Cambria Math" w:cs="Times New Roman"/>
                <w:i/>
                <w:snapToGrid w:val="0"/>
                <w:color w:val="000000" w:themeColor="text1"/>
                <w:kern w:val="0"/>
                <w:szCs w:val="24"/>
                <w:highlight w:val="none"/>
                <w:lang w:eastAsia="en-US"/>
                <w14:textFill>
                  <w14:solidFill>
                    <w14:schemeClr w14:val="tx1"/>
                  </w14:solidFill>
                </w14:textFill>
              </w:rPr>
            </m:ctrlPr>
          </m:e>
          <m:sub>
            <m:r>
              <m:rPr/>
              <w:rPr>
                <w:rFonts w:ascii="Cambria Math" w:hAnsi="Cambria Math" w:cs="Times New Roman"/>
                <w:snapToGrid w:val="0"/>
                <w:color w:val="000000" w:themeColor="text1"/>
                <w:kern w:val="0"/>
                <w:szCs w:val="24"/>
                <w:highlight w:val="none"/>
                <w14:textFill>
                  <w14:solidFill>
                    <w14:schemeClr w14:val="tx1"/>
                  </w14:solidFill>
                </w14:textFill>
              </w:rPr>
              <m:t>T</m:t>
            </m:r>
            <m:ctrlPr>
              <w:rPr>
                <w:rFonts w:ascii="Cambria Math" w:hAnsi="Cambria Math" w:cs="Times New Roman"/>
                <w:i/>
                <w:snapToGrid w:val="0"/>
                <w:color w:val="000000" w:themeColor="text1"/>
                <w:kern w:val="0"/>
                <w:szCs w:val="24"/>
                <w:highlight w:val="none"/>
                <w:lang w:eastAsia="en-US"/>
                <w14:textFill>
                  <w14:solidFill>
                    <w14:schemeClr w14:val="tx1"/>
                  </w14:solidFill>
                </w14:textFill>
              </w:rPr>
            </m:ctrlPr>
          </m:sub>
        </m:sSub>
      </m:oMath>
      <w:r>
        <w:rPr>
          <w:rFonts w:cs="Times New Roman"/>
          <w:color w:val="000000" w:themeColor="text1"/>
          <w:kern w:val="0"/>
          <w:szCs w:val="24"/>
          <w:highlight w:val="none"/>
          <w14:textFill>
            <w14:solidFill>
              <w14:schemeClr w14:val="tx1"/>
            </w14:solidFill>
          </w14:textFill>
        </w:rPr>
        <w:t>—横向y方向的弥散系数，m</w:t>
      </w:r>
      <w:r>
        <w:rPr>
          <w:rFonts w:cs="Times New Roman"/>
          <w:color w:val="000000" w:themeColor="text1"/>
          <w:kern w:val="0"/>
          <w:szCs w:val="24"/>
          <w:highlight w:val="none"/>
          <w:vertAlign w:val="superscript"/>
          <w14:textFill>
            <w14:solidFill>
              <w14:schemeClr w14:val="tx1"/>
            </w14:solidFill>
          </w14:textFill>
        </w:rPr>
        <w:t>2</w:t>
      </w:r>
      <w:r>
        <w:rPr>
          <w:rFonts w:cs="Times New Roman"/>
          <w:color w:val="000000" w:themeColor="text1"/>
          <w:kern w:val="0"/>
          <w:szCs w:val="24"/>
          <w:highlight w:val="none"/>
          <w14:textFill>
            <w14:solidFill>
              <w14:schemeClr w14:val="tx1"/>
            </w14:solidFill>
          </w14:textFill>
        </w:rPr>
        <w:t>/d；</w:t>
      </w:r>
    </w:p>
    <w:p>
      <w:pPr>
        <w:widowControl/>
        <w:ind w:firstLine="480"/>
        <w:rPr>
          <w:rFonts w:cs="Times New Roman"/>
          <w:color w:val="000000" w:themeColor="text1"/>
          <w:kern w:val="0"/>
          <w:szCs w:val="24"/>
          <w:highlight w:val="none"/>
          <w14:textFill>
            <w14:solidFill>
              <w14:schemeClr w14:val="tx1"/>
            </w14:solidFill>
          </w14:textFill>
        </w:rPr>
      </w:pPr>
      <m:oMath>
        <m:r>
          <m:rPr/>
          <w:rPr>
            <w:rFonts w:ascii="Cambria Math" w:hAnsi="Cambria Math" w:cs="Times New Roman"/>
            <w:snapToGrid w:val="0"/>
            <w:color w:val="000000" w:themeColor="text1"/>
            <w:kern w:val="0"/>
            <w:szCs w:val="24"/>
            <w:highlight w:val="none"/>
            <w14:textFill>
              <w14:solidFill>
                <w14:schemeClr w14:val="tx1"/>
              </w14:solidFill>
            </w14:textFill>
          </w:rPr>
          <m:t>π</m:t>
        </m:r>
      </m:oMath>
      <w:r>
        <w:rPr>
          <w:rFonts w:cs="Times New Roman"/>
          <w:color w:val="000000" w:themeColor="text1"/>
          <w:kern w:val="0"/>
          <w:szCs w:val="24"/>
          <w:highlight w:val="none"/>
          <w14:textFill>
            <w14:solidFill>
              <w14:schemeClr w14:val="tx1"/>
            </w14:solidFill>
          </w14:textFill>
        </w:rPr>
        <w:t>—圆周率。</w:t>
      </w:r>
    </w:p>
    <w:p>
      <w:pPr>
        <w:widowControl/>
        <w:ind w:firstLine="480"/>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将本次预测所用模型转换形式后可得：</w:t>
      </w:r>
    </w:p>
    <w:p>
      <w:pPr>
        <w:widowControl/>
        <w:ind w:firstLine="480"/>
        <w:rPr>
          <w:rFonts w:cs="Times New Roman"/>
          <w:color w:val="000000" w:themeColor="text1"/>
          <w:kern w:val="0"/>
          <w:szCs w:val="24"/>
          <w:highlight w:val="none"/>
          <w:lang w:eastAsia="en-US"/>
          <w14:textFill>
            <w14:solidFill>
              <w14:schemeClr w14:val="tx1"/>
            </w14:solidFill>
          </w14:textFill>
        </w:rPr>
      </w:pPr>
      <m:oMathPara>
        <m:oMath>
          <m:f>
            <m:fPr>
              <m:ctrlPr>
                <w:rPr>
                  <w:rFonts w:ascii="Cambria Math" w:hAnsi="Cambria Math" w:cs="Times New Roman"/>
                  <w:i/>
                  <w:color w:val="000000" w:themeColor="text1"/>
                  <w:kern w:val="0"/>
                  <w:szCs w:val="24"/>
                  <w:highlight w:val="none"/>
                  <w:lang w:eastAsia="en-US"/>
                  <w14:textFill>
                    <w14:solidFill>
                      <w14:schemeClr w14:val="tx1"/>
                    </w14:solidFill>
                  </w14:textFill>
                </w:rPr>
              </m:ctrlPr>
            </m:fPr>
            <m:num>
              <m:sSup>
                <m:sSupPr>
                  <m:ctrlPr>
                    <w:rPr>
                      <w:rFonts w:ascii="Cambria Math" w:hAnsi="Cambria Math" w:cs="Times New Roman"/>
                      <w:i/>
                      <w:color w:val="000000" w:themeColor="text1"/>
                      <w:kern w:val="0"/>
                      <w:szCs w:val="24"/>
                      <w:highlight w:val="none"/>
                      <w:lang w:eastAsia="en-US"/>
                      <w14:textFill>
                        <w14:solidFill>
                          <w14:schemeClr w14:val="tx1"/>
                        </w14:solidFill>
                      </w14:textFill>
                    </w:rPr>
                  </m:ctrlPr>
                </m:sSupPr>
                <m:e>
                  <m:r>
                    <m:rPr/>
                    <w:rPr>
                      <w:rFonts w:ascii="Cambria Math" w:hAnsi="Cambria Math" w:cs="Times New Roman"/>
                      <w:color w:val="000000" w:themeColor="text1"/>
                      <w:kern w:val="0"/>
                      <w:szCs w:val="24"/>
                      <w:highlight w:val="none"/>
                      <w:lang w:eastAsia="en-US"/>
                      <w14:textFill>
                        <w14:solidFill>
                          <w14:schemeClr w14:val="tx1"/>
                        </w14:solidFill>
                      </w14:textFill>
                    </w:rPr>
                    <m:t>(x−ut)</m:t>
                  </m:r>
                  <m:ctrlPr>
                    <w:rPr>
                      <w:rFonts w:ascii="Cambria Math" w:hAnsi="Cambria Math" w:cs="Times New Roman"/>
                      <w:i/>
                      <w:color w:val="000000" w:themeColor="text1"/>
                      <w:kern w:val="0"/>
                      <w:szCs w:val="24"/>
                      <w:highlight w:val="none"/>
                      <w:lang w:eastAsia="en-US"/>
                      <w14:textFill>
                        <w14:solidFill>
                          <w14:schemeClr w14:val="tx1"/>
                        </w14:solidFill>
                      </w14:textFill>
                    </w:rPr>
                  </m:ctrlPr>
                </m:e>
                <m:sup>
                  <m:r>
                    <m:rPr/>
                    <w:rPr>
                      <w:rFonts w:ascii="Cambria Math" w:hAnsi="Cambria Math" w:cs="Times New Roman"/>
                      <w:color w:val="000000" w:themeColor="text1"/>
                      <w:kern w:val="0"/>
                      <w:szCs w:val="24"/>
                      <w:highlight w:val="none"/>
                      <w:lang w:eastAsia="en-US"/>
                      <w14:textFill>
                        <w14:solidFill>
                          <w14:schemeClr w14:val="tx1"/>
                        </w14:solidFill>
                      </w14:textFill>
                    </w:rPr>
                    <m:t>2</m:t>
                  </m:r>
                  <m:ctrlPr>
                    <w:rPr>
                      <w:rFonts w:ascii="Cambria Math" w:hAnsi="Cambria Math" w:cs="Times New Roman"/>
                      <w:i/>
                      <w:color w:val="000000" w:themeColor="text1"/>
                      <w:kern w:val="0"/>
                      <w:szCs w:val="24"/>
                      <w:highlight w:val="none"/>
                      <w:lang w:eastAsia="en-US"/>
                      <w14:textFill>
                        <w14:solidFill>
                          <w14:schemeClr w14:val="tx1"/>
                        </w14:solidFill>
                      </w14:textFill>
                    </w:rPr>
                  </m:ctrlPr>
                </m:sup>
              </m:sSup>
              <m:ctrlPr>
                <w:rPr>
                  <w:rFonts w:ascii="Cambria Math" w:hAnsi="Cambria Math" w:cs="Times New Roman"/>
                  <w:i/>
                  <w:color w:val="000000" w:themeColor="text1"/>
                  <w:kern w:val="0"/>
                  <w:szCs w:val="24"/>
                  <w:highlight w:val="none"/>
                  <w:lang w:eastAsia="en-US"/>
                  <w14:textFill>
                    <w14:solidFill>
                      <w14:schemeClr w14:val="tx1"/>
                    </w14:solidFill>
                  </w14:textFill>
                </w:rPr>
              </m:ctrlPr>
            </m:num>
            <m:den>
              <m:r>
                <m:rPr/>
                <w:rPr>
                  <w:rFonts w:ascii="Cambria Math" w:hAnsi="Cambria Math" w:cs="Times New Roman"/>
                  <w:color w:val="000000" w:themeColor="text1"/>
                  <w:kern w:val="0"/>
                  <w:szCs w:val="24"/>
                  <w:highlight w:val="none"/>
                  <w:lang w:eastAsia="en-US"/>
                  <w14:textFill>
                    <w14:solidFill>
                      <w14:schemeClr w14:val="tx1"/>
                    </w14:solidFill>
                  </w14:textFill>
                </w:rPr>
                <m:t>4</m:t>
              </m:r>
              <m:sSub>
                <m:sSubPr>
                  <m:ctrlPr>
                    <w:rPr>
                      <w:rFonts w:ascii="Cambria Math" w:hAnsi="Cambria Math" w:cs="Times New Roman"/>
                      <w:i/>
                      <w:color w:val="000000" w:themeColor="text1"/>
                      <w:kern w:val="0"/>
                      <w:szCs w:val="24"/>
                      <w:highlight w:val="none"/>
                      <w:lang w:eastAsia="en-US"/>
                      <w14:textFill>
                        <w14:solidFill>
                          <w14:schemeClr w14:val="tx1"/>
                        </w14:solidFill>
                      </w14:textFill>
                    </w:rPr>
                  </m:ctrlPr>
                </m:sSubPr>
                <m:e>
                  <m:r>
                    <m:rPr/>
                    <w:rPr>
                      <w:rFonts w:ascii="Cambria Math" w:hAnsi="Cambria Math" w:cs="Times New Roman"/>
                      <w:color w:val="000000" w:themeColor="text1"/>
                      <w:kern w:val="0"/>
                      <w:szCs w:val="24"/>
                      <w:highlight w:val="none"/>
                      <w:lang w:eastAsia="en-US"/>
                      <w14:textFill>
                        <w14:solidFill>
                          <w14:schemeClr w14:val="tx1"/>
                        </w14:solidFill>
                      </w14:textFill>
                    </w:rPr>
                    <m:t>D</m:t>
                  </m:r>
                  <m:ctrlPr>
                    <w:rPr>
                      <w:rFonts w:ascii="Cambria Math" w:hAnsi="Cambria Math" w:cs="Times New Roman"/>
                      <w:i/>
                      <w:color w:val="000000" w:themeColor="text1"/>
                      <w:kern w:val="0"/>
                      <w:szCs w:val="24"/>
                      <w:highlight w:val="none"/>
                      <w:lang w:eastAsia="en-US"/>
                      <w14:textFill>
                        <w14:solidFill>
                          <w14:schemeClr w14:val="tx1"/>
                        </w14:solidFill>
                      </w14:textFill>
                    </w:rPr>
                  </m:ctrlPr>
                </m:e>
                <m:sub>
                  <m:r>
                    <m:rPr/>
                    <w:rPr>
                      <w:rFonts w:ascii="Cambria Math" w:hAnsi="Cambria Math" w:cs="Times New Roman"/>
                      <w:color w:val="000000" w:themeColor="text1"/>
                      <w:kern w:val="0"/>
                      <w:szCs w:val="24"/>
                      <w:highlight w:val="none"/>
                      <w:lang w:eastAsia="en-US"/>
                      <w14:textFill>
                        <w14:solidFill>
                          <w14:schemeClr w14:val="tx1"/>
                        </w14:solidFill>
                      </w14:textFill>
                    </w:rPr>
                    <m:t>L</m:t>
                  </m:r>
                  <m:ctrlPr>
                    <w:rPr>
                      <w:rFonts w:ascii="Cambria Math" w:hAnsi="Cambria Math" w:cs="Times New Roman"/>
                      <w:i/>
                      <w:color w:val="000000" w:themeColor="text1"/>
                      <w:kern w:val="0"/>
                      <w:szCs w:val="24"/>
                      <w:highlight w:val="none"/>
                      <w:lang w:eastAsia="en-US"/>
                      <w14:textFill>
                        <w14:solidFill>
                          <w14:schemeClr w14:val="tx1"/>
                        </w14:solidFill>
                      </w14:textFill>
                    </w:rPr>
                  </m:ctrlPr>
                </m:sub>
              </m:sSub>
              <m:r>
                <m:rPr/>
                <w:rPr>
                  <w:rFonts w:ascii="Cambria Math" w:hAnsi="Cambria Math" w:cs="Times New Roman"/>
                  <w:color w:val="000000" w:themeColor="text1"/>
                  <w:kern w:val="0"/>
                  <w:szCs w:val="24"/>
                  <w:highlight w:val="none"/>
                  <w:lang w:eastAsia="en-US"/>
                  <w14:textFill>
                    <w14:solidFill>
                      <w14:schemeClr w14:val="tx1"/>
                    </w14:solidFill>
                  </w14:textFill>
                </w:rPr>
                <m:t>t</m:t>
              </m:r>
              <m:ctrlPr>
                <w:rPr>
                  <w:rFonts w:ascii="Cambria Math" w:hAnsi="Cambria Math" w:cs="Times New Roman"/>
                  <w:i/>
                  <w:color w:val="000000" w:themeColor="text1"/>
                  <w:kern w:val="0"/>
                  <w:szCs w:val="24"/>
                  <w:highlight w:val="none"/>
                  <w:lang w:eastAsia="en-US"/>
                  <w14:textFill>
                    <w14:solidFill>
                      <w14:schemeClr w14:val="tx1"/>
                    </w14:solidFill>
                  </w14:textFill>
                </w:rPr>
              </m:ctrlPr>
            </m:den>
          </m:f>
          <m:r>
            <m:rPr/>
            <w:rPr>
              <w:rFonts w:ascii="Cambria Math" w:hAnsi="Cambria Math" w:cs="Times New Roman"/>
              <w:color w:val="000000" w:themeColor="text1"/>
              <w:kern w:val="0"/>
              <w:szCs w:val="24"/>
              <w:highlight w:val="none"/>
              <w:lang w:eastAsia="en-US"/>
              <w14:textFill>
                <w14:solidFill>
                  <w14:schemeClr w14:val="tx1"/>
                </w14:solidFill>
              </w14:textFill>
            </w:rPr>
            <m:t>+</m:t>
          </m:r>
          <m:f>
            <m:fPr>
              <m:ctrlPr>
                <w:rPr>
                  <w:rFonts w:ascii="Cambria Math" w:hAnsi="Cambria Math" w:cs="Times New Roman"/>
                  <w:i/>
                  <w:color w:val="000000" w:themeColor="text1"/>
                  <w:kern w:val="0"/>
                  <w:szCs w:val="24"/>
                  <w:highlight w:val="none"/>
                  <w:lang w:eastAsia="en-US"/>
                  <w14:textFill>
                    <w14:solidFill>
                      <w14:schemeClr w14:val="tx1"/>
                    </w14:solidFill>
                  </w14:textFill>
                </w:rPr>
              </m:ctrlPr>
            </m:fPr>
            <m:num>
              <m:sSup>
                <m:sSupPr>
                  <m:ctrlPr>
                    <w:rPr>
                      <w:rFonts w:ascii="Cambria Math" w:hAnsi="Cambria Math" w:cs="Times New Roman"/>
                      <w:i/>
                      <w:color w:val="000000" w:themeColor="text1"/>
                      <w:kern w:val="0"/>
                      <w:szCs w:val="24"/>
                      <w:highlight w:val="none"/>
                      <w:lang w:eastAsia="en-US"/>
                      <w14:textFill>
                        <w14:solidFill>
                          <w14:schemeClr w14:val="tx1"/>
                        </w14:solidFill>
                      </w14:textFill>
                    </w:rPr>
                  </m:ctrlPr>
                </m:sSupPr>
                <m:e>
                  <m:r>
                    <m:rPr/>
                    <w:rPr>
                      <w:rFonts w:ascii="Cambria Math" w:hAnsi="Cambria Math" w:cs="Times New Roman"/>
                      <w:color w:val="000000" w:themeColor="text1"/>
                      <w:kern w:val="0"/>
                      <w:szCs w:val="24"/>
                      <w:highlight w:val="none"/>
                      <w:lang w:eastAsia="en-US"/>
                      <w14:textFill>
                        <w14:solidFill>
                          <w14:schemeClr w14:val="tx1"/>
                        </w14:solidFill>
                      </w14:textFill>
                    </w:rPr>
                    <m:t>y</m:t>
                  </m:r>
                  <m:ctrlPr>
                    <w:rPr>
                      <w:rFonts w:ascii="Cambria Math" w:hAnsi="Cambria Math" w:cs="Times New Roman"/>
                      <w:i/>
                      <w:color w:val="000000" w:themeColor="text1"/>
                      <w:kern w:val="0"/>
                      <w:szCs w:val="24"/>
                      <w:highlight w:val="none"/>
                      <w:lang w:eastAsia="en-US"/>
                      <w14:textFill>
                        <w14:solidFill>
                          <w14:schemeClr w14:val="tx1"/>
                        </w14:solidFill>
                      </w14:textFill>
                    </w:rPr>
                  </m:ctrlPr>
                </m:e>
                <m:sup>
                  <m:r>
                    <m:rPr/>
                    <w:rPr>
                      <w:rFonts w:ascii="Cambria Math" w:hAnsi="Cambria Math" w:cs="Times New Roman"/>
                      <w:color w:val="000000" w:themeColor="text1"/>
                      <w:kern w:val="0"/>
                      <w:szCs w:val="24"/>
                      <w:highlight w:val="none"/>
                      <w:lang w:eastAsia="en-US"/>
                      <w14:textFill>
                        <w14:solidFill>
                          <w14:schemeClr w14:val="tx1"/>
                        </w14:solidFill>
                      </w14:textFill>
                    </w:rPr>
                    <m:t>2</m:t>
                  </m:r>
                  <m:ctrlPr>
                    <w:rPr>
                      <w:rFonts w:ascii="Cambria Math" w:hAnsi="Cambria Math" w:cs="Times New Roman"/>
                      <w:i/>
                      <w:color w:val="000000" w:themeColor="text1"/>
                      <w:kern w:val="0"/>
                      <w:szCs w:val="24"/>
                      <w:highlight w:val="none"/>
                      <w:lang w:eastAsia="en-US"/>
                      <w14:textFill>
                        <w14:solidFill>
                          <w14:schemeClr w14:val="tx1"/>
                        </w14:solidFill>
                      </w14:textFill>
                    </w:rPr>
                  </m:ctrlPr>
                </m:sup>
              </m:sSup>
              <m:ctrlPr>
                <w:rPr>
                  <w:rFonts w:ascii="Cambria Math" w:hAnsi="Cambria Math" w:cs="Times New Roman"/>
                  <w:i/>
                  <w:color w:val="000000" w:themeColor="text1"/>
                  <w:kern w:val="0"/>
                  <w:szCs w:val="24"/>
                  <w:highlight w:val="none"/>
                  <w:lang w:eastAsia="en-US"/>
                  <w14:textFill>
                    <w14:solidFill>
                      <w14:schemeClr w14:val="tx1"/>
                    </w14:solidFill>
                  </w14:textFill>
                </w:rPr>
              </m:ctrlPr>
            </m:num>
            <m:den>
              <m:r>
                <m:rPr/>
                <w:rPr>
                  <w:rFonts w:ascii="Cambria Math" w:hAnsi="Cambria Math" w:cs="Times New Roman"/>
                  <w:color w:val="000000" w:themeColor="text1"/>
                  <w:kern w:val="0"/>
                  <w:szCs w:val="24"/>
                  <w:highlight w:val="none"/>
                  <w:lang w:eastAsia="en-US"/>
                  <w14:textFill>
                    <w14:solidFill>
                      <w14:schemeClr w14:val="tx1"/>
                    </w14:solidFill>
                  </w14:textFill>
                </w:rPr>
                <m:t>4</m:t>
              </m:r>
              <m:sSub>
                <m:sSubPr>
                  <m:ctrlPr>
                    <w:rPr>
                      <w:rFonts w:ascii="Cambria Math" w:hAnsi="Cambria Math" w:cs="Times New Roman"/>
                      <w:i/>
                      <w:color w:val="000000" w:themeColor="text1"/>
                      <w:kern w:val="0"/>
                      <w:szCs w:val="24"/>
                      <w:highlight w:val="none"/>
                      <w:lang w:eastAsia="en-US"/>
                      <w14:textFill>
                        <w14:solidFill>
                          <w14:schemeClr w14:val="tx1"/>
                        </w14:solidFill>
                      </w14:textFill>
                    </w:rPr>
                  </m:ctrlPr>
                </m:sSubPr>
                <m:e>
                  <m:r>
                    <m:rPr/>
                    <w:rPr>
                      <w:rFonts w:ascii="Cambria Math" w:hAnsi="Cambria Math" w:cs="Times New Roman"/>
                      <w:color w:val="000000" w:themeColor="text1"/>
                      <w:kern w:val="0"/>
                      <w:szCs w:val="24"/>
                      <w:highlight w:val="none"/>
                      <w:lang w:eastAsia="en-US"/>
                      <w14:textFill>
                        <w14:solidFill>
                          <w14:schemeClr w14:val="tx1"/>
                        </w14:solidFill>
                      </w14:textFill>
                    </w:rPr>
                    <m:t>D</m:t>
                  </m:r>
                  <m:ctrlPr>
                    <w:rPr>
                      <w:rFonts w:ascii="Cambria Math" w:hAnsi="Cambria Math" w:cs="Times New Roman"/>
                      <w:i/>
                      <w:color w:val="000000" w:themeColor="text1"/>
                      <w:kern w:val="0"/>
                      <w:szCs w:val="24"/>
                      <w:highlight w:val="none"/>
                      <w:lang w:eastAsia="en-US"/>
                      <w14:textFill>
                        <w14:solidFill>
                          <w14:schemeClr w14:val="tx1"/>
                        </w14:solidFill>
                      </w14:textFill>
                    </w:rPr>
                  </m:ctrlPr>
                </m:e>
                <m:sub>
                  <m:r>
                    <m:rPr/>
                    <w:rPr>
                      <w:rFonts w:ascii="Cambria Math" w:hAnsi="Cambria Math" w:cs="Times New Roman"/>
                      <w:color w:val="000000" w:themeColor="text1"/>
                      <w:kern w:val="0"/>
                      <w:szCs w:val="24"/>
                      <w:highlight w:val="none"/>
                      <w:lang w:eastAsia="en-US"/>
                      <w14:textFill>
                        <w14:solidFill>
                          <w14:schemeClr w14:val="tx1"/>
                        </w14:solidFill>
                      </w14:textFill>
                    </w:rPr>
                    <m:t>T</m:t>
                  </m:r>
                  <m:ctrlPr>
                    <w:rPr>
                      <w:rFonts w:ascii="Cambria Math" w:hAnsi="Cambria Math" w:cs="Times New Roman"/>
                      <w:i/>
                      <w:color w:val="000000" w:themeColor="text1"/>
                      <w:kern w:val="0"/>
                      <w:szCs w:val="24"/>
                      <w:highlight w:val="none"/>
                      <w:lang w:eastAsia="en-US"/>
                      <w14:textFill>
                        <w14:solidFill>
                          <w14:schemeClr w14:val="tx1"/>
                        </w14:solidFill>
                      </w14:textFill>
                    </w:rPr>
                  </m:ctrlPr>
                </m:sub>
              </m:sSub>
              <m:r>
                <m:rPr/>
                <w:rPr>
                  <w:rFonts w:ascii="Cambria Math" w:hAnsi="Cambria Math" w:cs="Times New Roman"/>
                  <w:color w:val="000000" w:themeColor="text1"/>
                  <w:kern w:val="0"/>
                  <w:szCs w:val="24"/>
                  <w:highlight w:val="none"/>
                  <w:lang w:eastAsia="en-US"/>
                  <w14:textFill>
                    <w14:solidFill>
                      <w14:schemeClr w14:val="tx1"/>
                    </w14:solidFill>
                  </w14:textFill>
                </w:rPr>
                <m:t>t</m:t>
              </m:r>
              <m:ctrlPr>
                <w:rPr>
                  <w:rFonts w:ascii="Cambria Math" w:hAnsi="Cambria Math" w:cs="Times New Roman"/>
                  <w:i/>
                  <w:color w:val="000000" w:themeColor="text1"/>
                  <w:kern w:val="0"/>
                  <w:szCs w:val="24"/>
                  <w:highlight w:val="none"/>
                  <w:lang w:eastAsia="en-US"/>
                  <w14:textFill>
                    <w14:solidFill>
                      <w14:schemeClr w14:val="tx1"/>
                    </w14:solidFill>
                  </w14:textFill>
                </w:rPr>
              </m:ctrlPr>
            </m:den>
          </m:f>
          <m:r>
            <m:rPr/>
            <w:rPr>
              <w:rFonts w:ascii="Cambria Math" w:hAnsi="Cambria Math" w:cs="Times New Roman"/>
              <w:color w:val="000000" w:themeColor="text1"/>
              <w:kern w:val="0"/>
              <w:szCs w:val="24"/>
              <w:highlight w:val="none"/>
              <w:lang w:eastAsia="en-US"/>
              <w14:textFill>
                <w14:solidFill>
                  <w14:schemeClr w14:val="tx1"/>
                </w14:solidFill>
              </w14:textFill>
            </w:rPr>
            <m:t>=</m:t>
          </m:r>
          <m:func>
            <m:funcPr>
              <m:ctrlPr>
                <w:rPr>
                  <w:rFonts w:ascii="Cambria Math" w:hAnsi="Cambria Math" w:cs="Times New Roman"/>
                  <w:i/>
                  <w:color w:val="000000" w:themeColor="text1"/>
                  <w:kern w:val="0"/>
                  <w:szCs w:val="24"/>
                  <w:highlight w:val="none"/>
                  <w:lang w:eastAsia="en-US"/>
                  <w14:textFill>
                    <w14:solidFill>
                      <w14:schemeClr w14:val="tx1"/>
                    </w14:solidFill>
                  </w14:textFill>
                </w:rPr>
              </m:ctrlPr>
            </m:funcPr>
            <m:fName>
              <m:r>
                <m:rPr>
                  <m:sty m:val="p"/>
                </m:rPr>
                <w:rPr>
                  <w:rFonts w:ascii="Cambria Math" w:hAnsi="Cambria Math" w:cs="Times New Roman"/>
                  <w:color w:val="000000" w:themeColor="text1"/>
                  <w:kern w:val="0"/>
                  <w:szCs w:val="24"/>
                  <w:highlight w:val="none"/>
                  <w:lang w:eastAsia="en-US"/>
                  <w14:textFill>
                    <w14:solidFill>
                      <w14:schemeClr w14:val="tx1"/>
                    </w14:solidFill>
                  </w14:textFill>
                </w:rPr>
                <m:t>ln</m:t>
              </m:r>
              <m:ctrlPr>
                <w:rPr>
                  <w:rFonts w:ascii="Cambria Math" w:hAnsi="Cambria Math" w:cs="Times New Roman"/>
                  <w:i/>
                  <w:color w:val="000000" w:themeColor="text1"/>
                  <w:kern w:val="0"/>
                  <w:szCs w:val="24"/>
                  <w:highlight w:val="none"/>
                  <w:lang w:eastAsia="en-US"/>
                  <w14:textFill>
                    <w14:solidFill>
                      <w14:schemeClr w14:val="tx1"/>
                    </w14:solidFill>
                  </w14:textFill>
                </w:rPr>
              </m:ctrlPr>
            </m:fName>
            <m:e>
              <m:d>
                <m:dPr>
                  <m:begChr m:val="["/>
                  <m:endChr m:val="]"/>
                  <m:ctrlPr>
                    <w:rPr>
                      <w:rFonts w:ascii="Cambria Math" w:hAnsi="Cambria Math" w:cs="Times New Roman"/>
                      <w:i/>
                      <w:color w:val="000000" w:themeColor="text1"/>
                      <w:kern w:val="0"/>
                      <w:szCs w:val="24"/>
                      <w:highlight w:val="none"/>
                      <w:lang w:eastAsia="en-US"/>
                      <w14:textFill>
                        <w14:solidFill>
                          <w14:schemeClr w14:val="tx1"/>
                        </w14:solidFill>
                      </w14:textFill>
                    </w:rPr>
                  </m:ctrlPr>
                </m:dPr>
                <m:e>
                  <m:f>
                    <m:fPr>
                      <m:ctrlPr>
                        <w:rPr>
                          <w:rFonts w:ascii="Cambria Math" w:hAnsi="Cambria Math" w:cs="Times New Roman"/>
                          <w:i/>
                          <w:color w:val="000000" w:themeColor="text1"/>
                          <w:kern w:val="0"/>
                          <w:szCs w:val="24"/>
                          <w:highlight w:val="none"/>
                          <w:lang w:eastAsia="en-US"/>
                          <w14:textFill>
                            <w14:solidFill>
                              <w14:schemeClr w14:val="tx1"/>
                            </w14:solidFill>
                          </w14:textFill>
                        </w:rPr>
                      </m:ctrlPr>
                    </m:fPr>
                    <m:num>
                      <m:sSub>
                        <m:sSubPr>
                          <m:ctrlPr>
                            <w:rPr>
                              <w:rFonts w:ascii="Cambria Math" w:hAnsi="Cambria Math" w:cs="Times New Roman"/>
                              <w:color w:val="000000" w:themeColor="text1"/>
                              <w:kern w:val="0"/>
                              <w:szCs w:val="24"/>
                              <w:highlight w:val="none"/>
                              <w:lang w:eastAsia="en-US"/>
                              <w14:textFill>
                                <w14:solidFill>
                                  <w14:schemeClr w14:val="tx1"/>
                                </w14:solidFill>
                              </w14:textFill>
                            </w:rPr>
                          </m:ctrlPr>
                        </m:sSubPr>
                        <m:e>
                          <m:r>
                            <m:rPr>
                              <m:sty m:val="p"/>
                            </m:rPr>
                            <w:rPr>
                              <w:rFonts w:ascii="Cambria Math" w:hAnsi="Cambria Math" w:cs="Times New Roman"/>
                              <w:color w:val="000000" w:themeColor="text1"/>
                              <w:kern w:val="0"/>
                              <w:szCs w:val="24"/>
                              <w:highlight w:val="none"/>
                              <w:lang w:eastAsia="en-US"/>
                              <w14:textFill>
                                <w14:solidFill>
                                  <w14:schemeClr w14:val="tx1"/>
                                </w14:solidFill>
                              </w14:textFill>
                            </w:rPr>
                            <m:t>m</m:t>
                          </m:r>
                          <m:ctrlPr>
                            <w:rPr>
                              <w:rFonts w:ascii="Cambria Math" w:hAnsi="Cambria Math" w:cs="Times New Roman"/>
                              <w:color w:val="000000" w:themeColor="text1"/>
                              <w:kern w:val="0"/>
                              <w:szCs w:val="24"/>
                              <w:highlight w:val="none"/>
                              <w:lang w:eastAsia="en-US"/>
                              <w14:textFill>
                                <w14:solidFill>
                                  <w14:schemeClr w14:val="tx1"/>
                                </w14:solidFill>
                              </w14:textFill>
                            </w:rPr>
                          </m:ctrlPr>
                        </m:e>
                        <m:sub>
                          <m:r>
                            <m:rPr/>
                            <w:rPr>
                              <w:rFonts w:ascii="Cambria Math" w:hAnsi="Cambria Math" w:cs="Times New Roman"/>
                              <w:color w:val="000000" w:themeColor="text1"/>
                              <w:kern w:val="0"/>
                              <w:szCs w:val="24"/>
                              <w:highlight w:val="none"/>
                              <w:lang w:eastAsia="en-US"/>
                              <w14:textFill>
                                <w14:solidFill>
                                  <w14:schemeClr w14:val="tx1"/>
                                </w14:solidFill>
                              </w14:textFill>
                            </w:rPr>
                            <m:t>M</m:t>
                          </m:r>
                          <m:ctrlPr>
                            <w:rPr>
                              <w:rFonts w:ascii="Cambria Math" w:hAnsi="Cambria Math" w:cs="Times New Roman"/>
                              <w:color w:val="000000" w:themeColor="text1"/>
                              <w:kern w:val="0"/>
                              <w:szCs w:val="24"/>
                              <w:highlight w:val="none"/>
                              <w:lang w:eastAsia="en-US"/>
                              <w14:textFill>
                                <w14:solidFill>
                                  <w14:schemeClr w14:val="tx1"/>
                                </w14:solidFill>
                              </w14:textFill>
                            </w:rPr>
                          </m:ctrlPr>
                        </m:sub>
                      </m:sSub>
                      <m:ctrlPr>
                        <w:rPr>
                          <w:rFonts w:ascii="Cambria Math" w:hAnsi="Cambria Math" w:cs="Times New Roman"/>
                          <w:i/>
                          <w:color w:val="000000" w:themeColor="text1"/>
                          <w:kern w:val="0"/>
                          <w:szCs w:val="24"/>
                          <w:highlight w:val="none"/>
                          <w:lang w:eastAsia="en-US"/>
                          <w14:textFill>
                            <w14:solidFill>
                              <w14:schemeClr w14:val="tx1"/>
                            </w14:solidFill>
                          </w14:textFill>
                        </w:rPr>
                      </m:ctrlPr>
                    </m:num>
                    <m:den>
                      <m:r>
                        <m:rPr/>
                        <w:rPr>
                          <w:rFonts w:ascii="Cambria Math" w:hAnsi="Cambria Math" w:cs="Times New Roman"/>
                          <w:color w:val="000000" w:themeColor="text1"/>
                          <w:kern w:val="0"/>
                          <w:szCs w:val="24"/>
                          <w:highlight w:val="none"/>
                          <w:lang w:eastAsia="en-US"/>
                          <w14:textFill>
                            <w14:solidFill>
                              <w14:schemeClr w14:val="tx1"/>
                            </w14:solidFill>
                          </w14:textFill>
                        </w:rPr>
                        <m:t>4πnM</m:t>
                      </m:r>
                      <m:r>
                        <m:rPr>
                          <m:sty m:val="p"/>
                        </m:rPr>
                        <w:rPr>
                          <w:rFonts w:ascii="Cambria Math" w:hAnsi="Cambria Math" w:cs="Times New Roman"/>
                          <w:color w:val="000000" w:themeColor="text1"/>
                          <w:kern w:val="0"/>
                          <w:szCs w:val="24"/>
                          <w:highlight w:val="none"/>
                          <w:lang w:eastAsia="en-US"/>
                          <w14:textFill>
                            <w14:solidFill>
                              <w14:schemeClr w14:val="tx1"/>
                            </w14:solidFill>
                          </w14:textFill>
                        </w:rPr>
                        <m:t>C</m:t>
                      </m:r>
                      <m:d>
                        <m:dPr>
                          <m:begChr m:val="（"/>
                          <m:endChr m:val="）"/>
                          <m:ctrlPr>
                            <w:rPr>
                              <w:rFonts w:ascii="Cambria Math" w:hAnsi="Cambria Math" w:cs="Times New Roman"/>
                              <w:color w:val="000000" w:themeColor="text1"/>
                              <w:kern w:val="0"/>
                              <w:szCs w:val="24"/>
                              <w:highlight w:val="none"/>
                              <w:lang w:eastAsia="en-US"/>
                              <w14:textFill>
                                <w14:solidFill>
                                  <w14:schemeClr w14:val="tx1"/>
                                </w14:solidFill>
                              </w14:textFill>
                            </w:rPr>
                          </m:ctrlPr>
                        </m:dPr>
                        <m:e>
                          <m:r>
                            <m:rPr/>
                            <w:rPr>
                              <w:rFonts w:ascii="Cambria Math" w:hAnsi="Cambria Math" w:cs="Times New Roman"/>
                              <w:color w:val="000000" w:themeColor="text1"/>
                              <w:kern w:val="0"/>
                              <w:szCs w:val="24"/>
                              <w:highlight w:val="none"/>
                              <w:lang w:eastAsia="en-US"/>
                              <w14:textFill>
                                <w14:solidFill>
                                  <w14:schemeClr w14:val="tx1"/>
                                </w14:solidFill>
                              </w14:textFill>
                            </w:rPr>
                            <m:t>x，y，t</m:t>
                          </m:r>
                          <m:ctrlPr>
                            <w:rPr>
                              <w:rFonts w:ascii="Cambria Math" w:hAnsi="Cambria Math" w:cs="Times New Roman"/>
                              <w:color w:val="000000" w:themeColor="text1"/>
                              <w:kern w:val="0"/>
                              <w:szCs w:val="24"/>
                              <w:highlight w:val="none"/>
                              <w:lang w:eastAsia="en-US"/>
                              <w14:textFill>
                                <w14:solidFill>
                                  <w14:schemeClr w14:val="tx1"/>
                                </w14:solidFill>
                              </w14:textFill>
                            </w:rPr>
                          </m:ctrlPr>
                        </m:e>
                      </m:d>
                      <m:rad>
                        <m:radPr>
                          <m:degHide m:val="1"/>
                          <m:ctrlPr>
                            <w:rPr>
                              <w:rFonts w:ascii="Cambria Math" w:hAnsi="Cambria Math" w:cs="Times New Roman"/>
                              <w:i/>
                              <w:color w:val="000000" w:themeColor="text1"/>
                              <w:kern w:val="0"/>
                              <w:szCs w:val="24"/>
                              <w:highlight w:val="none"/>
                              <w:lang w:eastAsia="en-US"/>
                              <w14:textFill>
                                <w14:solidFill>
                                  <w14:schemeClr w14:val="tx1"/>
                                </w14:solidFill>
                              </w14:textFill>
                            </w:rPr>
                          </m:ctrlPr>
                        </m:radPr>
                        <m:deg>
                          <m:ctrlPr>
                            <w:rPr>
                              <w:rFonts w:ascii="Cambria Math" w:hAnsi="Cambria Math" w:cs="Times New Roman"/>
                              <w:i/>
                              <w:color w:val="000000" w:themeColor="text1"/>
                              <w:kern w:val="0"/>
                              <w:szCs w:val="24"/>
                              <w:highlight w:val="none"/>
                              <w:lang w:eastAsia="en-US"/>
                              <w14:textFill>
                                <w14:solidFill>
                                  <w14:schemeClr w14:val="tx1"/>
                                </w14:solidFill>
                              </w14:textFill>
                            </w:rPr>
                          </m:ctrlPr>
                        </m:deg>
                        <m:e>
                          <m:sSub>
                            <m:sSubPr>
                              <m:ctrlPr>
                                <w:rPr>
                                  <w:rFonts w:ascii="Cambria Math" w:hAnsi="Cambria Math" w:cs="Times New Roman"/>
                                  <w:i/>
                                  <w:color w:val="000000" w:themeColor="text1"/>
                                  <w:kern w:val="0"/>
                                  <w:szCs w:val="24"/>
                                  <w:highlight w:val="none"/>
                                  <w:lang w:eastAsia="en-US"/>
                                  <w14:textFill>
                                    <w14:solidFill>
                                      <w14:schemeClr w14:val="tx1"/>
                                    </w14:solidFill>
                                  </w14:textFill>
                                </w:rPr>
                              </m:ctrlPr>
                            </m:sSubPr>
                            <m:e>
                              <m:r>
                                <m:rPr/>
                                <w:rPr>
                                  <w:rFonts w:ascii="Cambria Math" w:hAnsi="Cambria Math" w:cs="Times New Roman"/>
                                  <w:color w:val="000000" w:themeColor="text1"/>
                                  <w:kern w:val="0"/>
                                  <w:szCs w:val="24"/>
                                  <w:highlight w:val="none"/>
                                  <w:lang w:eastAsia="en-US"/>
                                  <w14:textFill>
                                    <w14:solidFill>
                                      <w14:schemeClr w14:val="tx1"/>
                                    </w14:solidFill>
                                  </w14:textFill>
                                </w:rPr>
                                <m:t>D</m:t>
                              </m:r>
                              <m:ctrlPr>
                                <w:rPr>
                                  <w:rFonts w:ascii="Cambria Math" w:hAnsi="Cambria Math" w:cs="Times New Roman"/>
                                  <w:i/>
                                  <w:color w:val="000000" w:themeColor="text1"/>
                                  <w:kern w:val="0"/>
                                  <w:szCs w:val="24"/>
                                  <w:highlight w:val="none"/>
                                  <w:lang w:eastAsia="en-US"/>
                                  <w14:textFill>
                                    <w14:solidFill>
                                      <w14:schemeClr w14:val="tx1"/>
                                    </w14:solidFill>
                                  </w14:textFill>
                                </w:rPr>
                              </m:ctrlPr>
                            </m:e>
                            <m:sub>
                              <m:r>
                                <m:rPr/>
                                <w:rPr>
                                  <w:rFonts w:ascii="Cambria Math" w:hAnsi="Cambria Math" w:cs="Times New Roman"/>
                                  <w:color w:val="000000" w:themeColor="text1"/>
                                  <w:kern w:val="0"/>
                                  <w:szCs w:val="24"/>
                                  <w:highlight w:val="none"/>
                                  <w:lang w:eastAsia="en-US"/>
                                  <w14:textFill>
                                    <w14:solidFill>
                                      <w14:schemeClr w14:val="tx1"/>
                                    </w14:solidFill>
                                  </w14:textFill>
                                </w:rPr>
                                <m:t>L</m:t>
                              </m:r>
                              <m:ctrlPr>
                                <w:rPr>
                                  <w:rFonts w:ascii="Cambria Math" w:hAnsi="Cambria Math" w:cs="Times New Roman"/>
                                  <w:i/>
                                  <w:color w:val="000000" w:themeColor="text1"/>
                                  <w:kern w:val="0"/>
                                  <w:szCs w:val="24"/>
                                  <w:highlight w:val="none"/>
                                  <w:lang w:eastAsia="en-US"/>
                                  <w14:textFill>
                                    <w14:solidFill>
                                      <w14:schemeClr w14:val="tx1"/>
                                    </w14:solidFill>
                                  </w14:textFill>
                                </w:rPr>
                              </m:ctrlPr>
                            </m:sub>
                          </m:sSub>
                          <m:sSub>
                            <m:sSubPr>
                              <m:ctrlPr>
                                <w:rPr>
                                  <w:rFonts w:ascii="Cambria Math" w:hAnsi="Cambria Math" w:cs="Times New Roman"/>
                                  <w:i/>
                                  <w:color w:val="000000" w:themeColor="text1"/>
                                  <w:kern w:val="0"/>
                                  <w:szCs w:val="24"/>
                                  <w:highlight w:val="none"/>
                                  <w:lang w:eastAsia="en-US"/>
                                  <w14:textFill>
                                    <w14:solidFill>
                                      <w14:schemeClr w14:val="tx1"/>
                                    </w14:solidFill>
                                  </w14:textFill>
                                </w:rPr>
                              </m:ctrlPr>
                            </m:sSubPr>
                            <m:e>
                              <m:r>
                                <m:rPr/>
                                <w:rPr>
                                  <w:rFonts w:ascii="Cambria Math" w:hAnsi="Cambria Math" w:cs="Times New Roman"/>
                                  <w:color w:val="000000" w:themeColor="text1"/>
                                  <w:kern w:val="0"/>
                                  <w:szCs w:val="24"/>
                                  <w:highlight w:val="none"/>
                                  <w:lang w:eastAsia="en-US"/>
                                  <w14:textFill>
                                    <w14:solidFill>
                                      <w14:schemeClr w14:val="tx1"/>
                                    </w14:solidFill>
                                  </w14:textFill>
                                </w:rPr>
                                <m:t>D</m:t>
                              </m:r>
                              <m:ctrlPr>
                                <w:rPr>
                                  <w:rFonts w:ascii="Cambria Math" w:hAnsi="Cambria Math" w:cs="Times New Roman"/>
                                  <w:i/>
                                  <w:color w:val="000000" w:themeColor="text1"/>
                                  <w:kern w:val="0"/>
                                  <w:szCs w:val="24"/>
                                  <w:highlight w:val="none"/>
                                  <w:lang w:eastAsia="en-US"/>
                                  <w14:textFill>
                                    <w14:solidFill>
                                      <w14:schemeClr w14:val="tx1"/>
                                    </w14:solidFill>
                                  </w14:textFill>
                                </w:rPr>
                              </m:ctrlPr>
                            </m:e>
                            <m:sub>
                              <m:r>
                                <m:rPr/>
                                <w:rPr>
                                  <w:rFonts w:ascii="Cambria Math" w:hAnsi="Cambria Math" w:cs="Times New Roman"/>
                                  <w:color w:val="000000" w:themeColor="text1"/>
                                  <w:kern w:val="0"/>
                                  <w:szCs w:val="24"/>
                                  <w:highlight w:val="none"/>
                                  <w:lang w:eastAsia="en-US"/>
                                  <w14:textFill>
                                    <w14:solidFill>
                                      <w14:schemeClr w14:val="tx1"/>
                                    </w14:solidFill>
                                  </w14:textFill>
                                </w:rPr>
                                <m:t>T</m:t>
                              </m:r>
                              <m:ctrlPr>
                                <w:rPr>
                                  <w:rFonts w:ascii="Cambria Math" w:hAnsi="Cambria Math" w:cs="Times New Roman"/>
                                  <w:i/>
                                  <w:color w:val="000000" w:themeColor="text1"/>
                                  <w:kern w:val="0"/>
                                  <w:szCs w:val="24"/>
                                  <w:highlight w:val="none"/>
                                  <w:lang w:eastAsia="en-US"/>
                                  <w14:textFill>
                                    <w14:solidFill>
                                      <w14:schemeClr w14:val="tx1"/>
                                    </w14:solidFill>
                                  </w14:textFill>
                                </w:rPr>
                              </m:ctrlPr>
                            </m:sub>
                          </m:sSub>
                          <m:ctrlPr>
                            <w:rPr>
                              <w:rFonts w:ascii="Cambria Math" w:hAnsi="Cambria Math" w:cs="Times New Roman"/>
                              <w:i/>
                              <w:color w:val="000000" w:themeColor="text1"/>
                              <w:kern w:val="0"/>
                              <w:szCs w:val="24"/>
                              <w:highlight w:val="none"/>
                              <w:lang w:eastAsia="en-US"/>
                              <w14:textFill>
                                <w14:solidFill>
                                  <w14:schemeClr w14:val="tx1"/>
                                </w14:solidFill>
                              </w14:textFill>
                            </w:rPr>
                          </m:ctrlPr>
                        </m:e>
                      </m:rad>
                      <m:r>
                        <m:rPr/>
                        <w:rPr>
                          <w:rFonts w:ascii="Cambria Math" w:hAnsi="Cambria Math" w:cs="Times New Roman"/>
                          <w:color w:val="000000" w:themeColor="text1"/>
                          <w:kern w:val="0"/>
                          <w:szCs w:val="24"/>
                          <w:highlight w:val="none"/>
                          <w:lang w:eastAsia="en-US"/>
                          <w14:textFill>
                            <w14:solidFill>
                              <w14:schemeClr w14:val="tx1"/>
                            </w14:solidFill>
                          </w14:textFill>
                        </w:rPr>
                        <m:t>t</m:t>
                      </m:r>
                      <m:ctrlPr>
                        <w:rPr>
                          <w:rFonts w:ascii="Cambria Math" w:hAnsi="Cambria Math" w:cs="Times New Roman"/>
                          <w:i/>
                          <w:color w:val="000000" w:themeColor="text1"/>
                          <w:kern w:val="0"/>
                          <w:szCs w:val="24"/>
                          <w:highlight w:val="none"/>
                          <w:lang w:eastAsia="en-US"/>
                          <w14:textFill>
                            <w14:solidFill>
                              <w14:schemeClr w14:val="tx1"/>
                            </w14:solidFill>
                          </w14:textFill>
                        </w:rPr>
                      </m:ctrlPr>
                    </m:den>
                  </m:f>
                  <m:ctrlPr>
                    <w:rPr>
                      <w:rFonts w:ascii="Cambria Math" w:hAnsi="Cambria Math" w:cs="Times New Roman"/>
                      <w:i/>
                      <w:color w:val="000000" w:themeColor="text1"/>
                      <w:kern w:val="0"/>
                      <w:szCs w:val="24"/>
                      <w:highlight w:val="none"/>
                      <w:lang w:eastAsia="en-US"/>
                      <w14:textFill>
                        <w14:solidFill>
                          <w14:schemeClr w14:val="tx1"/>
                        </w14:solidFill>
                      </w14:textFill>
                    </w:rPr>
                  </m:ctrlPr>
                </m:e>
              </m:d>
              <m:ctrlPr>
                <w:rPr>
                  <w:rFonts w:ascii="Cambria Math" w:hAnsi="Cambria Math" w:cs="Times New Roman"/>
                  <w:i/>
                  <w:color w:val="000000" w:themeColor="text1"/>
                  <w:kern w:val="0"/>
                  <w:szCs w:val="24"/>
                  <w:highlight w:val="none"/>
                  <w:lang w:eastAsia="en-US"/>
                  <w14:textFill>
                    <w14:solidFill>
                      <w14:schemeClr w14:val="tx1"/>
                    </w14:solidFill>
                  </w14:textFill>
                </w:rPr>
              </m:ctrlPr>
            </m:e>
          </m:func>
        </m:oMath>
      </m:oMathPara>
    </w:p>
    <w:p>
      <w:pPr>
        <w:widowControl/>
        <w:ind w:firstLine="480"/>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从上式可以看出，当污染物排放量一定，排放时间一定时，同一浓度等值线为一椭圆。同时从该式可知，仅当右式大于0时，该式才有意义。</w:t>
      </w:r>
    </w:p>
    <w:p>
      <w:pPr>
        <w:widowControl/>
        <w:ind w:firstLine="480"/>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本次预测所用模型需要的参数有：含水层厚度M；外泄污染物质量m</w:t>
      </w:r>
      <w:r>
        <w:rPr>
          <w:rFonts w:cs="Times New Roman"/>
          <w:color w:val="000000" w:themeColor="text1"/>
          <w:kern w:val="0"/>
          <w:szCs w:val="24"/>
          <w:highlight w:val="none"/>
          <w:vertAlign w:val="subscript"/>
          <w14:textFill>
            <w14:solidFill>
              <w14:schemeClr w14:val="tx1"/>
            </w14:solidFill>
          </w14:textFill>
        </w:rPr>
        <w:t>M</w:t>
      </w:r>
      <w:r>
        <w:rPr>
          <w:rFonts w:cs="Times New Roman"/>
          <w:color w:val="000000" w:themeColor="text1"/>
          <w:kern w:val="0"/>
          <w:szCs w:val="24"/>
          <w:highlight w:val="none"/>
          <w14:textFill>
            <w14:solidFill>
              <w14:schemeClr w14:val="tx1"/>
            </w14:solidFill>
          </w14:textFill>
        </w:rPr>
        <w:t>；岩层的有效孔隙度n；水流速度u；污染物纵向弥散系数D</w:t>
      </w:r>
      <w:r>
        <w:rPr>
          <w:rFonts w:cs="Times New Roman"/>
          <w:color w:val="000000" w:themeColor="text1"/>
          <w:kern w:val="0"/>
          <w:szCs w:val="24"/>
          <w:highlight w:val="none"/>
          <w:vertAlign w:val="subscript"/>
          <w14:textFill>
            <w14:solidFill>
              <w14:schemeClr w14:val="tx1"/>
            </w14:solidFill>
          </w14:textFill>
        </w:rPr>
        <w:t>L</w:t>
      </w:r>
      <w:r>
        <w:rPr>
          <w:rFonts w:cs="Times New Roman"/>
          <w:color w:val="000000" w:themeColor="text1"/>
          <w:kern w:val="0"/>
          <w:szCs w:val="24"/>
          <w:highlight w:val="none"/>
          <w14:textFill>
            <w14:solidFill>
              <w14:schemeClr w14:val="tx1"/>
            </w14:solidFill>
          </w14:textFill>
        </w:rPr>
        <w:t>；污染物横向弥散系数D</w:t>
      </w:r>
      <w:r>
        <w:rPr>
          <w:rFonts w:cs="Times New Roman"/>
          <w:color w:val="000000" w:themeColor="text1"/>
          <w:kern w:val="0"/>
          <w:szCs w:val="24"/>
          <w:highlight w:val="none"/>
          <w:vertAlign w:val="subscript"/>
          <w14:textFill>
            <w14:solidFill>
              <w14:schemeClr w14:val="tx1"/>
            </w14:solidFill>
          </w14:textFill>
        </w:rPr>
        <w:t>T</w:t>
      </w:r>
      <w:r>
        <w:rPr>
          <w:rFonts w:cs="Times New Roman"/>
          <w:color w:val="000000" w:themeColor="text1"/>
          <w:kern w:val="0"/>
          <w:szCs w:val="24"/>
          <w:highlight w:val="none"/>
          <w14:textFill>
            <w14:solidFill>
              <w14:schemeClr w14:val="tx1"/>
            </w14:solidFill>
          </w14:textFill>
        </w:rPr>
        <w:t>。这些参数主要由本次工作的调查资料以及类比区最新的勘察成果资料来确定。</w:t>
      </w:r>
    </w:p>
    <w:p>
      <w:pPr>
        <w:widowControl/>
        <w:ind w:firstLine="482"/>
        <w:rPr>
          <w:rFonts w:cs="Times New Roman"/>
          <w:b/>
          <w:bCs/>
          <w:snapToGrid w:val="0"/>
          <w:color w:val="000000" w:themeColor="text1"/>
          <w:kern w:val="0"/>
          <w:szCs w:val="24"/>
          <w:highlight w:val="none"/>
          <w14:textFill>
            <w14:solidFill>
              <w14:schemeClr w14:val="tx1"/>
            </w14:solidFill>
          </w14:textFill>
        </w:rPr>
      </w:pPr>
      <w:r>
        <w:rPr>
          <w:rFonts w:cs="Times New Roman"/>
          <w:b/>
          <w:bCs/>
          <w:snapToGrid w:val="0"/>
          <w:color w:val="000000" w:themeColor="text1"/>
          <w:kern w:val="0"/>
          <w:szCs w:val="24"/>
          <w:highlight w:val="none"/>
          <w14:textFill>
            <w14:solidFill>
              <w14:schemeClr w14:val="tx1"/>
            </w14:solidFill>
          </w14:textFill>
        </w:rPr>
        <w:t>（2）模型参数选取</w:t>
      </w:r>
    </w:p>
    <w:p>
      <w:pPr>
        <w:widowControl/>
        <w:ind w:firstLine="480"/>
        <w:rPr>
          <w:rFonts w:cs="Times New Roman"/>
          <w:color w:val="000000" w:themeColor="text1"/>
          <w:kern w:val="0"/>
          <w:szCs w:val="24"/>
          <w:highlight w:val="none"/>
          <w14:textFill>
            <w14:solidFill>
              <w14:schemeClr w14:val="tx1"/>
            </w14:solidFill>
          </w14:textFill>
        </w:rPr>
      </w:pPr>
      <w:r>
        <w:rPr>
          <w:rFonts w:hint="eastAsia" w:ascii="宋体" w:hAnsi="宋体" w:cs="宋体"/>
          <w:color w:val="000000" w:themeColor="text1"/>
          <w:kern w:val="0"/>
          <w:szCs w:val="24"/>
          <w:highlight w:val="none"/>
          <w14:textFill>
            <w14:solidFill>
              <w14:schemeClr w14:val="tx1"/>
            </w14:solidFill>
          </w14:textFill>
        </w:rPr>
        <w:t>①</w:t>
      </w:r>
      <w:r>
        <w:rPr>
          <w:rFonts w:cs="Times New Roman"/>
          <w:color w:val="000000" w:themeColor="text1"/>
          <w:kern w:val="0"/>
          <w:szCs w:val="24"/>
          <w:highlight w:val="none"/>
          <w14:textFill>
            <w14:solidFill>
              <w14:schemeClr w14:val="tx1"/>
            </w14:solidFill>
          </w14:textFill>
        </w:rPr>
        <w:t>含水层厚度M：本区域含水层厚度为8～35m，本次取35m。</w:t>
      </w:r>
    </w:p>
    <w:p>
      <w:pPr>
        <w:widowControl/>
        <w:ind w:firstLine="480"/>
        <w:rPr>
          <w:rFonts w:cs="Times New Roman"/>
          <w:color w:val="000000" w:themeColor="text1"/>
          <w:kern w:val="0"/>
          <w:szCs w:val="24"/>
          <w:highlight w:val="none"/>
          <w14:textFill>
            <w14:solidFill>
              <w14:schemeClr w14:val="tx1"/>
            </w14:solidFill>
          </w14:textFill>
        </w:rPr>
      </w:pPr>
      <w:r>
        <w:rPr>
          <w:rFonts w:hint="eastAsia" w:ascii="宋体" w:hAnsi="宋体" w:cs="宋体"/>
          <w:color w:val="000000" w:themeColor="text1"/>
          <w:kern w:val="0"/>
          <w:szCs w:val="24"/>
          <w:highlight w:val="none"/>
          <w14:textFill>
            <w14:solidFill>
              <w14:schemeClr w14:val="tx1"/>
            </w14:solidFill>
          </w14:textFill>
        </w:rPr>
        <w:t>②</w:t>
      </w:r>
      <w:r>
        <w:rPr>
          <w:rFonts w:cs="Times New Roman"/>
          <w:color w:val="000000" w:themeColor="text1"/>
          <w:kern w:val="0"/>
          <w:szCs w:val="24"/>
          <w:highlight w:val="none"/>
          <w14:textFill>
            <w14:solidFill>
              <w14:schemeClr w14:val="tx1"/>
            </w14:solidFill>
          </w14:textFill>
        </w:rPr>
        <w:t>瞬时注入的示踪剂质量m</w:t>
      </w:r>
      <w:r>
        <w:rPr>
          <w:rFonts w:cs="Times New Roman"/>
          <w:color w:val="000000" w:themeColor="text1"/>
          <w:kern w:val="0"/>
          <w:szCs w:val="24"/>
          <w:highlight w:val="none"/>
          <w:vertAlign w:val="subscript"/>
          <w14:textFill>
            <w14:solidFill>
              <w14:schemeClr w14:val="tx1"/>
            </w14:solidFill>
          </w14:textFill>
        </w:rPr>
        <w:t>M</w:t>
      </w:r>
      <w:r>
        <w:rPr>
          <w:rFonts w:cs="Times New Roman"/>
          <w:color w:val="000000" w:themeColor="text1"/>
          <w:kern w:val="0"/>
          <w:szCs w:val="24"/>
          <w:highlight w:val="none"/>
          <w14:textFill>
            <w14:solidFill>
              <w14:schemeClr w14:val="tx1"/>
            </w14:solidFill>
          </w14:textFill>
        </w:rPr>
        <w:t>：项目在污水</w:t>
      </w:r>
      <w:r>
        <w:rPr>
          <w:rFonts w:hint="eastAsia" w:cs="Times New Roman"/>
          <w:color w:val="000000" w:themeColor="text1"/>
          <w:kern w:val="0"/>
          <w:szCs w:val="24"/>
          <w:highlight w:val="none"/>
          <w14:textFill>
            <w14:solidFill>
              <w14:schemeClr w14:val="tx1"/>
            </w14:solidFill>
          </w14:textFill>
        </w:rPr>
        <w:t>罐</w:t>
      </w:r>
      <w:r>
        <w:rPr>
          <w:rFonts w:cs="Times New Roman"/>
          <w:color w:val="000000" w:themeColor="text1"/>
          <w:kern w:val="0"/>
          <w:szCs w:val="24"/>
          <w:highlight w:val="none"/>
          <w14:textFill>
            <w14:solidFill>
              <w14:schemeClr w14:val="tx1"/>
            </w14:solidFill>
          </w14:textFill>
        </w:rPr>
        <w:t>泄漏，最大漏失量进行最不利计算，选取污染物特征因子石油类、COD</w:t>
      </w:r>
      <w:r>
        <w:rPr>
          <w:rFonts w:cs="Times New Roman"/>
          <w:color w:val="000000" w:themeColor="text1"/>
          <w:kern w:val="0"/>
          <w:szCs w:val="24"/>
          <w:highlight w:val="none"/>
          <w:vertAlign w:val="subscript"/>
          <w14:textFill>
            <w14:solidFill>
              <w14:schemeClr w14:val="tx1"/>
            </w14:solidFill>
          </w14:textFill>
        </w:rPr>
        <w:t>Mn</w:t>
      </w:r>
      <w:r>
        <w:rPr>
          <w:rFonts w:cs="Times New Roman"/>
          <w:color w:val="000000" w:themeColor="text1"/>
          <w:kern w:val="0"/>
          <w:szCs w:val="24"/>
          <w:highlight w:val="none"/>
          <w14:textFill>
            <w14:solidFill>
              <w14:schemeClr w14:val="tx1"/>
            </w14:solidFill>
          </w14:textFill>
        </w:rPr>
        <w:t>、氯化物。</w:t>
      </w:r>
    </w:p>
    <w:p>
      <w:pPr>
        <w:widowControl/>
        <w:ind w:firstLine="480"/>
        <w:rPr>
          <w:rFonts w:cs="Times New Roman"/>
          <w:color w:val="000000" w:themeColor="text1"/>
          <w:kern w:val="0"/>
          <w:szCs w:val="24"/>
          <w:highlight w:val="none"/>
          <w14:textFill>
            <w14:solidFill>
              <w14:schemeClr w14:val="tx1"/>
            </w14:solidFill>
          </w14:textFill>
        </w:rPr>
      </w:pPr>
      <w:r>
        <w:rPr>
          <w:rFonts w:hint="eastAsia" w:ascii="宋体" w:hAnsi="宋体" w:cs="宋体"/>
          <w:color w:val="000000" w:themeColor="text1"/>
          <w:kern w:val="0"/>
          <w:szCs w:val="24"/>
          <w:highlight w:val="none"/>
          <w14:textFill>
            <w14:solidFill>
              <w14:schemeClr w14:val="tx1"/>
            </w14:solidFill>
          </w14:textFill>
        </w:rPr>
        <w:t>③</w:t>
      </w:r>
      <w:r>
        <w:rPr>
          <w:rFonts w:cs="Times New Roman"/>
          <w:color w:val="000000" w:themeColor="text1"/>
          <w:kern w:val="0"/>
          <w:szCs w:val="24"/>
          <w:highlight w:val="none"/>
          <w14:textFill>
            <w14:solidFill>
              <w14:schemeClr w14:val="tx1"/>
            </w14:solidFill>
          </w14:textFill>
        </w:rPr>
        <w:t>含水层的平均有效孔隙度n：地下水含水层岩性以紫红色泥岩、粉砂质泥岩与厚至块状细粒长石石英砂岩互层为主，参考弗里泽孔隙度与岩石粒度近似关系范围并适当修正，有效孔隙度取0.1。</w:t>
      </w:r>
    </w:p>
    <w:p>
      <w:pPr>
        <w:widowControl/>
        <w:ind w:firstLine="480"/>
        <w:rPr>
          <w:rFonts w:cs="Times New Roman"/>
          <w:color w:val="000000" w:themeColor="text1"/>
          <w:kern w:val="0"/>
          <w:szCs w:val="24"/>
          <w:highlight w:val="none"/>
          <w14:textFill>
            <w14:solidFill>
              <w14:schemeClr w14:val="tx1"/>
            </w14:solidFill>
          </w14:textFill>
        </w:rPr>
      </w:pPr>
      <w:r>
        <w:rPr>
          <w:rFonts w:hint="eastAsia" w:ascii="宋体" w:hAnsi="宋体" w:cs="宋体"/>
          <w:color w:val="000000" w:themeColor="text1"/>
          <w:kern w:val="0"/>
          <w:szCs w:val="24"/>
          <w:highlight w:val="none"/>
          <w14:textFill>
            <w14:solidFill>
              <w14:schemeClr w14:val="tx1"/>
            </w14:solidFill>
          </w14:textFill>
        </w:rPr>
        <w:t>④</w:t>
      </w:r>
      <w:r>
        <w:rPr>
          <w:rFonts w:cs="Times New Roman"/>
          <w:color w:val="000000" w:themeColor="text1"/>
          <w:kern w:val="0"/>
          <w:szCs w:val="24"/>
          <w:highlight w:val="none"/>
          <w14:textFill>
            <w14:solidFill>
              <w14:schemeClr w14:val="tx1"/>
            </w14:solidFill>
          </w14:textFill>
        </w:rPr>
        <w:t>水流速度u：评价区地下水为浅层风化带裂隙含水层，本评价渗透系数取值0.068m/d，水力坡度约为0.12，因此地下水的渗流速度v=KI=0.0082m/d，水流速度取实际流速u=v/n=0.082m/d。</w:t>
      </w:r>
    </w:p>
    <w:p>
      <w:pPr>
        <w:widowControl/>
        <w:ind w:firstLine="480"/>
        <w:rPr>
          <w:rFonts w:cs="Times New Roman"/>
          <w:color w:val="000000" w:themeColor="text1"/>
          <w:kern w:val="0"/>
          <w:szCs w:val="24"/>
          <w:highlight w:val="none"/>
          <w14:textFill>
            <w14:solidFill>
              <w14:schemeClr w14:val="tx1"/>
            </w14:solidFill>
          </w14:textFill>
        </w:rPr>
      </w:pPr>
      <w:r>
        <w:rPr>
          <w:rFonts w:hint="eastAsia" w:ascii="宋体" w:hAnsi="宋体" w:cs="宋体"/>
          <w:color w:val="000000" w:themeColor="text1"/>
          <w:kern w:val="0"/>
          <w:szCs w:val="24"/>
          <w:highlight w:val="none"/>
          <w14:textFill>
            <w14:solidFill>
              <w14:schemeClr w14:val="tx1"/>
            </w14:solidFill>
          </w14:textFill>
        </w:rPr>
        <w:t>⑤</w:t>
      </w:r>
      <w:r>
        <w:rPr>
          <w:rFonts w:cs="Times New Roman"/>
          <w:color w:val="000000" w:themeColor="text1"/>
          <w:kern w:val="0"/>
          <w:szCs w:val="24"/>
          <w:highlight w:val="none"/>
          <w14:textFill>
            <w14:solidFill>
              <w14:schemeClr w14:val="tx1"/>
            </w14:solidFill>
          </w14:textFill>
        </w:rPr>
        <w:t>纵向x方向的弥散系数D</w:t>
      </w:r>
      <w:r>
        <w:rPr>
          <w:rFonts w:cs="Times New Roman"/>
          <w:color w:val="000000" w:themeColor="text1"/>
          <w:kern w:val="0"/>
          <w:szCs w:val="24"/>
          <w:highlight w:val="none"/>
          <w:vertAlign w:val="subscript"/>
          <w14:textFill>
            <w14:solidFill>
              <w14:schemeClr w14:val="tx1"/>
            </w14:solidFill>
          </w14:textFill>
        </w:rPr>
        <w:t>L</w:t>
      </w:r>
      <w:r>
        <w:rPr>
          <w:rFonts w:cs="Times New Roman"/>
          <w:color w:val="000000" w:themeColor="text1"/>
          <w:kern w:val="0"/>
          <w:szCs w:val="24"/>
          <w:highlight w:val="none"/>
          <w14:textFill>
            <w14:solidFill>
              <w14:schemeClr w14:val="tx1"/>
            </w14:solidFill>
          </w14:textFill>
        </w:rPr>
        <w:t>：参考Gelhar等人关于纵向弥散度与观测尺度关系的理论，根据本次污染场地的研究尺度，模型计算中纵向弥散度选用10.0m。由此计算评估区含水层中的纵向弥散系数：D</w:t>
      </w:r>
      <w:r>
        <w:rPr>
          <w:rFonts w:cs="Times New Roman"/>
          <w:color w:val="000000" w:themeColor="text1"/>
          <w:kern w:val="0"/>
          <w:szCs w:val="24"/>
          <w:highlight w:val="none"/>
          <w:vertAlign w:val="subscript"/>
          <w14:textFill>
            <w14:solidFill>
              <w14:schemeClr w14:val="tx1"/>
            </w14:solidFill>
          </w14:textFill>
        </w:rPr>
        <w:t>L</w:t>
      </w:r>
      <w:r>
        <w:rPr>
          <w:rFonts w:cs="Times New Roman"/>
          <w:color w:val="000000" w:themeColor="text1"/>
          <w:kern w:val="0"/>
          <w:szCs w:val="24"/>
          <w:highlight w:val="none"/>
          <w14:textFill>
            <w14:solidFill>
              <w14:schemeClr w14:val="tx1"/>
            </w14:solidFill>
          </w14:textFill>
        </w:rPr>
        <w:t>=</w:t>
      </w:r>
      <w:r>
        <w:rPr>
          <w:rFonts w:cs="Times New Roman"/>
          <w:color w:val="000000" w:themeColor="text1"/>
          <w:kern w:val="0"/>
          <w:szCs w:val="24"/>
          <w:highlight w:val="none"/>
          <w:lang w:eastAsia="en-US"/>
          <w14:textFill>
            <w14:solidFill>
              <w14:schemeClr w14:val="tx1"/>
            </w14:solidFill>
          </w14:textFill>
        </w:rPr>
        <w:t>α</w:t>
      </w:r>
      <w:r>
        <w:rPr>
          <w:rFonts w:cs="Times New Roman"/>
          <w:color w:val="000000" w:themeColor="text1"/>
          <w:kern w:val="0"/>
          <w:szCs w:val="24"/>
          <w:highlight w:val="none"/>
          <w:vertAlign w:val="subscript"/>
          <w14:textFill>
            <w14:solidFill>
              <w14:schemeClr w14:val="tx1"/>
            </w14:solidFill>
          </w14:textFill>
        </w:rPr>
        <w:t>L</w:t>
      </w:r>
      <w:r>
        <w:rPr>
          <w:rFonts w:cs="Times New Roman"/>
          <w:color w:val="000000" w:themeColor="text1"/>
          <w:kern w:val="0"/>
          <w:szCs w:val="24"/>
          <w:highlight w:val="none"/>
          <w14:textFill>
            <w14:solidFill>
              <w14:schemeClr w14:val="tx1"/>
            </w14:solidFill>
          </w14:textFill>
        </w:rPr>
        <w:t>×u=0.82m</w:t>
      </w:r>
      <w:r>
        <w:rPr>
          <w:rFonts w:cs="Times New Roman"/>
          <w:color w:val="000000" w:themeColor="text1"/>
          <w:kern w:val="0"/>
          <w:szCs w:val="24"/>
          <w:highlight w:val="none"/>
          <w:vertAlign w:val="superscript"/>
          <w14:textFill>
            <w14:solidFill>
              <w14:schemeClr w14:val="tx1"/>
            </w14:solidFill>
          </w14:textFill>
        </w:rPr>
        <w:t>2</w:t>
      </w:r>
      <w:r>
        <w:rPr>
          <w:rFonts w:cs="Times New Roman"/>
          <w:color w:val="000000" w:themeColor="text1"/>
          <w:kern w:val="0"/>
          <w:szCs w:val="24"/>
          <w:highlight w:val="none"/>
          <w14:textFill>
            <w14:solidFill>
              <w14:schemeClr w14:val="tx1"/>
            </w14:solidFill>
          </w14:textFill>
        </w:rPr>
        <w:t>/d。</w:t>
      </w:r>
    </w:p>
    <w:p>
      <w:pPr>
        <w:widowControl/>
        <w:ind w:firstLine="480"/>
        <w:rPr>
          <w:rFonts w:cs="Times New Roman"/>
          <w:color w:val="000000" w:themeColor="text1"/>
          <w:kern w:val="0"/>
          <w:szCs w:val="24"/>
          <w:highlight w:val="none"/>
          <w14:textFill>
            <w14:solidFill>
              <w14:schemeClr w14:val="tx1"/>
            </w14:solidFill>
          </w14:textFill>
        </w:rPr>
      </w:pPr>
      <w:r>
        <w:rPr>
          <w:rFonts w:hint="eastAsia" w:ascii="宋体" w:hAnsi="宋体" w:cs="宋体"/>
          <w:color w:val="000000" w:themeColor="text1"/>
          <w:kern w:val="0"/>
          <w:szCs w:val="24"/>
          <w:highlight w:val="none"/>
          <w14:textFill>
            <w14:solidFill>
              <w14:schemeClr w14:val="tx1"/>
            </w14:solidFill>
          </w14:textFill>
        </w:rPr>
        <w:t>⑥</w:t>
      </w:r>
      <w:r>
        <w:rPr>
          <w:rFonts w:cs="Times New Roman"/>
          <w:color w:val="000000" w:themeColor="text1"/>
          <w:kern w:val="0"/>
          <w:szCs w:val="24"/>
          <w:highlight w:val="none"/>
          <w14:textFill>
            <w14:solidFill>
              <w14:schemeClr w14:val="tx1"/>
            </w14:solidFill>
          </w14:textFill>
        </w:rPr>
        <w:t>横向y方向的弥散系数D</w:t>
      </w:r>
      <w:r>
        <w:rPr>
          <w:rFonts w:cs="Times New Roman"/>
          <w:color w:val="000000" w:themeColor="text1"/>
          <w:kern w:val="0"/>
          <w:szCs w:val="24"/>
          <w:highlight w:val="none"/>
          <w:vertAlign w:val="subscript"/>
          <w14:textFill>
            <w14:solidFill>
              <w14:schemeClr w14:val="tx1"/>
            </w14:solidFill>
          </w14:textFill>
        </w:rPr>
        <w:t>T</w:t>
      </w:r>
      <w:r>
        <w:rPr>
          <w:rFonts w:cs="Times New Roman"/>
          <w:color w:val="000000" w:themeColor="text1"/>
          <w:kern w:val="0"/>
          <w:szCs w:val="24"/>
          <w:highlight w:val="none"/>
          <w14:textFill>
            <w14:solidFill>
              <w14:schemeClr w14:val="tx1"/>
            </w14:solidFill>
          </w14:textFill>
        </w:rPr>
        <w:t>：根据经验一般D</w:t>
      </w:r>
      <w:r>
        <w:rPr>
          <w:rFonts w:cs="Times New Roman"/>
          <w:color w:val="000000" w:themeColor="text1"/>
          <w:kern w:val="0"/>
          <w:szCs w:val="24"/>
          <w:highlight w:val="none"/>
          <w:vertAlign w:val="subscript"/>
          <w14:textFill>
            <w14:solidFill>
              <w14:schemeClr w14:val="tx1"/>
            </w14:solidFill>
          </w14:textFill>
        </w:rPr>
        <w:t>T</w:t>
      </w:r>
      <w:r>
        <w:rPr>
          <w:rFonts w:cs="Times New Roman"/>
          <w:color w:val="000000" w:themeColor="text1"/>
          <w:kern w:val="0"/>
          <w:szCs w:val="24"/>
          <w:highlight w:val="none"/>
          <w14:textFill>
            <w14:solidFill>
              <w14:schemeClr w14:val="tx1"/>
            </w14:solidFill>
          </w14:textFill>
        </w:rPr>
        <w:t>:D</w:t>
      </w:r>
      <w:r>
        <w:rPr>
          <w:rFonts w:cs="Times New Roman"/>
          <w:color w:val="000000" w:themeColor="text1"/>
          <w:kern w:val="0"/>
          <w:szCs w:val="24"/>
          <w:highlight w:val="none"/>
          <w:vertAlign w:val="subscript"/>
          <w14:textFill>
            <w14:solidFill>
              <w14:schemeClr w14:val="tx1"/>
            </w14:solidFill>
          </w14:textFill>
        </w:rPr>
        <w:t>L</w:t>
      </w:r>
      <w:r>
        <w:rPr>
          <w:rFonts w:cs="Times New Roman"/>
          <w:color w:val="000000" w:themeColor="text1"/>
          <w:kern w:val="0"/>
          <w:szCs w:val="24"/>
          <w:highlight w:val="none"/>
          <w14:textFill>
            <w14:solidFill>
              <w14:schemeClr w14:val="tx1"/>
            </w14:solidFill>
          </w14:textFill>
        </w:rPr>
        <w:t>=0.1，因此D</w:t>
      </w:r>
      <w:r>
        <w:rPr>
          <w:rFonts w:cs="Times New Roman"/>
          <w:color w:val="000000" w:themeColor="text1"/>
          <w:kern w:val="0"/>
          <w:szCs w:val="24"/>
          <w:highlight w:val="none"/>
          <w:vertAlign w:val="subscript"/>
          <w14:textFill>
            <w14:solidFill>
              <w14:schemeClr w14:val="tx1"/>
            </w14:solidFill>
          </w14:textFill>
        </w:rPr>
        <w:t>T</w:t>
      </w:r>
      <w:r>
        <w:rPr>
          <w:rFonts w:cs="Times New Roman"/>
          <w:color w:val="000000" w:themeColor="text1"/>
          <w:kern w:val="0"/>
          <w:szCs w:val="24"/>
          <w:highlight w:val="none"/>
          <w14:textFill>
            <w14:solidFill>
              <w14:schemeClr w14:val="tx1"/>
            </w14:solidFill>
          </w14:textFill>
        </w:rPr>
        <w:t>取值0.082m</w:t>
      </w:r>
      <w:r>
        <w:rPr>
          <w:rFonts w:cs="Times New Roman"/>
          <w:color w:val="000000" w:themeColor="text1"/>
          <w:kern w:val="0"/>
          <w:szCs w:val="24"/>
          <w:highlight w:val="none"/>
          <w:vertAlign w:val="superscript"/>
          <w14:textFill>
            <w14:solidFill>
              <w14:schemeClr w14:val="tx1"/>
            </w14:solidFill>
          </w14:textFill>
        </w:rPr>
        <w:t>2</w:t>
      </w:r>
      <w:r>
        <w:rPr>
          <w:rFonts w:cs="Times New Roman"/>
          <w:color w:val="000000" w:themeColor="text1"/>
          <w:kern w:val="0"/>
          <w:szCs w:val="24"/>
          <w:highlight w:val="none"/>
          <w14:textFill>
            <w14:solidFill>
              <w14:schemeClr w14:val="tx1"/>
            </w14:solidFill>
          </w14:textFill>
        </w:rPr>
        <w:t>/d。</w:t>
      </w:r>
    </w:p>
    <w:p>
      <w:pPr>
        <w:widowControl/>
        <w:ind w:firstLine="480"/>
        <w:rPr>
          <w:rFonts w:eastAsia="黑体" w:cs="Times New Roman"/>
          <w:bCs/>
          <w:color w:val="000000" w:themeColor="text1"/>
          <w:szCs w:val="24"/>
          <w:highlight w:val="none"/>
          <w14:textFill>
            <w14:solidFill>
              <w14:schemeClr w14:val="tx1"/>
            </w14:solidFill>
          </w14:textFill>
        </w:rPr>
      </w:pPr>
      <w:r>
        <w:rPr>
          <w:rFonts w:eastAsia="黑体" w:cs="Times New Roman"/>
          <w:bCs/>
          <w:color w:val="000000" w:themeColor="text1"/>
          <w:szCs w:val="24"/>
          <w:highlight w:val="none"/>
          <w14:textFill>
            <w14:solidFill>
              <w14:schemeClr w14:val="tx1"/>
            </w14:solidFill>
          </w14:textFill>
        </w:rPr>
        <w:t>3、影响预测</w:t>
      </w:r>
    </w:p>
    <w:p>
      <w:pPr>
        <w:widowControl/>
        <w:ind w:firstLine="482"/>
        <w:rPr>
          <w:rFonts w:cs="Times New Roman"/>
          <w:b/>
          <w:color w:val="000000" w:themeColor="text1"/>
          <w:szCs w:val="24"/>
          <w:highlight w:val="none"/>
          <w14:textFill>
            <w14:solidFill>
              <w14:schemeClr w14:val="tx1"/>
            </w14:solidFill>
          </w14:textFill>
        </w:rPr>
      </w:pPr>
      <w:r>
        <w:rPr>
          <w:rFonts w:cs="Times New Roman"/>
          <w:b/>
          <w:color w:val="000000" w:themeColor="text1"/>
          <w:szCs w:val="24"/>
          <w:highlight w:val="none"/>
          <w14:textFill>
            <w14:solidFill>
              <w14:schemeClr w14:val="tx1"/>
            </w14:solidFill>
          </w14:textFill>
        </w:rPr>
        <w:t>（1）预测方法</w:t>
      </w:r>
    </w:p>
    <w:p>
      <w:pPr>
        <w:widowControl/>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项目地下水水文地质条件相对简单，污染物排放对地下水流场无影响，且基本的水位地质参数在项目建设至服务期满的过程中变化不大，同时该项目的地下水环境影响评价较难采用类比和趋势外延等经验方法，因此本次评价采用解析法进行预测。</w:t>
      </w:r>
    </w:p>
    <w:p>
      <w:pPr>
        <w:widowControl/>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污染物在地下水系统中的迁移转化过程十分复杂，本次污染物模拟预测过程不考虑污染物在含水层中的吸附、挥发、生物化学反应，模型中各项参数予以保守性考虑。由于污染物预测主要针对非正常状况下污染物运移情况，因此模型预测不考虑包气带对污染物的截留作用，假设污染物可以直接通过包气带进入地下水体，最大限度地考虑污染物对研究区水体的影响。</w:t>
      </w:r>
    </w:p>
    <w:p>
      <w:pPr>
        <w:widowControl/>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地下水环境影响预测范围与调查评价范围一致，预测层位以潜水含水层为主。</w:t>
      </w:r>
    </w:p>
    <w:p>
      <w:pPr>
        <w:widowControl/>
        <w:ind w:firstLine="482"/>
        <w:rPr>
          <w:rFonts w:cs="Times New Roman"/>
          <w:b/>
          <w:color w:val="000000" w:themeColor="text1"/>
          <w:szCs w:val="24"/>
          <w:highlight w:val="none"/>
          <w14:textFill>
            <w14:solidFill>
              <w14:schemeClr w14:val="tx1"/>
            </w14:solidFill>
          </w14:textFill>
        </w:rPr>
      </w:pPr>
      <w:r>
        <w:rPr>
          <w:rFonts w:cs="Times New Roman"/>
          <w:b/>
          <w:color w:val="000000" w:themeColor="text1"/>
          <w:szCs w:val="24"/>
          <w:highlight w:val="none"/>
          <w14:textFill>
            <w14:solidFill>
              <w14:schemeClr w14:val="tx1"/>
            </w14:solidFill>
          </w14:textFill>
        </w:rPr>
        <w:t>（2）预测时段</w:t>
      </w:r>
    </w:p>
    <w:p>
      <w:pPr>
        <w:widowControl/>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地下水环境影响预测时段应选取可能产生地下水污染的关键时段，至少包括污染发生后100d、1000d，服务年限或能</w:t>
      </w:r>
      <w:r>
        <w:rPr>
          <w:rFonts w:hint="eastAsia" w:cs="Times New Roman"/>
          <w:bCs/>
          <w:color w:val="000000" w:themeColor="text1"/>
          <w:szCs w:val="24"/>
          <w:highlight w:val="none"/>
          <w14:textFill>
            <w14:solidFill>
              <w14:schemeClr w14:val="tx1"/>
            </w14:solidFill>
          </w14:textFill>
        </w:rPr>
        <w:t>反映</w:t>
      </w:r>
      <w:r>
        <w:rPr>
          <w:rFonts w:cs="Times New Roman"/>
          <w:bCs/>
          <w:color w:val="000000" w:themeColor="text1"/>
          <w:szCs w:val="24"/>
          <w:highlight w:val="none"/>
          <w14:textFill>
            <w14:solidFill>
              <w14:schemeClr w14:val="tx1"/>
            </w14:solidFill>
          </w14:textFill>
        </w:rPr>
        <w:t>特征因子迁移规律的其他重要时间节点。本项目为</w:t>
      </w:r>
      <w:r>
        <w:rPr>
          <w:rFonts w:hint="eastAsia" w:cs="Times New Roman"/>
          <w:bCs/>
          <w:color w:val="000000" w:themeColor="text1"/>
          <w:szCs w:val="24"/>
          <w:highlight w:val="none"/>
          <w14:textFill>
            <w14:solidFill>
              <w14:schemeClr w14:val="tx1"/>
            </w14:solidFill>
          </w14:textFill>
        </w:rPr>
        <w:t>试采地面工程</w:t>
      </w:r>
      <w:r>
        <w:rPr>
          <w:rFonts w:cs="Times New Roman"/>
          <w:bCs/>
          <w:color w:val="000000" w:themeColor="text1"/>
          <w:szCs w:val="24"/>
          <w:highlight w:val="none"/>
          <w14:textFill>
            <w14:solidFill>
              <w14:schemeClr w14:val="tx1"/>
            </w14:solidFill>
          </w14:textFill>
        </w:rPr>
        <w:t>项目，对地下水的影响主要在项目的</w:t>
      </w:r>
      <w:r>
        <w:rPr>
          <w:rFonts w:hint="eastAsia" w:cs="Times New Roman"/>
          <w:bCs/>
          <w:color w:val="000000" w:themeColor="text1"/>
          <w:szCs w:val="24"/>
          <w:highlight w:val="none"/>
          <w14:textFill>
            <w14:solidFill>
              <w14:schemeClr w14:val="tx1"/>
            </w14:solidFill>
          </w14:textFill>
        </w:rPr>
        <w:t>试采</w:t>
      </w:r>
      <w:r>
        <w:rPr>
          <w:rFonts w:cs="Times New Roman"/>
          <w:bCs/>
          <w:color w:val="000000" w:themeColor="text1"/>
          <w:szCs w:val="24"/>
          <w:highlight w:val="none"/>
          <w14:textFill>
            <w14:solidFill>
              <w14:schemeClr w14:val="tx1"/>
            </w14:solidFill>
          </w14:textFill>
        </w:rPr>
        <w:t>期，</w:t>
      </w:r>
      <w:r>
        <w:rPr>
          <w:rFonts w:hint="eastAsia" w:cs="Times New Roman"/>
          <w:bCs/>
          <w:color w:val="000000" w:themeColor="text1"/>
          <w:szCs w:val="24"/>
          <w:highlight w:val="none"/>
          <w14:textFill>
            <w14:solidFill>
              <w14:schemeClr w14:val="tx1"/>
            </w14:solidFill>
          </w14:textFill>
        </w:rPr>
        <w:t>施工期</w:t>
      </w:r>
      <w:r>
        <w:rPr>
          <w:rFonts w:cs="Times New Roman"/>
          <w:bCs/>
          <w:color w:val="000000" w:themeColor="text1"/>
          <w:szCs w:val="24"/>
          <w:highlight w:val="none"/>
          <w14:textFill>
            <w14:solidFill>
              <w14:schemeClr w14:val="tx1"/>
            </w14:solidFill>
          </w14:textFill>
        </w:rPr>
        <w:t>和服务期满后两个阶段对地下水的影响极小。</w:t>
      </w:r>
    </w:p>
    <w:p>
      <w:pPr>
        <w:widowControl/>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因此，根据《环境影响评价技术导则—地下水环境》（HJ610-2016）和项目施工期时长，将地下水环境影响预测时限定为100天、365天、1000天和3650天。</w:t>
      </w:r>
    </w:p>
    <w:p>
      <w:pPr>
        <w:widowControl/>
        <w:ind w:firstLine="482"/>
        <w:rPr>
          <w:rFonts w:cs="Times New Roman"/>
          <w:b/>
          <w:color w:val="000000" w:themeColor="text1"/>
          <w:szCs w:val="24"/>
          <w:highlight w:val="none"/>
          <w14:textFill>
            <w14:solidFill>
              <w14:schemeClr w14:val="tx1"/>
            </w14:solidFill>
          </w14:textFill>
        </w:rPr>
      </w:pPr>
      <w:r>
        <w:rPr>
          <w:rFonts w:cs="Times New Roman"/>
          <w:b/>
          <w:color w:val="000000" w:themeColor="text1"/>
          <w:szCs w:val="24"/>
          <w:highlight w:val="none"/>
          <w14:textFill>
            <w14:solidFill>
              <w14:schemeClr w14:val="tx1"/>
            </w14:solidFill>
          </w14:textFill>
        </w:rPr>
        <w:t>（3）预测因子</w:t>
      </w:r>
    </w:p>
    <w:p>
      <w:pPr>
        <w:widowControl/>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根据《环境影响评价技术导则-地下水环境》(HJ610-2016)，建设项目预测因子选取重点应包括：</w:t>
      </w:r>
    </w:p>
    <w:p>
      <w:pPr>
        <w:widowControl/>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1）改、扩建项目已经排放的及将要产生的主要污染物；</w:t>
      </w:r>
    </w:p>
    <w:p>
      <w:pPr>
        <w:widowControl/>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2）难降解、易生物蓄积、长期接触对人体和生物产生危害作用的污染物，应特别关注持久性有机污染物；</w:t>
      </w:r>
    </w:p>
    <w:p>
      <w:pPr>
        <w:widowControl/>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3）国家或地方要求控制的污染物；</w:t>
      </w:r>
    </w:p>
    <w:p>
      <w:pPr>
        <w:widowControl/>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4）反映地下水循环特征和水质成因类型的常规项目或超标项目。</w:t>
      </w:r>
    </w:p>
    <w:p>
      <w:pPr>
        <w:widowControl/>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预测因子识别应对项目污染物进行分类后（重金属、持久性污染物和其他类别进行分类），对每一类中各项因子采用标准指数法进行排序，分别取标准指数最大的因子作为预测因子；如该项目属于改扩建项目，将选择技改后继续产生的特征因子，改扩建后新增加的特征因子作为预测因子；污染场地已经查明的主要污染物作为预测因子。</w:t>
      </w:r>
    </w:p>
    <w:p>
      <w:pPr>
        <w:widowControl/>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监测资料，本项目附近潜水含水层地下水水质良好，现状监测指标基本能满足《地下水质量标准》（GB14848-2017）中III类水质标准限值要求。基于本项目废水的水质特征，一方面考虑预测的可行性，同时考虑预测因子的代表性，并以各污染物最高浓度为源强进行预测，选择无机离子中等标污染负荷最大的氯离子，持久性污染物中等标污染负荷最大的COD</w:t>
      </w:r>
      <w:r>
        <w:rPr>
          <w:rFonts w:cs="Times New Roman"/>
          <w:bCs/>
          <w:color w:val="000000" w:themeColor="text1"/>
          <w:szCs w:val="24"/>
          <w:highlight w:val="none"/>
          <w:vertAlign w:val="subscript"/>
          <w14:textFill>
            <w14:solidFill>
              <w14:schemeClr w14:val="tx1"/>
            </w14:solidFill>
          </w14:textFill>
        </w:rPr>
        <w:t>Cr</w:t>
      </w:r>
      <w:r>
        <w:rPr>
          <w:rFonts w:cs="Times New Roman"/>
          <w:bCs/>
          <w:color w:val="000000" w:themeColor="text1"/>
          <w:szCs w:val="24"/>
          <w:highlight w:val="none"/>
          <w14:textFill>
            <w14:solidFill>
              <w14:schemeClr w14:val="tx1"/>
            </w14:solidFill>
          </w14:textFill>
        </w:rPr>
        <w:t>，特征污染因子石油类作为本次评价的预测因子。</w:t>
      </w:r>
    </w:p>
    <w:p>
      <w:pPr>
        <w:widowControl/>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w:t>
      </w:r>
      <w:r>
        <w:rPr>
          <w:rFonts w:hint="eastAsia" w:cs="Times New Roman"/>
          <w:bCs/>
          <w:color w:val="000000" w:themeColor="text1"/>
          <w:szCs w:val="24"/>
          <w:highlight w:val="none"/>
          <w14:textFill>
            <w14:solidFill>
              <w14:schemeClr w14:val="tx1"/>
            </w14:solidFill>
          </w14:textFill>
        </w:rPr>
        <w:t>现场勘查</w:t>
      </w:r>
      <w:r>
        <w:rPr>
          <w:rFonts w:cs="Times New Roman"/>
          <w:bCs/>
          <w:color w:val="000000" w:themeColor="text1"/>
          <w:szCs w:val="24"/>
          <w:highlight w:val="none"/>
          <w14:textFill>
            <w14:solidFill>
              <w14:schemeClr w14:val="tx1"/>
            </w14:solidFill>
          </w14:textFill>
        </w:rPr>
        <w:t>本项目区域地下水自北</w:t>
      </w:r>
      <w:r>
        <w:rPr>
          <w:rFonts w:hint="eastAsia" w:cs="Times New Roman"/>
          <w:bCs/>
          <w:color w:val="000000" w:themeColor="text1"/>
          <w:szCs w:val="24"/>
          <w:highlight w:val="none"/>
          <w14:textFill>
            <w14:solidFill>
              <w14:schemeClr w14:val="tx1"/>
            </w14:solidFill>
          </w14:textFill>
        </w:rPr>
        <w:t>西</w:t>
      </w:r>
      <w:r>
        <w:rPr>
          <w:rFonts w:cs="Times New Roman"/>
          <w:bCs/>
          <w:color w:val="000000" w:themeColor="text1"/>
          <w:szCs w:val="24"/>
          <w:highlight w:val="none"/>
          <w14:textFill>
            <w14:solidFill>
              <w14:schemeClr w14:val="tx1"/>
            </w14:solidFill>
          </w14:textFill>
        </w:rPr>
        <w:t>向</w:t>
      </w:r>
      <w:r>
        <w:rPr>
          <w:rFonts w:hint="eastAsia" w:cs="Times New Roman"/>
          <w:bCs/>
          <w:color w:val="000000" w:themeColor="text1"/>
          <w:szCs w:val="24"/>
          <w:highlight w:val="none"/>
          <w14:textFill>
            <w14:solidFill>
              <w14:schemeClr w14:val="tx1"/>
            </w14:solidFill>
          </w14:textFill>
        </w:rPr>
        <w:t>东南</w:t>
      </w:r>
      <w:r>
        <w:rPr>
          <w:rFonts w:cs="Times New Roman"/>
          <w:bCs/>
          <w:color w:val="000000" w:themeColor="text1"/>
          <w:szCs w:val="24"/>
          <w:highlight w:val="none"/>
          <w14:textFill>
            <w14:solidFill>
              <w14:schemeClr w14:val="tx1"/>
            </w14:solidFill>
          </w14:textFill>
        </w:rPr>
        <w:t>径流，地下水评价范围内地下水流向下游有居民水井分布，因此评价对地下水流向下游最近的居民水井处预测在事故发生后不同时间段的污染物浓度变化情况。</w:t>
      </w:r>
    </w:p>
    <w:p>
      <w:pPr>
        <w:widowControl/>
        <w:ind w:firstLine="482"/>
        <w:rPr>
          <w:rFonts w:cs="Times New Roman"/>
          <w:b/>
          <w:color w:val="000000" w:themeColor="text1"/>
          <w:szCs w:val="24"/>
          <w:highlight w:val="none"/>
          <w14:textFill>
            <w14:solidFill>
              <w14:schemeClr w14:val="tx1"/>
            </w14:solidFill>
          </w14:textFill>
        </w:rPr>
      </w:pPr>
      <w:bookmarkStart w:id="313" w:name="_Toc14702837"/>
      <w:r>
        <w:rPr>
          <w:rFonts w:cs="Times New Roman"/>
          <w:b/>
          <w:color w:val="000000" w:themeColor="text1"/>
          <w:szCs w:val="24"/>
          <w:highlight w:val="none"/>
          <w14:textFill>
            <w14:solidFill>
              <w14:schemeClr w14:val="tx1"/>
            </w14:solidFill>
          </w14:textFill>
        </w:rPr>
        <w:t>（4）预测结果</w:t>
      </w:r>
      <w:bookmarkEnd w:id="313"/>
    </w:p>
    <w:p>
      <w:pPr>
        <w:ind w:firstLine="480"/>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本次预测，各特征因子浓度超过标准限值即为超标，影响浓度定义为各指标的检出下限，当预测结果小于影响浓度（检出限或标准值的十分之一+背景值）时则视同对地下水环境几乎没有影响。背景值根据本次监测结果取最大值，其中COD</w:t>
      </w:r>
      <w:r>
        <w:rPr>
          <w:rFonts w:cs="Times New Roman"/>
          <w:color w:val="000000" w:themeColor="text1"/>
          <w:kern w:val="0"/>
          <w:szCs w:val="24"/>
          <w:highlight w:val="none"/>
          <w:vertAlign w:val="subscript"/>
          <w14:textFill>
            <w14:solidFill>
              <w14:schemeClr w14:val="tx1"/>
            </w14:solidFill>
          </w14:textFill>
        </w:rPr>
        <w:t>Mn</w:t>
      </w:r>
      <w:r>
        <w:rPr>
          <w:rFonts w:cs="Times New Roman"/>
          <w:color w:val="000000" w:themeColor="text1"/>
          <w:kern w:val="0"/>
          <w:szCs w:val="24"/>
          <w:highlight w:val="none"/>
          <w14:textFill>
            <w14:solidFill>
              <w14:schemeClr w14:val="tx1"/>
            </w14:solidFill>
          </w14:textFill>
        </w:rPr>
        <w:t>取值为2.68mg/L，石油类未检出取值</w:t>
      </w:r>
      <w:r>
        <w:rPr>
          <w:rFonts w:hint="eastAsia" w:cs="Times New Roman"/>
          <w:color w:val="000000" w:themeColor="text1"/>
          <w:kern w:val="0"/>
          <w:szCs w:val="24"/>
          <w:highlight w:val="none"/>
          <w14:textFill>
            <w14:solidFill>
              <w14:schemeClr w14:val="tx1"/>
            </w14:solidFill>
          </w14:textFill>
        </w:rPr>
        <w:t>为</w:t>
      </w:r>
      <w:r>
        <w:rPr>
          <w:rFonts w:cs="Times New Roman"/>
          <w:color w:val="000000" w:themeColor="text1"/>
          <w:kern w:val="0"/>
          <w:szCs w:val="24"/>
          <w:highlight w:val="none"/>
          <w14:textFill>
            <w14:solidFill>
              <w14:schemeClr w14:val="tx1"/>
            </w14:solidFill>
          </w14:textFill>
        </w:rPr>
        <w:t>0mg/L，氯离子取值31.8mg/L。根据《地下水质量标准》（GB/T14848-2017）及项目执行的环保标准，该项目所在区域地下水属Ⅲ类水质，因此，COD</w:t>
      </w:r>
      <w:r>
        <w:rPr>
          <w:rFonts w:cs="Times New Roman"/>
          <w:color w:val="000000" w:themeColor="text1"/>
          <w:kern w:val="0"/>
          <w:szCs w:val="24"/>
          <w:highlight w:val="none"/>
          <w:vertAlign w:val="subscript"/>
          <w14:textFill>
            <w14:solidFill>
              <w14:schemeClr w14:val="tx1"/>
            </w14:solidFill>
          </w14:textFill>
        </w:rPr>
        <w:t>Mn</w:t>
      </w:r>
      <w:r>
        <w:rPr>
          <w:rFonts w:cs="Times New Roman"/>
          <w:color w:val="000000" w:themeColor="text1"/>
          <w:kern w:val="0"/>
          <w:szCs w:val="24"/>
          <w:highlight w:val="none"/>
          <w14:textFill>
            <w14:solidFill>
              <w14:schemeClr w14:val="tx1"/>
            </w14:solidFill>
          </w14:textFill>
        </w:rPr>
        <w:t>、Cl</w:t>
      </w:r>
      <w:r>
        <w:rPr>
          <w:rFonts w:cs="Times New Roman"/>
          <w:color w:val="000000" w:themeColor="text1"/>
          <w:kern w:val="0"/>
          <w:szCs w:val="24"/>
          <w:highlight w:val="none"/>
          <w:vertAlign w:val="superscript"/>
          <w14:textFill>
            <w14:solidFill>
              <w14:schemeClr w14:val="tx1"/>
            </w14:solidFill>
          </w14:textFill>
        </w:rPr>
        <w:t>-</w:t>
      </w:r>
      <w:r>
        <w:rPr>
          <w:rFonts w:cs="Times New Roman"/>
          <w:color w:val="000000" w:themeColor="text1"/>
          <w:kern w:val="0"/>
          <w:szCs w:val="24"/>
          <w:highlight w:val="none"/>
          <w14:textFill>
            <w14:solidFill>
              <w14:schemeClr w14:val="tx1"/>
            </w14:solidFill>
          </w14:textFill>
        </w:rPr>
        <w:t>标准限值参照《地下水质量标准》（GB/T14848-2017）Ⅲ类标准，COD</w:t>
      </w:r>
      <w:r>
        <w:rPr>
          <w:rFonts w:cs="Times New Roman"/>
          <w:color w:val="000000" w:themeColor="text1"/>
          <w:kern w:val="0"/>
          <w:szCs w:val="24"/>
          <w:highlight w:val="none"/>
          <w:vertAlign w:val="subscript"/>
          <w14:textFill>
            <w14:solidFill>
              <w14:schemeClr w14:val="tx1"/>
            </w14:solidFill>
          </w14:textFill>
        </w:rPr>
        <w:t>Mn</w:t>
      </w:r>
      <w:r>
        <w:rPr>
          <w:rFonts w:cs="Times New Roman"/>
          <w:color w:val="000000" w:themeColor="text1"/>
          <w:kern w:val="0"/>
          <w:szCs w:val="24"/>
          <w:highlight w:val="none"/>
          <w14:textFill>
            <w14:solidFill>
              <w14:schemeClr w14:val="tx1"/>
            </w14:solidFill>
          </w14:textFill>
        </w:rPr>
        <w:t>为3mg/L、Cl</w:t>
      </w:r>
      <w:r>
        <w:rPr>
          <w:rFonts w:cs="Times New Roman"/>
          <w:color w:val="000000" w:themeColor="text1"/>
          <w:kern w:val="0"/>
          <w:szCs w:val="24"/>
          <w:highlight w:val="none"/>
          <w:vertAlign w:val="superscript"/>
          <w14:textFill>
            <w14:solidFill>
              <w14:schemeClr w14:val="tx1"/>
            </w14:solidFill>
          </w14:textFill>
        </w:rPr>
        <w:t>-</w:t>
      </w:r>
      <w:r>
        <w:rPr>
          <w:rFonts w:cs="Times New Roman"/>
          <w:color w:val="000000" w:themeColor="text1"/>
          <w:kern w:val="0"/>
          <w:szCs w:val="24"/>
          <w:highlight w:val="none"/>
          <w14:textFill>
            <w14:solidFill>
              <w14:schemeClr w14:val="tx1"/>
            </w14:solidFill>
          </w14:textFill>
        </w:rPr>
        <w:t>为250mg/L；石油类标准限值参照《地表水环境质量标准GB3838-2002》Ⅲ类标准，为0.05mg/L；COD</w:t>
      </w:r>
      <w:r>
        <w:rPr>
          <w:rFonts w:cs="Times New Roman"/>
          <w:color w:val="000000" w:themeColor="text1"/>
          <w:kern w:val="0"/>
          <w:szCs w:val="24"/>
          <w:highlight w:val="none"/>
          <w:vertAlign w:val="subscript"/>
          <w14:textFill>
            <w14:solidFill>
              <w14:schemeClr w14:val="tx1"/>
            </w14:solidFill>
          </w14:textFill>
        </w:rPr>
        <w:t>Mn</w:t>
      </w:r>
      <w:r>
        <w:rPr>
          <w:rFonts w:cs="Times New Roman"/>
          <w:color w:val="000000" w:themeColor="text1"/>
          <w:kern w:val="0"/>
          <w:szCs w:val="24"/>
          <w:highlight w:val="none"/>
          <w14:textFill>
            <w14:solidFill>
              <w14:schemeClr w14:val="tx1"/>
            </w14:solidFill>
          </w14:textFill>
        </w:rPr>
        <w:t>影响浓度为2.98mg/L（标准值的十分之一+背景值），石油类影响浓度为0.05mg/L（检出限+背景值），Cl</w:t>
      </w:r>
      <w:r>
        <w:rPr>
          <w:rFonts w:cs="Times New Roman"/>
          <w:color w:val="000000" w:themeColor="text1"/>
          <w:kern w:val="0"/>
          <w:szCs w:val="24"/>
          <w:highlight w:val="none"/>
          <w:vertAlign w:val="superscript"/>
          <w14:textFill>
            <w14:solidFill>
              <w14:schemeClr w14:val="tx1"/>
            </w14:solidFill>
          </w14:textFill>
        </w:rPr>
        <w:t>-</w:t>
      </w:r>
      <w:r>
        <w:rPr>
          <w:rFonts w:cs="Times New Roman"/>
          <w:color w:val="000000" w:themeColor="text1"/>
          <w:kern w:val="0"/>
          <w:szCs w:val="24"/>
          <w:highlight w:val="none"/>
          <w14:textFill>
            <w14:solidFill>
              <w14:schemeClr w14:val="tx1"/>
            </w14:solidFill>
          </w14:textFill>
        </w:rPr>
        <w:t>影响浓度为56.8mg/L（标准值的十分之一+背景值），见表5.2-10。</w:t>
      </w:r>
    </w:p>
    <w:p>
      <w:pPr>
        <w:widowControl/>
        <w:tabs>
          <w:tab w:val="left" w:pos="863"/>
        </w:tabs>
        <w:adjustRightInd/>
        <w:snapToGrid/>
        <w:spacing w:line="240" w:lineRule="auto"/>
        <w:ind w:firstLine="0" w:firstLineChars="0"/>
        <w:jc w:val="center"/>
        <w:rPr>
          <w:rFonts w:eastAsia="黑体" w:cs="Times New Roman"/>
          <w:color w:val="000000" w:themeColor="text1"/>
          <w:kern w:val="0"/>
          <w:sz w:val="21"/>
          <w:szCs w:val="21"/>
          <w:highlight w:val="none"/>
          <w14:textFill>
            <w14:solidFill>
              <w14:schemeClr w14:val="tx1"/>
            </w14:solidFill>
          </w14:textFill>
        </w:rPr>
      </w:pPr>
      <w:r>
        <w:rPr>
          <w:rFonts w:eastAsia="黑体" w:cs="Times New Roman"/>
          <w:color w:val="000000" w:themeColor="text1"/>
          <w:kern w:val="0"/>
          <w:sz w:val="21"/>
          <w:szCs w:val="21"/>
          <w:highlight w:val="none"/>
          <w14:textFill>
            <w14:solidFill>
              <w14:schemeClr w14:val="tx1"/>
            </w14:solidFill>
          </w14:textFill>
        </w:rPr>
        <w:t>表5.2-10  预测指标标准限值及影响浓度一览表</w:t>
      </w:r>
    </w:p>
    <w:tbl>
      <w:tblPr>
        <w:tblStyle w:val="41"/>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56"/>
        <w:gridCol w:w="2056"/>
        <w:gridCol w:w="2055"/>
        <w:gridCol w:w="20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9" w:type="dxa"/>
            <w:vAlign w:val="center"/>
          </w:tcPr>
          <w:p>
            <w:pPr>
              <w:widowControl/>
              <w:adjustRightInd/>
              <w:snapToGrid/>
              <w:spacing w:line="240" w:lineRule="auto"/>
              <w:ind w:firstLine="0" w:firstLineChars="0"/>
              <w:jc w:val="center"/>
              <w:rPr>
                <w:rFonts w:cs="Times New Roman"/>
                <w:b/>
                <w:bCs/>
                <w:color w:val="000000" w:themeColor="text1"/>
                <w:kern w:val="0"/>
                <w:sz w:val="21"/>
                <w:szCs w:val="21"/>
                <w:highlight w:val="none"/>
                <w:lang w:eastAsia="en-US"/>
                <w14:textFill>
                  <w14:solidFill>
                    <w14:schemeClr w14:val="tx1"/>
                  </w14:solidFill>
                </w14:textFill>
              </w:rPr>
            </w:pPr>
            <w:r>
              <w:rPr>
                <w:rFonts w:cs="Times New Roman"/>
                <w:b/>
                <w:bCs/>
                <w:color w:val="000000" w:themeColor="text1"/>
                <w:kern w:val="0"/>
                <w:sz w:val="21"/>
                <w:szCs w:val="21"/>
                <w:highlight w:val="none"/>
                <w:lang w:eastAsia="en-US"/>
                <w14:textFill>
                  <w14:solidFill>
                    <w14:schemeClr w14:val="tx1"/>
                  </w14:solidFill>
                </w14:textFill>
              </w:rPr>
              <w:t>污染物</w:t>
            </w:r>
          </w:p>
        </w:tc>
        <w:tc>
          <w:tcPr>
            <w:tcW w:w="2129" w:type="dxa"/>
            <w:vAlign w:val="center"/>
          </w:tcPr>
          <w:p>
            <w:pPr>
              <w:widowControl/>
              <w:adjustRightInd/>
              <w:snapToGrid/>
              <w:spacing w:line="240" w:lineRule="auto"/>
              <w:ind w:firstLine="0" w:firstLineChars="0"/>
              <w:jc w:val="center"/>
              <w:rPr>
                <w:rFonts w:cs="Times New Roman"/>
                <w:b/>
                <w:bCs/>
                <w:color w:val="000000" w:themeColor="text1"/>
                <w:kern w:val="0"/>
                <w:sz w:val="21"/>
                <w:szCs w:val="21"/>
                <w:highlight w:val="none"/>
                <w:lang w:eastAsia="en-US"/>
                <w14:textFill>
                  <w14:solidFill>
                    <w14:schemeClr w14:val="tx1"/>
                  </w14:solidFill>
                </w14:textFill>
              </w:rPr>
            </w:pPr>
            <w:r>
              <w:rPr>
                <w:rFonts w:cs="Times New Roman"/>
                <w:b/>
                <w:bCs/>
                <w:color w:val="000000" w:themeColor="text1"/>
                <w:kern w:val="0"/>
                <w:sz w:val="21"/>
                <w:szCs w:val="21"/>
                <w:highlight w:val="none"/>
                <w14:textFill>
                  <w14:solidFill>
                    <w14:schemeClr w14:val="tx1"/>
                  </w14:solidFill>
                </w14:textFill>
              </w:rPr>
              <w:t>COD</w:t>
            </w:r>
            <w:r>
              <w:rPr>
                <w:rFonts w:cs="Times New Roman"/>
                <w:b/>
                <w:bCs/>
                <w:color w:val="000000" w:themeColor="text1"/>
                <w:kern w:val="0"/>
                <w:sz w:val="21"/>
                <w:szCs w:val="21"/>
                <w:highlight w:val="none"/>
                <w:vertAlign w:val="subscript"/>
                <w14:textFill>
                  <w14:solidFill>
                    <w14:schemeClr w14:val="tx1"/>
                  </w14:solidFill>
                </w14:textFill>
              </w:rPr>
              <w:t>Mn</w:t>
            </w:r>
          </w:p>
        </w:tc>
        <w:tc>
          <w:tcPr>
            <w:tcW w:w="2129" w:type="dxa"/>
            <w:vAlign w:val="center"/>
          </w:tcPr>
          <w:p>
            <w:pPr>
              <w:widowControl/>
              <w:adjustRightInd/>
              <w:snapToGrid/>
              <w:spacing w:line="240" w:lineRule="auto"/>
              <w:ind w:firstLine="0" w:firstLineChars="0"/>
              <w:jc w:val="center"/>
              <w:rPr>
                <w:rFonts w:cs="Times New Roman"/>
                <w:b/>
                <w:bCs/>
                <w:color w:val="000000" w:themeColor="text1"/>
                <w:kern w:val="0"/>
                <w:sz w:val="21"/>
                <w:szCs w:val="21"/>
                <w:highlight w:val="none"/>
                <w:lang w:eastAsia="en-US"/>
                <w14:textFill>
                  <w14:solidFill>
                    <w14:schemeClr w14:val="tx1"/>
                  </w14:solidFill>
                </w14:textFill>
              </w:rPr>
            </w:pPr>
            <w:r>
              <w:rPr>
                <w:rFonts w:cs="Times New Roman"/>
                <w:b/>
                <w:bCs/>
                <w:color w:val="000000" w:themeColor="text1"/>
                <w:kern w:val="0"/>
                <w:sz w:val="21"/>
                <w:szCs w:val="21"/>
                <w:highlight w:val="none"/>
                <w:lang w:eastAsia="en-US"/>
                <w14:textFill>
                  <w14:solidFill>
                    <w14:schemeClr w14:val="tx1"/>
                  </w14:solidFill>
                </w14:textFill>
              </w:rPr>
              <w:t>氯化物</w:t>
            </w:r>
          </w:p>
        </w:tc>
        <w:tc>
          <w:tcPr>
            <w:tcW w:w="2129" w:type="dxa"/>
            <w:vAlign w:val="center"/>
          </w:tcPr>
          <w:p>
            <w:pPr>
              <w:widowControl/>
              <w:adjustRightInd/>
              <w:snapToGrid/>
              <w:spacing w:line="240" w:lineRule="auto"/>
              <w:ind w:firstLine="0" w:firstLineChars="0"/>
              <w:jc w:val="center"/>
              <w:rPr>
                <w:rFonts w:cs="Times New Roman"/>
                <w:b/>
                <w:bCs/>
                <w:color w:val="000000" w:themeColor="text1"/>
                <w:kern w:val="0"/>
                <w:sz w:val="21"/>
                <w:szCs w:val="21"/>
                <w:highlight w:val="none"/>
                <w:lang w:eastAsia="en-US"/>
                <w14:textFill>
                  <w14:solidFill>
                    <w14:schemeClr w14:val="tx1"/>
                  </w14:solidFill>
                </w14:textFill>
              </w:rPr>
            </w:pPr>
            <w:r>
              <w:rPr>
                <w:rFonts w:cs="Times New Roman"/>
                <w:b/>
                <w:bCs/>
                <w:color w:val="000000" w:themeColor="text1"/>
                <w:kern w:val="0"/>
                <w:sz w:val="21"/>
                <w:szCs w:val="21"/>
                <w:highlight w:val="none"/>
                <w:lang w:eastAsia="en-US"/>
                <w14:textFill>
                  <w14:solidFill>
                    <w14:schemeClr w14:val="tx1"/>
                  </w14:solidFill>
                </w14:textFill>
              </w:rP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9" w:type="dxa"/>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背景值</w:t>
            </w:r>
          </w:p>
        </w:tc>
        <w:tc>
          <w:tcPr>
            <w:tcW w:w="2129" w:type="dxa"/>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2.68</w:t>
            </w:r>
          </w:p>
        </w:tc>
        <w:tc>
          <w:tcPr>
            <w:tcW w:w="2129" w:type="dxa"/>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31.8</w:t>
            </w:r>
          </w:p>
        </w:tc>
        <w:tc>
          <w:tcPr>
            <w:tcW w:w="2129" w:type="dxa"/>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9" w:type="dxa"/>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标准限值（mg/L）</w:t>
            </w:r>
          </w:p>
        </w:tc>
        <w:tc>
          <w:tcPr>
            <w:tcW w:w="2129" w:type="dxa"/>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3</w:t>
            </w:r>
          </w:p>
        </w:tc>
        <w:tc>
          <w:tcPr>
            <w:tcW w:w="2129" w:type="dxa"/>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250</w:t>
            </w:r>
          </w:p>
        </w:tc>
        <w:tc>
          <w:tcPr>
            <w:tcW w:w="2129" w:type="dxa"/>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9" w:type="dxa"/>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影响浓度（mg/L）</w:t>
            </w:r>
          </w:p>
        </w:tc>
        <w:tc>
          <w:tcPr>
            <w:tcW w:w="2129" w:type="dxa"/>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2.98</w:t>
            </w:r>
          </w:p>
        </w:tc>
        <w:tc>
          <w:tcPr>
            <w:tcW w:w="2129" w:type="dxa"/>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56.8</w:t>
            </w:r>
          </w:p>
        </w:tc>
        <w:tc>
          <w:tcPr>
            <w:tcW w:w="2129" w:type="dxa"/>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0.05</w:t>
            </w:r>
          </w:p>
        </w:tc>
      </w:tr>
    </w:tbl>
    <w:p>
      <w:pPr>
        <w:widowControl/>
        <w:spacing w:before="120" w:beforeLines="50"/>
        <w:ind w:firstLine="480"/>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1）污水</w:t>
      </w:r>
      <w:r>
        <w:rPr>
          <w:rFonts w:hint="eastAsia" w:cs="Times New Roman"/>
          <w:color w:val="000000" w:themeColor="text1"/>
          <w:kern w:val="0"/>
          <w:szCs w:val="24"/>
          <w:highlight w:val="none"/>
          <w14:textFill>
            <w14:solidFill>
              <w14:schemeClr w14:val="tx1"/>
            </w14:solidFill>
          </w14:textFill>
        </w:rPr>
        <w:t>罐</w:t>
      </w:r>
      <w:r>
        <w:rPr>
          <w:rFonts w:cs="Times New Roman"/>
          <w:color w:val="000000" w:themeColor="text1"/>
          <w:kern w:val="0"/>
          <w:szCs w:val="24"/>
          <w:highlight w:val="none"/>
          <w14:textFill>
            <w14:solidFill>
              <w14:schemeClr w14:val="tx1"/>
            </w14:solidFill>
          </w14:textFill>
        </w:rPr>
        <w:t>泄漏</w:t>
      </w:r>
    </w:p>
    <w:p>
      <w:pPr>
        <w:ind w:firstLine="480"/>
        <w:rPr>
          <w:rFonts w:cs="Times New Roman"/>
          <w:color w:val="000000" w:themeColor="text1"/>
          <w:kern w:val="0"/>
          <w:szCs w:val="24"/>
          <w:highlight w:val="none"/>
          <w14:textFill>
            <w14:solidFill>
              <w14:schemeClr w14:val="tx1"/>
            </w14:solidFill>
          </w14:textFill>
        </w:rPr>
      </w:pPr>
      <w:r>
        <w:rPr>
          <w:rFonts w:hint="eastAsia" w:ascii="宋体" w:hAnsi="宋体" w:cs="宋体"/>
          <w:color w:val="000000" w:themeColor="text1"/>
          <w:kern w:val="0"/>
          <w:szCs w:val="24"/>
          <w:highlight w:val="none"/>
          <w14:textFill>
            <w14:solidFill>
              <w14:schemeClr w14:val="tx1"/>
            </w14:solidFill>
          </w14:textFill>
        </w:rPr>
        <w:t>①</w:t>
      </w:r>
      <w:r>
        <w:rPr>
          <w:rFonts w:cs="Times New Roman"/>
          <w:color w:val="000000" w:themeColor="text1"/>
          <w:kern w:val="0"/>
          <w:szCs w:val="24"/>
          <w:highlight w:val="none"/>
          <w14:textFill>
            <w14:solidFill>
              <w14:schemeClr w14:val="tx1"/>
            </w14:solidFill>
          </w14:textFill>
        </w:rPr>
        <w:t>地下水中COD</w:t>
      </w:r>
      <w:r>
        <w:rPr>
          <w:rFonts w:cs="Times New Roman"/>
          <w:color w:val="000000" w:themeColor="text1"/>
          <w:kern w:val="0"/>
          <w:szCs w:val="24"/>
          <w:highlight w:val="none"/>
          <w:vertAlign w:val="subscript"/>
          <w14:textFill>
            <w14:solidFill>
              <w14:schemeClr w14:val="tx1"/>
            </w14:solidFill>
          </w14:textFill>
        </w:rPr>
        <w:t>Mn</w:t>
      </w:r>
      <w:r>
        <w:rPr>
          <w:rFonts w:cs="Times New Roman"/>
          <w:color w:val="000000" w:themeColor="text1"/>
          <w:kern w:val="0"/>
          <w:szCs w:val="24"/>
          <w:highlight w:val="none"/>
          <w14:textFill>
            <w14:solidFill>
              <w14:schemeClr w14:val="tx1"/>
            </w14:solidFill>
          </w14:textFill>
        </w:rPr>
        <w:t>的超标及影响距离计算结果见表5.2-11及图5.2-3。</w:t>
      </w:r>
    </w:p>
    <w:p>
      <w:pPr>
        <w:keepNext/>
        <w:widowControl/>
        <w:tabs>
          <w:tab w:val="left" w:pos="863"/>
        </w:tabs>
        <w:adjustRightInd/>
        <w:snapToGrid/>
        <w:spacing w:line="240" w:lineRule="auto"/>
        <w:ind w:firstLine="0" w:firstLineChars="0"/>
        <w:jc w:val="center"/>
        <w:rPr>
          <w:rFonts w:eastAsia="黑体" w:cs="Times New Roman"/>
          <w:color w:val="000000" w:themeColor="text1"/>
          <w:kern w:val="0"/>
          <w:sz w:val="21"/>
          <w:szCs w:val="21"/>
          <w:highlight w:val="none"/>
          <w14:textFill>
            <w14:solidFill>
              <w14:schemeClr w14:val="tx1"/>
            </w14:solidFill>
          </w14:textFill>
        </w:rPr>
      </w:pPr>
      <w:r>
        <w:rPr>
          <w:rFonts w:eastAsia="黑体" w:cs="Times New Roman"/>
          <w:color w:val="000000" w:themeColor="text1"/>
          <w:kern w:val="0"/>
          <w:sz w:val="21"/>
          <w:szCs w:val="21"/>
          <w:highlight w:val="none"/>
          <w14:textFill>
            <w14:solidFill>
              <w14:schemeClr w14:val="tx1"/>
            </w14:solidFill>
          </w14:textFill>
        </w:rPr>
        <w:t>表5.2-11  污水</w:t>
      </w:r>
      <w:r>
        <w:rPr>
          <w:rFonts w:hint="eastAsia" w:eastAsia="黑体" w:cs="Times New Roman"/>
          <w:color w:val="000000" w:themeColor="text1"/>
          <w:kern w:val="0"/>
          <w:sz w:val="21"/>
          <w:szCs w:val="21"/>
          <w:highlight w:val="none"/>
          <w14:textFill>
            <w14:solidFill>
              <w14:schemeClr w14:val="tx1"/>
            </w14:solidFill>
          </w14:textFill>
        </w:rPr>
        <w:t>罐</w:t>
      </w:r>
      <w:r>
        <w:rPr>
          <w:rFonts w:eastAsia="黑体" w:cs="Times New Roman"/>
          <w:color w:val="000000" w:themeColor="text1"/>
          <w:kern w:val="0"/>
          <w:sz w:val="21"/>
          <w:szCs w:val="21"/>
          <w:highlight w:val="none"/>
          <w14:textFill>
            <w14:solidFill>
              <w14:schemeClr w14:val="tx1"/>
            </w14:solidFill>
          </w14:textFill>
        </w:rPr>
        <w:t>泄漏地下水中COD</w:t>
      </w:r>
      <w:r>
        <w:rPr>
          <w:rFonts w:eastAsia="黑体" w:cs="Times New Roman"/>
          <w:color w:val="000000" w:themeColor="text1"/>
          <w:kern w:val="0"/>
          <w:sz w:val="21"/>
          <w:szCs w:val="21"/>
          <w:highlight w:val="none"/>
          <w:vertAlign w:val="subscript"/>
          <w14:textFill>
            <w14:solidFill>
              <w14:schemeClr w14:val="tx1"/>
            </w14:solidFill>
          </w14:textFill>
        </w:rPr>
        <w:t>Mn</w:t>
      </w:r>
      <w:r>
        <w:rPr>
          <w:rFonts w:eastAsia="黑体" w:cs="Times New Roman"/>
          <w:color w:val="000000" w:themeColor="text1"/>
          <w:kern w:val="0"/>
          <w:sz w:val="21"/>
          <w:szCs w:val="21"/>
          <w:highlight w:val="none"/>
          <w14:textFill>
            <w14:solidFill>
              <w14:schemeClr w14:val="tx1"/>
            </w14:solidFill>
          </w14:textFill>
        </w:rPr>
        <w:t>超标及影响距离</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20"/>
        <w:gridCol w:w="1496"/>
        <w:gridCol w:w="1498"/>
        <w:gridCol w:w="1498"/>
        <w:gridCol w:w="1332"/>
        <w:gridCol w:w="13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73" w:type="pct"/>
            <w:vAlign w:val="center"/>
          </w:tcPr>
          <w:p>
            <w:pPr>
              <w:widowControl/>
              <w:spacing w:line="240" w:lineRule="auto"/>
              <w:ind w:firstLine="0" w:firstLineChars="0"/>
              <w:jc w:val="center"/>
              <w:rPr>
                <w:rFonts w:cs="Times New Roman"/>
                <w:b/>
                <w:color w:val="000000" w:themeColor="text1"/>
                <w:kern w:val="0"/>
                <w:sz w:val="21"/>
                <w:szCs w:val="21"/>
                <w:highlight w:val="none"/>
                <w:lang w:eastAsia="en-US"/>
                <w14:textFill>
                  <w14:solidFill>
                    <w14:schemeClr w14:val="tx1"/>
                  </w14:solidFill>
                </w14:textFill>
              </w:rPr>
            </w:pPr>
            <w:r>
              <w:rPr>
                <w:rFonts w:cs="Times New Roman"/>
                <w:b/>
                <w:color w:val="000000" w:themeColor="text1"/>
                <w:kern w:val="0"/>
                <w:sz w:val="21"/>
                <w:szCs w:val="21"/>
                <w:highlight w:val="none"/>
                <w:lang w:eastAsia="en-US"/>
                <w14:textFill>
                  <w14:solidFill>
                    <w14:schemeClr w14:val="tx1"/>
                  </w14:solidFill>
                </w14:textFill>
              </w:rPr>
              <w:t>污染时间</w:t>
            </w:r>
          </w:p>
        </w:tc>
        <w:tc>
          <w:tcPr>
            <w:tcW w:w="899" w:type="pct"/>
            <w:vAlign w:val="center"/>
          </w:tcPr>
          <w:p>
            <w:pPr>
              <w:widowControl/>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中心点迁移距离（m）</w:t>
            </w:r>
          </w:p>
        </w:tc>
        <w:tc>
          <w:tcPr>
            <w:tcW w:w="900" w:type="pct"/>
            <w:vAlign w:val="center"/>
          </w:tcPr>
          <w:p>
            <w:pPr>
              <w:widowControl/>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中心点处浓度（mg/L）</w:t>
            </w:r>
          </w:p>
        </w:tc>
        <w:tc>
          <w:tcPr>
            <w:tcW w:w="900" w:type="pct"/>
            <w:vAlign w:val="center"/>
          </w:tcPr>
          <w:p>
            <w:pPr>
              <w:widowControl/>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叠加后浓度（mg/L）</w:t>
            </w:r>
          </w:p>
        </w:tc>
        <w:tc>
          <w:tcPr>
            <w:tcW w:w="800" w:type="pct"/>
            <w:vAlign w:val="center"/>
          </w:tcPr>
          <w:p>
            <w:pPr>
              <w:widowControl/>
              <w:spacing w:line="240" w:lineRule="auto"/>
              <w:ind w:firstLine="0" w:firstLineChars="0"/>
              <w:jc w:val="center"/>
              <w:rPr>
                <w:rFonts w:cs="Times New Roman"/>
                <w:b/>
                <w:color w:val="000000" w:themeColor="text1"/>
                <w:kern w:val="0"/>
                <w:sz w:val="21"/>
                <w:szCs w:val="21"/>
                <w:highlight w:val="none"/>
                <w:lang w:eastAsia="en-US"/>
                <w14:textFill>
                  <w14:solidFill>
                    <w14:schemeClr w14:val="tx1"/>
                  </w14:solidFill>
                </w14:textFill>
              </w:rPr>
            </w:pPr>
            <w:r>
              <w:rPr>
                <w:rFonts w:cs="Times New Roman"/>
                <w:b/>
                <w:color w:val="000000" w:themeColor="text1"/>
                <w:kern w:val="0"/>
                <w:sz w:val="21"/>
                <w:szCs w:val="21"/>
                <w:highlight w:val="none"/>
                <w:lang w:eastAsia="en-US"/>
                <w14:textFill>
                  <w14:solidFill>
                    <w14:schemeClr w14:val="tx1"/>
                  </w14:solidFill>
                </w14:textFill>
              </w:rPr>
              <w:t>最远超标距离（m）</w:t>
            </w:r>
          </w:p>
        </w:tc>
        <w:tc>
          <w:tcPr>
            <w:tcW w:w="827" w:type="pct"/>
            <w:vAlign w:val="center"/>
          </w:tcPr>
          <w:p>
            <w:pPr>
              <w:widowControl/>
              <w:spacing w:line="240" w:lineRule="auto"/>
              <w:ind w:firstLine="0" w:firstLineChars="0"/>
              <w:jc w:val="center"/>
              <w:rPr>
                <w:rFonts w:cs="Times New Roman"/>
                <w:b/>
                <w:color w:val="000000" w:themeColor="text1"/>
                <w:kern w:val="0"/>
                <w:sz w:val="21"/>
                <w:szCs w:val="21"/>
                <w:highlight w:val="none"/>
                <w:lang w:eastAsia="en-US"/>
                <w14:textFill>
                  <w14:solidFill>
                    <w14:schemeClr w14:val="tx1"/>
                  </w14:solidFill>
                </w14:textFill>
              </w:rPr>
            </w:pPr>
            <w:r>
              <w:rPr>
                <w:rFonts w:cs="Times New Roman"/>
                <w:b/>
                <w:color w:val="000000" w:themeColor="text1"/>
                <w:kern w:val="0"/>
                <w:sz w:val="21"/>
                <w:szCs w:val="21"/>
                <w:highlight w:val="none"/>
                <w:lang w:eastAsia="en-US"/>
                <w14:textFill>
                  <w14:solidFill>
                    <w14:schemeClr w14:val="tx1"/>
                  </w14:solidFill>
                </w14:textFill>
              </w:rPr>
              <w:t>最远影响距离（m）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73" w:type="pct"/>
            <w:vAlign w:val="center"/>
          </w:tcPr>
          <w:p>
            <w:pPr>
              <w:widowControl/>
              <w:spacing w:line="240" w:lineRule="auto"/>
              <w:ind w:firstLine="0" w:firstLineChars="0"/>
              <w:jc w:val="center"/>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100d</w:t>
            </w:r>
          </w:p>
        </w:tc>
        <w:tc>
          <w:tcPr>
            <w:tcW w:w="899" w:type="pct"/>
            <w:vAlign w:val="center"/>
          </w:tcPr>
          <w:p>
            <w:pPr>
              <w:widowControl/>
              <w:spacing w:line="240" w:lineRule="auto"/>
              <w:ind w:firstLine="0" w:firstLineChars="0"/>
              <w:jc w:val="center"/>
              <w:rPr>
                <w:rFonts w:cs="Times New Roman"/>
                <w:bCs/>
                <w:color w:val="000000" w:themeColor="text1"/>
                <w:kern w:val="0"/>
                <w:sz w:val="22"/>
                <w:highlight w:val="none"/>
                <w14:textFill>
                  <w14:solidFill>
                    <w14:schemeClr w14:val="tx1"/>
                  </w14:solidFill>
                </w14:textFill>
              </w:rPr>
            </w:pPr>
            <w:r>
              <w:rPr>
                <w:rFonts w:cs="Times New Roman"/>
                <w:bCs/>
                <w:color w:val="000000" w:themeColor="text1"/>
                <w:kern w:val="0"/>
                <w:sz w:val="22"/>
                <w:highlight w:val="none"/>
                <w14:textFill>
                  <w14:solidFill>
                    <w14:schemeClr w14:val="tx1"/>
                  </w14:solidFill>
                </w14:textFill>
              </w:rPr>
              <w:t>8.2</w:t>
            </w:r>
          </w:p>
        </w:tc>
        <w:tc>
          <w:tcPr>
            <w:tcW w:w="900" w:type="pct"/>
            <w:vAlign w:val="center"/>
          </w:tcPr>
          <w:p>
            <w:pPr>
              <w:widowControl/>
              <w:spacing w:line="240" w:lineRule="auto"/>
              <w:ind w:firstLine="0" w:firstLineChars="0"/>
              <w:jc w:val="center"/>
              <w:rPr>
                <w:rFonts w:cs="Times New Roman"/>
                <w:bCs/>
                <w:color w:val="000000" w:themeColor="text1"/>
                <w:kern w:val="0"/>
                <w:sz w:val="22"/>
                <w:highlight w:val="none"/>
                <w14:textFill>
                  <w14:solidFill>
                    <w14:schemeClr w14:val="tx1"/>
                  </w14:solidFill>
                </w14:textFill>
              </w:rPr>
            </w:pPr>
            <w:r>
              <w:rPr>
                <w:rFonts w:cs="Times New Roman"/>
                <w:bCs/>
                <w:color w:val="000000" w:themeColor="text1"/>
                <w:kern w:val="0"/>
                <w:sz w:val="22"/>
                <w:highlight w:val="none"/>
                <w14:textFill>
                  <w14:solidFill>
                    <w14:schemeClr w14:val="tx1"/>
                  </w14:solidFill>
                </w14:textFill>
              </w:rPr>
              <w:t>3.16</w:t>
            </w:r>
          </w:p>
        </w:tc>
        <w:tc>
          <w:tcPr>
            <w:tcW w:w="900" w:type="pct"/>
            <w:vAlign w:val="bottom"/>
          </w:tcPr>
          <w:p>
            <w:pPr>
              <w:widowControl/>
              <w:spacing w:line="240" w:lineRule="auto"/>
              <w:ind w:firstLine="0" w:firstLineChars="0"/>
              <w:jc w:val="center"/>
              <w:rPr>
                <w:rFonts w:cs="Times New Roman"/>
                <w:bCs/>
                <w:color w:val="000000" w:themeColor="text1"/>
                <w:kern w:val="0"/>
                <w:sz w:val="22"/>
                <w:highlight w:val="none"/>
                <w14:textFill>
                  <w14:solidFill>
                    <w14:schemeClr w14:val="tx1"/>
                  </w14:solidFill>
                </w14:textFill>
              </w:rPr>
            </w:pPr>
            <w:r>
              <w:rPr>
                <w:rFonts w:cs="Times New Roman"/>
                <w:bCs/>
                <w:color w:val="000000" w:themeColor="text1"/>
                <w:kern w:val="0"/>
                <w:sz w:val="22"/>
                <w:highlight w:val="none"/>
                <w14:textFill>
                  <w14:solidFill>
                    <w14:schemeClr w14:val="tx1"/>
                  </w14:solidFill>
                </w14:textFill>
              </w:rPr>
              <w:t>5.84</w:t>
            </w:r>
          </w:p>
        </w:tc>
        <w:tc>
          <w:tcPr>
            <w:tcW w:w="800" w:type="pct"/>
            <w:vAlign w:val="center"/>
          </w:tcPr>
          <w:p>
            <w:pPr>
              <w:widowControl/>
              <w:spacing w:line="240" w:lineRule="auto"/>
              <w:ind w:firstLine="0" w:firstLineChars="0"/>
              <w:jc w:val="center"/>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36</w:t>
            </w:r>
          </w:p>
        </w:tc>
        <w:tc>
          <w:tcPr>
            <w:tcW w:w="827" w:type="pct"/>
            <w:vAlign w:val="center"/>
          </w:tcPr>
          <w:p>
            <w:pPr>
              <w:widowControl/>
              <w:spacing w:line="240" w:lineRule="auto"/>
              <w:ind w:firstLine="0" w:firstLineChars="0"/>
              <w:jc w:val="center"/>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73" w:type="pct"/>
            <w:vAlign w:val="center"/>
          </w:tcPr>
          <w:p>
            <w:pPr>
              <w:widowControl/>
              <w:spacing w:line="240" w:lineRule="auto"/>
              <w:ind w:firstLine="0" w:firstLineChars="0"/>
              <w:jc w:val="center"/>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365d</w:t>
            </w:r>
          </w:p>
        </w:tc>
        <w:tc>
          <w:tcPr>
            <w:tcW w:w="899" w:type="pct"/>
            <w:vAlign w:val="center"/>
          </w:tcPr>
          <w:p>
            <w:pPr>
              <w:widowControl/>
              <w:spacing w:line="240" w:lineRule="auto"/>
              <w:ind w:firstLine="0" w:firstLineChars="0"/>
              <w:jc w:val="center"/>
              <w:rPr>
                <w:rFonts w:cs="Times New Roman"/>
                <w:bCs/>
                <w:color w:val="000000" w:themeColor="text1"/>
                <w:kern w:val="0"/>
                <w:sz w:val="22"/>
                <w:highlight w:val="none"/>
                <w14:textFill>
                  <w14:solidFill>
                    <w14:schemeClr w14:val="tx1"/>
                  </w14:solidFill>
                </w14:textFill>
              </w:rPr>
            </w:pPr>
            <w:r>
              <w:rPr>
                <w:rFonts w:cs="Times New Roman"/>
                <w:bCs/>
                <w:color w:val="000000" w:themeColor="text1"/>
                <w:kern w:val="0"/>
                <w:sz w:val="22"/>
                <w:highlight w:val="none"/>
                <w14:textFill>
                  <w14:solidFill>
                    <w14:schemeClr w14:val="tx1"/>
                  </w14:solidFill>
                </w14:textFill>
              </w:rPr>
              <w:t>29.9</w:t>
            </w:r>
          </w:p>
        </w:tc>
        <w:tc>
          <w:tcPr>
            <w:tcW w:w="900" w:type="pct"/>
            <w:vAlign w:val="center"/>
          </w:tcPr>
          <w:p>
            <w:pPr>
              <w:widowControl/>
              <w:spacing w:line="240" w:lineRule="auto"/>
              <w:ind w:firstLine="0" w:firstLineChars="0"/>
              <w:jc w:val="center"/>
              <w:rPr>
                <w:rFonts w:cs="Times New Roman"/>
                <w:bCs/>
                <w:color w:val="000000" w:themeColor="text1"/>
                <w:kern w:val="0"/>
                <w:sz w:val="22"/>
                <w:highlight w:val="none"/>
                <w14:textFill>
                  <w14:solidFill>
                    <w14:schemeClr w14:val="tx1"/>
                  </w14:solidFill>
                </w14:textFill>
              </w:rPr>
            </w:pPr>
            <w:r>
              <w:rPr>
                <w:rFonts w:cs="Times New Roman"/>
                <w:bCs/>
                <w:color w:val="000000" w:themeColor="text1"/>
                <w:kern w:val="0"/>
                <w:sz w:val="22"/>
                <w:highlight w:val="none"/>
                <w14:textFill>
                  <w14:solidFill>
                    <w14:schemeClr w14:val="tx1"/>
                  </w14:solidFill>
                </w14:textFill>
              </w:rPr>
              <w:t>0.86</w:t>
            </w:r>
          </w:p>
        </w:tc>
        <w:tc>
          <w:tcPr>
            <w:tcW w:w="900" w:type="pct"/>
            <w:vAlign w:val="bottom"/>
          </w:tcPr>
          <w:p>
            <w:pPr>
              <w:widowControl/>
              <w:spacing w:line="240" w:lineRule="auto"/>
              <w:ind w:firstLine="0" w:firstLineChars="0"/>
              <w:jc w:val="center"/>
              <w:rPr>
                <w:rFonts w:cs="Times New Roman"/>
                <w:bCs/>
                <w:color w:val="000000" w:themeColor="text1"/>
                <w:kern w:val="0"/>
                <w:sz w:val="22"/>
                <w:highlight w:val="none"/>
                <w14:textFill>
                  <w14:solidFill>
                    <w14:schemeClr w14:val="tx1"/>
                  </w14:solidFill>
                </w14:textFill>
              </w:rPr>
            </w:pPr>
            <w:r>
              <w:rPr>
                <w:rFonts w:cs="Times New Roman"/>
                <w:bCs/>
                <w:color w:val="000000" w:themeColor="text1"/>
                <w:kern w:val="0"/>
                <w:sz w:val="22"/>
                <w:highlight w:val="none"/>
                <w14:textFill>
                  <w14:solidFill>
                    <w14:schemeClr w14:val="tx1"/>
                  </w14:solidFill>
                </w14:textFill>
              </w:rPr>
              <w:t>3.54</w:t>
            </w:r>
          </w:p>
        </w:tc>
        <w:tc>
          <w:tcPr>
            <w:tcW w:w="800" w:type="pct"/>
            <w:vAlign w:val="center"/>
          </w:tcPr>
          <w:p>
            <w:pPr>
              <w:widowControl/>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65</w:t>
            </w:r>
          </w:p>
        </w:tc>
        <w:tc>
          <w:tcPr>
            <w:tcW w:w="827" w:type="pct"/>
            <w:vAlign w:val="center"/>
          </w:tcPr>
          <w:p>
            <w:pPr>
              <w:widowControl/>
              <w:spacing w:line="240" w:lineRule="auto"/>
              <w:ind w:firstLine="0" w:firstLineChars="0"/>
              <w:jc w:val="center"/>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73" w:type="pct"/>
            <w:vAlign w:val="center"/>
          </w:tcPr>
          <w:p>
            <w:pPr>
              <w:widowControl/>
              <w:spacing w:line="240" w:lineRule="auto"/>
              <w:ind w:firstLine="0" w:firstLineChars="0"/>
              <w:jc w:val="center"/>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1000d</w:t>
            </w:r>
          </w:p>
        </w:tc>
        <w:tc>
          <w:tcPr>
            <w:tcW w:w="899" w:type="pct"/>
            <w:vAlign w:val="center"/>
          </w:tcPr>
          <w:p>
            <w:pPr>
              <w:widowControl/>
              <w:spacing w:line="240" w:lineRule="auto"/>
              <w:ind w:firstLine="0" w:firstLineChars="0"/>
              <w:jc w:val="center"/>
              <w:rPr>
                <w:rFonts w:cs="Times New Roman"/>
                <w:bCs/>
                <w:color w:val="000000" w:themeColor="text1"/>
                <w:kern w:val="0"/>
                <w:sz w:val="22"/>
                <w:highlight w:val="none"/>
                <w14:textFill>
                  <w14:solidFill>
                    <w14:schemeClr w14:val="tx1"/>
                  </w14:solidFill>
                </w14:textFill>
              </w:rPr>
            </w:pPr>
            <w:r>
              <w:rPr>
                <w:rFonts w:cs="Times New Roman"/>
                <w:bCs/>
                <w:color w:val="000000" w:themeColor="text1"/>
                <w:kern w:val="0"/>
                <w:sz w:val="22"/>
                <w:highlight w:val="none"/>
                <w14:textFill>
                  <w14:solidFill>
                    <w14:schemeClr w14:val="tx1"/>
                  </w14:solidFill>
                </w14:textFill>
              </w:rPr>
              <w:t>82</w:t>
            </w:r>
          </w:p>
        </w:tc>
        <w:tc>
          <w:tcPr>
            <w:tcW w:w="900" w:type="pct"/>
            <w:vAlign w:val="center"/>
          </w:tcPr>
          <w:p>
            <w:pPr>
              <w:widowControl/>
              <w:spacing w:line="240" w:lineRule="auto"/>
              <w:ind w:firstLine="0" w:firstLineChars="0"/>
              <w:jc w:val="center"/>
              <w:rPr>
                <w:rFonts w:cs="Times New Roman"/>
                <w:bCs/>
                <w:color w:val="000000" w:themeColor="text1"/>
                <w:kern w:val="0"/>
                <w:sz w:val="22"/>
                <w:highlight w:val="none"/>
                <w14:textFill>
                  <w14:solidFill>
                    <w14:schemeClr w14:val="tx1"/>
                  </w14:solidFill>
                </w14:textFill>
              </w:rPr>
            </w:pPr>
            <w:r>
              <w:rPr>
                <w:rFonts w:cs="Times New Roman"/>
                <w:bCs/>
                <w:color w:val="000000" w:themeColor="text1"/>
                <w:kern w:val="0"/>
                <w:sz w:val="22"/>
                <w:highlight w:val="none"/>
                <w14:textFill>
                  <w14:solidFill>
                    <w14:schemeClr w14:val="tx1"/>
                  </w14:solidFill>
                </w14:textFill>
              </w:rPr>
              <w:t>0.316</w:t>
            </w:r>
          </w:p>
        </w:tc>
        <w:tc>
          <w:tcPr>
            <w:tcW w:w="900" w:type="pct"/>
            <w:vAlign w:val="bottom"/>
          </w:tcPr>
          <w:p>
            <w:pPr>
              <w:widowControl/>
              <w:spacing w:line="240" w:lineRule="auto"/>
              <w:ind w:firstLine="0" w:firstLineChars="0"/>
              <w:jc w:val="center"/>
              <w:rPr>
                <w:rFonts w:cs="Times New Roman"/>
                <w:bCs/>
                <w:color w:val="000000" w:themeColor="text1"/>
                <w:kern w:val="0"/>
                <w:sz w:val="22"/>
                <w:highlight w:val="none"/>
                <w14:textFill>
                  <w14:solidFill>
                    <w14:schemeClr w14:val="tx1"/>
                  </w14:solidFill>
                </w14:textFill>
              </w:rPr>
            </w:pPr>
            <w:r>
              <w:rPr>
                <w:rFonts w:cs="Times New Roman"/>
                <w:bCs/>
                <w:color w:val="000000" w:themeColor="text1"/>
                <w:kern w:val="0"/>
                <w:sz w:val="22"/>
                <w:highlight w:val="none"/>
                <w14:textFill>
                  <w14:solidFill>
                    <w14:schemeClr w14:val="tx1"/>
                  </w14:solidFill>
                </w14:textFill>
              </w:rPr>
              <w:t>2.996</w:t>
            </w:r>
          </w:p>
        </w:tc>
        <w:tc>
          <w:tcPr>
            <w:tcW w:w="800" w:type="pct"/>
            <w:vAlign w:val="center"/>
          </w:tcPr>
          <w:p>
            <w:pPr>
              <w:widowControl/>
              <w:spacing w:line="240" w:lineRule="auto"/>
              <w:ind w:firstLine="0" w:firstLineChars="0"/>
              <w:jc w:val="center"/>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w:t>
            </w:r>
          </w:p>
        </w:tc>
        <w:tc>
          <w:tcPr>
            <w:tcW w:w="827" w:type="pct"/>
            <w:vAlign w:val="center"/>
          </w:tcPr>
          <w:p>
            <w:pPr>
              <w:widowControl/>
              <w:spacing w:line="240" w:lineRule="auto"/>
              <w:ind w:firstLine="0" w:firstLineChars="0"/>
              <w:jc w:val="center"/>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73" w:type="pct"/>
            <w:vAlign w:val="center"/>
          </w:tcPr>
          <w:p>
            <w:pPr>
              <w:widowControl/>
              <w:spacing w:line="240" w:lineRule="auto"/>
              <w:ind w:firstLine="0" w:firstLineChars="0"/>
              <w:jc w:val="center"/>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3650d</w:t>
            </w:r>
          </w:p>
        </w:tc>
        <w:tc>
          <w:tcPr>
            <w:tcW w:w="899" w:type="pct"/>
            <w:vAlign w:val="center"/>
          </w:tcPr>
          <w:p>
            <w:pPr>
              <w:widowControl/>
              <w:spacing w:line="240" w:lineRule="auto"/>
              <w:ind w:firstLine="0" w:firstLineChars="0"/>
              <w:jc w:val="center"/>
              <w:rPr>
                <w:rFonts w:cs="Times New Roman"/>
                <w:bCs/>
                <w:color w:val="000000" w:themeColor="text1"/>
                <w:kern w:val="0"/>
                <w:sz w:val="22"/>
                <w:highlight w:val="none"/>
                <w14:textFill>
                  <w14:solidFill>
                    <w14:schemeClr w14:val="tx1"/>
                  </w14:solidFill>
                </w14:textFill>
              </w:rPr>
            </w:pPr>
            <w:r>
              <w:rPr>
                <w:rFonts w:cs="Times New Roman"/>
                <w:bCs/>
                <w:color w:val="000000" w:themeColor="text1"/>
                <w:kern w:val="0"/>
                <w:sz w:val="22"/>
                <w:highlight w:val="none"/>
                <w14:textFill>
                  <w14:solidFill>
                    <w14:schemeClr w14:val="tx1"/>
                  </w14:solidFill>
                </w14:textFill>
              </w:rPr>
              <w:t>299</w:t>
            </w:r>
          </w:p>
        </w:tc>
        <w:tc>
          <w:tcPr>
            <w:tcW w:w="900" w:type="pct"/>
            <w:vAlign w:val="center"/>
          </w:tcPr>
          <w:p>
            <w:pPr>
              <w:widowControl/>
              <w:spacing w:line="240" w:lineRule="auto"/>
              <w:ind w:firstLine="0" w:firstLineChars="0"/>
              <w:jc w:val="center"/>
              <w:rPr>
                <w:rFonts w:cs="Times New Roman"/>
                <w:bCs/>
                <w:color w:val="000000" w:themeColor="text1"/>
                <w:kern w:val="0"/>
                <w:sz w:val="22"/>
                <w:highlight w:val="none"/>
                <w14:textFill>
                  <w14:solidFill>
                    <w14:schemeClr w14:val="tx1"/>
                  </w14:solidFill>
                </w14:textFill>
              </w:rPr>
            </w:pPr>
            <w:r>
              <w:rPr>
                <w:rFonts w:cs="Times New Roman"/>
                <w:bCs/>
                <w:color w:val="000000" w:themeColor="text1"/>
                <w:kern w:val="0"/>
                <w:sz w:val="22"/>
                <w:highlight w:val="none"/>
                <w14:textFill>
                  <w14:solidFill>
                    <w14:schemeClr w14:val="tx1"/>
                  </w14:solidFill>
                </w14:textFill>
              </w:rPr>
              <w:t>0.086</w:t>
            </w:r>
          </w:p>
        </w:tc>
        <w:tc>
          <w:tcPr>
            <w:tcW w:w="900" w:type="pct"/>
            <w:vAlign w:val="bottom"/>
          </w:tcPr>
          <w:p>
            <w:pPr>
              <w:widowControl/>
              <w:spacing w:line="240" w:lineRule="auto"/>
              <w:ind w:firstLine="0" w:firstLineChars="0"/>
              <w:jc w:val="center"/>
              <w:rPr>
                <w:rFonts w:cs="Times New Roman"/>
                <w:bCs/>
                <w:color w:val="000000" w:themeColor="text1"/>
                <w:kern w:val="0"/>
                <w:sz w:val="22"/>
                <w:highlight w:val="none"/>
                <w14:textFill>
                  <w14:solidFill>
                    <w14:schemeClr w14:val="tx1"/>
                  </w14:solidFill>
                </w14:textFill>
              </w:rPr>
            </w:pPr>
            <w:r>
              <w:rPr>
                <w:rFonts w:cs="Times New Roman"/>
                <w:bCs/>
                <w:color w:val="000000" w:themeColor="text1"/>
                <w:kern w:val="0"/>
                <w:sz w:val="22"/>
                <w:highlight w:val="none"/>
                <w14:textFill>
                  <w14:solidFill>
                    <w14:schemeClr w14:val="tx1"/>
                  </w14:solidFill>
                </w14:textFill>
              </w:rPr>
              <w:t>2.766</w:t>
            </w:r>
          </w:p>
        </w:tc>
        <w:tc>
          <w:tcPr>
            <w:tcW w:w="800" w:type="pct"/>
            <w:vAlign w:val="center"/>
          </w:tcPr>
          <w:p>
            <w:pPr>
              <w:widowControl/>
              <w:spacing w:line="240" w:lineRule="auto"/>
              <w:ind w:firstLine="0" w:firstLineChars="0"/>
              <w:jc w:val="center"/>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w:t>
            </w:r>
          </w:p>
        </w:tc>
        <w:tc>
          <w:tcPr>
            <w:tcW w:w="827" w:type="pct"/>
            <w:vAlign w:val="center"/>
          </w:tcPr>
          <w:p>
            <w:pPr>
              <w:widowControl/>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w:t>
            </w:r>
          </w:p>
        </w:tc>
      </w:tr>
    </w:tbl>
    <w:p>
      <w:pPr>
        <w:widowControl/>
        <w:adjustRightInd/>
        <w:spacing w:line="240" w:lineRule="auto"/>
        <w:ind w:firstLine="0" w:firstLineChars="0"/>
        <w:jc w:val="center"/>
        <w:rPr>
          <w:rFonts w:cs="Times New Roman"/>
          <w:bCs/>
          <w:color w:val="000000" w:themeColor="text1"/>
          <w:kern w:val="0"/>
          <w:sz w:val="21"/>
          <w:szCs w:val="21"/>
          <w:highlight w:val="none"/>
          <w:lang w:eastAsia="en-US"/>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2519680" cy="1517015"/>
            <wp:effectExtent l="0" t="0" r="0" b="6985"/>
            <wp:docPr id="14665943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594305" name="图片 1"/>
                    <pic:cNvPicPr>
                      <a:picLocks noChangeAspect="1"/>
                    </pic:cNvPicPr>
                  </pic:nvPicPr>
                  <pic:blipFill>
                    <a:blip r:embed="rId93"/>
                    <a:stretch>
                      <a:fillRect/>
                    </a:stretch>
                  </pic:blipFill>
                  <pic:spPr>
                    <a:xfrm>
                      <a:off x="0" y="0"/>
                      <a:ext cx="2520000" cy="1517459"/>
                    </a:xfrm>
                    <a:prstGeom prst="rect">
                      <a:avLst/>
                    </a:prstGeom>
                  </pic:spPr>
                </pic:pic>
              </a:graphicData>
            </a:graphic>
          </wp:inline>
        </w:drawing>
      </w:r>
      <w:r>
        <w:rPr>
          <w:rFonts w:cs="Times New Roman"/>
          <w:bCs/>
          <w:color w:val="000000" w:themeColor="text1"/>
          <w:kern w:val="0"/>
          <w:sz w:val="21"/>
          <w:szCs w:val="21"/>
          <w:highlight w:val="none"/>
          <w:lang w:eastAsia="en-US"/>
          <w14:textFill>
            <w14:solidFill>
              <w14:schemeClr w14:val="tx1"/>
            </w14:solidFill>
          </w14:textFill>
        </w:rPr>
        <w:t xml:space="preserve"> </w:t>
      </w:r>
      <w:r>
        <w:rPr>
          <w:color w:val="000000" w:themeColor="text1"/>
          <w:highlight w:val="none"/>
          <w14:textFill>
            <w14:solidFill>
              <w14:schemeClr w14:val="tx1"/>
            </w14:solidFill>
          </w14:textFill>
        </w:rPr>
        <w:drawing>
          <wp:inline distT="0" distB="0" distL="0" distR="0">
            <wp:extent cx="2519680" cy="1517015"/>
            <wp:effectExtent l="0" t="0" r="0" b="6985"/>
            <wp:docPr id="3018828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882898" name="图片 1"/>
                    <pic:cNvPicPr>
                      <a:picLocks noChangeAspect="1"/>
                    </pic:cNvPicPr>
                  </pic:nvPicPr>
                  <pic:blipFill>
                    <a:blip r:embed="rId94"/>
                    <a:stretch>
                      <a:fillRect/>
                    </a:stretch>
                  </pic:blipFill>
                  <pic:spPr>
                    <a:xfrm>
                      <a:off x="0" y="0"/>
                      <a:ext cx="2520000" cy="1517459"/>
                    </a:xfrm>
                    <a:prstGeom prst="rect">
                      <a:avLst/>
                    </a:prstGeom>
                  </pic:spPr>
                </pic:pic>
              </a:graphicData>
            </a:graphic>
          </wp:inline>
        </w:drawing>
      </w:r>
    </w:p>
    <w:p>
      <w:pPr>
        <w:adjustRightIn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100d                                                                      365d</w:t>
      </w:r>
    </w:p>
    <w:p>
      <w:pPr>
        <w:widowControl/>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2519680" cy="1519555"/>
            <wp:effectExtent l="0" t="0" r="0" b="4445"/>
            <wp:docPr id="6821002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100252" name="图片 1"/>
                    <pic:cNvPicPr>
                      <a:picLocks noChangeAspect="1"/>
                    </pic:cNvPicPr>
                  </pic:nvPicPr>
                  <pic:blipFill>
                    <a:blip r:embed="rId95"/>
                    <a:stretch>
                      <a:fillRect/>
                    </a:stretch>
                  </pic:blipFill>
                  <pic:spPr>
                    <a:xfrm>
                      <a:off x="0" y="0"/>
                      <a:ext cx="2520000" cy="1520188"/>
                    </a:xfrm>
                    <a:prstGeom prst="rect">
                      <a:avLst/>
                    </a:prstGeom>
                  </pic:spPr>
                </pic:pic>
              </a:graphicData>
            </a:graphic>
          </wp:inline>
        </w:drawing>
      </w:r>
      <w:r>
        <w:rPr>
          <w:color w:val="000000" w:themeColor="text1"/>
          <w:highlight w:val="none"/>
          <w14:textFill>
            <w14:solidFill>
              <w14:schemeClr w14:val="tx1"/>
            </w14:solidFill>
          </w14:textFill>
        </w:rPr>
        <w:drawing>
          <wp:inline distT="0" distB="0" distL="0" distR="0">
            <wp:extent cx="2519680" cy="1528445"/>
            <wp:effectExtent l="0" t="0" r="0" b="0"/>
            <wp:docPr id="3434543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454392" name="图片 1"/>
                    <pic:cNvPicPr>
                      <a:picLocks noChangeAspect="1"/>
                    </pic:cNvPicPr>
                  </pic:nvPicPr>
                  <pic:blipFill>
                    <a:blip r:embed="rId96"/>
                    <a:stretch>
                      <a:fillRect/>
                    </a:stretch>
                  </pic:blipFill>
                  <pic:spPr>
                    <a:xfrm>
                      <a:off x="0" y="0"/>
                      <a:ext cx="2520000" cy="1528982"/>
                    </a:xfrm>
                    <a:prstGeom prst="rect">
                      <a:avLst/>
                    </a:prstGeom>
                  </pic:spPr>
                </pic:pic>
              </a:graphicData>
            </a:graphic>
          </wp:inline>
        </w:drawing>
      </w:r>
    </w:p>
    <w:p>
      <w:pPr>
        <w:adjustRightIn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1000d                                                                      3650d</w:t>
      </w:r>
    </w:p>
    <w:p>
      <w:pPr>
        <w:widowControl/>
        <w:spacing w:line="240" w:lineRule="auto"/>
        <w:ind w:firstLine="0" w:firstLineChars="0"/>
        <w:jc w:val="center"/>
        <w:rPr>
          <w:rFonts w:eastAsia="黑体" w:cs="Times New Roman"/>
          <w:color w:val="000000" w:themeColor="text1"/>
          <w:kern w:val="0"/>
          <w:sz w:val="21"/>
          <w:szCs w:val="21"/>
          <w:highlight w:val="none"/>
          <w14:textFill>
            <w14:solidFill>
              <w14:schemeClr w14:val="tx1"/>
            </w14:solidFill>
          </w14:textFill>
        </w:rPr>
      </w:pPr>
      <w:r>
        <w:rPr>
          <w:rFonts w:eastAsia="黑体" w:cs="Times New Roman"/>
          <w:color w:val="000000" w:themeColor="text1"/>
          <w:kern w:val="0"/>
          <w:sz w:val="21"/>
          <w:szCs w:val="21"/>
          <w:highlight w:val="none"/>
          <w14:textFill>
            <w14:solidFill>
              <w14:schemeClr w14:val="tx1"/>
            </w14:solidFill>
          </w14:textFill>
        </w:rPr>
        <w:t>图5.2-3 污水</w:t>
      </w:r>
      <w:r>
        <w:rPr>
          <w:rFonts w:hint="eastAsia" w:eastAsia="黑体" w:cs="Times New Roman"/>
          <w:color w:val="000000" w:themeColor="text1"/>
          <w:kern w:val="0"/>
          <w:sz w:val="21"/>
          <w:szCs w:val="21"/>
          <w:highlight w:val="none"/>
          <w14:textFill>
            <w14:solidFill>
              <w14:schemeClr w14:val="tx1"/>
            </w14:solidFill>
          </w14:textFill>
        </w:rPr>
        <w:t>罐</w:t>
      </w:r>
      <w:r>
        <w:rPr>
          <w:rFonts w:eastAsia="黑体" w:cs="Times New Roman"/>
          <w:color w:val="000000" w:themeColor="text1"/>
          <w:kern w:val="0"/>
          <w:sz w:val="21"/>
          <w:szCs w:val="21"/>
          <w:highlight w:val="none"/>
          <w14:textFill>
            <w14:solidFill>
              <w14:schemeClr w14:val="tx1"/>
            </w14:solidFill>
          </w14:textFill>
        </w:rPr>
        <w:t>泄漏不同预测时间COD</w:t>
      </w:r>
      <w:r>
        <w:rPr>
          <w:rFonts w:eastAsia="黑体" w:cs="Times New Roman"/>
          <w:color w:val="000000" w:themeColor="text1"/>
          <w:kern w:val="0"/>
          <w:sz w:val="21"/>
          <w:szCs w:val="21"/>
          <w:highlight w:val="none"/>
          <w:vertAlign w:val="subscript"/>
          <w14:textFill>
            <w14:solidFill>
              <w14:schemeClr w14:val="tx1"/>
            </w14:solidFill>
          </w14:textFill>
        </w:rPr>
        <w:t>Mn</w:t>
      </w:r>
      <w:r>
        <w:rPr>
          <w:rFonts w:eastAsia="黑体" w:cs="Times New Roman"/>
          <w:color w:val="000000" w:themeColor="text1"/>
          <w:kern w:val="0"/>
          <w:sz w:val="21"/>
          <w:szCs w:val="21"/>
          <w:highlight w:val="none"/>
          <w14:textFill>
            <w14:solidFill>
              <w14:schemeClr w14:val="tx1"/>
            </w14:solidFill>
          </w14:textFill>
        </w:rPr>
        <w:t>贡献值与距离浓度关系图</w:t>
      </w:r>
    </w:p>
    <w:p>
      <w:pPr>
        <w:widowControl/>
        <w:adjustRightInd/>
        <w:ind w:firstLine="480"/>
        <w:rPr>
          <w:rFonts w:cs="Times New Roman"/>
          <w:color w:val="000000" w:themeColor="text1"/>
          <w:kern w:val="0"/>
          <w:szCs w:val="24"/>
          <w:highlight w:val="none"/>
          <w14:textFill>
            <w14:solidFill>
              <w14:schemeClr w14:val="tx1"/>
            </w14:solidFill>
          </w14:textFill>
        </w:rPr>
      </w:pPr>
      <w:r>
        <w:rPr>
          <w:rFonts w:hint="eastAsia" w:ascii="宋体" w:hAnsi="宋体" w:cs="宋体"/>
          <w:color w:val="000000" w:themeColor="text1"/>
          <w:kern w:val="0"/>
          <w:szCs w:val="24"/>
          <w:highlight w:val="none"/>
          <w14:textFill>
            <w14:solidFill>
              <w14:schemeClr w14:val="tx1"/>
            </w14:solidFill>
          </w14:textFill>
        </w:rPr>
        <w:t>②</w:t>
      </w:r>
      <w:r>
        <w:rPr>
          <w:rFonts w:cs="Times New Roman"/>
          <w:color w:val="000000" w:themeColor="text1"/>
          <w:kern w:val="0"/>
          <w:szCs w:val="24"/>
          <w:highlight w:val="none"/>
          <w14:textFill>
            <w14:solidFill>
              <w14:schemeClr w14:val="tx1"/>
            </w14:solidFill>
          </w14:textFill>
        </w:rPr>
        <w:t>地下水中石油类的超标及影响距离计算结果见表5.2-12及图5.2-4。</w:t>
      </w:r>
    </w:p>
    <w:p>
      <w:pPr>
        <w:widowControl/>
        <w:tabs>
          <w:tab w:val="left" w:pos="863"/>
        </w:tabs>
        <w:adjustRightInd/>
        <w:snapToGrid/>
        <w:spacing w:line="240" w:lineRule="auto"/>
        <w:ind w:firstLine="0" w:firstLineChars="0"/>
        <w:jc w:val="center"/>
        <w:rPr>
          <w:rFonts w:eastAsia="黑体" w:cs="Times New Roman"/>
          <w:color w:val="000000" w:themeColor="text1"/>
          <w:kern w:val="0"/>
          <w:sz w:val="21"/>
          <w:szCs w:val="21"/>
          <w:highlight w:val="none"/>
          <w14:textFill>
            <w14:solidFill>
              <w14:schemeClr w14:val="tx1"/>
            </w14:solidFill>
          </w14:textFill>
        </w:rPr>
      </w:pPr>
      <w:r>
        <w:rPr>
          <w:rFonts w:eastAsia="黑体" w:cs="Times New Roman"/>
          <w:color w:val="000000" w:themeColor="text1"/>
          <w:kern w:val="0"/>
          <w:sz w:val="21"/>
          <w:szCs w:val="21"/>
          <w:highlight w:val="none"/>
          <w14:textFill>
            <w14:solidFill>
              <w14:schemeClr w14:val="tx1"/>
            </w14:solidFill>
          </w14:textFill>
        </w:rPr>
        <w:t>表5.2-12  污水</w:t>
      </w:r>
      <w:r>
        <w:rPr>
          <w:rFonts w:hint="eastAsia" w:eastAsia="黑体" w:cs="Times New Roman"/>
          <w:color w:val="000000" w:themeColor="text1"/>
          <w:kern w:val="0"/>
          <w:sz w:val="21"/>
          <w:szCs w:val="21"/>
          <w:highlight w:val="none"/>
          <w14:textFill>
            <w14:solidFill>
              <w14:schemeClr w14:val="tx1"/>
            </w14:solidFill>
          </w14:textFill>
        </w:rPr>
        <w:t>罐</w:t>
      </w:r>
      <w:r>
        <w:rPr>
          <w:rFonts w:eastAsia="黑体" w:cs="Times New Roman"/>
          <w:color w:val="000000" w:themeColor="text1"/>
          <w:kern w:val="0"/>
          <w:sz w:val="21"/>
          <w:szCs w:val="21"/>
          <w:highlight w:val="none"/>
          <w14:textFill>
            <w14:solidFill>
              <w14:schemeClr w14:val="tx1"/>
            </w14:solidFill>
          </w14:textFill>
        </w:rPr>
        <w:t>泄漏地下水中石油类超标及影响距离</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19"/>
        <w:gridCol w:w="1496"/>
        <w:gridCol w:w="1498"/>
        <w:gridCol w:w="1498"/>
        <w:gridCol w:w="1331"/>
        <w:gridCol w:w="13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90" w:hRule="atLeast"/>
          <w:jc w:val="center"/>
        </w:trPr>
        <w:tc>
          <w:tcPr>
            <w:tcW w:w="673" w:type="pct"/>
            <w:vAlign w:val="center"/>
          </w:tcPr>
          <w:p>
            <w:pPr>
              <w:widowControl/>
              <w:spacing w:line="240" w:lineRule="auto"/>
              <w:ind w:firstLine="0" w:firstLineChars="0"/>
              <w:jc w:val="center"/>
              <w:rPr>
                <w:rFonts w:cs="Times New Roman"/>
                <w:b/>
                <w:color w:val="000000" w:themeColor="text1"/>
                <w:kern w:val="0"/>
                <w:sz w:val="21"/>
                <w:szCs w:val="21"/>
                <w:highlight w:val="none"/>
                <w:lang w:eastAsia="en-US"/>
                <w14:textFill>
                  <w14:solidFill>
                    <w14:schemeClr w14:val="tx1"/>
                  </w14:solidFill>
                </w14:textFill>
              </w:rPr>
            </w:pPr>
            <w:r>
              <w:rPr>
                <w:rFonts w:cs="Times New Roman"/>
                <w:b/>
                <w:color w:val="000000" w:themeColor="text1"/>
                <w:kern w:val="0"/>
                <w:sz w:val="21"/>
                <w:szCs w:val="21"/>
                <w:highlight w:val="none"/>
                <w:lang w:eastAsia="en-US"/>
                <w14:textFill>
                  <w14:solidFill>
                    <w14:schemeClr w14:val="tx1"/>
                  </w14:solidFill>
                </w14:textFill>
              </w:rPr>
              <w:t>污染时间</w:t>
            </w:r>
          </w:p>
        </w:tc>
        <w:tc>
          <w:tcPr>
            <w:tcW w:w="899" w:type="pct"/>
            <w:vAlign w:val="center"/>
          </w:tcPr>
          <w:p>
            <w:pPr>
              <w:widowControl/>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中心点迁移距离（m）</w:t>
            </w:r>
          </w:p>
        </w:tc>
        <w:tc>
          <w:tcPr>
            <w:tcW w:w="900" w:type="pct"/>
            <w:vAlign w:val="center"/>
          </w:tcPr>
          <w:p>
            <w:pPr>
              <w:widowControl/>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中心点处浓度（mg/L）</w:t>
            </w:r>
          </w:p>
        </w:tc>
        <w:tc>
          <w:tcPr>
            <w:tcW w:w="900" w:type="pct"/>
            <w:vAlign w:val="center"/>
          </w:tcPr>
          <w:p>
            <w:pPr>
              <w:widowControl/>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叠加后浓度（mg/L）</w:t>
            </w:r>
          </w:p>
        </w:tc>
        <w:tc>
          <w:tcPr>
            <w:tcW w:w="800" w:type="pct"/>
            <w:vAlign w:val="center"/>
          </w:tcPr>
          <w:p>
            <w:pPr>
              <w:widowControl/>
              <w:spacing w:line="240" w:lineRule="auto"/>
              <w:ind w:firstLine="0" w:firstLineChars="0"/>
              <w:jc w:val="center"/>
              <w:rPr>
                <w:rFonts w:cs="Times New Roman"/>
                <w:b/>
                <w:color w:val="000000" w:themeColor="text1"/>
                <w:kern w:val="0"/>
                <w:sz w:val="21"/>
                <w:szCs w:val="21"/>
                <w:highlight w:val="none"/>
                <w:lang w:eastAsia="en-US"/>
                <w14:textFill>
                  <w14:solidFill>
                    <w14:schemeClr w14:val="tx1"/>
                  </w14:solidFill>
                </w14:textFill>
              </w:rPr>
            </w:pPr>
            <w:r>
              <w:rPr>
                <w:rFonts w:cs="Times New Roman"/>
                <w:b/>
                <w:color w:val="000000" w:themeColor="text1"/>
                <w:kern w:val="0"/>
                <w:sz w:val="21"/>
                <w:szCs w:val="21"/>
                <w:highlight w:val="none"/>
                <w:lang w:eastAsia="en-US"/>
                <w14:textFill>
                  <w14:solidFill>
                    <w14:schemeClr w14:val="tx1"/>
                  </w14:solidFill>
                </w14:textFill>
              </w:rPr>
              <w:t>最远超标距离（m）</w:t>
            </w:r>
          </w:p>
        </w:tc>
        <w:tc>
          <w:tcPr>
            <w:tcW w:w="828" w:type="pct"/>
            <w:vAlign w:val="center"/>
          </w:tcPr>
          <w:p>
            <w:pPr>
              <w:widowControl/>
              <w:spacing w:line="240" w:lineRule="auto"/>
              <w:ind w:firstLine="0" w:firstLineChars="0"/>
              <w:jc w:val="center"/>
              <w:rPr>
                <w:rFonts w:cs="Times New Roman"/>
                <w:b/>
                <w:color w:val="000000" w:themeColor="text1"/>
                <w:kern w:val="0"/>
                <w:sz w:val="21"/>
                <w:szCs w:val="21"/>
                <w:highlight w:val="none"/>
                <w:lang w:eastAsia="en-US"/>
                <w14:textFill>
                  <w14:solidFill>
                    <w14:schemeClr w14:val="tx1"/>
                  </w14:solidFill>
                </w14:textFill>
              </w:rPr>
            </w:pPr>
            <w:r>
              <w:rPr>
                <w:rFonts w:cs="Times New Roman"/>
                <w:b/>
                <w:color w:val="000000" w:themeColor="text1"/>
                <w:kern w:val="0"/>
                <w:sz w:val="21"/>
                <w:szCs w:val="21"/>
                <w:highlight w:val="none"/>
                <w:lang w:eastAsia="en-US"/>
                <w14:textFill>
                  <w14:solidFill>
                    <w14:schemeClr w14:val="tx1"/>
                  </w14:solidFill>
                </w14:textFill>
              </w:rPr>
              <w:t>最远影响距离（m）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73" w:type="pct"/>
            <w:vAlign w:val="center"/>
          </w:tcPr>
          <w:p>
            <w:pPr>
              <w:widowControl/>
              <w:spacing w:line="240" w:lineRule="auto"/>
              <w:ind w:firstLine="0" w:firstLineChars="0"/>
              <w:jc w:val="center"/>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100d</w:t>
            </w:r>
          </w:p>
        </w:tc>
        <w:tc>
          <w:tcPr>
            <w:tcW w:w="899" w:type="pct"/>
            <w:vAlign w:val="center"/>
          </w:tcPr>
          <w:p>
            <w:pPr>
              <w:widowControl/>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8.2</w:t>
            </w:r>
          </w:p>
        </w:tc>
        <w:tc>
          <w:tcPr>
            <w:tcW w:w="900" w:type="pct"/>
            <w:vAlign w:val="center"/>
          </w:tcPr>
          <w:p>
            <w:pPr>
              <w:widowControl/>
              <w:adjustRightIn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0.126</w:t>
            </w:r>
          </w:p>
        </w:tc>
        <w:tc>
          <w:tcPr>
            <w:tcW w:w="900" w:type="pct"/>
            <w:vAlign w:val="center"/>
          </w:tcPr>
          <w:p>
            <w:pPr>
              <w:widowControl/>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0.126</w:t>
            </w:r>
          </w:p>
        </w:tc>
        <w:tc>
          <w:tcPr>
            <w:tcW w:w="800" w:type="pct"/>
            <w:vAlign w:val="center"/>
          </w:tcPr>
          <w:p>
            <w:pPr>
              <w:widowControl/>
              <w:spacing w:line="240" w:lineRule="auto"/>
              <w:ind w:firstLine="0" w:firstLineChars="0"/>
              <w:jc w:val="center"/>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26</w:t>
            </w:r>
          </w:p>
        </w:tc>
        <w:tc>
          <w:tcPr>
            <w:tcW w:w="828" w:type="pct"/>
            <w:vAlign w:val="center"/>
          </w:tcPr>
          <w:p>
            <w:pPr>
              <w:widowControl/>
              <w:spacing w:line="240" w:lineRule="auto"/>
              <w:ind w:firstLine="0" w:firstLineChars="0"/>
              <w:jc w:val="center"/>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8" w:hRule="atLeast"/>
          <w:jc w:val="center"/>
        </w:trPr>
        <w:tc>
          <w:tcPr>
            <w:tcW w:w="673" w:type="pct"/>
            <w:vAlign w:val="center"/>
          </w:tcPr>
          <w:p>
            <w:pPr>
              <w:widowControl/>
              <w:spacing w:line="240" w:lineRule="auto"/>
              <w:ind w:firstLine="0" w:firstLineChars="0"/>
              <w:jc w:val="center"/>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365d</w:t>
            </w:r>
          </w:p>
        </w:tc>
        <w:tc>
          <w:tcPr>
            <w:tcW w:w="899" w:type="pct"/>
            <w:vAlign w:val="center"/>
          </w:tcPr>
          <w:p>
            <w:pPr>
              <w:widowControl/>
              <w:spacing w:line="240" w:lineRule="auto"/>
              <w:ind w:firstLine="0" w:firstLineChars="0"/>
              <w:jc w:val="center"/>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29.9</w:t>
            </w:r>
          </w:p>
        </w:tc>
        <w:tc>
          <w:tcPr>
            <w:tcW w:w="900" w:type="pct"/>
            <w:vAlign w:val="center"/>
          </w:tcPr>
          <w:p>
            <w:pPr>
              <w:widowControl/>
              <w:adjustRightIn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0.035</w:t>
            </w:r>
          </w:p>
        </w:tc>
        <w:tc>
          <w:tcPr>
            <w:tcW w:w="900" w:type="pct"/>
            <w:vAlign w:val="center"/>
          </w:tcPr>
          <w:p>
            <w:pPr>
              <w:widowControl/>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0.035</w:t>
            </w:r>
          </w:p>
        </w:tc>
        <w:tc>
          <w:tcPr>
            <w:tcW w:w="800" w:type="pct"/>
            <w:vAlign w:val="center"/>
          </w:tcPr>
          <w:p>
            <w:pPr>
              <w:widowControl/>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w:t>
            </w:r>
          </w:p>
        </w:tc>
        <w:tc>
          <w:tcPr>
            <w:tcW w:w="828" w:type="pct"/>
            <w:vAlign w:val="center"/>
          </w:tcPr>
          <w:p>
            <w:pPr>
              <w:widowControl/>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73" w:type="pct"/>
            <w:vAlign w:val="center"/>
          </w:tcPr>
          <w:p>
            <w:pPr>
              <w:widowControl/>
              <w:spacing w:line="240" w:lineRule="auto"/>
              <w:ind w:firstLine="0" w:firstLineChars="0"/>
              <w:jc w:val="center"/>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1000d</w:t>
            </w:r>
          </w:p>
        </w:tc>
        <w:tc>
          <w:tcPr>
            <w:tcW w:w="899" w:type="pct"/>
            <w:vAlign w:val="center"/>
          </w:tcPr>
          <w:p>
            <w:pPr>
              <w:widowControl/>
              <w:spacing w:line="240" w:lineRule="auto"/>
              <w:ind w:firstLine="0" w:firstLineChars="0"/>
              <w:jc w:val="center"/>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82</w:t>
            </w:r>
          </w:p>
        </w:tc>
        <w:tc>
          <w:tcPr>
            <w:tcW w:w="900" w:type="pct"/>
            <w:vAlign w:val="center"/>
          </w:tcPr>
          <w:p>
            <w:pPr>
              <w:widowControl/>
              <w:adjustRightIn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0.013</w:t>
            </w:r>
          </w:p>
        </w:tc>
        <w:tc>
          <w:tcPr>
            <w:tcW w:w="900" w:type="pct"/>
            <w:vAlign w:val="center"/>
          </w:tcPr>
          <w:p>
            <w:pPr>
              <w:widowControl/>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0.013</w:t>
            </w:r>
          </w:p>
        </w:tc>
        <w:tc>
          <w:tcPr>
            <w:tcW w:w="800" w:type="pct"/>
            <w:vAlign w:val="center"/>
          </w:tcPr>
          <w:p>
            <w:pPr>
              <w:widowControl/>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w:t>
            </w:r>
          </w:p>
        </w:tc>
        <w:tc>
          <w:tcPr>
            <w:tcW w:w="828" w:type="pct"/>
            <w:vAlign w:val="center"/>
          </w:tcPr>
          <w:p>
            <w:pPr>
              <w:widowControl/>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8" w:hRule="atLeast"/>
          <w:jc w:val="center"/>
        </w:trPr>
        <w:tc>
          <w:tcPr>
            <w:tcW w:w="673" w:type="pct"/>
            <w:vAlign w:val="center"/>
          </w:tcPr>
          <w:p>
            <w:pPr>
              <w:widowControl/>
              <w:spacing w:line="240" w:lineRule="auto"/>
              <w:ind w:firstLine="0" w:firstLineChars="0"/>
              <w:jc w:val="center"/>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3650d</w:t>
            </w:r>
          </w:p>
        </w:tc>
        <w:tc>
          <w:tcPr>
            <w:tcW w:w="899" w:type="pct"/>
            <w:vAlign w:val="center"/>
          </w:tcPr>
          <w:p>
            <w:pPr>
              <w:widowControl/>
              <w:spacing w:line="240" w:lineRule="auto"/>
              <w:ind w:firstLine="0" w:firstLineChars="0"/>
              <w:jc w:val="center"/>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299</w:t>
            </w:r>
          </w:p>
        </w:tc>
        <w:tc>
          <w:tcPr>
            <w:tcW w:w="900" w:type="pct"/>
            <w:vAlign w:val="center"/>
          </w:tcPr>
          <w:p>
            <w:pPr>
              <w:widowControl/>
              <w:adjustRightIn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0.004</w:t>
            </w:r>
          </w:p>
        </w:tc>
        <w:tc>
          <w:tcPr>
            <w:tcW w:w="900" w:type="pct"/>
            <w:vAlign w:val="center"/>
          </w:tcPr>
          <w:p>
            <w:pPr>
              <w:widowControl/>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0.004</w:t>
            </w:r>
          </w:p>
        </w:tc>
        <w:tc>
          <w:tcPr>
            <w:tcW w:w="800" w:type="pct"/>
            <w:vAlign w:val="center"/>
          </w:tcPr>
          <w:p>
            <w:pPr>
              <w:widowControl/>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w:t>
            </w:r>
          </w:p>
        </w:tc>
        <w:tc>
          <w:tcPr>
            <w:tcW w:w="828" w:type="pct"/>
            <w:vAlign w:val="center"/>
          </w:tcPr>
          <w:p>
            <w:pPr>
              <w:widowControl/>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w:t>
            </w:r>
          </w:p>
        </w:tc>
      </w:tr>
    </w:tbl>
    <w:p>
      <w:pPr>
        <w:widowControl/>
        <w:spacing w:line="240" w:lineRule="auto"/>
        <w:ind w:firstLine="0" w:firstLineChars="0"/>
        <w:jc w:val="left"/>
        <w:rPr>
          <w:rFonts w:cs="Times New Roman"/>
          <w:bCs/>
          <w:color w:val="000000" w:themeColor="text1"/>
          <w:kern w:val="0"/>
          <w:sz w:val="21"/>
          <w:szCs w:val="21"/>
          <w:highlight w:val="none"/>
          <w:lang w:eastAsia="en-US"/>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2519680" cy="1521460"/>
            <wp:effectExtent l="0" t="0" r="0" b="2540"/>
            <wp:docPr id="3498864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886473" name="图片 1"/>
                    <pic:cNvPicPr>
                      <a:picLocks noChangeAspect="1"/>
                    </pic:cNvPicPr>
                  </pic:nvPicPr>
                  <pic:blipFill>
                    <a:blip r:embed="rId97"/>
                    <a:stretch>
                      <a:fillRect/>
                    </a:stretch>
                  </pic:blipFill>
                  <pic:spPr>
                    <a:xfrm>
                      <a:off x="0" y="0"/>
                      <a:ext cx="2520000" cy="1521704"/>
                    </a:xfrm>
                    <a:prstGeom prst="rect">
                      <a:avLst/>
                    </a:prstGeom>
                  </pic:spPr>
                </pic:pic>
              </a:graphicData>
            </a:graphic>
          </wp:inline>
        </w:drawing>
      </w:r>
      <w:r>
        <w:rPr>
          <w:color w:val="000000" w:themeColor="text1"/>
          <w:highlight w:val="none"/>
          <w14:textFill>
            <w14:solidFill>
              <w14:schemeClr w14:val="tx1"/>
            </w14:solidFill>
          </w14:textFill>
        </w:rPr>
        <w:drawing>
          <wp:inline distT="0" distB="0" distL="0" distR="0">
            <wp:extent cx="2519680" cy="1523365"/>
            <wp:effectExtent l="0" t="0" r="0" b="635"/>
            <wp:docPr id="10404345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434588" name="图片 1"/>
                    <pic:cNvPicPr>
                      <a:picLocks noChangeAspect="1"/>
                    </pic:cNvPicPr>
                  </pic:nvPicPr>
                  <pic:blipFill>
                    <a:blip r:embed="rId98"/>
                    <a:stretch>
                      <a:fillRect/>
                    </a:stretch>
                  </pic:blipFill>
                  <pic:spPr>
                    <a:xfrm>
                      <a:off x="0" y="0"/>
                      <a:ext cx="2520000" cy="1523523"/>
                    </a:xfrm>
                    <a:prstGeom prst="rect">
                      <a:avLst/>
                    </a:prstGeom>
                  </pic:spPr>
                </pic:pic>
              </a:graphicData>
            </a:graphic>
          </wp:inline>
        </w:drawing>
      </w:r>
    </w:p>
    <w:p>
      <w:pPr>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100d                                                                   365d</w:t>
      </w:r>
    </w:p>
    <w:p>
      <w:pPr>
        <w:spacing w:line="240" w:lineRule="auto"/>
        <w:ind w:firstLine="0" w:firstLineChars="0"/>
        <w:jc w:val="left"/>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 xml:space="preserve"> </w:t>
      </w:r>
      <w:r>
        <w:rPr>
          <w:color w:val="000000" w:themeColor="text1"/>
          <w:highlight w:val="none"/>
          <w14:textFill>
            <w14:solidFill>
              <w14:schemeClr w14:val="tx1"/>
            </w14:solidFill>
          </w14:textFill>
        </w:rPr>
        <w:drawing>
          <wp:inline distT="0" distB="0" distL="0" distR="0">
            <wp:extent cx="2519680" cy="1529715"/>
            <wp:effectExtent l="0" t="0" r="0" b="0"/>
            <wp:docPr id="8984095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409558" name="图片 1"/>
                    <pic:cNvPicPr>
                      <a:picLocks noChangeAspect="1"/>
                    </pic:cNvPicPr>
                  </pic:nvPicPr>
                  <pic:blipFill>
                    <a:blip r:embed="rId99"/>
                    <a:stretch>
                      <a:fillRect/>
                    </a:stretch>
                  </pic:blipFill>
                  <pic:spPr>
                    <a:xfrm>
                      <a:off x="0" y="0"/>
                      <a:ext cx="2520000" cy="1529892"/>
                    </a:xfrm>
                    <a:prstGeom prst="rect">
                      <a:avLst/>
                    </a:prstGeom>
                  </pic:spPr>
                </pic:pic>
              </a:graphicData>
            </a:graphic>
          </wp:inline>
        </w:drawing>
      </w:r>
      <w:r>
        <w:rPr>
          <w:color w:val="000000" w:themeColor="text1"/>
          <w:highlight w:val="none"/>
          <w14:textFill>
            <w14:solidFill>
              <w14:schemeClr w14:val="tx1"/>
            </w14:solidFill>
          </w14:textFill>
        </w:rPr>
        <w:drawing>
          <wp:inline distT="0" distB="0" distL="0" distR="0">
            <wp:extent cx="2519680" cy="1524000"/>
            <wp:effectExtent l="0" t="0" r="0" b="0"/>
            <wp:docPr id="17197823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782308" name="图片 1"/>
                    <pic:cNvPicPr>
                      <a:picLocks noChangeAspect="1"/>
                    </pic:cNvPicPr>
                  </pic:nvPicPr>
                  <pic:blipFill>
                    <a:blip r:embed="rId100"/>
                    <a:stretch>
                      <a:fillRect/>
                    </a:stretch>
                  </pic:blipFill>
                  <pic:spPr>
                    <a:xfrm>
                      <a:off x="0" y="0"/>
                      <a:ext cx="2520000" cy="1524433"/>
                    </a:xfrm>
                    <a:prstGeom prst="rect">
                      <a:avLst/>
                    </a:prstGeom>
                  </pic:spPr>
                </pic:pic>
              </a:graphicData>
            </a:graphic>
          </wp:inline>
        </w:drawing>
      </w:r>
    </w:p>
    <w:p>
      <w:pPr>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1000d                                                               3650d</w:t>
      </w:r>
    </w:p>
    <w:p>
      <w:pPr>
        <w:widowControl/>
        <w:spacing w:line="240" w:lineRule="auto"/>
        <w:ind w:firstLine="0" w:firstLineChars="0"/>
        <w:jc w:val="center"/>
        <w:rPr>
          <w:rFonts w:eastAsia="黑体" w:cs="Times New Roman"/>
          <w:color w:val="000000" w:themeColor="text1"/>
          <w:kern w:val="0"/>
          <w:sz w:val="21"/>
          <w:szCs w:val="21"/>
          <w:highlight w:val="none"/>
          <w14:textFill>
            <w14:solidFill>
              <w14:schemeClr w14:val="tx1"/>
            </w14:solidFill>
          </w14:textFill>
        </w:rPr>
      </w:pPr>
      <w:r>
        <w:rPr>
          <w:rFonts w:eastAsia="黑体" w:cs="Times New Roman"/>
          <w:color w:val="000000" w:themeColor="text1"/>
          <w:kern w:val="0"/>
          <w:sz w:val="21"/>
          <w:szCs w:val="21"/>
          <w:highlight w:val="none"/>
          <w14:textFill>
            <w14:solidFill>
              <w14:schemeClr w14:val="tx1"/>
            </w14:solidFill>
          </w14:textFill>
        </w:rPr>
        <w:t>图5.2-4  污水</w:t>
      </w:r>
      <w:r>
        <w:rPr>
          <w:rFonts w:hint="eastAsia" w:eastAsia="黑体" w:cs="Times New Roman"/>
          <w:color w:val="000000" w:themeColor="text1"/>
          <w:kern w:val="0"/>
          <w:sz w:val="21"/>
          <w:szCs w:val="21"/>
          <w:highlight w:val="none"/>
          <w14:textFill>
            <w14:solidFill>
              <w14:schemeClr w14:val="tx1"/>
            </w14:solidFill>
          </w14:textFill>
        </w:rPr>
        <w:t>罐</w:t>
      </w:r>
      <w:r>
        <w:rPr>
          <w:rFonts w:eastAsia="黑体" w:cs="Times New Roman"/>
          <w:color w:val="000000" w:themeColor="text1"/>
          <w:kern w:val="0"/>
          <w:sz w:val="21"/>
          <w:szCs w:val="21"/>
          <w:highlight w:val="none"/>
          <w14:textFill>
            <w14:solidFill>
              <w14:schemeClr w14:val="tx1"/>
            </w14:solidFill>
          </w14:textFill>
        </w:rPr>
        <w:t>泄漏不同预测时间石油类贡献值与距离浓度关系图</w:t>
      </w:r>
    </w:p>
    <w:p>
      <w:pPr>
        <w:widowControl/>
        <w:adjustRightInd/>
        <w:ind w:firstLine="480"/>
        <w:rPr>
          <w:rFonts w:cs="Times New Roman"/>
          <w:color w:val="000000" w:themeColor="text1"/>
          <w:kern w:val="0"/>
          <w:szCs w:val="24"/>
          <w:highlight w:val="none"/>
          <w14:textFill>
            <w14:solidFill>
              <w14:schemeClr w14:val="tx1"/>
            </w14:solidFill>
          </w14:textFill>
        </w:rPr>
      </w:pPr>
      <w:bookmarkStart w:id="314" w:name="_Toc449942877"/>
      <w:bookmarkStart w:id="315" w:name="_Toc449394636"/>
      <w:r>
        <w:rPr>
          <w:rFonts w:hint="eastAsia" w:ascii="宋体" w:hAnsi="宋体" w:cs="宋体"/>
          <w:color w:val="000000" w:themeColor="text1"/>
          <w:kern w:val="0"/>
          <w:szCs w:val="24"/>
          <w:highlight w:val="none"/>
          <w14:textFill>
            <w14:solidFill>
              <w14:schemeClr w14:val="tx1"/>
            </w14:solidFill>
          </w14:textFill>
        </w:rPr>
        <w:t>③</w:t>
      </w:r>
      <w:r>
        <w:rPr>
          <w:rFonts w:cs="Times New Roman"/>
          <w:color w:val="000000" w:themeColor="text1"/>
          <w:kern w:val="0"/>
          <w:szCs w:val="24"/>
          <w:highlight w:val="none"/>
          <w14:textFill>
            <w14:solidFill>
              <w14:schemeClr w14:val="tx1"/>
            </w14:solidFill>
          </w14:textFill>
        </w:rPr>
        <w:t>地下水中氯离子的超标及影响距离计算结果见表5.2-13及图5.2-5。</w:t>
      </w:r>
    </w:p>
    <w:p>
      <w:pPr>
        <w:widowControl/>
        <w:tabs>
          <w:tab w:val="left" w:pos="863"/>
        </w:tabs>
        <w:adjustRightInd/>
        <w:snapToGrid/>
        <w:spacing w:line="240" w:lineRule="auto"/>
        <w:ind w:firstLine="0" w:firstLineChars="0"/>
        <w:jc w:val="center"/>
        <w:rPr>
          <w:rFonts w:eastAsia="黑体" w:cs="Times New Roman"/>
          <w:color w:val="000000" w:themeColor="text1"/>
          <w:kern w:val="0"/>
          <w:sz w:val="21"/>
          <w:szCs w:val="21"/>
          <w:highlight w:val="none"/>
          <w14:textFill>
            <w14:solidFill>
              <w14:schemeClr w14:val="tx1"/>
            </w14:solidFill>
          </w14:textFill>
        </w:rPr>
      </w:pPr>
      <w:r>
        <w:rPr>
          <w:rFonts w:eastAsia="黑体" w:cs="Times New Roman"/>
          <w:color w:val="000000" w:themeColor="text1"/>
          <w:kern w:val="0"/>
          <w:sz w:val="21"/>
          <w:szCs w:val="21"/>
          <w:highlight w:val="none"/>
          <w14:textFill>
            <w14:solidFill>
              <w14:schemeClr w14:val="tx1"/>
            </w14:solidFill>
          </w14:textFill>
        </w:rPr>
        <w:t>表5.2-13  污水</w:t>
      </w:r>
      <w:r>
        <w:rPr>
          <w:rFonts w:hint="eastAsia" w:eastAsia="黑体" w:cs="Times New Roman"/>
          <w:color w:val="000000" w:themeColor="text1"/>
          <w:kern w:val="0"/>
          <w:sz w:val="21"/>
          <w:szCs w:val="21"/>
          <w:highlight w:val="none"/>
          <w14:textFill>
            <w14:solidFill>
              <w14:schemeClr w14:val="tx1"/>
            </w14:solidFill>
          </w14:textFill>
        </w:rPr>
        <w:t>罐</w:t>
      </w:r>
      <w:r>
        <w:rPr>
          <w:rFonts w:eastAsia="黑体" w:cs="Times New Roman"/>
          <w:color w:val="000000" w:themeColor="text1"/>
          <w:kern w:val="0"/>
          <w:sz w:val="21"/>
          <w:szCs w:val="21"/>
          <w:highlight w:val="none"/>
          <w14:textFill>
            <w14:solidFill>
              <w14:schemeClr w14:val="tx1"/>
            </w14:solidFill>
          </w14:textFill>
        </w:rPr>
        <w:t>泄漏地下水中氯离子超标及影响距离</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958"/>
        <w:gridCol w:w="1506"/>
        <w:gridCol w:w="1672"/>
        <w:gridCol w:w="1339"/>
        <w:gridCol w:w="1506"/>
        <w:gridCol w:w="13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90" w:hRule="atLeast"/>
          <w:jc w:val="center"/>
        </w:trPr>
        <w:tc>
          <w:tcPr>
            <w:tcW w:w="573" w:type="pct"/>
            <w:vAlign w:val="center"/>
          </w:tcPr>
          <w:p>
            <w:pPr>
              <w:widowControl/>
              <w:spacing w:line="240" w:lineRule="auto"/>
              <w:ind w:firstLine="0" w:firstLineChars="0"/>
              <w:jc w:val="center"/>
              <w:rPr>
                <w:rFonts w:cs="Times New Roman"/>
                <w:b/>
                <w:color w:val="000000" w:themeColor="text1"/>
                <w:kern w:val="0"/>
                <w:sz w:val="21"/>
                <w:szCs w:val="21"/>
                <w:highlight w:val="none"/>
                <w:lang w:eastAsia="en-US"/>
                <w14:textFill>
                  <w14:solidFill>
                    <w14:schemeClr w14:val="tx1"/>
                  </w14:solidFill>
                </w14:textFill>
              </w:rPr>
            </w:pPr>
            <w:r>
              <w:rPr>
                <w:rFonts w:cs="Times New Roman"/>
                <w:b/>
                <w:color w:val="000000" w:themeColor="text1"/>
                <w:kern w:val="0"/>
                <w:sz w:val="21"/>
                <w:szCs w:val="21"/>
                <w:highlight w:val="none"/>
                <w:lang w:eastAsia="en-US"/>
                <w14:textFill>
                  <w14:solidFill>
                    <w14:schemeClr w14:val="tx1"/>
                  </w14:solidFill>
                </w14:textFill>
              </w:rPr>
              <w:t>污染时间</w:t>
            </w:r>
          </w:p>
        </w:tc>
        <w:tc>
          <w:tcPr>
            <w:tcW w:w="900" w:type="pct"/>
            <w:vAlign w:val="center"/>
          </w:tcPr>
          <w:p>
            <w:pPr>
              <w:widowControl/>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中心点迁移距离（m）</w:t>
            </w:r>
          </w:p>
        </w:tc>
        <w:tc>
          <w:tcPr>
            <w:tcW w:w="999" w:type="pct"/>
            <w:vAlign w:val="center"/>
          </w:tcPr>
          <w:p>
            <w:pPr>
              <w:widowControl/>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中心点处浓度（mg/L）</w:t>
            </w:r>
          </w:p>
        </w:tc>
        <w:tc>
          <w:tcPr>
            <w:tcW w:w="800" w:type="pct"/>
            <w:vAlign w:val="center"/>
          </w:tcPr>
          <w:p>
            <w:pPr>
              <w:widowControl/>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叠加后浓度（mg/L）</w:t>
            </w:r>
          </w:p>
        </w:tc>
        <w:tc>
          <w:tcPr>
            <w:tcW w:w="900" w:type="pct"/>
            <w:vAlign w:val="center"/>
          </w:tcPr>
          <w:p>
            <w:pPr>
              <w:widowControl/>
              <w:spacing w:line="240" w:lineRule="auto"/>
              <w:ind w:firstLine="0" w:firstLineChars="0"/>
              <w:jc w:val="center"/>
              <w:rPr>
                <w:rFonts w:cs="Times New Roman"/>
                <w:b/>
                <w:color w:val="000000" w:themeColor="text1"/>
                <w:kern w:val="0"/>
                <w:sz w:val="21"/>
                <w:szCs w:val="21"/>
                <w:highlight w:val="none"/>
                <w:lang w:eastAsia="en-US"/>
                <w14:textFill>
                  <w14:solidFill>
                    <w14:schemeClr w14:val="tx1"/>
                  </w14:solidFill>
                </w14:textFill>
              </w:rPr>
            </w:pPr>
            <w:r>
              <w:rPr>
                <w:rFonts w:cs="Times New Roman"/>
                <w:b/>
                <w:color w:val="000000" w:themeColor="text1"/>
                <w:kern w:val="0"/>
                <w:sz w:val="21"/>
                <w:szCs w:val="21"/>
                <w:highlight w:val="none"/>
                <w:lang w:eastAsia="en-US"/>
                <w14:textFill>
                  <w14:solidFill>
                    <w14:schemeClr w14:val="tx1"/>
                  </w14:solidFill>
                </w14:textFill>
              </w:rPr>
              <w:t>最远超标距离（m）</w:t>
            </w:r>
          </w:p>
        </w:tc>
        <w:tc>
          <w:tcPr>
            <w:tcW w:w="828" w:type="pct"/>
            <w:vAlign w:val="center"/>
          </w:tcPr>
          <w:p>
            <w:pPr>
              <w:widowControl/>
              <w:spacing w:line="240" w:lineRule="auto"/>
              <w:ind w:firstLine="0" w:firstLineChars="0"/>
              <w:jc w:val="center"/>
              <w:rPr>
                <w:rFonts w:cs="Times New Roman"/>
                <w:b/>
                <w:color w:val="000000" w:themeColor="text1"/>
                <w:kern w:val="0"/>
                <w:sz w:val="21"/>
                <w:szCs w:val="21"/>
                <w:highlight w:val="none"/>
                <w:lang w:eastAsia="en-US"/>
                <w14:textFill>
                  <w14:solidFill>
                    <w14:schemeClr w14:val="tx1"/>
                  </w14:solidFill>
                </w14:textFill>
              </w:rPr>
            </w:pPr>
            <w:r>
              <w:rPr>
                <w:rFonts w:cs="Times New Roman"/>
                <w:b/>
                <w:color w:val="000000" w:themeColor="text1"/>
                <w:kern w:val="0"/>
                <w:sz w:val="21"/>
                <w:szCs w:val="21"/>
                <w:highlight w:val="none"/>
                <w:lang w:eastAsia="en-US"/>
                <w14:textFill>
                  <w14:solidFill>
                    <w14:schemeClr w14:val="tx1"/>
                  </w14:solidFill>
                </w14:textFill>
              </w:rPr>
              <w:t>最远影响距离（m）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0" w:hRule="atLeast"/>
          <w:jc w:val="center"/>
        </w:trPr>
        <w:tc>
          <w:tcPr>
            <w:tcW w:w="573" w:type="pct"/>
            <w:vAlign w:val="center"/>
          </w:tcPr>
          <w:p>
            <w:pPr>
              <w:widowControl/>
              <w:spacing w:line="240" w:lineRule="auto"/>
              <w:ind w:firstLine="0" w:firstLineChars="0"/>
              <w:jc w:val="center"/>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100d</w:t>
            </w:r>
          </w:p>
        </w:tc>
        <w:tc>
          <w:tcPr>
            <w:tcW w:w="900" w:type="pct"/>
            <w:vAlign w:val="center"/>
          </w:tcPr>
          <w:p>
            <w:pPr>
              <w:widowControl/>
              <w:spacing w:line="240" w:lineRule="auto"/>
              <w:ind w:firstLine="0" w:firstLineChars="0"/>
              <w:jc w:val="center"/>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8.2</w:t>
            </w:r>
          </w:p>
        </w:tc>
        <w:tc>
          <w:tcPr>
            <w:tcW w:w="999" w:type="pct"/>
            <w:vAlign w:val="center"/>
          </w:tcPr>
          <w:p>
            <w:pPr>
              <w:widowControl/>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2.53</w:t>
            </w:r>
          </w:p>
        </w:tc>
        <w:tc>
          <w:tcPr>
            <w:tcW w:w="800" w:type="pct"/>
            <w:vAlign w:val="bottom"/>
          </w:tcPr>
          <w:p>
            <w:pPr>
              <w:widowControl/>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34.3</w:t>
            </w:r>
          </w:p>
        </w:tc>
        <w:tc>
          <w:tcPr>
            <w:tcW w:w="900" w:type="pct"/>
            <w:vAlign w:val="center"/>
          </w:tcPr>
          <w:p>
            <w:pPr>
              <w:widowControl/>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w:t>
            </w:r>
          </w:p>
        </w:tc>
        <w:tc>
          <w:tcPr>
            <w:tcW w:w="828" w:type="pct"/>
            <w:vAlign w:val="center"/>
          </w:tcPr>
          <w:p>
            <w:pPr>
              <w:widowControl/>
              <w:spacing w:line="240" w:lineRule="auto"/>
              <w:ind w:firstLine="0" w:firstLineChars="0"/>
              <w:jc w:val="center"/>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48" w:hRule="atLeast"/>
          <w:jc w:val="center"/>
        </w:trPr>
        <w:tc>
          <w:tcPr>
            <w:tcW w:w="573" w:type="pct"/>
            <w:vAlign w:val="center"/>
          </w:tcPr>
          <w:p>
            <w:pPr>
              <w:widowControl/>
              <w:spacing w:line="240" w:lineRule="auto"/>
              <w:ind w:firstLine="0" w:firstLineChars="0"/>
              <w:jc w:val="center"/>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365d</w:t>
            </w:r>
          </w:p>
        </w:tc>
        <w:tc>
          <w:tcPr>
            <w:tcW w:w="900" w:type="pct"/>
            <w:vAlign w:val="center"/>
          </w:tcPr>
          <w:p>
            <w:pPr>
              <w:widowControl/>
              <w:spacing w:line="240" w:lineRule="auto"/>
              <w:ind w:firstLine="0" w:firstLineChars="0"/>
              <w:jc w:val="center"/>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29.9</w:t>
            </w:r>
          </w:p>
        </w:tc>
        <w:tc>
          <w:tcPr>
            <w:tcW w:w="999" w:type="pct"/>
            <w:vAlign w:val="center"/>
          </w:tcPr>
          <w:p>
            <w:pPr>
              <w:widowControl/>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0.692</w:t>
            </w:r>
          </w:p>
        </w:tc>
        <w:tc>
          <w:tcPr>
            <w:tcW w:w="800" w:type="pct"/>
            <w:vAlign w:val="bottom"/>
          </w:tcPr>
          <w:p>
            <w:pPr>
              <w:widowControl/>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32.492</w:t>
            </w:r>
          </w:p>
        </w:tc>
        <w:tc>
          <w:tcPr>
            <w:tcW w:w="900" w:type="pct"/>
            <w:vAlign w:val="center"/>
          </w:tcPr>
          <w:p>
            <w:pPr>
              <w:widowControl/>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w:t>
            </w:r>
          </w:p>
        </w:tc>
        <w:tc>
          <w:tcPr>
            <w:tcW w:w="828" w:type="pct"/>
            <w:vAlign w:val="center"/>
          </w:tcPr>
          <w:p>
            <w:pPr>
              <w:widowControl/>
              <w:spacing w:line="240" w:lineRule="auto"/>
              <w:ind w:firstLine="0" w:firstLineChars="0"/>
              <w:jc w:val="center"/>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0" w:hRule="atLeast"/>
          <w:jc w:val="center"/>
        </w:trPr>
        <w:tc>
          <w:tcPr>
            <w:tcW w:w="573" w:type="pct"/>
            <w:vAlign w:val="center"/>
          </w:tcPr>
          <w:p>
            <w:pPr>
              <w:widowControl/>
              <w:spacing w:line="240" w:lineRule="auto"/>
              <w:ind w:firstLine="0" w:firstLineChars="0"/>
              <w:jc w:val="center"/>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1000d</w:t>
            </w:r>
          </w:p>
        </w:tc>
        <w:tc>
          <w:tcPr>
            <w:tcW w:w="900" w:type="pct"/>
            <w:vAlign w:val="center"/>
          </w:tcPr>
          <w:p>
            <w:pPr>
              <w:widowControl/>
              <w:spacing w:line="240" w:lineRule="auto"/>
              <w:ind w:firstLine="0" w:firstLineChars="0"/>
              <w:jc w:val="center"/>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82</w:t>
            </w:r>
          </w:p>
        </w:tc>
        <w:tc>
          <w:tcPr>
            <w:tcW w:w="999" w:type="pct"/>
            <w:vAlign w:val="center"/>
          </w:tcPr>
          <w:p>
            <w:pPr>
              <w:widowControl/>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0.25</w:t>
            </w:r>
          </w:p>
        </w:tc>
        <w:tc>
          <w:tcPr>
            <w:tcW w:w="800" w:type="pct"/>
            <w:vAlign w:val="bottom"/>
          </w:tcPr>
          <w:p>
            <w:pPr>
              <w:widowControl/>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32.05</w:t>
            </w:r>
          </w:p>
        </w:tc>
        <w:tc>
          <w:tcPr>
            <w:tcW w:w="900" w:type="pct"/>
            <w:vAlign w:val="center"/>
          </w:tcPr>
          <w:p>
            <w:pPr>
              <w:widowControl/>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w:t>
            </w:r>
          </w:p>
        </w:tc>
        <w:tc>
          <w:tcPr>
            <w:tcW w:w="828" w:type="pct"/>
            <w:vAlign w:val="center"/>
          </w:tcPr>
          <w:p>
            <w:pPr>
              <w:widowControl/>
              <w:spacing w:line="240" w:lineRule="auto"/>
              <w:ind w:firstLine="0" w:firstLineChars="0"/>
              <w:jc w:val="center"/>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48" w:hRule="atLeast"/>
          <w:jc w:val="center"/>
        </w:trPr>
        <w:tc>
          <w:tcPr>
            <w:tcW w:w="573" w:type="pct"/>
            <w:vAlign w:val="center"/>
          </w:tcPr>
          <w:p>
            <w:pPr>
              <w:widowControl/>
              <w:spacing w:line="240" w:lineRule="auto"/>
              <w:ind w:firstLine="0" w:firstLineChars="0"/>
              <w:jc w:val="center"/>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3650d</w:t>
            </w:r>
          </w:p>
        </w:tc>
        <w:tc>
          <w:tcPr>
            <w:tcW w:w="900" w:type="pct"/>
            <w:vAlign w:val="center"/>
          </w:tcPr>
          <w:p>
            <w:pPr>
              <w:widowControl/>
              <w:spacing w:line="240" w:lineRule="auto"/>
              <w:ind w:firstLine="0" w:firstLineChars="0"/>
              <w:jc w:val="center"/>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299</w:t>
            </w:r>
          </w:p>
        </w:tc>
        <w:tc>
          <w:tcPr>
            <w:tcW w:w="999" w:type="pct"/>
            <w:vAlign w:val="center"/>
          </w:tcPr>
          <w:p>
            <w:pPr>
              <w:widowControl/>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0.069</w:t>
            </w:r>
          </w:p>
        </w:tc>
        <w:tc>
          <w:tcPr>
            <w:tcW w:w="800" w:type="pct"/>
            <w:vAlign w:val="bottom"/>
          </w:tcPr>
          <w:p>
            <w:pPr>
              <w:widowControl/>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31.869</w:t>
            </w:r>
          </w:p>
        </w:tc>
        <w:tc>
          <w:tcPr>
            <w:tcW w:w="900" w:type="pct"/>
            <w:vAlign w:val="center"/>
          </w:tcPr>
          <w:p>
            <w:pPr>
              <w:widowControl/>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w:t>
            </w:r>
          </w:p>
        </w:tc>
        <w:tc>
          <w:tcPr>
            <w:tcW w:w="828" w:type="pct"/>
            <w:vAlign w:val="center"/>
          </w:tcPr>
          <w:p>
            <w:pPr>
              <w:widowControl/>
              <w:spacing w:line="240" w:lineRule="auto"/>
              <w:ind w:firstLine="0" w:firstLineChars="0"/>
              <w:jc w:val="center"/>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w:t>
            </w:r>
          </w:p>
        </w:tc>
      </w:tr>
    </w:tbl>
    <w:p>
      <w:pPr>
        <w:widowControl/>
        <w:spacing w:line="240" w:lineRule="auto"/>
        <w:ind w:firstLine="0" w:firstLineChars="0"/>
        <w:jc w:val="left"/>
        <w:rPr>
          <w:rFonts w:cs="Times New Roman"/>
          <w:bCs/>
          <w:color w:val="000000" w:themeColor="text1"/>
          <w:kern w:val="0"/>
          <w:sz w:val="21"/>
          <w:szCs w:val="21"/>
          <w:highlight w:val="none"/>
          <w:lang w:eastAsia="en-US"/>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2519680" cy="1534795"/>
            <wp:effectExtent l="0" t="0" r="0" b="8255"/>
            <wp:docPr id="16246028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602874" name="图片 1"/>
                    <pic:cNvPicPr>
                      <a:picLocks noChangeAspect="1"/>
                    </pic:cNvPicPr>
                  </pic:nvPicPr>
                  <pic:blipFill>
                    <a:blip r:embed="rId101"/>
                    <a:stretch>
                      <a:fillRect/>
                    </a:stretch>
                  </pic:blipFill>
                  <pic:spPr>
                    <a:xfrm>
                      <a:off x="0" y="0"/>
                      <a:ext cx="2520000" cy="1535350"/>
                    </a:xfrm>
                    <a:prstGeom prst="rect">
                      <a:avLst/>
                    </a:prstGeom>
                  </pic:spPr>
                </pic:pic>
              </a:graphicData>
            </a:graphic>
          </wp:inline>
        </w:drawing>
      </w:r>
      <w:r>
        <w:rPr>
          <w:color w:val="000000" w:themeColor="text1"/>
          <w:highlight w:val="none"/>
          <w14:textFill>
            <w14:solidFill>
              <w14:schemeClr w14:val="tx1"/>
            </w14:solidFill>
          </w14:textFill>
        </w:rPr>
        <w:drawing>
          <wp:inline distT="0" distB="0" distL="0" distR="0">
            <wp:extent cx="2519680" cy="1525270"/>
            <wp:effectExtent l="0" t="0" r="0" b="0"/>
            <wp:docPr id="254118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11857" name="图片 1"/>
                    <pic:cNvPicPr>
                      <a:picLocks noChangeAspect="1"/>
                    </pic:cNvPicPr>
                  </pic:nvPicPr>
                  <pic:blipFill>
                    <a:blip r:embed="rId102"/>
                    <a:stretch>
                      <a:fillRect/>
                    </a:stretch>
                  </pic:blipFill>
                  <pic:spPr>
                    <a:xfrm>
                      <a:off x="0" y="0"/>
                      <a:ext cx="2520000" cy="1525343"/>
                    </a:xfrm>
                    <a:prstGeom prst="rect">
                      <a:avLst/>
                    </a:prstGeom>
                  </pic:spPr>
                </pic:pic>
              </a:graphicData>
            </a:graphic>
          </wp:inline>
        </w:drawing>
      </w:r>
    </w:p>
    <w:p>
      <w:pPr>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100d                                                                 365d</w:t>
      </w:r>
    </w:p>
    <w:p>
      <w:pPr>
        <w:spacing w:line="240" w:lineRule="auto"/>
        <w:ind w:firstLine="0" w:firstLineChars="0"/>
        <w:jc w:val="left"/>
        <w:rPr>
          <w:rFonts w:cs="Times New Roman"/>
          <w:bCs/>
          <w:color w:val="000000" w:themeColor="text1"/>
          <w:sz w:val="21"/>
          <w:szCs w:val="2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2519680" cy="1506855"/>
            <wp:effectExtent l="0" t="0" r="0" b="0"/>
            <wp:docPr id="7653604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360412" name="图片 1"/>
                    <pic:cNvPicPr>
                      <a:picLocks noChangeAspect="1"/>
                    </pic:cNvPicPr>
                  </pic:nvPicPr>
                  <pic:blipFill>
                    <a:blip r:embed="rId103"/>
                    <a:stretch>
                      <a:fillRect/>
                    </a:stretch>
                  </pic:blipFill>
                  <pic:spPr>
                    <a:xfrm>
                      <a:off x="0" y="0"/>
                      <a:ext cx="2520000" cy="1507451"/>
                    </a:xfrm>
                    <a:prstGeom prst="rect">
                      <a:avLst/>
                    </a:prstGeom>
                  </pic:spPr>
                </pic:pic>
              </a:graphicData>
            </a:graphic>
          </wp:inline>
        </w:drawing>
      </w:r>
      <w:r>
        <w:rPr>
          <w:color w:val="000000" w:themeColor="text1"/>
          <w:highlight w:val="none"/>
          <w14:textFill>
            <w14:solidFill>
              <w14:schemeClr w14:val="tx1"/>
            </w14:solidFill>
          </w14:textFill>
        </w:rPr>
        <w:drawing>
          <wp:inline distT="0" distB="0" distL="0" distR="0">
            <wp:extent cx="2519680" cy="1510665"/>
            <wp:effectExtent l="0" t="0" r="0" b="0"/>
            <wp:docPr id="12803391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339102" name="图片 1"/>
                    <pic:cNvPicPr>
                      <a:picLocks noChangeAspect="1"/>
                    </pic:cNvPicPr>
                  </pic:nvPicPr>
                  <pic:blipFill>
                    <a:blip r:embed="rId104"/>
                    <a:stretch>
                      <a:fillRect/>
                    </a:stretch>
                  </pic:blipFill>
                  <pic:spPr>
                    <a:xfrm>
                      <a:off x="0" y="0"/>
                      <a:ext cx="2520000" cy="1511090"/>
                    </a:xfrm>
                    <a:prstGeom prst="rect">
                      <a:avLst/>
                    </a:prstGeom>
                  </pic:spPr>
                </pic:pic>
              </a:graphicData>
            </a:graphic>
          </wp:inline>
        </w:drawing>
      </w:r>
    </w:p>
    <w:p>
      <w:pPr>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1000d                                                                       3650d</w:t>
      </w:r>
    </w:p>
    <w:p>
      <w:pPr>
        <w:widowControl/>
        <w:spacing w:line="240" w:lineRule="auto"/>
        <w:ind w:firstLine="0" w:firstLineChars="0"/>
        <w:jc w:val="center"/>
        <w:rPr>
          <w:rFonts w:eastAsia="黑体" w:cs="Times New Roman"/>
          <w:color w:val="000000" w:themeColor="text1"/>
          <w:kern w:val="0"/>
          <w:sz w:val="21"/>
          <w:szCs w:val="21"/>
          <w:highlight w:val="none"/>
          <w14:textFill>
            <w14:solidFill>
              <w14:schemeClr w14:val="tx1"/>
            </w14:solidFill>
          </w14:textFill>
        </w:rPr>
      </w:pPr>
      <w:r>
        <w:rPr>
          <w:rFonts w:eastAsia="黑体" w:cs="Times New Roman"/>
          <w:color w:val="000000" w:themeColor="text1"/>
          <w:kern w:val="0"/>
          <w:sz w:val="21"/>
          <w:szCs w:val="21"/>
          <w:highlight w:val="none"/>
          <w14:textFill>
            <w14:solidFill>
              <w14:schemeClr w14:val="tx1"/>
            </w14:solidFill>
          </w14:textFill>
        </w:rPr>
        <w:t>图5.2-5  污水</w:t>
      </w:r>
      <w:r>
        <w:rPr>
          <w:rFonts w:hint="eastAsia" w:eastAsia="黑体" w:cs="Times New Roman"/>
          <w:color w:val="000000" w:themeColor="text1"/>
          <w:kern w:val="0"/>
          <w:sz w:val="21"/>
          <w:szCs w:val="21"/>
          <w:highlight w:val="none"/>
          <w14:textFill>
            <w14:solidFill>
              <w14:schemeClr w14:val="tx1"/>
            </w14:solidFill>
          </w14:textFill>
        </w:rPr>
        <w:t>罐</w:t>
      </w:r>
      <w:r>
        <w:rPr>
          <w:rFonts w:eastAsia="黑体" w:cs="Times New Roman"/>
          <w:color w:val="000000" w:themeColor="text1"/>
          <w:kern w:val="0"/>
          <w:sz w:val="21"/>
          <w:szCs w:val="21"/>
          <w:highlight w:val="none"/>
          <w14:textFill>
            <w14:solidFill>
              <w14:schemeClr w14:val="tx1"/>
            </w14:solidFill>
          </w14:textFill>
        </w:rPr>
        <w:t>泄漏不同预测时间氯离子贡献值与距离浓度关系图</w:t>
      </w:r>
    </w:p>
    <w:p>
      <w:pPr>
        <w:widowControl/>
        <w:ind w:firstLine="482"/>
        <w:rPr>
          <w:rFonts w:cs="Times New Roman"/>
          <w:b/>
          <w:bCs/>
          <w:color w:val="000000" w:themeColor="text1"/>
          <w:kern w:val="0"/>
          <w:szCs w:val="24"/>
          <w:highlight w:val="none"/>
          <w14:textFill>
            <w14:solidFill>
              <w14:schemeClr w14:val="tx1"/>
            </w14:solidFill>
          </w14:textFill>
        </w:rPr>
      </w:pPr>
      <w:bookmarkStart w:id="316" w:name="_Toc78877615"/>
      <w:bookmarkStart w:id="317" w:name="_Toc7285"/>
      <w:r>
        <w:rPr>
          <w:rFonts w:cs="Times New Roman"/>
          <w:b/>
          <w:bCs/>
          <w:color w:val="000000" w:themeColor="text1"/>
          <w:kern w:val="0"/>
          <w:szCs w:val="24"/>
          <w:highlight w:val="none"/>
          <w14:textFill>
            <w14:solidFill>
              <w14:schemeClr w14:val="tx1"/>
            </w14:solidFill>
          </w14:textFill>
        </w:rPr>
        <w:t>（5）地下水影响评价</w:t>
      </w:r>
      <w:bookmarkEnd w:id="316"/>
    </w:p>
    <w:bookmarkEnd w:id="314"/>
    <w:bookmarkEnd w:id="315"/>
    <w:bookmarkEnd w:id="317"/>
    <w:p>
      <w:pPr>
        <w:widowControl/>
        <w:ind w:firstLine="480"/>
        <w:rPr>
          <w:rFonts w:cs="Times New Roman"/>
          <w:color w:val="000000" w:themeColor="text1"/>
          <w:kern w:val="0"/>
          <w:szCs w:val="24"/>
          <w:highlight w:val="none"/>
          <w14:textFill>
            <w14:solidFill>
              <w14:schemeClr w14:val="tx1"/>
            </w14:solidFill>
          </w14:textFill>
        </w:rPr>
      </w:pPr>
      <w:r>
        <w:rPr>
          <w:rFonts w:hint="eastAsia" w:cs="Times New Roman"/>
          <w:snapToGrid w:val="0"/>
          <w:color w:val="000000" w:themeColor="text1"/>
          <w:kern w:val="0"/>
          <w:szCs w:val="24"/>
          <w:highlight w:val="none"/>
          <w14:textFill>
            <w14:solidFill>
              <w14:schemeClr w14:val="tx1"/>
            </w14:solidFill>
          </w14:textFill>
        </w:rPr>
        <w:t>本项目</w:t>
      </w:r>
      <w:r>
        <w:rPr>
          <w:rFonts w:cs="Times New Roman"/>
          <w:snapToGrid w:val="0"/>
          <w:color w:val="000000" w:themeColor="text1"/>
          <w:kern w:val="0"/>
          <w:szCs w:val="24"/>
          <w:highlight w:val="none"/>
          <w14:textFill>
            <w14:solidFill>
              <w14:schemeClr w14:val="tx1"/>
            </w14:solidFill>
          </w14:textFill>
        </w:rPr>
        <w:t>污水</w:t>
      </w:r>
      <w:r>
        <w:rPr>
          <w:rFonts w:hint="eastAsia" w:cs="Times New Roman"/>
          <w:snapToGrid w:val="0"/>
          <w:color w:val="000000" w:themeColor="text1"/>
          <w:kern w:val="0"/>
          <w:szCs w:val="24"/>
          <w:highlight w:val="none"/>
          <w14:textFill>
            <w14:solidFill>
              <w14:schemeClr w14:val="tx1"/>
            </w14:solidFill>
          </w14:textFill>
        </w:rPr>
        <w:t>罐底部发生裂口，气田水</w:t>
      </w:r>
      <w:r>
        <w:rPr>
          <w:rFonts w:cs="Times New Roman"/>
          <w:snapToGrid w:val="0"/>
          <w:color w:val="000000" w:themeColor="text1"/>
          <w:kern w:val="0"/>
          <w:szCs w:val="24"/>
          <w:highlight w:val="none"/>
          <w14:textFill>
            <w14:solidFill>
              <w14:schemeClr w14:val="tx1"/>
            </w14:solidFill>
          </w14:textFill>
        </w:rPr>
        <w:t>通过裂缝逐渐渗漏到地下含水层中，对地下水水质造成污染</w:t>
      </w:r>
      <w:r>
        <w:rPr>
          <w:rFonts w:hint="eastAsia" w:cs="Times New Roman"/>
          <w:snapToGrid w:val="0"/>
          <w:color w:val="000000" w:themeColor="text1"/>
          <w:kern w:val="0"/>
          <w:szCs w:val="24"/>
          <w:highlight w:val="none"/>
          <w14:textFill>
            <w14:solidFill>
              <w14:schemeClr w14:val="tx1"/>
            </w14:solidFill>
          </w14:textFill>
        </w:rPr>
        <w:t>时</w:t>
      </w:r>
      <w:r>
        <w:rPr>
          <w:rFonts w:cs="Times New Roman"/>
          <w:color w:val="000000" w:themeColor="text1"/>
          <w:kern w:val="0"/>
          <w:szCs w:val="24"/>
          <w:highlight w:val="none"/>
          <w14:textFill>
            <w14:solidFill>
              <w14:schemeClr w14:val="tx1"/>
            </w14:solidFill>
          </w14:textFill>
        </w:rPr>
        <w:t>：</w:t>
      </w:r>
    </w:p>
    <w:p>
      <w:pPr>
        <w:widowControl/>
        <w:ind w:firstLine="480"/>
        <w:rPr>
          <w:rFonts w:cs="Times New Roman"/>
          <w:color w:val="000000" w:themeColor="text1"/>
          <w:kern w:val="0"/>
          <w:szCs w:val="24"/>
          <w:highlight w:val="none"/>
          <w14:textFill>
            <w14:solidFill>
              <w14:schemeClr w14:val="tx1"/>
            </w14:solidFill>
          </w14:textFill>
        </w:rPr>
      </w:pPr>
      <w:r>
        <w:rPr>
          <w:rFonts w:hint="eastAsia" w:ascii="宋体" w:hAnsi="宋体" w:cs="宋体"/>
          <w:color w:val="000000" w:themeColor="text1"/>
          <w:kern w:val="0"/>
          <w:szCs w:val="24"/>
          <w:highlight w:val="none"/>
          <w14:textFill>
            <w14:solidFill>
              <w14:schemeClr w14:val="tx1"/>
            </w14:solidFill>
          </w14:textFill>
        </w:rPr>
        <w:t>①</w:t>
      </w:r>
      <w:r>
        <w:rPr>
          <w:rFonts w:cs="Times New Roman"/>
          <w:color w:val="000000" w:themeColor="text1"/>
          <w:kern w:val="0"/>
          <w:szCs w:val="24"/>
          <w:highlight w:val="none"/>
          <w14:textFill>
            <w14:solidFill>
              <w14:schemeClr w14:val="tx1"/>
            </w14:solidFill>
          </w14:textFill>
        </w:rPr>
        <w:t>COD</w:t>
      </w:r>
      <w:r>
        <w:rPr>
          <w:rFonts w:cs="Times New Roman"/>
          <w:color w:val="000000" w:themeColor="text1"/>
          <w:kern w:val="0"/>
          <w:szCs w:val="24"/>
          <w:highlight w:val="none"/>
          <w:vertAlign w:val="subscript"/>
          <w14:textFill>
            <w14:solidFill>
              <w14:schemeClr w14:val="tx1"/>
            </w14:solidFill>
          </w14:textFill>
        </w:rPr>
        <w:t>Mn</w:t>
      </w:r>
      <w:r>
        <w:rPr>
          <w:rFonts w:cs="Times New Roman"/>
          <w:color w:val="000000" w:themeColor="text1"/>
          <w:kern w:val="0"/>
          <w:szCs w:val="24"/>
          <w:highlight w:val="none"/>
          <w14:textFill>
            <w14:solidFill>
              <w14:schemeClr w14:val="tx1"/>
            </w14:solidFill>
          </w14:textFill>
        </w:rPr>
        <w:t>在污水</w:t>
      </w:r>
      <w:r>
        <w:rPr>
          <w:rFonts w:hint="eastAsia" w:cs="Times New Roman"/>
          <w:color w:val="000000" w:themeColor="text1"/>
          <w:kern w:val="0"/>
          <w:szCs w:val="24"/>
          <w:highlight w:val="none"/>
          <w14:textFill>
            <w14:solidFill>
              <w14:schemeClr w14:val="tx1"/>
            </w14:solidFill>
          </w14:textFill>
        </w:rPr>
        <w:t>罐</w:t>
      </w:r>
      <w:r>
        <w:rPr>
          <w:rFonts w:cs="Times New Roman"/>
          <w:color w:val="000000" w:themeColor="text1"/>
          <w:kern w:val="0"/>
          <w:szCs w:val="24"/>
          <w:highlight w:val="none"/>
          <w14:textFill>
            <w14:solidFill>
              <w14:schemeClr w14:val="tx1"/>
            </w14:solidFill>
          </w14:textFill>
        </w:rPr>
        <w:t>破裂365d时最远超标距离为下游65m，最高浓度为</w:t>
      </w:r>
      <w:r>
        <w:rPr>
          <w:rFonts w:cs="Times New Roman"/>
          <w:bCs/>
          <w:color w:val="000000" w:themeColor="text1"/>
          <w:kern w:val="0"/>
          <w:szCs w:val="24"/>
          <w:highlight w:val="none"/>
          <w14:textFill>
            <w14:solidFill>
              <w14:schemeClr w14:val="tx1"/>
            </w14:solidFill>
          </w14:textFill>
        </w:rPr>
        <w:t>2.996</w:t>
      </w:r>
      <w:r>
        <w:rPr>
          <w:rFonts w:cs="Times New Roman"/>
          <w:color w:val="000000" w:themeColor="text1"/>
          <w:kern w:val="0"/>
          <w:szCs w:val="24"/>
          <w:highlight w:val="none"/>
          <w14:textFill>
            <w14:solidFill>
              <w14:schemeClr w14:val="tx1"/>
            </w14:solidFill>
          </w14:textFill>
        </w:rPr>
        <w:t>mg/L，在1000d时，已无超标范围。</w:t>
      </w:r>
    </w:p>
    <w:p>
      <w:pPr>
        <w:widowControl/>
        <w:ind w:firstLine="480"/>
        <w:rPr>
          <w:rFonts w:cs="Times New Roman"/>
          <w:color w:val="000000" w:themeColor="text1"/>
          <w:kern w:val="0"/>
          <w:szCs w:val="24"/>
          <w:highlight w:val="none"/>
          <w14:textFill>
            <w14:solidFill>
              <w14:schemeClr w14:val="tx1"/>
            </w14:solidFill>
          </w14:textFill>
        </w:rPr>
      </w:pPr>
      <w:r>
        <w:rPr>
          <w:rFonts w:hint="eastAsia" w:ascii="宋体" w:hAnsi="宋体" w:cs="宋体"/>
          <w:color w:val="000000" w:themeColor="text1"/>
          <w:kern w:val="0"/>
          <w:szCs w:val="24"/>
          <w:highlight w:val="none"/>
          <w14:textFill>
            <w14:solidFill>
              <w14:schemeClr w14:val="tx1"/>
            </w14:solidFill>
          </w14:textFill>
        </w:rPr>
        <w:t>②</w:t>
      </w:r>
      <w:r>
        <w:rPr>
          <w:rFonts w:cs="Times New Roman"/>
          <w:color w:val="000000" w:themeColor="text1"/>
          <w:kern w:val="0"/>
          <w:szCs w:val="24"/>
          <w:highlight w:val="none"/>
          <w14:textFill>
            <w14:solidFill>
              <w14:schemeClr w14:val="tx1"/>
            </w14:solidFill>
          </w14:textFill>
        </w:rPr>
        <w:t>石油类在污水</w:t>
      </w:r>
      <w:r>
        <w:rPr>
          <w:rFonts w:hint="eastAsia" w:cs="Times New Roman"/>
          <w:color w:val="000000" w:themeColor="text1"/>
          <w:kern w:val="0"/>
          <w:szCs w:val="24"/>
          <w:highlight w:val="none"/>
          <w14:textFill>
            <w14:solidFill>
              <w14:schemeClr w14:val="tx1"/>
            </w14:solidFill>
          </w14:textFill>
        </w:rPr>
        <w:t>罐</w:t>
      </w:r>
      <w:r>
        <w:rPr>
          <w:rFonts w:cs="Times New Roman"/>
          <w:color w:val="000000" w:themeColor="text1"/>
          <w:kern w:val="0"/>
          <w:szCs w:val="24"/>
          <w:highlight w:val="none"/>
          <w14:textFill>
            <w14:solidFill>
              <w14:schemeClr w14:val="tx1"/>
            </w14:solidFill>
          </w14:textFill>
        </w:rPr>
        <w:t>破裂100d时最远超标距离为下游26m，最高浓度为</w:t>
      </w:r>
      <w:r>
        <w:rPr>
          <w:rFonts w:cs="Times New Roman"/>
          <w:bCs/>
          <w:color w:val="000000" w:themeColor="text1"/>
          <w:kern w:val="0"/>
          <w:szCs w:val="24"/>
          <w:highlight w:val="none"/>
          <w14:textFill>
            <w14:solidFill>
              <w14:schemeClr w14:val="tx1"/>
            </w14:solidFill>
          </w14:textFill>
        </w:rPr>
        <w:t>0.126</w:t>
      </w:r>
      <w:r>
        <w:rPr>
          <w:rFonts w:cs="Times New Roman"/>
          <w:color w:val="000000" w:themeColor="text1"/>
          <w:kern w:val="0"/>
          <w:szCs w:val="24"/>
          <w:highlight w:val="none"/>
          <w14:textFill>
            <w14:solidFill>
              <w14:schemeClr w14:val="tx1"/>
            </w14:solidFill>
          </w14:textFill>
        </w:rPr>
        <w:t>mg/L，在365d时，已无超标范围。</w:t>
      </w:r>
    </w:p>
    <w:p>
      <w:pPr>
        <w:widowControl/>
        <w:ind w:firstLine="480"/>
        <w:rPr>
          <w:rFonts w:cs="Times New Roman"/>
          <w:color w:val="000000" w:themeColor="text1"/>
          <w:kern w:val="0"/>
          <w:szCs w:val="24"/>
          <w:highlight w:val="none"/>
          <w14:textFill>
            <w14:solidFill>
              <w14:schemeClr w14:val="tx1"/>
            </w14:solidFill>
          </w14:textFill>
        </w:rPr>
      </w:pPr>
      <w:r>
        <w:rPr>
          <w:rFonts w:hint="eastAsia" w:ascii="宋体" w:hAnsi="宋体" w:cs="宋体"/>
          <w:color w:val="000000" w:themeColor="text1"/>
          <w:kern w:val="0"/>
          <w:szCs w:val="24"/>
          <w:highlight w:val="none"/>
          <w14:textFill>
            <w14:solidFill>
              <w14:schemeClr w14:val="tx1"/>
            </w14:solidFill>
          </w14:textFill>
        </w:rPr>
        <w:t>③</w:t>
      </w:r>
      <w:r>
        <w:rPr>
          <w:rFonts w:cs="Times New Roman"/>
          <w:color w:val="000000" w:themeColor="text1"/>
          <w:kern w:val="0"/>
          <w:szCs w:val="24"/>
          <w:highlight w:val="none"/>
          <w14:textFill>
            <w14:solidFill>
              <w14:schemeClr w14:val="tx1"/>
            </w14:solidFill>
          </w14:textFill>
        </w:rPr>
        <w:t>氯化物在污水</w:t>
      </w:r>
      <w:r>
        <w:rPr>
          <w:rFonts w:hint="eastAsia" w:cs="Times New Roman"/>
          <w:color w:val="000000" w:themeColor="text1"/>
          <w:kern w:val="0"/>
          <w:szCs w:val="24"/>
          <w:highlight w:val="none"/>
          <w14:textFill>
            <w14:solidFill>
              <w14:schemeClr w14:val="tx1"/>
            </w14:solidFill>
          </w14:textFill>
        </w:rPr>
        <w:t>罐</w:t>
      </w:r>
      <w:r>
        <w:rPr>
          <w:rFonts w:cs="Times New Roman"/>
          <w:color w:val="000000" w:themeColor="text1"/>
          <w:kern w:val="0"/>
          <w:szCs w:val="24"/>
          <w:highlight w:val="none"/>
          <w14:textFill>
            <w14:solidFill>
              <w14:schemeClr w14:val="tx1"/>
            </w14:solidFill>
          </w14:textFill>
        </w:rPr>
        <w:t>破裂整个工况下中心点处均未出现超标现象。</w:t>
      </w:r>
    </w:p>
    <w:p>
      <w:pPr>
        <w:widowControl/>
        <w:ind w:firstLine="480"/>
        <w:rPr>
          <w:rFonts w:cs="Times New Roman"/>
          <w:color w:val="000000" w:themeColor="text1"/>
          <w:kern w:val="0"/>
          <w:szCs w:val="24"/>
          <w:highlight w:val="none"/>
          <w14:textFill>
            <w14:solidFill>
              <w14:schemeClr w14:val="tx1"/>
            </w14:solidFill>
          </w14:textFill>
        </w:rPr>
      </w:pPr>
      <w:bookmarkStart w:id="318" w:name="_Hlk89072087"/>
      <w:bookmarkStart w:id="319" w:name="_Toc10566"/>
      <w:r>
        <w:rPr>
          <w:rFonts w:cs="Times New Roman"/>
          <w:color w:val="000000" w:themeColor="text1"/>
          <w:kern w:val="0"/>
          <w:szCs w:val="24"/>
          <w:highlight w:val="none"/>
          <w14:textFill>
            <w14:solidFill>
              <w14:schemeClr w14:val="tx1"/>
            </w14:solidFill>
          </w14:textFill>
        </w:rPr>
        <w:t>本项目</w:t>
      </w:r>
      <w:bookmarkEnd w:id="318"/>
      <w:r>
        <w:rPr>
          <w:rFonts w:cs="Times New Roman"/>
          <w:color w:val="000000" w:themeColor="text1"/>
          <w:kern w:val="0"/>
          <w:szCs w:val="24"/>
          <w:highlight w:val="none"/>
          <w14:textFill>
            <w14:solidFill>
              <w14:schemeClr w14:val="tx1"/>
            </w14:solidFill>
          </w14:textFill>
        </w:rPr>
        <w:t>发生事故后会对地下水流向下游的居民泉水造成污染影响，根据外环境关系调查，本项目</w:t>
      </w:r>
      <w:r>
        <w:rPr>
          <w:rFonts w:hint="eastAsia" w:cs="Times New Roman"/>
          <w:color w:val="000000" w:themeColor="text1"/>
          <w:kern w:val="0"/>
          <w:szCs w:val="24"/>
          <w:highlight w:val="none"/>
          <w14:textFill>
            <w14:solidFill>
              <w14:schemeClr w14:val="tx1"/>
            </w14:solidFill>
          </w14:textFill>
        </w:rPr>
        <w:t>污水罐</w:t>
      </w:r>
      <w:r>
        <w:rPr>
          <w:rFonts w:cs="Times New Roman"/>
          <w:color w:val="000000" w:themeColor="text1"/>
          <w:kern w:val="0"/>
          <w:szCs w:val="24"/>
          <w:highlight w:val="none"/>
          <w14:textFill>
            <w14:solidFill>
              <w14:schemeClr w14:val="tx1"/>
            </w14:solidFill>
          </w14:textFill>
        </w:rPr>
        <w:t>地下水下游在超标范围内无居民水井分布（下游距离最近的水井</w:t>
      </w:r>
      <w:r>
        <w:rPr>
          <w:rFonts w:hint="eastAsia" w:cs="Times New Roman"/>
          <w:color w:val="000000" w:themeColor="text1"/>
          <w:kern w:val="0"/>
          <w:szCs w:val="24"/>
          <w:highlight w:val="none"/>
          <w14:textFill>
            <w14:solidFill>
              <w14:schemeClr w14:val="tx1"/>
            </w14:solidFill>
          </w14:textFill>
        </w:rPr>
        <w:t>为污水罐</w:t>
      </w:r>
      <w:r>
        <w:rPr>
          <w:rFonts w:cs="Times New Roman"/>
          <w:color w:val="000000" w:themeColor="text1"/>
          <w:kern w:val="0"/>
          <w:szCs w:val="24"/>
          <w:highlight w:val="none"/>
          <w14:textFill>
            <w14:solidFill>
              <w14:schemeClr w14:val="tx1"/>
            </w14:solidFill>
          </w14:textFill>
        </w:rPr>
        <w:t>东侧413m处居民水井）。</w:t>
      </w:r>
    </w:p>
    <w:p>
      <w:pPr>
        <w:widowControl/>
        <w:ind w:firstLine="480"/>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由于项目所在区域水文地质条件简单，为潜水含水层，地下水径流速度一般，含水层有效孔隙度小，污染物扩散速度较慢，发生事故时可利用下游民井监控，因此可以有足够的时间来处理，控制污染影响范围。在此需要说明的是，根据中石化川东北地区多年来压裂测试情况，由于池体修建均采用高标准要求，防渗达到设计要求，发生垮塌泄漏的可能性非常小，因此由于池体渗漏造成的地下水不利影响是极难发生的。</w:t>
      </w:r>
    </w:p>
    <w:p>
      <w:pPr>
        <w:widowControl/>
        <w:ind w:firstLine="480"/>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根据项目井场布置和周边居民水井分布情况，本项目在污水</w:t>
      </w:r>
      <w:r>
        <w:rPr>
          <w:rFonts w:hint="eastAsia" w:cs="Times New Roman"/>
          <w:color w:val="000000" w:themeColor="text1"/>
          <w:kern w:val="0"/>
          <w:szCs w:val="24"/>
          <w:highlight w:val="none"/>
          <w14:textFill>
            <w14:solidFill>
              <w14:schemeClr w14:val="tx1"/>
            </w14:solidFill>
          </w14:textFill>
        </w:rPr>
        <w:t>罐</w:t>
      </w:r>
      <w:r>
        <w:rPr>
          <w:rFonts w:cs="Times New Roman"/>
          <w:color w:val="000000" w:themeColor="text1"/>
          <w:kern w:val="0"/>
          <w:szCs w:val="24"/>
          <w:highlight w:val="none"/>
          <w14:textFill>
            <w14:solidFill>
              <w14:schemeClr w14:val="tx1"/>
            </w14:solidFill>
          </w14:textFill>
        </w:rPr>
        <w:t>风险泄漏初期除小范围地区地下水水质超标外，超标范围较小，超标范围内无居民饮用泉</w:t>
      </w:r>
      <w:r>
        <w:rPr>
          <w:rFonts w:hint="eastAsia" w:cs="Times New Roman"/>
          <w:color w:val="000000" w:themeColor="text1"/>
          <w:kern w:val="0"/>
          <w:szCs w:val="24"/>
          <w:highlight w:val="none"/>
          <w14:textFill>
            <w14:solidFill>
              <w14:schemeClr w14:val="tx1"/>
            </w14:solidFill>
          </w14:textFill>
        </w:rPr>
        <w:t>井</w:t>
      </w:r>
      <w:r>
        <w:rPr>
          <w:rFonts w:cs="Times New Roman"/>
          <w:color w:val="000000" w:themeColor="text1"/>
          <w:kern w:val="0"/>
          <w:szCs w:val="24"/>
          <w:highlight w:val="none"/>
          <w14:textFill>
            <w14:solidFill>
              <w14:schemeClr w14:val="tx1"/>
            </w14:solidFill>
          </w14:textFill>
        </w:rPr>
        <w:t>分布</w:t>
      </w:r>
      <w:r>
        <w:rPr>
          <w:rFonts w:hint="eastAsia" w:cs="Times New Roman"/>
          <w:color w:val="000000" w:themeColor="text1"/>
          <w:kern w:val="0"/>
          <w:szCs w:val="24"/>
          <w:highlight w:val="none"/>
          <w14:textFill>
            <w14:solidFill>
              <w14:schemeClr w14:val="tx1"/>
            </w14:solidFill>
          </w14:textFill>
        </w:rPr>
        <w:t>（分散式水源）</w:t>
      </w:r>
      <w:r>
        <w:rPr>
          <w:rFonts w:cs="Times New Roman"/>
          <w:color w:val="000000" w:themeColor="text1"/>
          <w:kern w:val="0"/>
          <w:szCs w:val="24"/>
          <w:highlight w:val="none"/>
          <w14:textFill>
            <w14:solidFill>
              <w14:schemeClr w14:val="tx1"/>
            </w14:solidFill>
          </w14:textFill>
        </w:rPr>
        <w:t>，超标范围内无集中式饮用水源取水点，其余地区地下水水质均满足《地下水质量标准》（GB/T14848-2017）中的Ⅲ类标准，随着时间的推移，污染物在整个评价范围内超标现象逐渐消失。</w:t>
      </w:r>
    </w:p>
    <w:p>
      <w:pPr>
        <w:widowControl/>
        <w:ind w:firstLine="480"/>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鉴于模拟的种情况的污染物超标范围会随着时间的增加逐渐扩大。本环评建议：严密监控污水</w:t>
      </w:r>
      <w:r>
        <w:rPr>
          <w:rFonts w:hint="eastAsia" w:cs="Times New Roman"/>
          <w:color w:val="000000" w:themeColor="text1"/>
          <w:kern w:val="0"/>
          <w:szCs w:val="24"/>
          <w:highlight w:val="none"/>
          <w14:textFill>
            <w14:solidFill>
              <w14:schemeClr w14:val="tx1"/>
            </w14:solidFill>
          </w14:textFill>
        </w:rPr>
        <w:t>罐</w:t>
      </w:r>
      <w:r>
        <w:rPr>
          <w:rFonts w:cs="Times New Roman"/>
          <w:color w:val="000000" w:themeColor="text1"/>
          <w:kern w:val="0"/>
          <w:szCs w:val="24"/>
          <w:highlight w:val="none"/>
          <w14:textFill>
            <w14:solidFill>
              <w14:schemeClr w14:val="tx1"/>
            </w14:solidFill>
          </w14:textFill>
        </w:rPr>
        <w:t>的运行状况，发现</w:t>
      </w:r>
      <w:r>
        <w:rPr>
          <w:rFonts w:hint="eastAsia" w:cs="Times New Roman"/>
          <w:color w:val="000000" w:themeColor="text1"/>
          <w:kern w:val="0"/>
          <w:szCs w:val="24"/>
          <w:highlight w:val="none"/>
          <w14:textFill>
            <w14:solidFill>
              <w14:schemeClr w14:val="tx1"/>
            </w14:solidFill>
          </w14:textFill>
        </w:rPr>
        <w:t>污水罐</w:t>
      </w:r>
      <w:r>
        <w:rPr>
          <w:rFonts w:cs="Times New Roman"/>
          <w:color w:val="000000" w:themeColor="text1"/>
          <w:kern w:val="0"/>
          <w:szCs w:val="24"/>
          <w:highlight w:val="none"/>
          <w14:textFill>
            <w14:solidFill>
              <w14:schemeClr w14:val="tx1"/>
            </w14:solidFill>
          </w14:textFill>
        </w:rPr>
        <w:t>破裂后应立即停止生产作业并启动应急预案，按要求在下游设置的监控水井（</w:t>
      </w:r>
      <w:r>
        <w:rPr>
          <w:rFonts w:hint="eastAsia" w:cs="Times New Roman"/>
          <w:color w:val="000000" w:themeColor="text1"/>
          <w:kern w:val="0"/>
          <w:szCs w:val="24"/>
          <w:highlight w:val="none"/>
          <w14:textFill>
            <w14:solidFill>
              <w14:schemeClr w14:val="tx1"/>
            </w14:solidFill>
          </w14:textFill>
        </w:rPr>
        <w:t>试采站污水罐东侧</w:t>
      </w:r>
      <w:r>
        <w:rPr>
          <w:rFonts w:cs="Times New Roman"/>
          <w:color w:val="000000" w:themeColor="text1"/>
          <w:kern w:val="0"/>
          <w:szCs w:val="24"/>
          <w:highlight w:val="none"/>
          <w14:textFill>
            <w14:solidFill>
              <w14:schemeClr w14:val="tx1"/>
            </w14:solidFill>
          </w14:textFill>
        </w:rPr>
        <w:t>413</w:t>
      </w:r>
      <w:r>
        <w:rPr>
          <w:rFonts w:hint="eastAsia" w:cs="Times New Roman"/>
          <w:color w:val="000000" w:themeColor="text1"/>
          <w:kern w:val="0"/>
          <w:szCs w:val="24"/>
          <w:highlight w:val="none"/>
          <w14:textFill>
            <w14:solidFill>
              <w14:schemeClr w14:val="tx1"/>
            </w14:solidFill>
          </w14:textFill>
        </w:rPr>
        <w:t>m处居民水井</w:t>
      </w:r>
      <w:r>
        <w:rPr>
          <w:rFonts w:cs="Times New Roman"/>
          <w:color w:val="000000" w:themeColor="text1"/>
          <w:kern w:val="0"/>
          <w:szCs w:val="24"/>
          <w:highlight w:val="none"/>
          <w14:textFill>
            <w14:solidFill>
              <w14:schemeClr w14:val="tx1"/>
            </w14:solidFill>
          </w14:textFill>
        </w:rPr>
        <w:t>及</w:t>
      </w:r>
      <w:r>
        <w:rPr>
          <w:rFonts w:hint="eastAsia" w:cs="Times New Roman"/>
          <w:color w:val="000000" w:themeColor="text1"/>
          <w:kern w:val="0"/>
          <w:szCs w:val="24"/>
          <w:highlight w:val="none"/>
          <w14:textFill>
            <w14:solidFill>
              <w14:schemeClr w14:val="tx1"/>
            </w14:solidFill>
          </w14:textFill>
        </w:rPr>
        <w:t>试采站污水罐</w:t>
      </w:r>
      <w:r>
        <w:rPr>
          <w:rFonts w:cs="Times New Roman"/>
          <w:color w:val="000000" w:themeColor="text1"/>
          <w:kern w:val="0"/>
          <w:szCs w:val="24"/>
          <w:highlight w:val="none"/>
          <w14:textFill>
            <w14:solidFill>
              <w14:schemeClr w14:val="tx1"/>
            </w14:solidFill>
          </w14:textFill>
        </w:rPr>
        <w:t>东南侧约430m处水井）加密监控，采取有效措施控制污染物扩散范围，降低环境影响。</w:t>
      </w:r>
    </w:p>
    <w:p>
      <w:pPr>
        <w:widowControl/>
        <w:autoSpaceDE w:val="0"/>
        <w:autoSpaceDN w:val="0"/>
        <w:ind w:firstLine="480"/>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在对下游居民水井加强监控后，项目建设对周围居民水井的影响较小，也不会对地下水环境造成明显不利影响，项目建设对地下水的影响是可接受的。</w:t>
      </w:r>
    </w:p>
    <w:bookmarkEnd w:id="319"/>
    <w:p>
      <w:pPr>
        <w:widowControl/>
        <w:ind w:firstLine="480"/>
        <w:rPr>
          <w:rFonts w:eastAsia="黑体" w:cs="Times New Roman"/>
          <w:color w:val="000000" w:themeColor="text1"/>
          <w:kern w:val="0"/>
          <w:szCs w:val="24"/>
          <w:highlight w:val="none"/>
          <w14:textFill>
            <w14:solidFill>
              <w14:schemeClr w14:val="tx1"/>
            </w14:solidFill>
          </w14:textFill>
        </w:rPr>
      </w:pPr>
      <w:bookmarkStart w:id="320" w:name="_Toc78877617"/>
      <w:r>
        <w:rPr>
          <w:rFonts w:eastAsia="黑体" w:cs="Times New Roman"/>
          <w:color w:val="000000" w:themeColor="text1"/>
          <w:kern w:val="0"/>
          <w:szCs w:val="24"/>
          <w:highlight w:val="none"/>
          <w14:textFill>
            <w14:solidFill>
              <w14:schemeClr w14:val="tx1"/>
            </w14:solidFill>
          </w14:textFill>
        </w:rPr>
        <w:t>4、地下水环境影响预测小结</w:t>
      </w:r>
      <w:bookmarkEnd w:id="320"/>
    </w:p>
    <w:p>
      <w:pPr>
        <w:ind w:firstLine="480"/>
        <w:rPr>
          <w:rFonts w:cs="Times New Roman"/>
          <w:bCs/>
          <w:color w:val="000000" w:themeColor="text1"/>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根据项目外环境关系，项目下游超标范围内无居民水井分布（下游距离最近的水井</w:t>
      </w:r>
      <w:r>
        <w:rPr>
          <w:rFonts w:hint="eastAsia" w:cs="Times New Roman"/>
          <w:color w:val="000000" w:themeColor="text1"/>
          <w:kern w:val="0"/>
          <w:szCs w:val="24"/>
          <w:highlight w:val="none"/>
          <w14:textFill>
            <w14:solidFill>
              <w14:schemeClr w14:val="tx1"/>
            </w14:solidFill>
          </w14:textFill>
        </w:rPr>
        <w:t>为污水罐</w:t>
      </w:r>
      <w:r>
        <w:rPr>
          <w:rFonts w:cs="Times New Roman"/>
          <w:color w:val="000000" w:themeColor="text1"/>
          <w:kern w:val="0"/>
          <w:szCs w:val="24"/>
          <w:highlight w:val="none"/>
          <w14:textFill>
            <w14:solidFill>
              <w14:schemeClr w14:val="tx1"/>
            </w14:solidFill>
          </w14:textFill>
        </w:rPr>
        <w:t>东侧413m处居民水井），因此对项目附近地下水水源影响很小。在对下游居民水井加强监控后，项目建设不会对周围居民水井或用水产生不利影响，也不会对地下水环境造成明显不利影响，项目建设对地下水的影响是可接受的</w:t>
      </w:r>
      <w:r>
        <w:rPr>
          <w:rFonts w:cs="Times New Roman"/>
          <w:color w:val="000000" w:themeColor="text1"/>
          <w:szCs w:val="24"/>
          <w:highlight w:val="none"/>
          <w14:textFill>
            <w14:solidFill>
              <w14:schemeClr w14:val="tx1"/>
            </w14:solidFill>
          </w14:textFill>
        </w:rPr>
        <w:t>。</w:t>
      </w:r>
    </w:p>
    <w:p>
      <w:pPr>
        <w:pStyle w:val="3"/>
        <w:spacing w:before="480" w:beforeLines="200" w:after="0" w:line="480" w:lineRule="auto"/>
        <w:ind w:firstLine="480"/>
        <w:rPr>
          <w:rFonts w:eastAsiaTheme="minorEastAsia"/>
          <w:color w:val="000000" w:themeColor="text1"/>
          <w:sz w:val="24"/>
          <w:szCs w:val="24"/>
          <w:highlight w:val="none"/>
          <w:lang w:eastAsia="zh-CN"/>
          <w14:textFill>
            <w14:solidFill>
              <w14:schemeClr w14:val="tx1"/>
            </w14:solidFill>
          </w14:textFill>
        </w:rPr>
        <w:sectPr>
          <w:pgSz w:w="11910" w:h="16840"/>
          <w:pgMar w:top="1440" w:right="1800" w:bottom="1440" w:left="1800" w:header="964" w:footer="964" w:gutter="0"/>
          <w:cols w:space="720" w:num="1"/>
          <w:docGrid w:linePitch="326" w:charSpace="0"/>
        </w:sectPr>
      </w:pPr>
      <w:bookmarkStart w:id="321" w:name="_bookmark31"/>
      <w:bookmarkEnd w:id="321"/>
      <w:bookmarkStart w:id="322" w:name="第六章__环境保护措施及其可行性论证"/>
      <w:bookmarkEnd w:id="322"/>
    </w:p>
    <w:p>
      <w:pPr>
        <w:pStyle w:val="3"/>
        <w:rPr>
          <w:b/>
          <w:color w:val="000000" w:themeColor="text1"/>
          <w:highlight w:val="none"/>
          <w:lang w:eastAsia="zh-CN"/>
          <w14:textFill>
            <w14:solidFill>
              <w14:schemeClr w14:val="tx1"/>
            </w14:solidFill>
          </w14:textFill>
        </w:rPr>
      </w:pPr>
      <w:bookmarkStart w:id="323" w:name="_Toc24869"/>
      <w:r>
        <w:rPr>
          <w:color w:val="000000" w:themeColor="text1"/>
          <w:highlight w:val="none"/>
          <w:lang w:eastAsia="zh-CN"/>
          <w14:textFill>
            <w14:solidFill>
              <w14:schemeClr w14:val="tx1"/>
            </w14:solidFill>
          </w14:textFill>
        </w:rPr>
        <w:t>环境风险分析</w:t>
      </w:r>
      <w:bookmarkEnd w:id="323"/>
    </w:p>
    <w:p>
      <w:pPr>
        <w:pStyle w:val="4"/>
        <w:spacing w:before="120"/>
        <w:rPr>
          <w:color w:val="000000" w:themeColor="text1"/>
          <w:highlight w:val="none"/>
          <w:lang w:eastAsia="zh-CN"/>
          <w14:textFill>
            <w14:solidFill>
              <w14:schemeClr w14:val="tx1"/>
            </w14:solidFill>
          </w14:textFill>
        </w:rPr>
      </w:pPr>
      <w:bookmarkStart w:id="324" w:name="5.3.1评价依据"/>
      <w:bookmarkEnd w:id="324"/>
      <w:bookmarkStart w:id="325" w:name="_Toc4015"/>
      <w:r>
        <w:rPr>
          <w:color w:val="000000" w:themeColor="text1"/>
          <w:highlight w:val="none"/>
          <w:lang w:eastAsia="zh-CN"/>
          <w14:textFill>
            <w14:solidFill>
              <w14:schemeClr w14:val="tx1"/>
            </w14:solidFill>
          </w14:textFill>
        </w:rPr>
        <w:t>评价依据</w:t>
      </w:r>
      <w:bookmarkEnd w:id="325"/>
    </w:p>
    <w:p>
      <w:pPr>
        <w:pStyle w:val="391"/>
        <w:ind w:firstLine="480"/>
        <w:rPr>
          <w:rFonts w:hAnsi="Times New Roman" w:eastAsia="宋体"/>
          <w:color w:val="000000" w:themeColor="text1"/>
          <w:highlight w:val="none"/>
          <w14:textFill>
            <w14:solidFill>
              <w14:schemeClr w14:val="tx1"/>
            </w14:solidFill>
          </w14:textFill>
        </w:rPr>
      </w:pPr>
      <w:r>
        <w:rPr>
          <w:rFonts w:hAnsi="Times New Roman" w:eastAsia="宋体"/>
          <w:color w:val="000000" w:themeColor="text1"/>
          <w:highlight w:val="none"/>
          <w14:textFill>
            <w14:solidFill>
              <w14:schemeClr w14:val="tx1"/>
            </w14:solidFill>
          </w14:textFill>
        </w:rPr>
        <w:t>环境风险评价是环境影响评价领域中的一个重要组成部分</w:t>
      </w:r>
      <w:r>
        <w:rPr>
          <w:rFonts w:hAnsi="Times New Roman" w:eastAsia="宋体"/>
          <w:color w:val="000000" w:themeColor="text1"/>
          <w:spacing w:val="-94"/>
          <w:highlight w:val="none"/>
          <w14:textFill>
            <w14:solidFill>
              <w14:schemeClr w14:val="tx1"/>
            </w14:solidFill>
          </w14:textFill>
        </w:rPr>
        <w:t>，</w:t>
      </w:r>
      <w:r>
        <w:rPr>
          <w:rFonts w:hAnsi="Times New Roman" w:eastAsia="宋体"/>
          <w:color w:val="000000" w:themeColor="text1"/>
          <w:highlight w:val="none"/>
          <w14:textFill>
            <w14:solidFill>
              <w14:schemeClr w14:val="tx1"/>
            </w14:solidFill>
          </w14:textFill>
        </w:rPr>
        <w:t>伴随着人们对环境危险及其灾害的认识日益增强和环境影响评价工作的深入开展</w:t>
      </w:r>
      <w:r>
        <w:rPr>
          <w:rFonts w:hAnsi="Times New Roman" w:eastAsia="宋体"/>
          <w:color w:val="000000" w:themeColor="text1"/>
          <w:spacing w:val="-94"/>
          <w:highlight w:val="none"/>
          <w14:textFill>
            <w14:solidFill>
              <w14:schemeClr w14:val="tx1"/>
            </w14:solidFill>
          </w14:textFill>
        </w:rPr>
        <w:t>，</w:t>
      </w:r>
      <w:r>
        <w:rPr>
          <w:rFonts w:hAnsi="Times New Roman" w:eastAsia="宋体"/>
          <w:color w:val="000000" w:themeColor="text1"/>
          <w:highlight w:val="none"/>
          <w14:textFill>
            <w14:solidFill>
              <w14:schemeClr w14:val="tx1"/>
            </w14:solidFill>
          </w14:textFill>
        </w:rPr>
        <w:t>人们已经逐渐从正常事件转移到对偶然事件发生可能性的环境影响进行风险评价</w:t>
      </w:r>
      <w:r>
        <w:rPr>
          <w:rFonts w:hAnsi="Times New Roman" w:eastAsia="宋体"/>
          <w:color w:val="000000" w:themeColor="text1"/>
          <w:spacing w:val="-94"/>
          <w:highlight w:val="none"/>
          <w14:textFill>
            <w14:solidFill>
              <w14:schemeClr w14:val="tx1"/>
            </w14:solidFill>
          </w14:textFill>
        </w:rPr>
        <w:t>。</w:t>
      </w:r>
      <w:r>
        <w:rPr>
          <w:rFonts w:hAnsi="Times New Roman" w:eastAsia="宋体"/>
          <w:color w:val="000000" w:themeColor="text1"/>
          <w:highlight w:val="none"/>
          <w14:textFill>
            <w14:solidFill>
              <w14:schemeClr w14:val="tx1"/>
            </w14:solidFill>
          </w14:textFill>
        </w:rPr>
        <w:t>环境风险评价的目的是分析和预测建设项目存在的潜在危险，以建设项目建设和运行期间可能发生的突发性事故（不包括人为破坏及自然灾害引发的事故）导致的</w:t>
      </w:r>
      <w:r>
        <w:rPr>
          <w:rFonts w:hint="eastAsia" w:hAnsi="Times New Roman" w:eastAsia="宋体"/>
          <w:color w:val="000000" w:themeColor="text1"/>
          <w:highlight w:val="none"/>
          <w14:textFill>
            <w14:solidFill>
              <w14:schemeClr w14:val="tx1"/>
            </w14:solidFill>
          </w14:textFill>
        </w:rPr>
        <w:t>风险物质</w:t>
      </w:r>
      <w:r>
        <w:rPr>
          <w:rFonts w:hAnsi="Times New Roman" w:eastAsia="宋体"/>
          <w:color w:val="000000" w:themeColor="text1"/>
          <w:highlight w:val="none"/>
          <w14:textFill>
            <w14:solidFill>
              <w14:schemeClr w14:val="tx1"/>
            </w14:solidFill>
          </w14:textFill>
        </w:rPr>
        <w:t>环境损害防控为目标，对建设项目的环境风险进行分析、预测和评估，提出环境风险预防、控制、减缓措施，明确环境风险监测及应急建议要求，为建设项目环境风险防控提供科学依据，使项目的风险事故影响达到可接受水平。</w:t>
      </w:r>
    </w:p>
    <w:p>
      <w:pPr>
        <w:adjustRightInd/>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风险评价应把事故引起厂界外人群的伤害、环境质量的恶化及对生态系统影响的预测和防护作为评价工作重点。本项目环境风险评价将以事故对厂界外环境的影响作为评价重点，通过对主要风险进行调查，分析可能造成的影响程度，提出应急与缓解措施，使项目的环境风险可防控。</w:t>
      </w:r>
    </w:p>
    <w:p>
      <w:pPr>
        <w:adjustRightInd/>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根据《建设项目环境风险评价技术导则》（HJ169－2018）风险调查相关要求，需对建设项目风险源及环境敏感目标进行调查，主要调查建设项目</w:t>
      </w:r>
      <w:r>
        <w:rPr>
          <w:rFonts w:hint="eastAsia"/>
          <w:color w:val="000000" w:themeColor="text1"/>
          <w:highlight w:val="none"/>
          <w14:textFill>
            <w14:solidFill>
              <w14:schemeClr w14:val="tx1"/>
            </w14:solidFill>
          </w14:textFill>
        </w:rPr>
        <w:t>风险物质</w:t>
      </w:r>
      <w:r>
        <w:rPr>
          <w:color w:val="000000" w:themeColor="text1"/>
          <w:highlight w:val="none"/>
          <w14:textFill>
            <w14:solidFill>
              <w14:schemeClr w14:val="tx1"/>
            </w14:solidFill>
          </w14:textFill>
        </w:rPr>
        <w:t>数量和分布情况，并根据</w:t>
      </w:r>
      <w:r>
        <w:rPr>
          <w:rFonts w:hint="eastAsia"/>
          <w:color w:val="000000" w:themeColor="text1"/>
          <w:highlight w:val="none"/>
          <w14:textFill>
            <w14:solidFill>
              <w14:schemeClr w14:val="tx1"/>
            </w14:solidFill>
          </w14:textFill>
        </w:rPr>
        <w:t>风险物质</w:t>
      </w:r>
      <w:r>
        <w:rPr>
          <w:color w:val="000000" w:themeColor="text1"/>
          <w:highlight w:val="none"/>
          <w14:textFill>
            <w14:solidFill>
              <w14:schemeClr w14:val="tx1"/>
            </w14:solidFill>
          </w14:textFill>
        </w:rPr>
        <w:t>可能的影响途径，明确环境敏感目标。</w:t>
      </w:r>
    </w:p>
    <w:p>
      <w:pPr>
        <w:pStyle w:val="4"/>
        <w:spacing w:before="120"/>
        <w:rPr>
          <w:b/>
          <w:color w:val="000000" w:themeColor="text1"/>
          <w:highlight w:val="none"/>
          <w14:textFill>
            <w14:solidFill>
              <w14:schemeClr w14:val="tx1"/>
            </w14:solidFill>
          </w14:textFill>
        </w:rPr>
      </w:pPr>
      <w:bookmarkStart w:id="326" w:name="_Toc120173171"/>
      <w:bookmarkStart w:id="327" w:name="_Toc14687"/>
      <w:r>
        <w:rPr>
          <w:color w:val="000000" w:themeColor="text1"/>
          <w:highlight w:val="none"/>
          <w14:textFill>
            <w14:solidFill>
              <w14:schemeClr w14:val="tx1"/>
            </w14:solidFill>
          </w14:textFill>
        </w:rPr>
        <w:t>风险调查</w:t>
      </w:r>
      <w:bookmarkEnd w:id="326"/>
      <w:bookmarkEnd w:id="327"/>
    </w:p>
    <w:p>
      <w:pPr>
        <w:pStyle w:val="5"/>
        <w:spacing w:before="120"/>
        <w:ind w:firstLine="480"/>
        <w:rPr>
          <w:bCs w:val="0"/>
          <w:color w:val="000000" w:themeColor="text1"/>
          <w:highlight w:val="none"/>
          <w14:textFill>
            <w14:solidFill>
              <w14:schemeClr w14:val="tx1"/>
            </w14:solidFill>
          </w14:textFill>
        </w:rPr>
      </w:pPr>
      <w:r>
        <w:rPr>
          <w:color w:val="000000" w:themeColor="text1"/>
          <w:highlight w:val="none"/>
          <w:lang w:eastAsia="zh-CN"/>
          <w14:textFill>
            <w14:solidFill>
              <w14:schemeClr w14:val="tx1"/>
            </w14:solidFill>
          </w14:textFill>
        </w:rPr>
        <w:t>建设项目风险源调查</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根据《危险化学品重大危险源辨识》（GB18218-2018）的有关规定，本项目试采的天然气</w:t>
      </w:r>
      <w:r>
        <w:rPr>
          <w:rFonts w:hint="eastAsia"/>
          <w:bCs/>
          <w:color w:val="000000" w:themeColor="text1"/>
          <w:highlight w:val="none"/>
          <w14:textFill>
            <w14:solidFill>
              <w14:schemeClr w14:val="tx1"/>
            </w14:solidFill>
          </w14:textFill>
        </w:rPr>
        <w:t>不</w:t>
      </w:r>
      <w:r>
        <w:rPr>
          <w:bCs/>
          <w:color w:val="000000" w:themeColor="text1"/>
          <w:highlight w:val="none"/>
          <w14:textFill>
            <w14:solidFill>
              <w14:schemeClr w14:val="tx1"/>
            </w14:solidFill>
          </w14:textFill>
        </w:rPr>
        <w:t>含硫，因此，项目涉及的主要危险物质主要</w:t>
      </w:r>
      <w:r>
        <w:rPr>
          <w:rFonts w:hint="eastAsia"/>
          <w:bCs/>
          <w:color w:val="000000" w:themeColor="text1"/>
          <w:highlight w:val="none"/>
          <w14:textFill>
            <w14:solidFill>
              <w14:schemeClr w14:val="tx1"/>
            </w14:solidFill>
          </w14:textFill>
        </w:rPr>
        <w:t>为天然气（以</w:t>
      </w:r>
      <w:r>
        <w:rPr>
          <w:bCs/>
          <w:color w:val="000000" w:themeColor="text1"/>
          <w:highlight w:val="none"/>
          <w14:textFill>
            <w14:solidFill>
              <w14:schemeClr w14:val="tx1"/>
            </w14:solidFill>
          </w14:textFill>
        </w:rPr>
        <w:t>CH</w:t>
      </w:r>
      <w:r>
        <w:rPr>
          <w:bCs/>
          <w:color w:val="000000" w:themeColor="text1"/>
          <w:highlight w:val="none"/>
          <w:vertAlign w:val="subscript"/>
          <w14:textFill>
            <w14:solidFill>
              <w14:schemeClr w14:val="tx1"/>
            </w14:solidFill>
          </w14:textFill>
        </w:rPr>
        <w:t>4</w:t>
      </w:r>
      <w:r>
        <w:rPr>
          <w:rFonts w:hint="eastAsia"/>
          <w:bCs/>
          <w:color w:val="000000" w:themeColor="text1"/>
          <w:highlight w:val="none"/>
          <w14:textFill>
            <w14:solidFill>
              <w14:schemeClr w14:val="tx1"/>
            </w14:solidFill>
          </w14:textFill>
        </w:rPr>
        <w:t>计）和气田水</w:t>
      </w:r>
      <w:r>
        <w:rPr>
          <w:bCs/>
          <w:color w:val="000000" w:themeColor="text1"/>
          <w:highlight w:val="none"/>
          <w14:textFill>
            <w14:solidFill>
              <w14:schemeClr w14:val="tx1"/>
            </w14:solidFill>
          </w14:textFill>
        </w:rPr>
        <w:t>，存在发生火灾、泄露、爆炸等突发性风险事故的可能性。</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本项目涉及危险物质数量及分布情况见</w:t>
      </w:r>
      <w:r>
        <w:rPr>
          <w:bCs/>
          <w:color w:val="000000" w:themeColor="text1"/>
          <w:highlight w:val="none"/>
          <w14:textFill>
            <w14:solidFill>
              <w14:schemeClr w14:val="tx1"/>
            </w14:solidFill>
          </w14:textFill>
        </w:rPr>
        <w:fldChar w:fldCharType="begin"/>
      </w:r>
      <w:r>
        <w:rPr>
          <w:bCs/>
          <w:color w:val="000000" w:themeColor="text1"/>
          <w:highlight w:val="none"/>
          <w14:textFill>
            <w14:solidFill>
              <w14:schemeClr w14:val="tx1"/>
            </w14:solidFill>
          </w14:textFill>
        </w:rPr>
        <w:instrText xml:space="preserve"> REF _Ref142859000 \h  \* MERGEFORMAT </w:instrText>
      </w:r>
      <w:r>
        <w:rPr>
          <w:bCs/>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6.2</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w:t>
      </w:r>
      <w:r>
        <w:rPr>
          <w:bCs/>
          <w:color w:val="000000" w:themeColor="text1"/>
          <w:highlight w:val="none"/>
          <w14:textFill>
            <w14:solidFill>
              <w14:schemeClr w14:val="tx1"/>
            </w14:solidFill>
          </w14:textFill>
        </w:rPr>
        <w:fldChar w:fldCharType="end"/>
      </w:r>
      <w:r>
        <w:rPr>
          <w:bCs/>
          <w:color w:val="000000" w:themeColor="text1"/>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bookmarkStart w:id="328" w:name="_Ref142859000"/>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bookmarkEnd w:id="328"/>
      <w:r>
        <w:rPr>
          <w:rFonts w:hint="eastAsia"/>
          <w:color w:val="000000" w:themeColor="text1"/>
          <w:highlight w:val="none"/>
          <w14:textFill>
            <w14:solidFill>
              <w14:schemeClr w14:val="tx1"/>
            </w14:solidFill>
          </w14:textFill>
        </w:rPr>
        <w:t>本项目涉及危险物质数量及分布情况表</w:t>
      </w:r>
    </w:p>
    <w:tbl>
      <w:tblPr>
        <w:tblStyle w:val="41"/>
        <w:tblW w:w="8222"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28" w:type="dxa"/>
          <w:left w:w="28" w:type="dxa"/>
          <w:bottom w:w="28" w:type="dxa"/>
          <w:right w:w="28" w:type="dxa"/>
        </w:tblCellMar>
      </w:tblPr>
      <w:tblGrid>
        <w:gridCol w:w="701"/>
        <w:gridCol w:w="1985"/>
        <w:gridCol w:w="1417"/>
        <w:gridCol w:w="1276"/>
        <w:gridCol w:w="2843"/>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28" w:type="dxa"/>
            <w:bottom w:w="28" w:type="dxa"/>
            <w:right w:w="28" w:type="dxa"/>
          </w:tblCellMar>
        </w:tblPrEx>
        <w:trPr>
          <w:tblHeader/>
          <w:jc w:val="center"/>
        </w:trPr>
        <w:tc>
          <w:tcPr>
            <w:tcW w:w="701"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序号</w:t>
            </w:r>
          </w:p>
        </w:tc>
        <w:tc>
          <w:tcPr>
            <w:tcW w:w="1985"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时段</w:t>
            </w:r>
          </w:p>
        </w:tc>
        <w:tc>
          <w:tcPr>
            <w:tcW w:w="1417"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物质</w:t>
            </w:r>
          </w:p>
        </w:tc>
        <w:tc>
          <w:tcPr>
            <w:tcW w:w="1276"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最大存在量</w:t>
            </w:r>
          </w:p>
        </w:tc>
        <w:tc>
          <w:tcPr>
            <w:tcW w:w="284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分布位置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28" w:type="dxa"/>
            <w:bottom w:w="28" w:type="dxa"/>
            <w:right w:w="28" w:type="dxa"/>
          </w:tblCellMar>
        </w:tblPrEx>
        <w:trPr>
          <w:jc w:val="center"/>
        </w:trPr>
        <w:tc>
          <w:tcPr>
            <w:tcW w:w="70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198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试采期</w:t>
            </w:r>
            <w:r>
              <w:rPr>
                <w:rFonts w:hint="eastAsia"/>
                <w:color w:val="000000" w:themeColor="text1"/>
                <w:highlight w:val="none"/>
                <w14:textFill>
                  <w14:solidFill>
                    <w14:schemeClr w14:val="tx1"/>
                  </w14:solidFill>
                </w14:textFill>
              </w:rPr>
              <w:t>（站内）</w:t>
            </w:r>
          </w:p>
        </w:tc>
        <w:tc>
          <w:tcPr>
            <w:tcW w:w="1417"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甲烷</w:t>
            </w:r>
          </w:p>
        </w:tc>
        <w:tc>
          <w:tcPr>
            <w:tcW w:w="1276"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0.26t</w:t>
            </w:r>
          </w:p>
        </w:tc>
        <w:tc>
          <w:tcPr>
            <w:tcW w:w="284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井口和站场工艺设备、管线（按500m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计）</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28" w:type="dxa"/>
            <w:bottom w:w="28" w:type="dxa"/>
            <w:right w:w="28" w:type="dxa"/>
          </w:tblCellMar>
        </w:tblPrEx>
        <w:trPr>
          <w:jc w:val="center"/>
        </w:trPr>
        <w:tc>
          <w:tcPr>
            <w:tcW w:w="701"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p>
        </w:tc>
        <w:tc>
          <w:tcPr>
            <w:tcW w:w="1985" w:type="dxa"/>
            <w:tcBorders>
              <w:top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试采期</w:t>
            </w:r>
            <w:r>
              <w:rPr>
                <w:rFonts w:hint="eastAsia"/>
                <w:color w:val="000000" w:themeColor="text1"/>
                <w:highlight w:val="none"/>
                <w14:textFill>
                  <w14:solidFill>
                    <w14:schemeClr w14:val="tx1"/>
                  </w14:solidFill>
                </w14:textFill>
              </w:rPr>
              <w:t>（污水罐）</w:t>
            </w:r>
          </w:p>
        </w:tc>
        <w:tc>
          <w:tcPr>
            <w:tcW w:w="1417" w:type="dxa"/>
            <w:tcBorders>
              <w:top w:val="single" w:color="auto" w:sz="4" w:space="0"/>
            </w:tcBorders>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气田水</w:t>
            </w:r>
          </w:p>
        </w:tc>
        <w:tc>
          <w:tcPr>
            <w:tcW w:w="1276"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45t</w:t>
            </w:r>
          </w:p>
        </w:tc>
        <w:tc>
          <w:tcPr>
            <w:tcW w:w="2843"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气田水罐容积为</w:t>
            </w:r>
            <w:r>
              <w:rPr>
                <w:color w:val="000000" w:themeColor="text1"/>
                <w:highlight w:val="none"/>
                <w14:textFill>
                  <w14:solidFill>
                    <w14:schemeClr w14:val="tx1"/>
                  </w14:solidFill>
                </w14:textFill>
              </w:rPr>
              <w:t>5</w:t>
            </w:r>
            <w:r>
              <w:rPr>
                <w:rFonts w:hint="eastAsia"/>
                <w:color w:val="000000" w:themeColor="text1"/>
                <w:highlight w:val="none"/>
                <w14:textFill>
                  <w14:solidFill>
                    <w14:schemeClr w14:val="tx1"/>
                  </w14:solidFill>
                </w14:textFill>
              </w:rPr>
              <w:t>0m</w:t>
            </w:r>
            <w:r>
              <w:rPr>
                <w:rFonts w:hint="eastAsia"/>
                <w:color w:val="000000" w:themeColor="text1"/>
                <w:highlight w:val="none"/>
                <w:vertAlign w:val="superscript"/>
                <w14:textFill>
                  <w14:solidFill>
                    <w14:schemeClr w14:val="tx1"/>
                  </w14:solidFill>
                </w14:textFill>
              </w:rPr>
              <w:t>3</w:t>
            </w:r>
            <w:r>
              <w:rPr>
                <w:rFonts w:hint="eastAsia"/>
                <w:color w:val="000000" w:themeColor="text1"/>
                <w:highlight w:val="none"/>
                <w14:textFill>
                  <w14:solidFill>
                    <w14:schemeClr w14:val="tx1"/>
                  </w14:solidFill>
                </w14:textFill>
              </w:rPr>
              <w:t>，充装系数取0.9</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28" w:type="dxa"/>
            <w:bottom w:w="28" w:type="dxa"/>
            <w:right w:w="28" w:type="dxa"/>
          </w:tblCellMar>
        </w:tblPrEx>
        <w:trPr>
          <w:jc w:val="center"/>
        </w:trPr>
        <w:tc>
          <w:tcPr>
            <w:tcW w:w="70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1985" w:type="dxa"/>
            <w:tcBorders>
              <w:top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试采期</w:t>
            </w:r>
            <w:r>
              <w:rPr>
                <w:rFonts w:hint="eastAsia"/>
                <w:color w:val="000000" w:themeColor="text1"/>
                <w:highlight w:val="none"/>
                <w14:textFill>
                  <w14:solidFill>
                    <w14:schemeClr w14:val="tx1"/>
                  </w14:solidFill>
                </w14:textFill>
              </w:rPr>
              <w:t>（外输管线）</w:t>
            </w:r>
          </w:p>
        </w:tc>
        <w:tc>
          <w:tcPr>
            <w:tcW w:w="1417" w:type="dxa"/>
            <w:tcBorders>
              <w:top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甲烷</w:t>
            </w:r>
          </w:p>
        </w:tc>
        <w:tc>
          <w:tcPr>
            <w:tcW w:w="127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t>.9t</w:t>
            </w:r>
          </w:p>
        </w:tc>
        <w:tc>
          <w:tcPr>
            <w:tcW w:w="2843"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外输管线</w:t>
            </w:r>
          </w:p>
        </w:tc>
      </w:tr>
    </w:tbl>
    <w:p>
      <w:pPr>
        <w:spacing w:before="120" w:beforeLines="50"/>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本项目涉及的危险物质物理化学特性及毒理性如下：</w:t>
      </w:r>
    </w:p>
    <w:p>
      <w:pPr>
        <w:ind w:firstLine="482"/>
        <w:rPr>
          <w:b/>
          <w:color w:val="000000" w:themeColor="text1"/>
          <w:highlight w:val="none"/>
          <w14:textFill>
            <w14:solidFill>
              <w14:schemeClr w14:val="tx1"/>
            </w14:solidFill>
          </w14:textFill>
        </w:rPr>
      </w:pPr>
      <w:r>
        <w:rPr>
          <w:b/>
          <w:color w:val="000000" w:themeColor="text1"/>
          <w:highlight w:val="none"/>
          <w14:textFill>
            <w14:solidFill>
              <w14:schemeClr w14:val="tx1"/>
            </w14:solidFill>
          </w14:textFill>
        </w:rPr>
        <w:t>（1）甲烷危险性分析</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从地层中试采出的天然气属易燃、易爆物质，极易在通常环境中引起燃烧和爆炸，主要烃</w:t>
      </w:r>
      <w:r>
        <w:rPr>
          <w:rFonts w:hint="eastAsia"/>
          <w:bCs/>
          <w:color w:val="000000" w:themeColor="text1"/>
          <w:highlight w:val="none"/>
          <w14:textFill>
            <w14:solidFill>
              <w14:schemeClr w14:val="tx1"/>
            </w14:solidFill>
          </w14:textFill>
        </w:rPr>
        <w:t>组分</w:t>
      </w:r>
      <w:r>
        <w:rPr>
          <w:bCs/>
          <w:color w:val="000000" w:themeColor="text1"/>
          <w:highlight w:val="none"/>
          <w14:textFill>
            <w14:solidFill>
              <w14:schemeClr w14:val="tx1"/>
            </w14:solidFill>
          </w14:textFill>
        </w:rPr>
        <w:t>的甲烷属于《化学品分类和危险性公示通则》（GB13690-2009）中的气相爆炸物质，泄漏在环境中与空气混合后易达到爆炸极限，此时若遇火或静电可能引起燃烧和爆炸。其爆炸极限范围为5%～15%（体积比）。当空气中甲烷浓度达到10%时，就使人感到氧气不足；当空气中甲烷浓度达25%～30%时，可引起头痛、头晕、注意力不集中，呼吸和心跳加速、精细动作障碍等；当空气中甲烷浓度达30%以上时可能会因缺氧窒息、昏迷等。《石油天然气工程设计防火规范》（GB50183-2015）将使用或产生甲烷（CH</w:t>
      </w:r>
      <w:r>
        <w:rPr>
          <w:bCs/>
          <w:color w:val="000000" w:themeColor="text1"/>
          <w:highlight w:val="none"/>
          <w:vertAlign w:val="subscript"/>
          <w14:textFill>
            <w14:solidFill>
              <w14:schemeClr w14:val="tx1"/>
            </w14:solidFill>
          </w14:textFill>
        </w:rPr>
        <w:t>4</w:t>
      </w:r>
      <w:r>
        <w:rPr>
          <w:bCs/>
          <w:color w:val="000000" w:themeColor="text1"/>
          <w:highlight w:val="none"/>
          <w14:textFill>
            <w14:solidFill>
              <w14:schemeClr w14:val="tx1"/>
            </w14:solidFill>
          </w14:textFill>
        </w:rPr>
        <w:t>）的生产列为甲类火灾危险性生产。甲烷的危险、有害特性详见</w:t>
      </w:r>
      <w:r>
        <w:rPr>
          <w:bCs/>
          <w:color w:val="000000" w:themeColor="text1"/>
          <w:highlight w:val="none"/>
          <w14:textFill>
            <w14:solidFill>
              <w14:schemeClr w14:val="tx1"/>
            </w14:solidFill>
          </w14:textFill>
        </w:rPr>
        <w:fldChar w:fldCharType="begin"/>
      </w:r>
      <w:r>
        <w:rPr>
          <w:bCs/>
          <w:color w:val="000000" w:themeColor="text1"/>
          <w:highlight w:val="none"/>
          <w14:textFill>
            <w14:solidFill>
              <w14:schemeClr w14:val="tx1"/>
            </w14:solidFill>
          </w14:textFill>
        </w:rPr>
        <w:instrText xml:space="preserve"> REF _Ref142859020 \h  \* MERGEFORMAT </w:instrText>
      </w:r>
      <w:r>
        <w:rPr>
          <w:bCs/>
          <w:color w:val="000000" w:themeColor="text1"/>
          <w:highlight w:val="none"/>
          <w14:textFill>
            <w14:solidFill>
              <w14:schemeClr w14:val="tx1"/>
            </w14:solidFill>
          </w14:textFill>
        </w:rPr>
        <w:fldChar w:fldCharType="separate"/>
      </w:r>
      <w:r>
        <w:rPr>
          <w:rFonts w:hint="eastAsia"/>
          <w:bCs/>
          <w:color w:val="000000" w:themeColor="text1"/>
          <w:highlight w:val="none"/>
          <w14:textFill>
            <w14:solidFill>
              <w14:schemeClr w14:val="tx1"/>
            </w14:solidFill>
          </w14:textFill>
        </w:rPr>
        <w:t>表</w:t>
      </w:r>
      <w:r>
        <w:rPr>
          <w:bCs/>
          <w:color w:val="000000" w:themeColor="text1"/>
          <w:highlight w:val="none"/>
          <w14:textFill>
            <w14:solidFill>
              <w14:schemeClr w14:val="tx1"/>
            </w14:solidFill>
          </w14:textFill>
        </w:rPr>
        <w:t>6.2</w:t>
      </w:r>
      <w:r>
        <w:rPr>
          <w:bCs/>
          <w:color w:val="000000" w:themeColor="text1"/>
          <w:highlight w:val="none"/>
          <w14:textFill>
            <w14:solidFill>
              <w14:schemeClr w14:val="tx1"/>
            </w14:solidFill>
          </w14:textFill>
        </w:rPr>
        <w:noBreakHyphen/>
      </w:r>
      <w:r>
        <w:rPr>
          <w:bCs/>
          <w:color w:val="000000" w:themeColor="text1"/>
          <w:highlight w:val="none"/>
          <w14:textFill>
            <w14:solidFill>
              <w14:schemeClr w14:val="tx1"/>
            </w14:solidFill>
          </w14:textFill>
        </w:rPr>
        <w:t>2</w:t>
      </w:r>
      <w:r>
        <w:rPr>
          <w:bCs/>
          <w:color w:val="000000" w:themeColor="text1"/>
          <w:highlight w:val="none"/>
          <w14:textFill>
            <w14:solidFill>
              <w14:schemeClr w14:val="tx1"/>
            </w14:solidFill>
          </w14:textFill>
        </w:rPr>
        <w:fldChar w:fldCharType="end"/>
      </w:r>
      <w:r>
        <w:rPr>
          <w:bCs/>
          <w:color w:val="000000" w:themeColor="text1"/>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bookmarkStart w:id="329" w:name="_Ref142859020"/>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fldChar w:fldCharType="end"/>
      </w:r>
      <w:bookmarkEnd w:id="329"/>
      <w:r>
        <w:rPr>
          <w:rFonts w:hint="eastAsia"/>
          <w:color w:val="000000" w:themeColor="text1"/>
          <w:highlight w:val="none"/>
          <w14:textFill>
            <w14:solidFill>
              <w14:schemeClr w14:val="tx1"/>
            </w14:solidFill>
          </w14:textFill>
        </w:rPr>
        <w:t>甲烷危险、有害特性表</w:t>
      </w:r>
    </w:p>
    <w:tbl>
      <w:tblPr>
        <w:tblStyle w:val="41"/>
        <w:tblW w:w="8222" w:type="dxa"/>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57" w:type="dxa"/>
          <w:bottom w:w="0" w:type="dxa"/>
          <w:right w:w="57" w:type="dxa"/>
        </w:tblCellMar>
      </w:tblPr>
      <w:tblGrid>
        <w:gridCol w:w="791"/>
        <w:gridCol w:w="1581"/>
        <w:gridCol w:w="1702"/>
        <w:gridCol w:w="1848"/>
        <w:gridCol w:w="97"/>
        <w:gridCol w:w="2203"/>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restar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标识</w:t>
            </w:r>
          </w:p>
        </w:tc>
        <w:tc>
          <w:tcPr>
            <w:tcW w:w="158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中文名</w:t>
            </w:r>
          </w:p>
        </w:tc>
        <w:tc>
          <w:tcPr>
            <w:tcW w:w="170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甲烷</w:t>
            </w:r>
          </w:p>
        </w:tc>
        <w:tc>
          <w:tcPr>
            <w:tcW w:w="18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英文名</w:t>
            </w:r>
          </w:p>
        </w:tc>
        <w:tc>
          <w:tcPr>
            <w:tcW w:w="2300"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Methane</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118"/>
              <w:rPr>
                <w:b/>
                <w:bCs/>
                <w:color w:val="000000" w:themeColor="text1"/>
                <w:highlight w:val="none"/>
                <w14:textFill>
                  <w14:solidFill>
                    <w14:schemeClr w14:val="tx1"/>
                  </w14:solidFill>
                </w14:textFill>
              </w:rPr>
            </w:pPr>
          </w:p>
        </w:tc>
        <w:tc>
          <w:tcPr>
            <w:tcW w:w="158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化学式</w:t>
            </w:r>
          </w:p>
        </w:tc>
        <w:tc>
          <w:tcPr>
            <w:tcW w:w="170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CH</w:t>
            </w:r>
            <w:r>
              <w:rPr>
                <w:color w:val="000000" w:themeColor="text1"/>
                <w:highlight w:val="none"/>
                <w:vertAlign w:val="subscript"/>
                <w14:textFill>
                  <w14:solidFill>
                    <w14:schemeClr w14:val="tx1"/>
                  </w14:solidFill>
                </w14:textFill>
              </w:rPr>
              <w:t>4</w:t>
            </w:r>
          </w:p>
        </w:tc>
        <w:tc>
          <w:tcPr>
            <w:tcW w:w="18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分子量</w:t>
            </w:r>
          </w:p>
        </w:tc>
        <w:tc>
          <w:tcPr>
            <w:tcW w:w="2300"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16.04</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118"/>
              <w:rPr>
                <w:b/>
                <w:bCs/>
                <w:color w:val="000000" w:themeColor="text1"/>
                <w:highlight w:val="none"/>
                <w14:textFill>
                  <w14:solidFill>
                    <w14:schemeClr w14:val="tx1"/>
                  </w14:solidFill>
                </w14:textFill>
              </w:rPr>
            </w:pPr>
          </w:p>
        </w:tc>
        <w:tc>
          <w:tcPr>
            <w:tcW w:w="158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ICSC编号</w:t>
            </w:r>
          </w:p>
        </w:tc>
        <w:tc>
          <w:tcPr>
            <w:tcW w:w="170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0291</w:t>
            </w:r>
          </w:p>
        </w:tc>
        <w:tc>
          <w:tcPr>
            <w:tcW w:w="18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IMDG规则页码</w:t>
            </w:r>
          </w:p>
        </w:tc>
        <w:tc>
          <w:tcPr>
            <w:tcW w:w="2300"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2156</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118"/>
              <w:rPr>
                <w:b/>
                <w:bCs/>
                <w:color w:val="000000" w:themeColor="text1"/>
                <w:highlight w:val="none"/>
                <w14:textFill>
                  <w14:solidFill>
                    <w14:schemeClr w14:val="tx1"/>
                  </w14:solidFill>
                </w14:textFill>
              </w:rPr>
            </w:pPr>
          </w:p>
        </w:tc>
        <w:tc>
          <w:tcPr>
            <w:tcW w:w="158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CAS号</w:t>
            </w:r>
          </w:p>
        </w:tc>
        <w:tc>
          <w:tcPr>
            <w:tcW w:w="170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74-82-8</w:t>
            </w:r>
          </w:p>
        </w:tc>
        <w:tc>
          <w:tcPr>
            <w:tcW w:w="18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RTECS号</w:t>
            </w:r>
          </w:p>
        </w:tc>
        <w:tc>
          <w:tcPr>
            <w:tcW w:w="2300"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PA</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0000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118"/>
              <w:rPr>
                <w:b/>
                <w:bCs/>
                <w:color w:val="000000" w:themeColor="text1"/>
                <w:highlight w:val="none"/>
                <w14:textFill>
                  <w14:solidFill>
                    <w14:schemeClr w14:val="tx1"/>
                  </w14:solidFill>
                </w14:textFill>
              </w:rPr>
            </w:pPr>
          </w:p>
        </w:tc>
        <w:tc>
          <w:tcPr>
            <w:tcW w:w="158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UN编号</w:t>
            </w:r>
          </w:p>
        </w:tc>
        <w:tc>
          <w:tcPr>
            <w:tcW w:w="170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1971</w:t>
            </w:r>
          </w:p>
        </w:tc>
        <w:tc>
          <w:tcPr>
            <w:tcW w:w="184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危险货物编号</w:t>
            </w:r>
          </w:p>
        </w:tc>
        <w:tc>
          <w:tcPr>
            <w:tcW w:w="2300"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21007</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118"/>
              <w:rPr>
                <w:b/>
                <w:bCs/>
                <w:color w:val="000000" w:themeColor="text1"/>
                <w:highlight w:val="none"/>
                <w14:textFill>
                  <w14:solidFill>
                    <w14:schemeClr w14:val="tx1"/>
                  </w14:solidFill>
                </w14:textFill>
              </w:rPr>
            </w:pPr>
          </w:p>
        </w:tc>
        <w:tc>
          <w:tcPr>
            <w:tcW w:w="158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EC编号</w:t>
            </w:r>
          </w:p>
        </w:tc>
        <w:tc>
          <w:tcPr>
            <w:tcW w:w="170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601-001-00-4</w:t>
            </w:r>
          </w:p>
        </w:tc>
        <w:tc>
          <w:tcPr>
            <w:tcW w:w="1848" w:type="dxa"/>
            <w:vAlign w:val="center"/>
          </w:tcPr>
          <w:p>
            <w:pPr>
              <w:pStyle w:val="118"/>
              <w:rPr>
                <w:color w:val="000000" w:themeColor="text1"/>
                <w:highlight w:val="none"/>
                <w14:textFill>
                  <w14:solidFill>
                    <w14:schemeClr w14:val="tx1"/>
                  </w14:solidFill>
                </w14:textFill>
              </w:rPr>
            </w:pPr>
          </w:p>
        </w:tc>
        <w:tc>
          <w:tcPr>
            <w:tcW w:w="2300" w:type="dxa"/>
            <w:gridSpan w:val="2"/>
            <w:vAlign w:val="center"/>
          </w:tcPr>
          <w:p>
            <w:pPr>
              <w:pStyle w:val="118"/>
              <w:rPr>
                <w:color w:val="000000" w:themeColor="text1"/>
                <w:highlight w:val="none"/>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restar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理化</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性质</w:t>
            </w:r>
          </w:p>
        </w:tc>
        <w:tc>
          <w:tcPr>
            <w:tcW w:w="158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外观与性状</w:t>
            </w:r>
          </w:p>
        </w:tc>
        <w:tc>
          <w:tcPr>
            <w:tcW w:w="5850" w:type="dxa"/>
            <w:gridSpan w:val="4"/>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无色无臭气体。</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118"/>
              <w:rPr>
                <w:b/>
                <w:bCs/>
                <w:color w:val="000000" w:themeColor="text1"/>
                <w:highlight w:val="none"/>
                <w14:textFill>
                  <w14:solidFill>
                    <w14:schemeClr w14:val="tx1"/>
                  </w14:solidFill>
                </w14:textFill>
              </w:rPr>
            </w:pPr>
          </w:p>
        </w:tc>
        <w:tc>
          <w:tcPr>
            <w:tcW w:w="158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溶解性</w:t>
            </w:r>
          </w:p>
        </w:tc>
        <w:tc>
          <w:tcPr>
            <w:tcW w:w="5850" w:type="dxa"/>
            <w:gridSpan w:val="4"/>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微溶于水，溶于乙醇、乙醚.</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118"/>
              <w:rPr>
                <w:b/>
                <w:bCs/>
                <w:color w:val="000000" w:themeColor="text1"/>
                <w:highlight w:val="none"/>
                <w14:textFill>
                  <w14:solidFill>
                    <w14:schemeClr w14:val="tx1"/>
                  </w14:solidFill>
                </w14:textFill>
              </w:rPr>
            </w:pPr>
          </w:p>
        </w:tc>
        <w:tc>
          <w:tcPr>
            <w:tcW w:w="158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主要用途</w:t>
            </w:r>
          </w:p>
        </w:tc>
        <w:tc>
          <w:tcPr>
            <w:tcW w:w="5850" w:type="dxa"/>
            <w:gridSpan w:val="4"/>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用作燃料和用于炭黑、氢、乙炔、甲醛等的制造。</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118"/>
              <w:rPr>
                <w:b/>
                <w:bCs/>
                <w:color w:val="000000" w:themeColor="text1"/>
                <w:highlight w:val="none"/>
                <w14:textFill>
                  <w14:solidFill>
                    <w14:schemeClr w14:val="tx1"/>
                  </w14:solidFill>
                </w14:textFill>
              </w:rPr>
            </w:pPr>
          </w:p>
        </w:tc>
        <w:tc>
          <w:tcPr>
            <w:tcW w:w="158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熔点（℃）</w:t>
            </w:r>
          </w:p>
        </w:tc>
        <w:tc>
          <w:tcPr>
            <w:tcW w:w="170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-182.5</w:t>
            </w:r>
          </w:p>
        </w:tc>
        <w:tc>
          <w:tcPr>
            <w:tcW w:w="1945"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相对密度（水=1）</w:t>
            </w:r>
          </w:p>
        </w:tc>
        <w:tc>
          <w:tcPr>
            <w:tcW w:w="220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0.42/-164℃</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118"/>
              <w:rPr>
                <w:b/>
                <w:bCs/>
                <w:color w:val="000000" w:themeColor="text1"/>
                <w:highlight w:val="none"/>
                <w14:textFill>
                  <w14:solidFill>
                    <w14:schemeClr w14:val="tx1"/>
                  </w14:solidFill>
                </w14:textFill>
              </w:rPr>
            </w:pPr>
          </w:p>
        </w:tc>
        <w:tc>
          <w:tcPr>
            <w:tcW w:w="158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沸点（℃）</w:t>
            </w:r>
          </w:p>
        </w:tc>
        <w:tc>
          <w:tcPr>
            <w:tcW w:w="170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-161.5</w:t>
            </w:r>
          </w:p>
        </w:tc>
        <w:tc>
          <w:tcPr>
            <w:tcW w:w="1945"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相对密度（空气=1）</w:t>
            </w:r>
          </w:p>
        </w:tc>
        <w:tc>
          <w:tcPr>
            <w:tcW w:w="220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0.55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118"/>
              <w:rPr>
                <w:b/>
                <w:bCs/>
                <w:color w:val="000000" w:themeColor="text1"/>
                <w:highlight w:val="none"/>
                <w14:textFill>
                  <w14:solidFill>
                    <w14:schemeClr w14:val="tx1"/>
                  </w14:solidFill>
                </w14:textFill>
              </w:rPr>
            </w:pPr>
          </w:p>
        </w:tc>
        <w:tc>
          <w:tcPr>
            <w:tcW w:w="158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饱和蒸汽压（kpa）</w:t>
            </w:r>
          </w:p>
        </w:tc>
        <w:tc>
          <w:tcPr>
            <w:tcW w:w="3647"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53.32（-168.8℃）</w:t>
            </w:r>
          </w:p>
        </w:tc>
        <w:tc>
          <w:tcPr>
            <w:tcW w:w="2203" w:type="dxa"/>
            <w:vAlign w:val="center"/>
          </w:tcPr>
          <w:p>
            <w:pPr>
              <w:pStyle w:val="118"/>
              <w:rPr>
                <w:color w:val="000000" w:themeColor="text1"/>
                <w:highlight w:val="none"/>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118"/>
              <w:rPr>
                <w:b/>
                <w:bCs/>
                <w:color w:val="000000" w:themeColor="text1"/>
                <w:highlight w:val="none"/>
                <w14:textFill>
                  <w14:solidFill>
                    <w14:schemeClr w14:val="tx1"/>
                  </w14:solidFill>
                </w14:textFill>
              </w:rPr>
            </w:pPr>
          </w:p>
        </w:tc>
        <w:tc>
          <w:tcPr>
            <w:tcW w:w="158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临界温度（℃）</w:t>
            </w:r>
          </w:p>
        </w:tc>
        <w:tc>
          <w:tcPr>
            <w:tcW w:w="170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-82.6</w:t>
            </w:r>
          </w:p>
        </w:tc>
        <w:tc>
          <w:tcPr>
            <w:tcW w:w="1945"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临界压力（Mpa）</w:t>
            </w:r>
          </w:p>
        </w:tc>
        <w:tc>
          <w:tcPr>
            <w:tcW w:w="220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4.59</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118"/>
              <w:rPr>
                <w:b/>
                <w:bCs/>
                <w:color w:val="000000" w:themeColor="text1"/>
                <w:highlight w:val="none"/>
                <w14:textFill>
                  <w14:solidFill>
                    <w14:schemeClr w14:val="tx1"/>
                  </w14:solidFill>
                </w14:textFill>
              </w:rPr>
            </w:pPr>
          </w:p>
        </w:tc>
        <w:tc>
          <w:tcPr>
            <w:tcW w:w="158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燃烧热（KJ/mol）</w:t>
            </w:r>
          </w:p>
        </w:tc>
        <w:tc>
          <w:tcPr>
            <w:tcW w:w="170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889.5</w:t>
            </w:r>
          </w:p>
        </w:tc>
        <w:tc>
          <w:tcPr>
            <w:tcW w:w="1945"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最小引燃能量（mJ）</w:t>
            </w:r>
          </w:p>
        </w:tc>
        <w:tc>
          <w:tcPr>
            <w:tcW w:w="220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0.28</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restar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毒性</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及健</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康危</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害</w:t>
            </w:r>
          </w:p>
        </w:tc>
        <w:tc>
          <w:tcPr>
            <w:tcW w:w="1581"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接触限值</w:t>
            </w:r>
          </w:p>
        </w:tc>
        <w:tc>
          <w:tcPr>
            <w:tcW w:w="170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中国MAC</w:t>
            </w:r>
          </w:p>
        </w:tc>
        <w:tc>
          <w:tcPr>
            <w:tcW w:w="4148"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未制定标准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118"/>
              <w:rPr>
                <w:color w:val="000000" w:themeColor="text1"/>
                <w:highlight w:val="none"/>
                <w14:textFill>
                  <w14:solidFill>
                    <w14:schemeClr w14:val="tx1"/>
                  </w14:solidFill>
                </w14:textFill>
              </w:rPr>
            </w:pPr>
          </w:p>
        </w:tc>
        <w:tc>
          <w:tcPr>
            <w:tcW w:w="1581" w:type="dxa"/>
            <w:vMerge w:val="continue"/>
            <w:vAlign w:val="center"/>
          </w:tcPr>
          <w:p>
            <w:pPr>
              <w:pStyle w:val="118"/>
              <w:rPr>
                <w:color w:val="000000" w:themeColor="text1"/>
                <w:highlight w:val="none"/>
                <w14:textFill>
                  <w14:solidFill>
                    <w14:schemeClr w14:val="tx1"/>
                  </w14:solidFill>
                </w14:textFill>
              </w:rPr>
            </w:pPr>
          </w:p>
        </w:tc>
        <w:tc>
          <w:tcPr>
            <w:tcW w:w="170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前苏联MAC</w:t>
            </w:r>
          </w:p>
        </w:tc>
        <w:tc>
          <w:tcPr>
            <w:tcW w:w="4148"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300mg/m3</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118"/>
              <w:rPr>
                <w:color w:val="000000" w:themeColor="text1"/>
                <w:highlight w:val="none"/>
                <w14:textFill>
                  <w14:solidFill>
                    <w14:schemeClr w14:val="tx1"/>
                  </w14:solidFill>
                </w14:textFill>
              </w:rPr>
            </w:pPr>
          </w:p>
        </w:tc>
        <w:tc>
          <w:tcPr>
            <w:tcW w:w="1581" w:type="dxa"/>
            <w:vMerge w:val="continue"/>
            <w:vAlign w:val="center"/>
          </w:tcPr>
          <w:p>
            <w:pPr>
              <w:pStyle w:val="118"/>
              <w:rPr>
                <w:color w:val="000000" w:themeColor="text1"/>
                <w:highlight w:val="none"/>
                <w14:textFill>
                  <w14:solidFill>
                    <w14:schemeClr w14:val="tx1"/>
                  </w14:solidFill>
                </w14:textFill>
              </w:rPr>
            </w:pPr>
          </w:p>
        </w:tc>
        <w:tc>
          <w:tcPr>
            <w:tcW w:w="170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美国TWA</w:t>
            </w:r>
          </w:p>
        </w:tc>
        <w:tc>
          <w:tcPr>
            <w:tcW w:w="4148"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ACGIH窒息性气体</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118"/>
              <w:rPr>
                <w:color w:val="000000" w:themeColor="text1"/>
                <w:highlight w:val="none"/>
                <w14:textFill>
                  <w14:solidFill>
                    <w14:schemeClr w14:val="tx1"/>
                  </w14:solidFill>
                </w14:textFill>
              </w:rPr>
            </w:pPr>
          </w:p>
        </w:tc>
        <w:tc>
          <w:tcPr>
            <w:tcW w:w="1581" w:type="dxa"/>
            <w:vMerge w:val="continue"/>
            <w:vAlign w:val="center"/>
          </w:tcPr>
          <w:p>
            <w:pPr>
              <w:pStyle w:val="118"/>
              <w:rPr>
                <w:color w:val="000000" w:themeColor="text1"/>
                <w:highlight w:val="none"/>
                <w14:textFill>
                  <w14:solidFill>
                    <w14:schemeClr w14:val="tx1"/>
                  </w14:solidFill>
                </w14:textFill>
              </w:rPr>
            </w:pPr>
          </w:p>
        </w:tc>
        <w:tc>
          <w:tcPr>
            <w:tcW w:w="170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美国STEL</w:t>
            </w:r>
          </w:p>
        </w:tc>
        <w:tc>
          <w:tcPr>
            <w:tcW w:w="4148"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未制定标准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118"/>
              <w:rPr>
                <w:color w:val="000000" w:themeColor="text1"/>
                <w:highlight w:val="none"/>
                <w14:textFill>
                  <w14:solidFill>
                    <w14:schemeClr w14:val="tx1"/>
                  </w14:solidFill>
                </w14:textFill>
              </w:rPr>
            </w:pPr>
          </w:p>
        </w:tc>
        <w:tc>
          <w:tcPr>
            <w:tcW w:w="158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侵入途径</w:t>
            </w:r>
          </w:p>
        </w:tc>
        <w:tc>
          <w:tcPr>
            <w:tcW w:w="5850" w:type="dxa"/>
            <w:gridSpan w:val="4"/>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吸入</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118"/>
              <w:rPr>
                <w:color w:val="000000" w:themeColor="text1"/>
                <w:highlight w:val="none"/>
                <w14:textFill>
                  <w14:solidFill>
                    <w14:schemeClr w14:val="tx1"/>
                  </w14:solidFill>
                </w14:textFill>
              </w:rPr>
            </w:pPr>
          </w:p>
        </w:tc>
        <w:tc>
          <w:tcPr>
            <w:tcW w:w="158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健康危害</w:t>
            </w:r>
          </w:p>
        </w:tc>
        <w:tc>
          <w:tcPr>
            <w:tcW w:w="5850" w:type="dxa"/>
            <w:gridSpan w:val="4"/>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1、当空气中甲烷浓度达</w:t>
            </w:r>
            <w:r>
              <w:rPr>
                <w:rFonts w:hint="eastAsia"/>
                <w:color w:val="000000" w:themeColor="text1"/>
                <w:highlight w:val="none"/>
                <w14:textFill>
                  <w14:solidFill>
                    <w14:schemeClr w14:val="tx1"/>
                  </w14:solidFill>
                </w14:textFill>
              </w:rPr>
              <w:t>25%—30%</w:t>
            </w:r>
            <w:r>
              <w:rPr>
                <w:color w:val="000000" w:themeColor="text1"/>
                <w:highlight w:val="none"/>
                <w14:textFill>
                  <w14:solidFill>
                    <w14:schemeClr w14:val="tx1"/>
                  </w14:solidFill>
                </w14:textFill>
              </w:rPr>
              <w:t>时，可引起头痛、头晕、乏力、注意力不集中、呼吸和心跳加速、精细动作障碍等；</w:t>
            </w:r>
          </w:p>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2、当空气中甲烷浓度更高时，可能使人出现窒息、昏迷等。</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restar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燃烧</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爆炸</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危险</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性</w:t>
            </w:r>
          </w:p>
        </w:tc>
        <w:tc>
          <w:tcPr>
            <w:tcW w:w="158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燃烧性</w:t>
            </w:r>
          </w:p>
        </w:tc>
        <w:tc>
          <w:tcPr>
            <w:tcW w:w="170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易燃</w:t>
            </w:r>
          </w:p>
        </w:tc>
        <w:tc>
          <w:tcPr>
            <w:tcW w:w="1945" w:type="dxa"/>
            <w:gridSpan w:val="2"/>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建筑</w:t>
            </w:r>
            <w:r>
              <w:rPr>
                <w:color w:val="000000" w:themeColor="text1"/>
                <w:highlight w:val="none"/>
                <w14:textFill>
                  <w14:solidFill>
                    <w14:schemeClr w14:val="tx1"/>
                  </w14:solidFill>
                </w14:textFill>
              </w:rPr>
              <w:t>火险等级</w:t>
            </w:r>
          </w:p>
        </w:tc>
        <w:tc>
          <w:tcPr>
            <w:tcW w:w="220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甲</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118"/>
              <w:rPr>
                <w:b/>
                <w:bCs/>
                <w:color w:val="000000" w:themeColor="text1"/>
                <w:highlight w:val="none"/>
                <w14:textFill>
                  <w14:solidFill>
                    <w14:schemeClr w14:val="tx1"/>
                  </w14:solidFill>
                </w14:textFill>
              </w:rPr>
            </w:pPr>
          </w:p>
        </w:tc>
        <w:tc>
          <w:tcPr>
            <w:tcW w:w="158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闪点（℃）</w:t>
            </w:r>
          </w:p>
        </w:tc>
        <w:tc>
          <w:tcPr>
            <w:tcW w:w="170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-188</w:t>
            </w:r>
          </w:p>
        </w:tc>
        <w:tc>
          <w:tcPr>
            <w:tcW w:w="1945"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爆炸下限（v%）</w:t>
            </w:r>
          </w:p>
        </w:tc>
        <w:tc>
          <w:tcPr>
            <w:tcW w:w="220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118"/>
              <w:rPr>
                <w:b/>
                <w:bCs/>
                <w:color w:val="000000" w:themeColor="text1"/>
                <w:highlight w:val="none"/>
                <w14:textFill>
                  <w14:solidFill>
                    <w14:schemeClr w14:val="tx1"/>
                  </w14:solidFill>
                </w14:textFill>
              </w:rPr>
            </w:pPr>
          </w:p>
        </w:tc>
        <w:tc>
          <w:tcPr>
            <w:tcW w:w="158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自然温度（℃）</w:t>
            </w:r>
          </w:p>
        </w:tc>
        <w:tc>
          <w:tcPr>
            <w:tcW w:w="170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538</w:t>
            </w:r>
          </w:p>
        </w:tc>
        <w:tc>
          <w:tcPr>
            <w:tcW w:w="1945"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爆炸上限（v%）</w:t>
            </w:r>
          </w:p>
        </w:tc>
        <w:tc>
          <w:tcPr>
            <w:tcW w:w="220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118"/>
              <w:rPr>
                <w:b/>
                <w:bCs/>
                <w:color w:val="000000" w:themeColor="text1"/>
                <w:highlight w:val="none"/>
                <w14:textFill>
                  <w14:solidFill>
                    <w14:schemeClr w14:val="tx1"/>
                  </w14:solidFill>
                </w14:textFill>
              </w:rPr>
            </w:pPr>
          </w:p>
        </w:tc>
        <w:tc>
          <w:tcPr>
            <w:tcW w:w="158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危险特性</w:t>
            </w:r>
          </w:p>
        </w:tc>
        <w:tc>
          <w:tcPr>
            <w:tcW w:w="5850" w:type="dxa"/>
            <w:gridSpan w:val="4"/>
            <w:vAlign w:val="center"/>
          </w:tcPr>
          <w:p>
            <w:pPr>
              <w:pStyle w:val="118"/>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1、甲烷与空气混合能形成爆炸性混合物，当在爆炸极限范围内遇明火、高</w:t>
            </w:r>
            <w:r>
              <w:rPr>
                <w:rFonts w:hint="eastAsia"/>
                <w:color w:val="000000" w:themeColor="text1"/>
                <w:highlight w:val="none"/>
                <w14:textFill>
                  <w14:solidFill>
                    <w14:schemeClr w14:val="tx1"/>
                  </w14:solidFill>
                </w14:textFill>
              </w:rPr>
              <w:t>热</w:t>
            </w:r>
            <w:r>
              <w:rPr>
                <w:color w:val="000000" w:themeColor="text1"/>
                <w:highlight w:val="none"/>
                <w14:textFill>
                  <w14:solidFill>
                    <w14:schemeClr w14:val="tx1"/>
                  </w14:solidFill>
                </w14:textFill>
              </w:rPr>
              <w:t>时引起燃烧爆炸。2、甲烷与氟、氯等能发生剧烈的化学反应。3、甲烷若遇高热，容器内压增大，有开裂和爆炸的危险。</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118"/>
              <w:rPr>
                <w:b/>
                <w:bCs/>
                <w:color w:val="000000" w:themeColor="text1"/>
                <w:highlight w:val="none"/>
                <w14:textFill>
                  <w14:solidFill>
                    <w14:schemeClr w14:val="tx1"/>
                  </w14:solidFill>
                </w14:textFill>
              </w:rPr>
            </w:pPr>
          </w:p>
        </w:tc>
        <w:tc>
          <w:tcPr>
            <w:tcW w:w="158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稳定性</w:t>
            </w:r>
          </w:p>
        </w:tc>
        <w:tc>
          <w:tcPr>
            <w:tcW w:w="5850" w:type="dxa"/>
            <w:gridSpan w:val="4"/>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稳定</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118"/>
              <w:rPr>
                <w:b/>
                <w:bCs/>
                <w:color w:val="000000" w:themeColor="text1"/>
                <w:highlight w:val="none"/>
                <w14:textFill>
                  <w14:solidFill>
                    <w14:schemeClr w14:val="tx1"/>
                  </w14:solidFill>
                </w14:textFill>
              </w:rPr>
            </w:pPr>
          </w:p>
        </w:tc>
        <w:tc>
          <w:tcPr>
            <w:tcW w:w="158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聚合危害</w:t>
            </w:r>
          </w:p>
        </w:tc>
        <w:tc>
          <w:tcPr>
            <w:tcW w:w="5850" w:type="dxa"/>
            <w:gridSpan w:val="4"/>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不会出现聚合危害</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118"/>
              <w:rPr>
                <w:b/>
                <w:bCs/>
                <w:color w:val="000000" w:themeColor="text1"/>
                <w:highlight w:val="none"/>
                <w14:textFill>
                  <w14:solidFill>
                    <w14:schemeClr w14:val="tx1"/>
                  </w14:solidFill>
                </w14:textFill>
              </w:rPr>
            </w:pPr>
          </w:p>
        </w:tc>
        <w:tc>
          <w:tcPr>
            <w:tcW w:w="158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禁忌物</w:t>
            </w:r>
          </w:p>
        </w:tc>
        <w:tc>
          <w:tcPr>
            <w:tcW w:w="5850" w:type="dxa"/>
            <w:gridSpan w:val="4"/>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强氧化剂，如氟、氯等</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118"/>
              <w:rPr>
                <w:b/>
                <w:bCs/>
                <w:color w:val="000000" w:themeColor="text1"/>
                <w:highlight w:val="none"/>
                <w14:textFill>
                  <w14:solidFill>
                    <w14:schemeClr w14:val="tx1"/>
                  </w14:solidFill>
                </w14:textFill>
              </w:rPr>
            </w:pPr>
          </w:p>
        </w:tc>
        <w:tc>
          <w:tcPr>
            <w:tcW w:w="158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灭火方法</w:t>
            </w:r>
          </w:p>
        </w:tc>
        <w:tc>
          <w:tcPr>
            <w:tcW w:w="5850" w:type="dxa"/>
            <w:gridSpan w:val="4"/>
            <w:vAlign w:val="center"/>
          </w:tcPr>
          <w:p>
            <w:pPr>
              <w:pStyle w:val="118"/>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1、立即切断气源。2、若不能立即切断气源，则不允许熄灭正在燃烧的气体。3、喷水冷却容器，如果可能应将容器从火场移至空旷处。4、采用雾状水、泡沫灭火器和二氧化碳灭火器等。</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restar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包装</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储运</w:t>
            </w:r>
          </w:p>
        </w:tc>
        <w:tc>
          <w:tcPr>
            <w:tcW w:w="158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危险性类别</w:t>
            </w:r>
          </w:p>
        </w:tc>
        <w:tc>
          <w:tcPr>
            <w:tcW w:w="5850" w:type="dxa"/>
            <w:gridSpan w:val="4"/>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第2.1类（UN类别）易燃气体</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118"/>
              <w:rPr>
                <w:b/>
                <w:bCs/>
                <w:color w:val="000000" w:themeColor="text1"/>
                <w:highlight w:val="none"/>
                <w14:textFill>
                  <w14:solidFill>
                    <w14:schemeClr w14:val="tx1"/>
                  </w14:solidFill>
                </w14:textFill>
              </w:rPr>
            </w:pPr>
          </w:p>
        </w:tc>
        <w:tc>
          <w:tcPr>
            <w:tcW w:w="158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危险货物包装标志</w:t>
            </w:r>
          </w:p>
        </w:tc>
        <w:tc>
          <w:tcPr>
            <w:tcW w:w="5850" w:type="dxa"/>
            <w:gridSpan w:val="4"/>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包装</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储运</w:t>
            </w:r>
          </w:p>
        </w:tc>
        <w:tc>
          <w:tcPr>
            <w:tcW w:w="158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储运注意事项</w:t>
            </w:r>
          </w:p>
        </w:tc>
        <w:tc>
          <w:tcPr>
            <w:tcW w:w="5850" w:type="dxa"/>
            <w:gridSpan w:val="4"/>
            <w:vAlign w:val="center"/>
          </w:tcPr>
          <w:p>
            <w:pPr>
              <w:pStyle w:val="118"/>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储存于阴凉、通风的储存间内，且储存间内温度不宜超过30℃，储存间内的照明、通风设施应采用防爆型，开关设置于储存间外。2、罐储时，要有防火防爆措施，若为露天储罐夏季应有降温措施。3、储存间和储罐附近应配备相应品种和数量的消防器材。4、远离火种、热源，禁止使用易产生火花的机械设备和工具。5、防止阳光直射。6、与氧气、压缩空气、卤素（氟、氯、溴）等分开存放，切忌混储混运。7、验收时应注意品名，注意验瓶日期，先进储存的先发用。8、搬运时轻装轻卸，防止钢瓶及附件破损。</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restar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急救</w:t>
            </w:r>
          </w:p>
        </w:tc>
        <w:tc>
          <w:tcPr>
            <w:tcW w:w="158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皮肤接触</w:t>
            </w:r>
          </w:p>
        </w:tc>
        <w:tc>
          <w:tcPr>
            <w:tcW w:w="5850" w:type="dxa"/>
            <w:gridSpan w:val="4"/>
            <w:vAlign w:val="center"/>
          </w:tcPr>
          <w:p>
            <w:pPr>
              <w:pStyle w:val="118"/>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若有冻伤，就医治疗。</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118"/>
              <w:rPr>
                <w:b/>
                <w:bCs/>
                <w:color w:val="000000" w:themeColor="text1"/>
                <w:highlight w:val="none"/>
                <w14:textFill>
                  <w14:solidFill>
                    <w14:schemeClr w14:val="tx1"/>
                  </w14:solidFill>
                </w14:textFill>
              </w:rPr>
            </w:pPr>
          </w:p>
        </w:tc>
        <w:tc>
          <w:tcPr>
            <w:tcW w:w="158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吸入</w:t>
            </w:r>
          </w:p>
        </w:tc>
        <w:tc>
          <w:tcPr>
            <w:tcW w:w="5850" w:type="dxa"/>
            <w:gridSpan w:val="4"/>
            <w:vAlign w:val="center"/>
          </w:tcPr>
          <w:p>
            <w:pPr>
              <w:pStyle w:val="118"/>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1、迅速脱离现场至空气新鲜处。2、注意保暖，呼吸困难时给输氧。3、呼吸及心跳停止者立即进行人工呼吸和心脏按压术，并就医治疗。</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restar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防护</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措施</w:t>
            </w:r>
          </w:p>
        </w:tc>
        <w:tc>
          <w:tcPr>
            <w:tcW w:w="158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工程控制</w:t>
            </w:r>
          </w:p>
        </w:tc>
        <w:tc>
          <w:tcPr>
            <w:tcW w:w="5850" w:type="dxa"/>
            <w:gridSpan w:val="4"/>
            <w:vAlign w:val="center"/>
          </w:tcPr>
          <w:p>
            <w:pPr>
              <w:pStyle w:val="118"/>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全面通风。</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118"/>
              <w:rPr>
                <w:b/>
                <w:bCs/>
                <w:color w:val="000000" w:themeColor="text1"/>
                <w:highlight w:val="none"/>
                <w14:textFill>
                  <w14:solidFill>
                    <w14:schemeClr w14:val="tx1"/>
                  </w14:solidFill>
                </w14:textFill>
              </w:rPr>
            </w:pPr>
          </w:p>
        </w:tc>
        <w:tc>
          <w:tcPr>
            <w:tcW w:w="158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呼吸系统防护</w:t>
            </w:r>
          </w:p>
        </w:tc>
        <w:tc>
          <w:tcPr>
            <w:tcW w:w="5850" w:type="dxa"/>
            <w:gridSpan w:val="4"/>
            <w:vAlign w:val="center"/>
          </w:tcPr>
          <w:p>
            <w:pPr>
              <w:pStyle w:val="118"/>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一般不需要特殊防护，高浓度环境中，可</w:t>
            </w:r>
            <w:r>
              <w:rPr>
                <w:rFonts w:hint="eastAsia"/>
                <w:color w:val="000000" w:themeColor="text1"/>
                <w:highlight w:val="none"/>
                <w14:textFill>
                  <w14:solidFill>
                    <w14:schemeClr w14:val="tx1"/>
                  </w14:solidFill>
                </w14:textFill>
              </w:rPr>
              <w:t>佩戴</w:t>
            </w:r>
            <w:r>
              <w:rPr>
                <w:color w:val="000000" w:themeColor="text1"/>
                <w:highlight w:val="none"/>
                <w14:textFill>
                  <w14:solidFill>
                    <w14:schemeClr w14:val="tx1"/>
                  </w14:solidFill>
                </w14:textFill>
              </w:rPr>
              <w:t>供气式呼吸器。</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118"/>
              <w:rPr>
                <w:b/>
                <w:bCs/>
                <w:color w:val="000000" w:themeColor="text1"/>
                <w:highlight w:val="none"/>
                <w14:textFill>
                  <w14:solidFill>
                    <w14:schemeClr w14:val="tx1"/>
                  </w14:solidFill>
                </w14:textFill>
              </w:rPr>
            </w:pPr>
          </w:p>
        </w:tc>
        <w:tc>
          <w:tcPr>
            <w:tcW w:w="158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眼睛防护</w:t>
            </w:r>
          </w:p>
        </w:tc>
        <w:tc>
          <w:tcPr>
            <w:tcW w:w="5850" w:type="dxa"/>
            <w:gridSpan w:val="4"/>
            <w:vAlign w:val="center"/>
          </w:tcPr>
          <w:p>
            <w:pPr>
              <w:pStyle w:val="118"/>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一般不需要特殊防护，高浓度接触时可戴安全防护眼镜。</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118"/>
              <w:rPr>
                <w:b/>
                <w:bCs/>
                <w:color w:val="000000" w:themeColor="text1"/>
                <w:highlight w:val="none"/>
                <w14:textFill>
                  <w14:solidFill>
                    <w14:schemeClr w14:val="tx1"/>
                  </w14:solidFill>
                </w14:textFill>
              </w:rPr>
            </w:pPr>
          </w:p>
        </w:tc>
        <w:tc>
          <w:tcPr>
            <w:tcW w:w="158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手防护</w:t>
            </w:r>
          </w:p>
        </w:tc>
        <w:tc>
          <w:tcPr>
            <w:tcW w:w="5850" w:type="dxa"/>
            <w:gridSpan w:val="4"/>
            <w:vAlign w:val="center"/>
          </w:tcPr>
          <w:p>
            <w:pPr>
              <w:pStyle w:val="118"/>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一般不需要特殊防护，高浓度接触可戴防护手套。</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118"/>
              <w:rPr>
                <w:b/>
                <w:bCs/>
                <w:color w:val="000000" w:themeColor="text1"/>
                <w:highlight w:val="none"/>
                <w14:textFill>
                  <w14:solidFill>
                    <w14:schemeClr w14:val="tx1"/>
                  </w14:solidFill>
                </w14:textFill>
              </w:rPr>
            </w:pPr>
          </w:p>
        </w:tc>
        <w:tc>
          <w:tcPr>
            <w:tcW w:w="158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其它</w:t>
            </w:r>
          </w:p>
        </w:tc>
        <w:tc>
          <w:tcPr>
            <w:tcW w:w="5850" w:type="dxa"/>
            <w:gridSpan w:val="4"/>
            <w:vAlign w:val="center"/>
          </w:tcPr>
          <w:p>
            <w:pPr>
              <w:pStyle w:val="118"/>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1、工作现场严禁吸烟；2、避免长期反复接触；</w:t>
            </w:r>
          </w:p>
          <w:p>
            <w:pPr>
              <w:pStyle w:val="118"/>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3、进入罐区</w:t>
            </w:r>
            <w:r>
              <w:rPr>
                <w:rFonts w:hint="eastAsia"/>
                <w:color w:val="000000" w:themeColor="text1"/>
                <w:highlight w:val="none"/>
                <w14:textFill>
                  <w14:solidFill>
                    <w14:schemeClr w14:val="tx1"/>
                  </w14:solidFill>
                </w14:textFill>
              </w:rPr>
              <w:t>或其他</w:t>
            </w:r>
            <w:r>
              <w:rPr>
                <w:color w:val="000000" w:themeColor="text1"/>
                <w:highlight w:val="none"/>
                <w14:textFill>
                  <w14:solidFill>
                    <w14:schemeClr w14:val="tx1"/>
                  </w14:solidFill>
                </w14:textFill>
              </w:rPr>
              <w:t>高浓度区作业时须有人监护。</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泄露</w:t>
            </w:r>
          </w:p>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处理</w:t>
            </w:r>
          </w:p>
        </w:tc>
        <w:tc>
          <w:tcPr>
            <w:tcW w:w="7431" w:type="dxa"/>
            <w:gridSpan w:val="5"/>
            <w:vAlign w:val="center"/>
          </w:tcPr>
          <w:p>
            <w:pPr>
              <w:pStyle w:val="118"/>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1、切断气源，喷雾状水稀释、降温，抽排（室内）或强力通风（室外）。2、切断火源，迅速撤离</w:t>
            </w:r>
            <w:r>
              <w:rPr>
                <w:bCs/>
                <w:color w:val="000000" w:themeColor="text1"/>
                <w:highlight w:val="none"/>
                <w14:textFill>
                  <w14:solidFill>
                    <w14:schemeClr w14:val="tx1"/>
                  </w14:solidFill>
                </w14:textFill>
              </w:rPr>
              <w:t>泄漏</w:t>
            </w:r>
            <w:r>
              <w:rPr>
                <w:color w:val="000000" w:themeColor="text1"/>
                <w:highlight w:val="none"/>
                <w14:textFill>
                  <w14:solidFill>
                    <w14:schemeClr w14:val="tx1"/>
                  </w14:solidFill>
                </w14:textFill>
              </w:rPr>
              <w:t>污染区人员至上风处，并隔离直至气体散尽。3、应急处理人员应戴自给式呼吸器，穿一般消防防护服。4、如有可能，应将漏出气用排风机送至空旷地方或装设适当喷头烧掉；也可以将漏气的容器移至空旷处，注意通风。5、漏气容器不能再用，且要经过技术处理以清除可能剩下的</w:t>
            </w:r>
            <w:r>
              <w:rPr>
                <w:rFonts w:hint="eastAsia"/>
                <w:color w:val="000000" w:themeColor="text1"/>
                <w:highlight w:val="none"/>
                <w14:textFill>
                  <w14:solidFill>
                    <w14:schemeClr w14:val="tx1"/>
                  </w14:solidFill>
                </w14:textFill>
              </w:rPr>
              <w:t>气体</w:t>
            </w:r>
            <w:r>
              <w:rPr>
                <w:color w:val="000000" w:themeColor="text1"/>
                <w:highlight w:val="none"/>
                <w14:textFill>
                  <w14:solidFill>
                    <w14:schemeClr w14:val="tx1"/>
                  </w14:solidFill>
                </w14:textFill>
              </w:rPr>
              <w:t>。</w:t>
            </w:r>
          </w:p>
        </w:tc>
      </w:tr>
    </w:tbl>
    <w:p>
      <w:pPr>
        <w:spacing w:before="120" w:beforeLines="50"/>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（2）</w:t>
      </w:r>
      <w:r>
        <w:rPr>
          <w:rFonts w:hint="eastAsia"/>
          <w:b/>
          <w:bCs/>
          <w:color w:val="000000" w:themeColor="text1"/>
          <w:szCs w:val="32"/>
          <w:highlight w:val="none"/>
          <w14:textFill>
            <w14:solidFill>
              <w14:schemeClr w14:val="tx1"/>
            </w14:solidFill>
          </w14:textFill>
        </w:rPr>
        <w:t>气田水</w:t>
      </w:r>
    </w:p>
    <w:p>
      <w:pPr>
        <w:ind w:firstLine="480"/>
        <w:rPr>
          <w:color w:val="000000" w:themeColor="text1"/>
          <w:szCs w:val="32"/>
          <w:highlight w:val="none"/>
          <w14:textFill>
            <w14:solidFill>
              <w14:schemeClr w14:val="tx1"/>
            </w14:solidFill>
          </w14:textFill>
        </w:rPr>
      </w:pPr>
      <w:r>
        <w:rPr>
          <w:bCs/>
          <w:color w:val="000000" w:themeColor="text1"/>
          <w:highlight w:val="none"/>
          <w14:textFill>
            <w14:solidFill>
              <w14:schemeClr w14:val="tx1"/>
            </w14:solidFill>
          </w14:textFill>
        </w:rPr>
        <w:t>气田水中的主要污染物成分为石油类、COD、Cl</w:t>
      </w:r>
      <w:r>
        <w:rPr>
          <w:bCs/>
          <w:color w:val="000000" w:themeColor="text1"/>
          <w:highlight w:val="none"/>
          <w:vertAlign w:val="superscript"/>
          <w14:textFill>
            <w14:solidFill>
              <w14:schemeClr w14:val="tx1"/>
            </w14:solidFill>
          </w14:textFill>
        </w:rPr>
        <w:t>-</w:t>
      </w:r>
      <w:r>
        <w:rPr>
          <w:bCs/>
          <w:color w:val="000000" w:themeColor="text1"/>
          <w:highlight w:val="none"/>
          <w14:textFill>
            <w14:solidFill>
              <w14:schemeClr w14:val="tx1"/>
            </w14:solidFill>
          </w14:textFill>
        </w:rPr>
        <w:t>。结合工程项目的实际情况，气田水泄漏后会对地表水、地下水和土壤产生一定危害。</w:t>
      </w:r>
    </w:p>
    <w:p>
      <w:pPr>
        <w:ind w:firstLine="480"/>
        <w:rPr>
          <w:rFonts w:cs="Times New Roman"/>
          <w:bCs/>
          <w:color w:val="000000" w:themeColor="text1"/>
          <w:szCs w:val="24"/>
          <w:highlight w:val="none"/>
          <w14:textFill>
            <w14:solidFill>
              <w14:schemeClr w14:val="tx1"/>
            </w14:solidFill>
          </w14:textFill>
        </w:rPr>
      </w:pPr>
      <w:r>
        <w:rPr>
          <w:rFonts w:hint="eastAsia"/>
          <w:color w:val="000000" w:themeColor="text1"/>
          <w:szCs w:val="32"/>
          <w:highlight w:val="none"/>
          <w14:textFill>
            <w14:solidFill>
              <w14:schemeClr w14:val="tx1"/>
            </w14:solidFill>
          </w14:textFill>
        </w:rPr>
        <w:t>气田水不属于《建设项目环境风险评价技术导则》（HJ169-2018）附录 B.2危害水环境物质（急性毒性类别1），无临界量规定，不需要计算Q值</w:t>
      </w:r>
      <w:r>
        <w:rPr>
          <w:rFonts w:cs="Times New Roman"/>
          <w:bCs/>
          <w:color w:val="000000" w:themeColor="text1"/>
          <w:szCs w:val="24"/>
          <w:highlight w:val="none"/>
          <w14:textFill>
            <w14:solidFill>
              <w14:schemeClr w14:val="tx1"/>
            </w14:solidFill>
          </w14:textFill>
        </w:rPr>
        <w:t>。</w:t>
      </w:r>
    </w:p>
    <w:p>
      <w:pPr>
        <w:pStyle w:val="5"/>
        <w:spacing w:before="120"/>
        <w:ind w:firstLine="480"/>
        <w:rPr>
          <w:color w:val="000000" w:themeColor="text1"/>
          <w:highlight w:val="none"/>
          <w:lang w:eastAsia="zh-CN"/>
          <w14:textFill>
            <w14:solidFill>
              <w14:schemeClr w14:val="tx1"/>
            </w14:solidFill>
          </w14:textFill>
        </w:rPr>
      </w:pPr>
      <w:r>
        <w:rPr>
          <w:color w:val="000000" w:themeColor="text1"/>
          <w:highlight w:val="none"/>
          <w:lang w:eastAsia="zh-CN"/>
          <w14:textFill>
            <w14:solidFill>
              <w14:schemeClr w14:val="tx1"/>
            </w14:solidFill>
          </w14:textFill>
        </w:rPr>
        <w:t>环境风险敏感目标调查</w:t>
      </w:r>
    </w:p>
    <w:p>
      <w:pPr>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本</w:t>
      </w:r>
      <w:r>
        <w:rPr>
          <w:rFonts w:hint="eastAsia"/>
          <w:color w:val="000000" w:themeColor="text1"/>
          <w:szCs w:val="24"/>
          <w:highlight w:val="none"/>
          <w14:textFill>
            <w14:solidFill>
              <w14:schemeClr w14:val="tx1"/>
            </w14:solidFill>
          </w14:textFill>
        </w:rPr>
        <w:t>项目</w:t>
      </w:r>
      <w:r>
        <w:rPr>
          <w:color w:val="000000" w:themeColor="text1"/>
          <w:szCs w:val="24"/>
          <w:highlight w:val="none"/>
          <w14:textFill>
            <w14:solidFill>
              <w14:schemeClr w14:val="tx1"/>
            </w14:solidFill>
          </w14:textFill>
        </w:rPr>
        <w:t>在选址</w:t>
      </w:r>
      <w:r>
        <w:rPr>
          <w:rFonts w:hint="eastAsia"/>
          <w:color w:val="000000" w:themeColor="text1"/>
          <w:szCs w:val="24"/>
          <w:highlight w:val="none"/>
          <w14:textFill>
            <w14:solidFill>
              <w14:schemeClr w14:val="tx1"/>
            </w14:solidFill>
          </w14:textFill>
        </w:rPr>
        <w:t>、选线</w:t>
      </w:r>
      <w:r>
        <w:rPr>
          <w:color w:val="000000" w:themeColor="text1"/>
          <w:szCs w:val="24"/>
          <w:highlight w:val="none"/>
          <w14:textFill>
            <w14:solidFill>
              <w14:schemeClr w14:val="tx1"/>
            </w14:solidFill>
          </w14:textFill>
        </w:rPr>
        <w:t>过程中就避开了居民集中区、</w:t>
      </w:r>
      <w:r>
        <w:rPr>
          <w:rFonts w:hint="eastAsia"/>
          <w:color w:val="000000" w:themeColor="text1"/>
          <w:szCs w:val="24"/>
          <w:highlight w:val="none"/>
          <w14:textFill>
            <w14:solidFill>
              <w14:schemeClr w14:val="tx1"/>
            </w14:solidFill>
          </w14:textFill>
        </w:rPr>
        <w:t>风景</w:t>
      </w:r>
      <w:r>
        <w:rPr>
          <w:color w:val="000000" w:themeColor="text1"/>
          <w:szCs w:val="24"/>
          <w:highlight w:val="none"/>
          <w14:textFill>
            <w14:solidFill>
              <w14:schemeClr w14:val="tx1"/>
            </w14:solidFill>
          </w14:textFill>
        </w:rPr>
        <w:t>名胜区、文物古迹等风险敏感点，主要</w:t>
      </w:r>
      <w:r>
        <w:rPr>
          <w:rFonts w:hint="eastAsia"/>
          <w:color w:val="000000" w:themeColor="text1"/>
          <w:szCs w:val="24"/>
          <w:highlight w:val="none"/>
          <w14:textFill>
            <w14:solidFill>
              <w14:schemeClr w14:val="tx1"/>
            </w14:solidFill>
          </w14:textFill>
        </w:rPr>
        <w:t>风险</w:t>
      </w:r>
      <w:r>
        <w:rPr>
          <w:color w:val="000000" w:themeColor="text1"/>
          <w:szCs w:val="24"/>
          <w:highlight w:val="none"/>
          <w14:textFill>
            <w14:solidFill>
              <w14:schemeClr w14:val="tx1"/>
            </w14:solidFill>
          </w14:textFill>
        </w:rPr>
        <w:t>敏感目标</w:t>
      </w:r>
      <w:r>
        <w:rPr>
          <w:rFonts w:hint="eastAsia"/>
          <w:color w:val="000000" w:themeColor="text1"/>
          <w:szCs w:val="24"/>
          <w:highlight w:val="none"/>
          <w14:textFill>
            <w14:solidFill>
              <w14:schemeClr w14:val="tx1"/>
            </w14:solidFill>
          </w14:textFill>
        </w:rPr>
        <w:t>为周围农户，</w:t>
      </w:r>
      <w:r>
        <w:rPr>
          <w:color w:val="000000" w:themeColor="text1"/>
          <w:szCs w:val="24"/>
          <w:highlight w:val="none"/>
          <w14:textFill>
            <w14:solidFill>
              <w14:schemeClr w14:val="tx1"/>
            </w14:solidFill>
          </w14:textFill>
        </w:rPr>
        <w:t>分布情况见“</w:t>
      </w:r>
      <w:r>
        <w:rPr>
          <w:rFonts w:hint="eastAsia"/>
          <w:color w:val="000000" w:themeColor="text1"/>
          <w:szCs w:val="24"/>
          <w:highlight w:val="none"/>
          <w14:textFill>
            <w14:solidFill>
              <w14:schemeClr w14:val="tx1"/>
            </w14:solidFill>
          </w14:textFill>
        </w:rPr>
        <w:t>2.9.2主要</w:t>
      </w:r>
      <w:r>
        <w:rPr>
          <w:color w:val="000000" w:themeColor="text1"/>
          <w:szCs w:val="24"/>
          <w:highlight w:val="none"/>
          <w14:textFill>
            <w14:solidFill>
              <w14:schemeClr w14:val="tx1"/>
            </w14:solidFill>
          </w14:textFill>
        </w:rPr>
        <w:t>环境保护目标”</w:t>
      </w:r>
      <w:r>
        <w:rPr>
          <w:rFonts w:hint="eastAsia"/>
          <w:color w:val="000000" w:themeColor="text1"/>
          <w:szCs w:val="24"/>
          <w:highlight w:val="none"/>
          <w14:textFill>
            <w14:solidFill>
              <w14:schemeClr w14:val="tx1"/>
            </w14:solidFill>
          </w14:textFill>
        </w:rPr>
        <w:t>章节。</w:t>
      </w:r>
    </w:p>
    <w:p>
      <w:pPr>
        <w:pStyle w:val="4"/>
        <w:spacing w:before="120"/>
        <w:rPr>
          <w:color w:val="000000" w:themeColor="text1"/>
          <w:highlight w:val="none"/>
          <w14:textFill>
            <w14:solidFill>
              <w14:schemeClr w14:val="tx1"/>
            </w14:solidFill>
          </w14:textFill>
        </w:rPr>
      </w:pPr>
      <w:bookmarkStart w:id="330" w:name="_Toc31637"/>
      <w:r>
        <w:rPr>
          <w:rFonts w:hint="eastAsia"/>
          <w:color w:val="000000" w:themeColor="text1"/>
          <w:highlight w:val="none"/>
          <w14:textFill>
            <w14:solidFill>
              <w14:schemeClr w14:val="tx1"/>
            </w14:solidFill>
          </w14:textFill>
        </w:rPr>
        <w:t>评价等级</w:t>
      </w:r>
      <w:bookmarkEnd w:id="330"/>
    </w:p>
    <w:p>
      <w:pPr>
        <w:pStyle w:val="5"/>
        <w:spacing w:before="120"/>
        <w:ind w:firstLine="480"/>
        <w:rPr>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危险物质及工艺系统危险性（</w:t>
      </w:r>
      <w:r>
        <w:rPr>
          <w:color w:val="000000" w:themeColor="text1"/>
          <w:highlight w:val="none"/>
          <w:lang w:eastAsia="zh-CN"/>
          <w14:textFill>
            <w14:solidFill>
              <w14:schemeClr w14:val="tx1"/>
            </w14:solidFill>
          </w14:textFill>
        </w:rPr>
        <w:t>P</w:t>
      </w:r>
      <w:r>
        <w:rPr>
          <w:rFonts w:hint="eastAsia"/>
          <w:color w:val="000000" w:themeColor="text1"/>
          <w:highlight w:val="none"/>
          <w:lang w:eastAsia="zh-CN"/>
          <w14:textFill>
            <w14:solidFill>
              <w14:schemeClr w14:val="tx1"/>
            </w14:solidFill>
          </w14:textFill>
        </w:rPr>
        <w:t>）分级确定</w:t>
      </w:r>
    </w:p>
    <w:p>
      <w:pPr>
        <w:ind w:firstLine="480"/>
        <w:rPr>
          <w:rFonts w:cs="Times New Roman"/>
          <w:bCs/>
          <w:color w:val="000000" w:themeColor="text1"/>
          <w:szCs w:val="24"/>
          <w:highlight w:val="none"/>
          <w:lang w:val="zh-CN"/>
          <w14:textFill>
            <w14:solidFill>
              <w14:schemeClr w14:val="tx1"/>
            </w14:solidFill>
          </w14:textFill>
        </w:rPr>
      </w:pPr>
      <w:r>
        <w:rPr>
          <w:rFonts w:cs="Times New Roman"/>
          <w:bCs/>
          <w:color w:val="000000" w:themeColor="text1"/>
          <w:szCs w:val="24"/>
          <w:highlight w:val="none"/>
          <w:lang w:val="zh-CN"/>
          <w14:textFill>
            <w14:solidFill>
              <w14:schemeClr w14:val="tx1"/>
            </w14:solidFill>
          </w14:textFill>
        </w:rPr>
        <w:t>（1）危险物质数量与临界量的比值（Q）</w:t>
      </w:r>
    </w:p>
    <w:p>
      <w:pPr>
        <w:ind w:firstLine="480"/>
        <w:rPr>
          <w:rFonts w:cs="Times New Roman"/>
          <w:bCs/>
          <w:color w:val="000000" w:themeColor="text1"/>
          <w:szCs w:val="24"/>
          <w:highlight w:val="none"/>
          <w:lang w:val="zh-CN"/>
          <w14:textFill>
            <w14:solidFill>
              <w14:schemeClr w14:val="tx1"/>
            </w14:solidFill>
          </w14:textFill>
        </w:rPr>
      </w:pPr>
      <w:r>
        <w:rPr>
          <w:rFonts w:cs="Times New Roman"/>
          <w:bCs/>
          <w:color w:val="000000" w:themeColor="text1"/>
          <w:szCs w:val="24"/>
          <w:highlight w:val="none"/>
          <w:lang w:val="zh-CN"/>
          <w14:textFill>
            <w14:solidFill>
              <w14:schemeClr w14:val="tx1"/>
            </w14:solidFill>
          </w14:textFill>
        </w:rPr>
        <w:t>分析建设项目生产、使用、储存过程中涉及的有毒有害、易燃易爆物质，参见HJ169-2018中附录B确定危险物质的临界量，并参照附录C进行判定。</w:t>
      </w:r>
    </w:p>
    <w:p>
      <w:pPr>
        <w:ind w:firstLine="480"/>
        <w:rPr>
          <w:rFonts w:cs="Times New Roman"/>
          <w:bCs/>
          <w:color w:val="000000" w:themeColor="text1"/>
          <w:szCs w:val="24"/>
          <w:highlight w:val="none"/>
          <w:lang w:val="zh-CN"/>
          <w14:textFill>
            <w14:solidFill>
              <w14:schemeClr w14:val="tx1"/>
            </w14:solidFill>
          </w14:textFill>
        </w:rPr>
      </w:pPr>
      <w:r>
        <w:rPr>
          <w:rFonts w:hint="eastAsia" w:ascii="宋体" w:hAnsi="宋体" w:cs="宋体"/>
          <w:bCs/>
          <w:color w:val="000000" w:themeColor="text1"/>
          <w:szCs w:val="24"/>
          <w:highlight w:val="none"/>
          <w:lang w:val="zh-CN"/>
          <w14:textFill>
            <w14:solidFill>
              <w14:schemeClr w14:val="tx1"/>
            </w14:solidFill>
          </w14:textFill>
        </w:rPr>
        <w:t>①</w:t>
      </w:r>
      <w:r>
        <w:rPr>
          <w:rFonts w:cs="Times New Roman"/>
          <w:bCs/>
          <w:color w:val="000000" w:themeColor="text1"/>
          <w:szCs w:val="24"/>
          <w:highlight w:val="none"/>
          <w:lang w:val="zh-CN"/>
          <w14:textFill>
            <w14:solidFill>
              <w14:schemeClr w14:val="tx1"/>
            </w14:solidFill>
          </w14:textFill>
        </w:rPr>
        <w:t>当企业只涉及一种风险物质时，该物质的数量与其临界量比值，即为Q。</w:t>
      </w:r>
    </w:p>
    <w:p>
      <w:pPr>
        <w:ind w:firstLine="480"/>
        <w:rPr>
          <w:rFonts w:cs="Times New Roman"/>
          <w:bCs/>
          <w:color w:val="000000" w:themeColor="text1"/>
          <w:szCs w:val="24"/>
          <w:highlight w:val="none"/>
          <w:lang w:val="zh-CN"/>
          <w14:textFill>
            <w14:solidFill>
              <w14:schemeClr w14:val="tx1"/>
            </w14:solidFill>
          </w14:textFill>
        </w:rPr>
      </w:pPr>
      <w:r>
        <w:rPr>
          <w:rFonts w:hint="eastAsia" w:ascii="宋体" w:hAnsi="宋体" w:cs="宋体"/>
          <w:bCs/>
          <w:color w:val="000000" w:themeColor="text1"/>
          <w:szCs w:val="24"/>
          <w:highlight w:val="none"/>
          <w:lang w:val="zh-CN"/>
          <w14:textFill>
            <w14:solidFill>
              <w14:schemeClr w14:val="tx1"/>
            </w14:solidFill>
          </w14:textFill>
        </w:rPr>
        <w:t>②</w:t>
      </w:r>
      <w:r>
        <w:rPr>
          <w:rFonts w:cs="Times New Roman"/>
          <w:bCs/>
          <w:color w:val="000000" w:themeColor="text1"/>
          <w:szCs w:val="24"/>
          <w:highlight w:val="none"/>
          <w:lang w:val="zh-CN"/>
          <w14:textFill>
            <w14:solidFill>
              <w14:schemeClr w14:val="tx1"/>
            </w14:solidFill>
          </w14:textFill>
        </w:rPr>
        <w:t>当企业存在多种风险物质时，则按下式计算：</w:t>
      </w:r>
    </w:p>
    <w:p>
      <w:pPr>
        <w:ind w:firstLine="480"/>
        <w:jc w:val="center"/>
        <w:rPr>
          <w:bCs/>
          <w:color w:val="000000" w:themeColor="text1"/>
          <w:szCs w:val="24"/>
          <w:highlight w:val="none"/>
          <w:vertAlign w:val="subscript"/>
          <w14:textFill>
            <w14:solidFill>
              <w14:schemeClr w14:val="tx1"/>
            </w14:solidFill>
          </w14:textFill>
        </w:rPr>
      </w:pPr>
      <w:r>
        <w:rPr>
          <w:bCs/>
          <w:color w:val="000000" w:themeColor="text1"/>
          <w:szCs w:val="24"/>
          <w:highlight w:val="none"/>
          <w14:textFill>
            <w14:solidFill>
              <w14:schemeClr w14:val="tx1"/>
            </w14:solidFill>
          </w14:textFill>
        </w:rPr>
        <w:t>Q=q</w:t>
      </w:r>
      <w:r>
        <w:rPr>
          <w:bCs/>
          <w:color w:val="000000" w:themeColor="text1"/>
          <w:szCs w:val="24"/>
          <w:highlight w:val="none"/>
          <w:vertAlign w:val="subscript"/>
          <w14:textFill>
            <w14:solidFill>
              <w14:schemeClr w14:val="tx1"/>
            </w14:solidFill>
          </w14:textFill>
        </w:rPr>
        <w:t>1</w:t>
      </w:r>
      <w:r>
        <w:rPr>
          <w:bCs/>
          <w:color w:val="000000" w:themeColor="text1"/>
          <w:szCs w:val="24"/>
          <w:highlight w:val="none"/>
          <w14:textFill>
            <w14:solidFill>
              <w14:schemeClr w14:val="tx1"/>
            </w14:solidFill>
          </w14:textFill>
        </w:rPr>
        <w:t>/Q</w:t>
      </w:r>
      <w:r>
        <w:rPr>
          <w:bCs/>
          <w:color w:val="000000" w:themeColor="text1"/>
          <w:szCs w:val="24"/>
          <w:highlight w:val="none"/>
          <w:vertAlign w:val="subscript"/>
          <w14:textFill>
            <w14:solidFill>
              <w14:schemeClr w14:val="tx1"/>
            </w14:solidFill>
          </w14:textFill>
        </w:rPr>
        <w:t>1</w:t>
      </w:r>
      <w:r>
        <w:rPr>
          <w:bCs/>
          <w:color w:val="000000" w:themeColor="text1"/>
          <w:szCs w:val="24"/>
          <w:highlight w:val="none"/>
          <w14:textFill>
            <w14:solidFill>
              <w14:schemeClr w14:val="tx1"/>
            </w14:solidFill>
          </w14:textFill>
        </w:rPr>
        <w:t>+q</w:t>
      </w:r>
      <w:r>
        <w:rPr>
          <w:bCs/>
          <w:color w:val="000000" w:themeColor="text1"/>
          <w:szCs w:val="24"/>
          <w:highlight w:val="none"/>
          <w:vertAlign w:val="subscript"/>
          <w14:textFill>
            <w14:solidFill>
              <w14:schemeClr w14:val="tx1"/>
            </w14:solidFill>
          </w14:textFill>
        </w:rPr>
        <w:t>2</w:t>
      </w:r>
      <w:r>
        <w:rPr>
          <w:bCs/>
          <w:color w:val="000000" w:themeColor="text1"/>
          <w:szCs w:val="24"/>
          <w:highlight w:val="none"/>
          <w14:textFill>
            <w14:solidFill>
              <w14:schemeClr w14:val="tx1"/>
            </w14:solidFill>
          </w14:textFill>
        </w:rPr>
        <w:t>/Q</w:t>
      </w:r>
      <w:r>
        <w:rPr>
          <w:bCs/>
          <w:color w:val="000000" w:themeColor="text1"/>
          <w:szCs w:val="24"/>
          <w:highlight w:val="none"/>
          <w:vertAlign w:val="subscript"/>
          <w14:textFill>
            <w14:solidFill>
              <w14:schemeClr w14:val="tx1"/>
            </w14:solidFill>
          </w14:textFill>
        </w:rPr>
        <w:t>2</w:t>
      </w:r>
      <w:r>
        <w:rPr>
          <w:bCs/>
          <w:color w:val="000000" w:themeColor="text1"/>
          <w:szCs w:val="24"/>
          <w:highlight w:val="none"/>
          <w14:textFill>
            <w14:solidFill>
              <w14:schemeClr w14:val="tx1"/>
            </w14:solidFill>
          </w14:textFill>
        </w:rPr>
        <w:t>+</w:t>
      </w:r>
      <w:r>
        <w:rPr>
          <w:bCs/>
          <w:color w:val="000000" w:themeColor="text1"/>
          <w:spacing w:val="-4"/>
          <w:szCs w:val="24"/>
          <w:highlight w:val="none"/>
          <w14:textFill>
            <w14:solidFill>
              <w14:schemeClr w14:val="tx1"/>
            </w14:solidFill>
          </w14:textFill>
        </w:rPr>
        <w:t>...</w:t>
      </w:r>
      <w:r>
        <w:rPr>
          <w:bCs/>
          <w:color w:val="000000" w:themeColor="text1"/>
          <w:szCs w:val="24"/>
          <w:highlight w:val="none"/>
          <w14:textFill>
            <w14:solidFill>
              <w14:schemeClr w14:val="tx1"/>
            </w14:solidFill>
          </w14:textFill>
        </w:rPr>
        <w:t>+q</w:t>
      </w:r>
      <w:r>
        <w:rPr>
          <w:bCs/>
          <w:color w:val="000000" w:themeColor="text1"/>
          <w:szCs w:val="24"/>
          <w:highlight w:val="none"/>
          <w:vertAlign w:val="subscript"/>
          <w14:textFill>
            <w14:solidFill>
              <w14:schemeClr w14:val="tx1"/>
            </w14:solidFill>
          </w14:textFill>
        </w:rPr>
        <w:t>n</w:t>
      </w:r>
      <w:r>
        <w:rPr>
          <w:bCs/>
          <w:color w:val="000000" w:themeColor="text1"/>
          <w:szCs w:val="24"/>
          <w:highlight w:val="none"/>
          <w14:textFill>
            <w14:solidFill>
              <w14:schemeClr w14:val="tx1"/>
            </w14:solidFill>
          </w14:textFill>
        </w:rPr>
        <w:t>/Q</w:t>
      </w:r>
      <w:r>
        <w:rPr>
          <w:bCs/>
          <w:color w:val="000000" w:themeColor="text1"/>
          <w:szCs w:val="24"/>
          <w:highlight w:val="none"/>
          <w:vertAlign w:val="subscript"/>
          <w14:textFill>
            <w14:solidFill>
              <w14:schemeClr w14:val="tx1"/>
            </w14:solidFill>
          </w14:textFill>
        </w:rPr>
        <w:t>n</w:t>
      </w:r>
    </w:p>
    <w:p>
      <w:pPr>
        <w:ind w:firstLine="472"/>
        <w:rPr>
          <w:bCs/>
          <w:color w:val="000000" w:themeColor="text1"/>
          <w:spacing w:val="-4"/>
          <w:szCs w:val="24"/>
          <w:highlight w:val="none"/>
          <w14:textFill>
            <w14:solidFill>
              <w14:schemeClr w14:val="tx1"/>
            </w14:solidFill>
          </w14:textFill>
        </w:rPr>
      </w:pPr>
      <w:r>
        <w:rPr>
          <w:bCs/>
          <w:color w:val="000000" w:themeColor="text1"/>
          <w:spacing w:val="-4"/>
          <w:szCs w:val="24"/>
          <w:highlight w:val="none"/>
          <w14:textFill>
            <w14:solidFill>
              <w14:schemeClr w14:val="tx1"/>
            </w14:solidFill>
          </w14:textFill>
        </w:rPr>
        <w:t>式中：q</w:t>
      </w:r>
      <w:r>
        <w:rPr>
          <w:bCs/>
          <w:color w:val="000000" w:themeColor="text1"/>
          <w:spacing w:val="-4"/>
          <w:szCs w:val="24"/>
          <w:highlight w:val="none"/>
          <w:vertAlign w:val="subscript"/>
          <w14:textFill>
            <w14:solidFill>
              <w14:schemeClr w14:val="tx1"/>
            </w14:solidFill>
          </w14:textFill>
        </w:rPr>
        <w:t>1</w:t>
      </w:r>
      <w:r>
        <w:rPr>
          <w:bCs/>
          <w:color w:val="000000" w:themeColor="text1"/>
          <w:spacing w:val="-4"/>
          <w:szCs w:val="24"/>
          <w:highlight w:val="none"/>
          <w14:textFill>
            <w14:solidFill>
              <w14:schemeClr w14:val="tx1"/>
            </w14:solidFill>
          </w14:textFill>
        </w:rPr>
        <w:t>，q</w:t>
      </w:r>
      <w:r>
        <w:rPr>
          <w:bCs/>
          <w:color w:val="000000" w:themeColor="text1"/>
          <w:spacing w:val="-4"/>
          <w:szCs w:val="24"/>
          <w:highlight w:val="none"/>
          <w:vertAlign w:val="subscript"/>
          <w14:textFill>
            <w14:solidFill>
              <w14:schemeClr w14:val="tx1"/>
            </w14:solidFill>
          </w14:textFill>
        </w:rPr>
        <w:t>2</w:t>
      </w:r>
      <w:r>
        <w:rPr>
          <w:bCs/>
          <w:color w:val="000000" w:themeColor="text1"/>
          <w:spacing w:val="-4"/>
          <w:szCs w:val="24"/>
          <w:highlight w:val="none"/>
          <w14:textFill>
            <w14:solidFill>
              <w14:schemeClr w14:val="tx1"/>
            </w14:solidFill>
          </w14:textFill>
        </w:rPr>
        <w:t>，...，q</w:t>
      </w:r>
      <w:r>
        <w:rPr>
          <w:bCs/>
          <w:color w:val="000000" w:themeColor="text1"/>
          <w:spacing w:val="-4"/>
          <w:szCs w:val="24"/>
          <w:highlight w:val="none"/>
          <w:vertAlign w:val="subscript"/>
          <w14:textFill>
            <w14:solidFill>
              <w14:schemeClr w14:val="tx1"/>
            </w14:solidFill>
          </w14:textFill>
        </w:rPr>
        <w:t>n</w:t>
      </w:r>
      <w:r>
        <w:rPr>
          <w:bCs/>
          <w:color w:val="000000" w:themeColor="text1"/>
          <w:spacing w:val="-4"/>
          <w:szCs w:val="24"/>
          <w:highlight w:val="none"/>
          <w14:textFill>
            <w14:solidFill>
              <w14:schemeClr w14:val="tx1"/>
            </w14:solidFill>
          </w14:textFill>
        </w:rPr>
        <w:t>——每种风险物质的存在量，t；</w:t>
      </w:r>
    </w:p>
    <w:p>
      <w:pPr>
        <w:ind w:firstLine="1080" w:firstLineChars="45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Q</w:t>
      </w:r>
      <w:r>
        <w:rPr>
          <w:bCs/>
          <w:color w:val="000000" w:themeColor="text1"/>
          <w:szCs w:val="24"/>
          <w:highlight w:val="none"/>
          <w:vertAlign w:val="subscript"/>
          <w14:textFill>
            <w14:solidFill>
              <w14:schemeClr w14:val="tx1"/>
            </w14:solidFill>
          </w14:textFill>
        </w:rPr>
        <w:t>1</w:t>
      </w:r>
      <w:r>
        <w:rPr>
          <w:bCs/>
          <w:color w:val="000000" w:themeColor="text1"/>
          <w:szCs w:val="24"/>
          <w:highlight w:val="none"/>
          <w14:textFill>
            <w14:solidFill>
              <w14:schemeClr w14:val="tx1"/>
            </w14:solidFill>
          </w14:textFill>
        </w:rPr>
        <w:t>，Q</w:t>
      </w:r>
      <w:r>
        <w:rPr>
          <w:bCs/>
          <w:color w:val="000000" w:themeColor="text1"/>
          <w:szCs w:val="24"/>
          <w:highlight w:val="none"/>
          <w:vertAlign w:val="subscript"/>
          <w14:textFill>
            <w14:solidFill>
              <w14:schemeClr w14:val="tx1"/>
            </w14:solidFill>
          </w14:textFill>
        </w:rPr>
        <w:t>2</w:t>
      </w:r>
      <w:r>
        <w:rPr>
          <w:bCs/>
          <w:color w:val="000000" w:themeColor="text1"/>
          <w:szCs w:val="24"/>
          <w:highlight w:val="none"/>
          <w14:textFill>
            <w14:solidFill>
              <w14:schemeClr w14:val="tx1"/>
            </w14:solidFill>
          </w14:textFill>
        </w:rPr>
        <w:t>，...，Q</w:t>
      </w:r>
      <w:r>
        <w:rPr>
          <w:bCs/>
          <w:color w:val="000000" w:themeColor="text1"/>
          <w:szCs w:val="24"/>
          <w:highlight w:val="none"/>
          <w:vertAlign w:val="subscript"/>
          <w14:textFill>
            <w14:solidFill>
              <w14:schemeClr w14:val="tx1"/>
            </w14:solidFill>
          </w14:textFill>
        </w:rPr>
        <w:t>n</w:t>
      </w:r>
      <w:r>
        <w:rPr>
          <w:bCs/>
          <w:color w:val="000000" w:themeColor="text1"/>
          <w:szCs w:val="24"/>
          <w:highlight w:val="none"/>
          <w14:textFill>
            <w14:solidFill>
              <w14:schemeClr w14:val="tx1"/>
            </w14:solidFill>
          </w14:textFill>
        </w:rPr>
        <w:t>——每种风险物质的临界量，t。</w:t>
      </w:r>
    </w:p>
    <w:p>
      <w:pPr>
        <w:ind w:firstLine="480"/>
        <w:rPr>
          <w:bCs/>
          <w:snapToGrid w:val="0"/>
          <w:color w:val="000000" w:themeColor="text1"/>
          <w:szCs w:val="24"/>
          <w:highlight w:val="none"/>
          <w14:textFill>
            <w14:solidFill>
              <w14:schemeClr w14:val="tx1"/>
            </w14:solidFill>
          </w14:textFill>
        </w:rPr>
      </w:pPr>
      <w:r>
        <w:rPr>
          <w:bCs/>
          <w:snapToGrid w:val="0"/>
          <w:color w:val="000000" w:themeColor="text1"/>
          <w:szCs w:val="24"/>
          <w:highlight w:val="none"/>
          <w14:textFill>
            <w14:solidFill>
              <w14:schemeClr w14:val="tx1"/>
            </w14:solidFill>
          </w14:textFill>
        </w:rPr>
        <w:t>当Q＜1时，本项目环境风险潜势为Ⅰ级。</w:t>
      </w:r>
    </w:p>
    <w:p>
      <w:pPr>
        <w:ind w:firstLine="480"/>
        <w:rPr>
          <w:rFonts w:cs="Times New Roman"/>
          <w:bCs/>
          <w:color w:val="000000" w:themeColor="text1"/>
          <w:szCs w:val="24"/>
          <w:highlight w:val="none"/>
          <w:lang w:val="zh-CN"/>
          <w14:textFill>
            <w14:solidFill>
              <w14:schemeClr w14:val="tx1"/>
            </w14:solidFill>
          </w14:textFill>
        </w:rPr>
      </w:pPr>
      <w:r>
        <w:rPr>
          <w:rFonts w:cs="Times New Roman"/>
          <w:bCs/>
          <w:color w:val="000000" w:themeColor="text1"/>
          <w:szCs w:val="24"/>
          <w:highlight w:val="none"/>
          <w:lang w:val="zh-CN"/>
          <w14:textFill>
            <w14:solidFill>
              <w14:schemeClr w14:val="tx1"/>
            </w14:solidFill>
          </w14:textFill>
        </w:rPr>
        <w:t>当Q≥1时，将Q值划分为：（1）1≤Q＜10；（2）10≤Q＜100；（3）Q≥100。</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根据《建设项目环境风险评价技术导则》（HJ/T169-2018），本项目天然气所含的甲烷和废油等油类物质属于附录B.1突发环境事件风险物质，甲烷临界量为10t。本项目大气环境危险物质主要</w:t>
      </w:r>
      <w:r>
        <w:rPr>
          <w:rFonts w:hint="eastAsia" w:cs="Times New Roman"/>
          <w:bCs/>
          <w:color w:val="000000" w:themeColor="text1"/>
          <w:szCs w:val="24"/>
          <w:highlight w:val="none"/>
          <w14:textFill>
            <w14:solidFill>
              <w14:schemeClr w14:val="tx1"/>
            </w14:solidFill>
          </w14:textFill>
        </w:rPr>
        <w:t>为</w:t>
      </w:r>
      <w:r>
        <w:rPr>
          <w:rFonts w:cs="Times New Roman"/>
          <w:bCs/>
          <w:color w:val="000000" w:themeColor="text1"/>
          <w:szCs w:val="24"/>
          <w:highlight w:val="none"/>
          <w14:textFill>
            <w14:solidFill>
              <w14:schemeClr w14:val="tx1"/>
            </w14:solidFill>
          </w14:textFill>
        </w:rPr>
        <w:t>甲烷（CH</w:t>
      </w:r>
      <w:r>
        <w:rPr>
          <w:rFonts w:cs="Times New Roman"/>
          <w:bCs/>
          <w:color w:val="000000" w:themeColor="text1"/>
          <w:szCs w:val="24"/>
          <w:highlight w:val="none"/>
          <w:vertAlign w:val="subscript"/>
          <w14:textFill>
            <w14:solidFill>
              <w14:schemeClr w14:val="tx1"/>
            </w14:solidFill>
          </w14:textFill>
        </w:rPr>
        <w:t>4</w:t>
      </w:r>
      <w:r>
        <w:rPr>
          <w:rFonts w:cs="Times New Roman"/>
          <w:bCs/>
          <w:color w:val="000000" w:themeColor="text1"/>
          <w:szCs w:val="24"/>
          <w:highlight w:val="none"/>
          <w14:textFill>
            <w14:solidFill>
              <w14:schemeClr w14:val="tx1"/>
            </w14:solidFill>
          </w14:textFill>
        </w:rPr>
        <w:t>）。</w:t>
      </w:r>
    </w:p>
    <w:p>
      <w:pPr>
        <w:adjustRightInd/>
        <w:ind w:firstLine="482"/>
        <w:rPr>
          <w:b/>
          <w:bCs/>
          <w:color w:val="000000" w:themeColor="text1"/>
          <w:szCs w:val="24"/>
          <w:highlight w:val="none"/>
          <w14:textFill>
            <w14:solidFill>
              <w14:schemeClr w14:val="tx1"/>
            </w14:solidFill>
          </w14:textFill>
        </w:rPr>
      </w:pPr>
      <w:r>
        <w:rPr>
          <w:rFonts w:hint="eastAsia"/>
          <w:b/>
          <w:bCs/>
          <w:color w:val="000000" w:themeColor="text1"/>
          <w:szCs w:val="24"/>
          <w:highlight w:val="none"/>
          <w14:textFill>
            <w14:solidFill>
              <w14:schemeClr w14:val="tx1"/>
            </w14:solidFill>
          </w14:textFill>
        </w:rPr>
        <w:t>风险物质在线量：</w:t>
      </w:r>
    </w:p>
    <w:p>
      <w:pPr>
        <w:ind w:firstLine="480"/>
        <w:rPr>
          <w:rFonts w:cs="Times New Roman"/>
          <w:bCs/>
          <w:color w:val="000000" w:themeColor="text1"/>
          <w:szCs w:val="24"/>
          <w:highlight w:val="none"/>
          <w14:textFill>
            <w14:solidFill>
              <w14:schemeClr w14:val="tx1"/>
            </w14:solidFill>
          </w14:textFill>
        </w:rPr>
      </w:pPr>
      <w:r>
        <w:rPr>
          <w:rFonts w:hint="eastAsia"/>
          <w:color w:val="000000" w:themeColor="text1"/>
          <w:szCs w:val="24"/>
          <w:highlight w:val="none"/>
          <w14:textFill>
            <w14:solidFill>
              <w14:schemeClr w14:val="tx1"/>
            </w14:solidFill>
          </w14:textFill>
        </w:rPr>
        <w:t>根据风险导则附录C，“对于长输管线项目，按照两个截断阀室之间管段危险物质最大存在总量计算”。由于站场进出站处均设置切断阀，故本次将站场及集输管线单独划分，共划分为2个危险单元，分别为试采站和外输管线。</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试采期</w:t>
      </w:r>
      <w:r>
        <w:rPr>
          <w:rFonts w:hint="eastAsia" w:cs="Times New Roman"/>
          <w:color w:val="000000" w:themeColor="text1"/>
          <w:szCs w:val="24"/>
          <w:highlight w:val="none"/>
          <w14:textFill>
            <w14:solidFill>
              <w14:schemeClr w14:val="tx1"/>
            </w14:solidFill>
          </w14:textFill>
        </w:rPr>
        <w:t>站</w:t>
      </w:r>
      <w:r>
        <w:rPr>
          <w:rFonts w:cs="Times New Roman"/>
          <w:color w:val="000000" w:themeColor="text1"/>
          <w:szCs w:val="24"/>
          <w:highlight w:val="none"/>
          <w14:textFill>
            <w14:solidFill>
              <w14:schemeClr w14:val="tx1"/>
            </w14:solidFill>
          </w14:textFill>
        </w:rPr>
        <w:t>：类比川东北地区类似</w:t>
      </w:r>
      <w:r>
        <w:rPr>
          <w:rFonts w:hint="eastAsia" w:cs="Times New Roman"/>
          <w:color w:val="000000" w:themeColor="text1"/>
          <w:szCs w:val="24"/>
          <w:highlight w:val="none"/>
          <w14:textFill>
            <w14:solidFill>
              <w14:schemeClr w14:val="tx1"/>
            </w14:solidFill>
          </w14:textFill>
        </w:rPr>
        <w:t>站场</w:t>
      </w:r>
      <w:r>
        <w:rPr>
          <w:rFonts w:cs="Times New Roman"/>
          <w:color w:val="000000" w:themeColor="text1"/>
          <w:szCs w:val="24"/>
          <w:highlight w:val="none"/>
          <w14:textFill>
            <w14:solidFill>
              <w14:schemeClr w14:val="tx1"/>
            </w14:solidFill>
          </w14:textFill>
        </w:rPr>
        <w:t>经验数据，</w:t>
      </w:r>
      <w:r>
        <w:rPr>
          <w:rFonts w:hint="eastAsia" w:cs="Times New Roman"/>
          <w:color w:val="000000" w:themeColor="text1"/>
          <w:szCs w:val="24"/>
          <w:highlight w:val="none"/>
          <w14:textFill>
            <w14:solidFill>
              <w14:schemeClr w14:val="tx1"/>
            </w14:solidFill>
          </w14:textFill>
        </w:rPr>
        <w:t>试采</w:t>
      </w:r>
      <w:r>
        <w:rPr>
          <w:rFonts w:cs="Times New Roman"/>
          <w:color w:val="000000" w:themeColor="text1"/>
          <w:szCs w:val="24"/>
          <w:highlight w:val="none"/>
          <w14:textFill>
            <w14:solidFill>
              <w14:schemeClr w14:val="tx1"/>
            </w14:solidFill>
          </w14:textFill>
        </w:rPr>
        <w:t>站场工艺设备及管道内天然气在发生事故后可通过截断阀控制，试采期采气设备、管线内单井天然气量约500m</w:t>
      </w:r>
      <w:r>
        <w:rPr>
          <w:rFonts w:cs="Times New Roman"/>
          <w:color w:val="000000" w:themeColor="text1"/>
          <w:szCs w:val="24"/>
          <w:highlight w:val="none"/>
          <w:vertAlign w:val="superscript"/>
          <w14:textFill>
            <w14:solidFill>
              <w14:schemeClr w14:val="tx1"/>
            </w14:solidFill>
          </w14:textFill>
        </w:rPr>
        <w:t>3</w:t>
      </w:r>
      <w:r>
        <w:rPr>
          <w:rFonts w:cs="Times New Roman"/>
          <w:color w:val="000000" w:themeColor="text1"/>
          <w:szCs w:val="24"/>
          <w:highlight w:val="none"/>
          <w14:textFill>
            <w14:solidFill>
              <w14:schemeClr w14:val="tx1"/>
            </w14:solidFill>
          </w14:textFill>
        </w:rPr>
        <w:t>，其中甲烷在线量为0.26t，小于其临界量10t。</w:t>
      </w:r>
    </w:p>
    <w:p>
      <w:pPr>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外输管线</w:t>
      </w:r>
      <w:r>
        <w:rPr>
          <w:rFonts w:cs="Times New Roman"/>
          <w:color w:val="000000" w:themeColor="text1"/>
          <w:szCs w:val="24"/>
          <w:highlight w:val="none"/>
          <w14:textFill>
            <w14:solidFill>
              <w14:schemeClr w14:val="tx1"/>
            </w14:solidFill>
          </w14:textFill>
        </w:rPr>
        <w:t>：</w:t>
      </w:r>
      <w:r>
        <w:rPr>
          <w:rFonts w:hint="eastAsia"/>
          <w:color w:val="000000" w:themeColor="text1"/>
          <w:szCs w:val="24"/>
          <w:highlight w:val="none"/>
          <w14:textFill>
            <w14:solidFill>
              <w14:schemeClr w14:val="tx1"/>
            </w14:solidFill>
          </w14:textFill>
        </w:rPr>
        <w:t>本项目管线长度为</w:t>
      </w:r>
      <w:r>
        <w:rPr>
          <w:color w:val="000000" w:themeColor="text1"/>
          <w:szCs w:val="24"/>
          <w:highlight w:val="none"/>
          <w14:textFill>
            <w14:solidFill>
              <w14:schemeClr w14:val="tx1"/>
            </w14:solidFill>
          </w14:textFill>
        </w:rPr>
        <w:t>11.8</w:t>
      </w:r>
      <w:r>
        <w:rPr>
          <w:rFonts w:hint="eastAsia"/>
          <w:color w:val="000000" w:themeColor="text1"/>
          <w:szCs w:val="24"/>
          <w:highlight w:val="none"/>
          <w14:textFill>
            <w14:solidFill>
              <w14:schemeClr w14:val="tx1"/>
            </w14:solidFill>
          </w14:textFill>
        </w:rPr>
        <w:t>km。根据《建设项目环境风险评价技术导则》（HJ169-2018）中附录C中长输管线项目，按照两个截断室之间管段危险物质最大存在总量计算，因此本评价考虑拟建集输管线长</w:t>
      </w:r>
      <w:r>
        <w:rPr>
          <w:color w:val="000000" w:themeColor="text1"/>
          <w:szCs w:val="24"/>
          <w:highlight w:val="none"/>
          <w14:textFill>
            <w14:solidFill>
              <w14:schemeClr w14:val="tx1"/>
            </w14:solidFill>
          </w14:textFill>
        </w:rPr>
        <w:t>11.8</w:t>
      </w:r>
      <w:r>
        <w:rPr>
          <w:rFonts w:hint="eastAsia"/>
          <w:color w:val="000000" w:themeColor="text1"/>
          <w:szCs w:val="24"/>
          <w:highlight w:val="none"/>
          <w14:textFill>
            <w14:solidFill>
              <w14:schemeClr w14:val="tx1"/>
            </w14:solidFill>
          </w14:textFill>
        </w:rPr>
        <w:t>km的管线中危险物质最大在线量来计算Q值，各站场通过阀组实施紧急切断。本项目采用L245N无缝钢管（DN200），设计压力6.3兆帕，</w:t>
      </w:r>
      <w:r>
        <w:rPr>
          <w:rFonts w:hint="eastAsia" w:cs="Times New Roman"/>
          <w:color w:val="000000" w:themeColor="text1"/>
          <w:szCs w:val="24"/>
          <w:highlight w:val="none"/>
          <w14:textFill>
            <w14:solidFill>
              <w14:schemeClr w14:val="tx1"/>
            </w14:solidFill>
          </w14:textFill>
        </w:rPr>
        <w:t>经计算</w:t>
      </w:r>
      <w:r>
        <w:rPr>
          <w:rFonts w:cs="Times New Roman"/>
          <w:color w:val="000000" w:themeColor="text1"/>
          <w:szCs w:val="24"/>
          <w:highlight w:val="none"/>
          <w14:textFill>
            <w14:solidFill>
              <w14:schemeClr w14:val="tx1"/>
            </w14:solidFill>
          </w14:textFill>
        </w:rPr>
        <w:t>甲烷在线量为8.9t，</w:t>
      </w:r>
      <w:r>
        <w:rPr>
          <w:rFonts w:hint="eastAsia" w:cs="Times New Roman"/>
          <w:color w:val="000000" w:themeColor="text1"/>
          <w:szCs w:val="24"/>
          <w:highlight w:val="none"/>
          <w14:textFill>
            <w14:solidFill>
              <w14:schemeClr w14:val="tx1"/>
            </w14:solidFill>
          </w14:textFill>
        </w:rPr>
        <w:t>小</w:t>
      </w:r>
      <w:r>
        <w:rPr>
          <w:rFonts w:cs="Times New Roman"/>
          <w:color w:val="000000" w:themeColor="text1"/>
          <w:szCs w:val="24"/>
          <w:highlight w:val="none"/>
          <w14:textFill>
            <w14:solidFill>
              <w14:schemeClr w14:val="tx1"/>
            </w14:solidFill>
          </w14:textFill>
        </w:rPr>
        <w:t>于其临界量10t。</w:t>
      </w:r>
    </w:p>
    <w:p>
      <w:pPr>
        <w:ind w:firstLine="480"/>
        <w:rPr>
          <w:rFonts w:cs="Times New Roman"/>
          <w:color w:val="000000" w:themeColor="text1"/>
          <w:szCs w:val="24"/>
          <w:highlight w:val="none"/>
          <w14:textFill>
            <w14:solidFill>
              <w14:schemeClr w14:val="tx1"/>
            </w14:solidFill>
          </w14:textFill>
        </w:rPr>
      </w:pPr>
      <w:r>
        <w:rPr>
          <w:rFonts w:hint="eastAsia"/>
          <w:color w:val="000000" w:themeColor="text1"/>
          <w:szCs w:val="32"/>
          <w:highlight w:val="none"/>
          <w14:textFill>
            <w14:solidFill>
              <w14:schemeClr w14:val="tx1"/>
            </w14:solidFill>
          </w14:textFill>
        </w:rPr>
        <w:t>气田水不属于《建设项目环境风险评价技术导则》（HJ169-2018）附录B.2危害水环境物质（急性毒性类别1），无临界量规定，不需要计算Q值。本次评价对气田水进行环境风险定性分析，并提出风险管控措施。本项目环境风险物质最大在线量</w:t>
      </w:r>
      <w:r>
        <w:rPr>
          <w:color w:val="000000" w:themeColor="text1"/>
          <w:szCs w:val="32"/>
          <w:highlight w:val="none"/>
          <w14:textFill>
            <w14:solidFill>
              <w14:schemeClr w14:val="tx1"/>
            </w14:solidFill>
          </w14:textFill>
        </w:rPr>
        <w:t>与临界量比值见表</w:t>
      </w:r>
      <w:r>
        <w:rPr>
          <w:rFonts w:hint="eastAsia"/>
          <w:color w:val="000000" w:themeColor="text1"/>
          <w:szCs w:val="32"/>
          <w:highlight w:val="none"/>
          <w14:textFill>
            <w14:solidFill>
              <w14:schemeClr w14:val="tx1"/>
            </w14:solidFill>
          </w14:textFill>
        </w:rPr>
        <w:t>6.3-1</w:t>
      </w:r>
    </w:p>
    <w:p>
      <w:pPr>
        <w:pStyle w:val="96"/>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STYLEREF 2 \s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SEQ 表 \* ARABIC \s 2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本项目环境风险物质数量与临界量的比值Q统计表</w:t>
      </w:r>
    </w:p>
    <w:tbl>
      <w:tblPr>
        <w:tblStyle w:val="41"/>
        <w:tblW w:w="491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49"/>
        <w:gridCol w:w="716"/>
        <w:gridCol w:w="1419"/>
        <w:gridCol w:w="1719"/>
        <w:gridCol w:w="1658"/>
        <w:gridCol w:w="11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43" w:type="pct"/>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风险单元</w:t>
            </w:r>
          </w:p>
        </w:tc>
        <w:tc>
          <w:tcPr>
            <w:tcW w:w="427"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序号</w:t>
            </w:r>
          </w:p>
        </w:tc>
        <w:tc>
          <w:tcPr>
            <w:tcW w:w="846" w:type="pct"/>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lang w:eastAsia="zh-CN"/>
                <w14:textFill>
                  <w14:solidFill>
                    <w14:schemeClr w14:val="tx1"/>
                  </w14:solidFill>
                </w14:textFill>
              </w:rPr>
              <w:t>涉及</w:t>
            </w:r>
            <w:r>
              <w:rPr>
                <w:rFonts w:hint="eastAsia"/>
                <w:b/>
                <w:bCs/>
                <w:color w:val="000000" w:themeColor="text1"/>
                <w:highlight w:val="none"/>
                <w14:textFill>
                  <w14:solidFill>
                    <w14:schemeClr w14:val="tx1"/>
                  </w14:solidFill>
                </w14:textFill>
              </w:rPr>
              <w:t>的风险</w:t>
            </w:r>
            <w:r>
              <w:rPr>
                <w:b/>
                <w:bCs/>
                <w:color w:val="000000" w:themeColor="text1"/>
                <w:highlight w:val="none"/>
                <w14:textFill>
                  <w14:solidFill>
                    <w14:schemeClr w14:val="tx1"/>
                  </w14:solidFill>
                </w14:textFill>
              </w:rPr>
              <w:t>物质</w:t>
            </w:r>
          </w:p>
        </w:tc>
        <w:tc>
          <w:tcPr>
            <w:tcW w:w="1025"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q</w:t>
            </w:r>
            <w:r>
              <w:rPr>
                <w:b/>
                <w:bCs/>
                <w:color w:val="000000" w:themeColor="text1"/>
                <w:highlight w:val="none"/>
                <w:vertAlign w:val="subscript"/>
                <w14:textFill>
                  <w14:solidFill>
                    <w14:schemeClr w14:val="tx1"/>
                  </w14:solidFill>
                </w14:textFill>
              </w:rPr>
              <w:t>n</w:t>
            </w:r>
            <w:r>
              <w:rPr>
                <w:b/>
                <w:bCs/>
                <w:color w:val="000000" w:themeColor="text1"/>
                <w:highlight w:val="none"/>
                <w14:textFill>
                  <w14:solidFill>
                    <w14:schemeClr w14:val="tx1"/>
                  </w14:solidFill>
                </w14:textFill>
              </w:rPr>
              <w:t>，储存量，t</w:t>
            </w:r>
          </w:p>
        </w:tc>
        <w:tc>
          <w:tcPr>
            <w:tcW w:w="989"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Q</w:t>
            </w:r>
            <w:r>
              <w:rPr>
                <w:b/>
                <w:bCs/>
                <w:color w:val="000000" w:themeColor="text1"/>
                <w:highlight w:val="none"/>
                <w:vertAlign w:val="subscript"/>
                <w14:textFill>
                  <w14:solidFill>
                    <w14:schemeClr w14:val="tx1"/>
                  </w14:solidFill>
                </w14:textFill>
              </w:rPr>
              <w:t>n，</w:t>
            </w:r>
            <w:r>
              <w:rPr>
                <w:b/>
                <w:bCs/>
                <w:color w:val="000000" w:themeColor="text1"/>
                <w:highlight w:val="none"/>
                <w14:textFill>
                  <w14:solidFill>
                    <w14:schemeClr w14:val="tx1"/>
                  </w14:solidFill>
                </w14:textFill>
              </w:rPr>
              <w:t>临界量，t</w:t>
            </w:r>
          </w:p>
        </w:tc>
        <w:tc>
          <w:tcPr>
            <w:tcW w:w="670"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Q</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43" w:type="pct"/>
            <w:vMerge w:val="restar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雷页1井试采站</w:t>
            </w:r>
          </w:p>
        </w:tc>
        <w:tc>
          <w:tcPr>
            <w:tcW w:w="427"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84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甲烷</w:t>
            </w:r>
          </w:p>
        </w:tc>
        <w:tc>
          <w:tcPr>
            <w:tcW w:w="102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0.26</w:t>
            </w:r>
          </w:p>
        </w:tc>
        <w:tc>
          <w:tcPr>
            <w:tcW w:w="989"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670"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43" w:type="pct"/>
            <w:vMerge w:val="continue"/>
            <w:vAlign w:val="center"/>
          </w:tcPr>
          <w:p>
            <w:pPr>
              <w:pStyle w:val="118"/>
              <w:rPr>
                <w:color w:val="000000" w:themeColor="text1"/>
                <w:highlight w:val="none"/>
                <w14:textFill>
                  <w14:solidFill>
                    <w14:schemeClr w14:val="tx1"/>
                  </w14:solidFill>
                </w14:textFill>
              </w:rPr>
            </w:pPr>
          </w:p>
        </w:tc>
        <w:tc>
          <w:tcPr>
            <w:tcW w:w="3287" w:type="pct"/>
            <w:gridSpan w:val="4"/>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合计</w:t>
            </w:r>
          </w:p>
        </w:tc>
        <w:tc>
          <w:tcPr>
            <w:tcW w:w="670"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w:t>
            </w:r>
            <w:r>
              <w:rPr>
                <w:color w:val="000000" w:themeColor="text1"/>
                <w:highlight w:val="none"/>
                <w14:textFill>
                  <w14:solidFill>
                    <w14:schemeClr w14:val="tx1"/>
                  </w14:solidFill>
                </w14:textFill>
              </w:rPr>
              <w:t>.026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43" w:type="pct"/>
            <w:vMerge w:val="restar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外输管线</w:t>
            </w:r>
          </w:p>
        </w:tc>
        <w:tc>
          <w:tcPr>
            <w:tcW w:w="427"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846"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甲烷</w:t>
            </w:r>
          </w:p>
        </w:tc>
        <w:tc>
          <w:tcPr>
            <w:tcW w:w="102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8.9</w:t>
            </w:r>
          </w:p>
        </w:tc>
        <w:tc>
          <w:tcPr>
            <w:tcW w:w="989"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670"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43" w:type="pct"/>
            <w:vMerge w:val="continue"/>
            <w:vAlign w:val="center"/>
          </w:tcPr>
          <w:p>
            <w:pPr>
              <w:pStyle w:val="118"/>
              <w:rPr>
                <w:color w:val="000000" w:themeColor="text1"/>
                <w:highlight w:val="none"/>
                <w14:textFill>
                  <w14:solidFill>
                    <w14:schemeClr w14:val="tx1"/>
                  </w14:solidFill>
                </w14:textFill>
              </w:rPr>
            </w:pPr>
          </w:p>
        </w:tc>
        <w:tc>
          <w:tcPr>
            <w:tcW w:w="3287" w:type="pct"/>
            <w:gridSpan w:val="4"/>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合计</w:t>
            </w:r>
          </w:p>
        </w:tc>
        <w:tc>
          <w:tcPr>
            <w:tcW w:w="670"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0.89</w:t>
            </w:r>
          </w:p>
        </w:tc>
      </w:tr>
    </w:tbl>
    <w:p>
      <w:pPr>
        <w:spacing w:before="120" w:beforeLines="50"/>
        <w:ind w:firstLine="480"/>
        <w:rPr>
          <w:bCs/>
          <w:color w:val="000000" w:themeColor="text1"/>
          <w:szCs w:val="24"/>
          <w:highlight w:val="none"/>
          <w:lang w:val="zh-CN"/>
          <w14:textFill>
            <w14:solidFill>
              <w14:schemeClr w14:val="tx1"/>
            </w14:solidFill>
          </w14:textFill>
        </w:rPr>
      </w:pPr>
      <w:r>
        <w:rPr>
          <w:bCs/>
          <w:snapToGrid w:val="0"/>
          <w:color w:val="000000" w:themeColor="text1"/>
          <w:highlight w:val="none"/>
          <w14:textFill>
            <w14:solidFill>
              <w14:schemeClr w14:val="tx1"/>
            </w14:solidFill>
          </w14:textFill>
        </w:rPr>
        <w:t>根据</w:t>
      </w:r>
      <w:r>
        <w:rPr>
          <w:rFonts w:hint="eastAsia"/>
          <w:bCs/>
          <w:snapToGrid w:val="0"/>
          <w:color w:val="000000" w:themeColor="text1"/>
          <w:highlight w:val="none"/>
          <w14:textFill>
            <w14:solidFill>
              <w14:schemeClr w14:val="tx1"/>
            </w14:solidFill>
          </w14:textFill>
        </w:rPr>
        <w:t>6.3-1</w:t>
      </w:r>
      <w:r>
        <w:rPr>
          <w:bCs/>
          <w:snapToGrid w:val="0"/>
          <w:color w:val="000000" w:themeColor="text1"/>
          <w:highlight w:val="none"/>
          <w14:textFill>
            <w14:solidFill>
              <w14:schemeClr w14:val="tx1"/>
            </w14:solidFill>
          </w14:textFill>
        </w:rPr>
        <w:t>计算可知，</w:t>
      </w:r>
      <w:bookmarkStart w:id="331" w:name="_Hlk149209482"/>
      <w:r>
        <w:rPr>
          <w:bCs/>
          <w:snapToGrid w:val="0"/>
          <w:color w:val="000000" w:themeColor="text1"/>
          <w:highlight w:val="none"/>
          <w14:textFill>
            <w14:solidFill>
              <w14:schemeClr w14:val="tx1"/>
            </w14:solidFill>
          </w14:textFill>
        </w:rPr>
        <w:t>企业的主要危险物质：试采期</w:t>
      </w:r>
      <w:r>
        <w:rPr>
          <w:rFonts w:hint="eastAsia"/>
          <w:bCs/>
          <w:snapToGrid w:val="0"/>
          <w:color w:val="000000" w:themeColor="text1"/>
          <w:highlight w:val="none"/>
          <w14:textFill>
            <w14:solidFill>
              <w14:schemeClr w14:val="tx1"/>
            </w14:solidFill>
          </w14:textFill>
        </w:rPr>
        <w:t>站内</w:t>
      </w:r>
      <w:r>
        <w:rPr>
          <w:bCs/>
          <w:snapToGrid w:val="0"/>
          <w:color w:val="000000" w:themeColor="text1"/>
          <w:highlight w:val="none"/>
          <w14:textFill>
            <w14:solidFill>
              <w14:schemeClr w14:val="tx1"/>
            </w14:solidFill>
          </w14:textFill>
        </w:rPr>
        <w:t>天然气所含的甲烷的Q值计算结果为</w:t>
      </w:r>
      <w:r>
        <w:rPr>
          <w:rFonts w:hint="eastAsia"/>
          <w:color w:val="000000" w:themeColor="text1"/>
          <w:highlight w:val="none"/>
          <w14:textFill>
            <w14:solidFill>
              <w14:schemeClr w14:val="tx1"/>
            </w14:solidFill>
          </w14:textFill>
        </w:rPr>
        <w:t>0</w:t>
      </w:r>
      <w:r>
        <w:rPr>
          <w:color w:val="000000" w:themeColor="text1"/>
          <w:highlight w:val="none"/>
          <w14:textFill>
            <w14:solidFill>
              <w14:schemeClr w14:val="tx1"/>
            </w14:solidFill>
          </w14:textFill>
        </w:rPr>
        <w:t>.026</w:t>
      </w:r>
      <w:r>
        <w:rPr>
          <w:bCs/>
          <w:snapToGrid w:val="0"/>
          <w:color w:val="000000" w:themeColor="text1"/>
          <w:highlight w:val="none"/>
          <w14:textFill>
            <w14:solidFill>
              <w14:schemeClr w14:val="tx1"/>
            </w14:solidFill>
          </w14:textFill>
        </w:rPr>
        <w:t>，Q值＜1</w:t>
      </w:r>
      <w:bookmarkEnd w:id="331"/>
      <w:r>
        <w:rPr>
          <w:rFonts w:hint="eastAsia"/>
          <w:bCs/>
          <w:snapToGrid w:val="0"/>
          <w:color w:val="000000" w:themeColor="text1"/>
          <w:highlight w:val="none"/>
          <w14:textFill>
            <w14:solidFill>
              <w14:schemeClr w14:val="tx1"/>
            </w14:solidFill>
          </w14:textFill>
        </w:rPr>
        <w:t>；</w:t>
      </w:r>
      <w:r>
        <w:rPr>
          <w:bCs/>
          <w:snapToGrid w:val="0"/>
          <w:color w:val="000000" w:themeColor="text1"/>
          <w:highlight w:val="none"/>
          <w14:textFill>
            <w14:solidFill>
              <w14:schemeClr w14:val="tx1"/>
            </w14:solidFill>
          </w14:textFill>
        </w:rPr>
        <w:t>试采期</w:t>
      </w:r>
      <w:r>
        <w:rPr>
          <w:rFonts w:hint="eastAsia"/>
          <w:bCs/>
          <w:snapToGrid w:val="0"/>
          <w:color w:val="000000" w:themeColor="text1"/>
          <w:highlight w:val="none"/>
          <w14:textFill>
            <w14:solidFill>
              <w14:schemeClr w14:val="tx1"/>
            </w14:solidFill>
          </w14:textFill>
        </w:rPr>
        <w:t>外输管线</w:t>
      </w:r>
      <w:r>
        <w:rPr>
          <w:bCs/>
          <w:snapToGrid w:val="0"/>
          <w:color w:val="000000" w:themeColor="text1"/>
          <w:highlight w:val="none"/>
          <w14:textFill>
            <w14:solidFill>
              <w14:schemeClr w14:val="tx1"/>
            </w14:solidFill>
          </w14:textFill>
        </w:rPr>
        <w:t>天然气所含的甲烷的Q值计算结果为</w:t>
      </w:r>
      <w:r>
        <w:rPr>
          <w:color w:val="000000" w:themeColor="text1"/>
          <w:highlight w:val="none"/>
          <w14:textFill>
            <w14:solidFill>
              <w14:schemeClr w14:val="tx1"/>
            </w14:solidFill>
          </w14:textFill>
        </w:rPr>
        <w:t>0.89</w:t>
      </w:r>
      <w:r>
        <w:rPr>
          <w:bCs/>
          <w:snapToGrid w:val="0"/>
          <w:color w:val="000000" w:themeColor="text1"/>
          <w:highlight w:val="none"/>
          <w14:textFill>
            <w14:solidFill>
              <w14:schemeClr w14:val="tx1"/>
            </w14:solidFill>
          </w14:textFill>
        </w:rPr>
        <w:t>，</w:t>
      </w:r>
      <w:r>
        <w:rPr>
          <w:bCs/>
          <w:color w:val="000000" w:themeColor="text1"/>
          <w:szCs w:val="24"/>
          <w:highlight w:val="none"/>
          <w:lang w:val="zh-CN"/>
          <w14:textFill>
            <w14:solidFill>
              <w14:schemeClr w14:val="tx1"/>
            </w14:solidFill>
          </w14:textFill>
        </w:rPr>
        <w:t>Q＜</w:t>
      </w:r>
      <w:r>
        <w:rPr>
          <w:rFonts w:hint="eastAsia"/>
          <w:bCs/>
          <w:color w:val="000000" w:themeColor="text1"/>
          <w:szCs w:val="24"/>
          <w:highlight w:val="none"/>
          <w:lang w:val="zh-CN"/>
          <w14:textFill>
            <w14:solidFill>
              <w14:schemeClr w14:val="tx1"/>
            </w14:solidFill>
          </w14:textFill>
        </w:rPr>
        <w:t>1</w:t>
      </w:r>
      <w:r>
        <w:rPr>
          <w:bCs/>
          <w:snapToGrid w:val="0"/>
          <w:color w:val="000000" w:themeColor="text1"/>
          <w:highlight w:val="none"/>
          <w14:textFill>
            <w14:solidFill>
              <w14:schemeClr w14:val="tx1"/>
            </w14:solidFill>
          </w14:textFill>
        </w:rPr>
        <w:t>。</w:t>
      </w:r>
    </w:p>
    <w:p>
      <w:pPr>
        <w:pStyle w:val="5"/>
        <w:spacing w:before="120"/>
        <w:ind w:firstLine="480"/>
        <w:rPr>
          <w:b/>
          <w:color w:val="000000" w:themeColor="text1"/>
          <w:highlight w:val="none"/>
          <w:lang w:eastAsia="zh-CN"/>
          <w14:textFill>
            <w14:solidFill>
              <w14:schemeClr w14:val="tx1"/>
            </w14:solidFill>
          </w14:textFill>
        </w:rPr>
      </w:pPr>
      <w:bookmarkStart w:id="332" w:name="_Toc120173173"/>
      <w:r>
        <w:rPr>
          <w:color w:val="000000" w:themeColor="text1"/>
          <w:highlight w:val="none"/>
          <w:lang w:eastAsia="zh-CN"/>
          <w14:textFill>
            <w14:solidFill>
              <w14:schemeClr w14:val="tx1"/>
            </w14:solidFill>
          </w14:textFill>
        </w:rPr>
        <w:t>评价等级</w:t>
      </w:r>
      <w:bookmarkEnd w:id="332"/>
      <w:r>
        <w:rPr>
          <w:rFonts w:hint="eastAsia"/>
          <w:color w:val="000000" w:themeColor="text1"/>
          <w:highlight w:val="none"/>
          <w:lang w:eastAsia="zh-CN"/>
          <w14:textFill>
            <w14:solidFill>
              <w14:schemeClr w14:val="tx1"/>
            </w14:solidFill>
          </w14:textFill>
        </w:rPr>
        <w:t>及评价范围</w:t>
      </w:r>
    </w:p>
    <w:p>
      <w:pPr>
        <w:ind w:firstLine="482"/>
        <w:rPr>
          <w:b/>
          <w:color w:val="000000" w:themeColor="text1"/>
          <w:szCs w:val="24"/>
          <w:highlight w:val="none"/>
          <w14:textFill>
            <w14:solidFill>
              <w14:schemeClr w14:val="tx1"/>
            </w14:solidFill>
          </w14:textFill>
        </w:rPr>
      </w:pPr>
      <w:bookmarkStart w:id="333" w:name="_Toc19947"/>
      <w:r>
        <w:rPr>
          <w:rFonts w:hint="eastAsia"/>
          <w:b/>
          <w:color w:val="000000" w:themeColor="text1"/>
          <w:szCs w:val="24"/>
          <w:highlight w:val="none"/>
          <w14:textFill>
            <w14:solidFill>
              <w14:schemeClr w14:val="tx1"/>
            </w14:solidFill>
          </w14:textFill>
        </w:rPr>
        <w:t>1、</w:t>
      </w:r>
      <w:r>
        <w:rPr>
          <w:b/>
          <w:color w:val="000000" w:themeColor="text1"/>
          <w:szCs w:val="24"/>
          <w:highlight w:val="none"/>
          <w14:textFill>
            <w14:solidFill>
              <w14:schemeClr w14:val="tx1"/>
            </w14:solidFill>
          </w14:textFill>
        </w:rPr>
        <w:t>建设项目环境风险潜势判断</w:t>
      </w:r>
    </w:p>
    <w:p>
      <w:pPr>
        <w:ind w:firstLine="480"/>
        <w:rPr>
          <w:bCs/>
          <w:color w:val="000000" w:themeColor="text1"/>
          <w:szCs w:val="24"/>
          <w:highlight w:val="none"/>
          <w14:textFill>
            <w14:solidFill>
              <w14:schemeClr w14:val="tx1"/>
            </w14:solidFill>
          </w14:textFill>
        </w:rPr>
      </w:pPr>
      <w:r>
        <w:rPr>
          <w:rFonts w:hint="eastAsia"/>
          <w:bCs/>
          <w:color w:val="000000" w:themeColor="text1"/>
          <w:szCs w:val="24"/>
          <w:highlight w:val="none"/>
          <w14:textFill>
            <w14:solidFill>
              <w14:schemeClr w14:val="tx1"/>
            </w14:solidFill>
          </w14:textFill>
        </w:rPr>
        <w:t>根据上文分析，本项目各风险单元Q值均＜1，</w:t>
      </w:r>
      <w:r>
        <w:rPr>
          <w:bCs/>
          <w:color w:val="000000" w:themeColor="text1"/>
          <w:szCs w:val="24"/>
          <w:highlight w:val="none"/>
          <w14:textFill>
            <w14:solidFill>
              <w14:schemeClr w14:val="tx1"/>
            </w14:solidFill>
          </w14:textFill>
        </w:rPr>
        <w:t>根据《建设项目环境风险评价技术导则》（HJ169-2018）附录</w:t>
      </w:r>
      <w:r>
        <w:rPr>
          <w:rFonts w:hint="eastAsia"/>
          <w:bCs/>
          <w:color w:val="000000" w:themeColor="text1"/>
          <w:szCs w:val="24"/>
          <w:highlight w:val="none"/>
          <w14:textFill>
            <w14:solidFill>
              <w14:schemeClr w14:val="tx1"/>
            </w14:solidFill>
          </w14:textFill>
        </w:rPr>
        <w:t>C，可直接判定为上述各风险单元环境风险潜势为I，本项目环境风险潜势为I。</w:t>
      </w:r>
    </w:p>
    <w:bookmarkEnd w:id="333"/>
    <w:p>
      <w:pPr>
        <w:spacing w:before="120" w:beforeLines="50"/>
        <w:ind w:firstLine="482"/>
        <w:rPr>
          <w:b/>
          <w:bCs/>
          <w:color w:val="000000" w:themeColor="text1"/>
          <w:szCs w:val="24"/>
          <w:highlight w:val="none"/>
          <w14:textFill>
            <w14:solidFill>
              <w14:schemeClr w14:val="tx1"/>
            </w14:solidFill>
          </w14:textFill>
        </w:rPr>
      </w:pPr>
      <w:bookmarkStart w:id="334" w:name="_Toc10867"/>
      <w:r>
        <w:rPr>
          <w:rFonts w:hint="eastAsia"/>
          <w:b/>
          <w:bCs/>
          <w:color w:val="000000" w:themeColor="text1"/>
          <w:szCs w:val="24"/>
          <w:highlight w:val="none"/>
          <w14:textFill>
            <w14:solidFill>
              <w14:schemeClr w14:val="tx1"/>
            </w14:solidFill>
          </w14:textFill>
        </w:rPr>
        <w:t>2、</w:t>
      </w:r>
      <w:r>
        <w:rPr>
          <w:b/>
          <w:bCs/>
          <w:color w:val="000000" w:themeColor="text1"/>
          <w:szCs w:val="24"/>
          <w:highlight w:val="none"/>
          <w14:textFill>
            <w14:solidFill>
              <w14:schemeClr w14:val="tx1"/>
            </w14:solidFill>
          </w14:textFill>
        </w:rPr>
        <w:t>评价等级</w:t>
      </w:r>
      <w:bookmarkEnd w:id="334"/>
    </w:p>
    <w:p>
      <w:pPr>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根据《建设项目环境风险评价技术导则》（HJ169-2018）表1，本项目风险评价的工作等级分级见下表。</w:t>
      </w:r>
    </w:p>
    <w:p>
      <w:pPr>
        <w:pStyle w:val="14"/>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表 </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评价工作级别</w:t>
      </w:r>
    </w:p>
    <w:tbl>
      <w:tblPr>
        <w:tblStyle w:val="4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3" w:type="dxa"/>
          <w:bottom w:w="0" w:type="dxa"/>
          <w:right w:w="23" w:type="dxa"/>
        </w:tblCellMar>
      </w:tblPr>
      <w:tblGrid>
        <w:gridCol w:w="1667"/>
        <w:gridCol w:w="1670"/>
        <w:gridCol w:w="1670"/>
        <w:gridCol w:w="1273"/>
        <w:gridCol w:w="20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998" w:type="pct"/>
            <w:tcBorders>
              <w:top w:val="single" w:color="auto" w:sz="4" w:space="0"/>
              <w:left w:val="single" w:color="auto" w:sz="4" w:space="0"/>
              <w:bottom w:val="single" w:color="auto" w:sz="4" w:space="0"/>
              <w:tl2br w:val="nil"/>
              <w:tr2bl w:val="nil"/>
            </w:tcBorders>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环境风险潜势</w:t>
            </w:r>
          </w:p>
        </w:tc>
        <w:tc>
          <w:tcPr>
            <w:tcW w:w="999" w:type="pct"/>
            <w:tcBorders>
              <w:top w:val="single" w:color="auto" w:sz="4" w:space="0"/>
              <w:bottom w:val="single" w:color="auto" w:sz="4" w:space="0"/>
              <w:tl2br w:val="nil"/>
              <w:tr2bl w:val="nil"/>
            </w:tcBorders>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IV、IV+</w:t>
            </w:r>
          </w:p>
        </w:tc>
        <w:tc>
          <w:tcPr>
            <w:tcW w:w="999" w:type="pct"/>
            <w:tcBorders>
              <w:top w:val="single" w:color="auto" w:sz="4" w:space="0"/>
              <w:bottom w:val="single" w:color="auto" w:sz="4" w:space="0"/>
              <w:tl2br w:val="nil"/>
              <w:tr2bl w:val="nil"/>
            </w:tcBorders>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III</w:t>
            </w:r>
          </w:p>
        </w:tc>
        <w:tc>
          <w:tcPr>
            <w:tcW w:w="762" w:type="pct"/>
            <w:tcBorders>
              <w:top w:val="single" w:color="auto" w:sz="4" w:space="0"/>
              <w:bottom w:val="single" w:color="auto" w:sz="4" w:space="0"/>
              <w:tl2br w:val="nil"/>
              <w:tr2bl w:val="nil"/>
            </w:tcBorders>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II</w:t>
            </w:r>
          </w:p>
        </w:tc>
        <w:tc>
          <w:tcPr>
            <w:tcW w:w="1242" w:type="pct"/>
            <w:tcBorders>
              <w:top w:val="single" w:color="auto" w:sz="4" w:space="0"/>
              <w:bottom w:val="single" w:color="auto" w:sz="4" w:space="0"/>
              <w:right w:val="single" w:color="auto" w:sz="4" w:space="0"/>
              <w:tl2br w:val="nil"/>
              <w:tr2bl w:val="nil"/>
            </w:tcBorders>
            <w:shd w:val="clear" w:color="auto" w:fill="auto"/>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I</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998" w:type="pct"/>
            <w:tcBorders>
              <w:top w:val="single" w:color="auto" w:sz="4" w:space="0"/>
              <w:left w:val="single" w:color="auto" w:sz="4" w:space="0"/>
              <w:bottom w:val="single" w:color="auto" w:sz="4" w:space="0"/>
              <w:tl2br w:val="nil"/>
              <w:tr2bl w:val="nil"/>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评价工作等级</w:t>
            </w:r>
          </w:p>
        </w:tc>
        <w:tc>
          <w:tcPr>
            <w:tcW w:w="999" w:type="pct"/>
            <w:tcBorders>
              <w:top w:val="single" w:color="auto" w:sz="4" w:space="0"/>
              <w:bottom w:val="single" w:color="auto" w:sz="4" w:space="0"/>
              <w:tl2br w:val="nil"/>
              <w:tr2bl w:val="nil"/>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w:t>
            </w:r>
          </w:p>
        </w:tc>
        <w:tc>
          <w:tcPr>
            <w:tcW w:w="999" w:type="pct"/>
            <w:tcBorders>
              <w:top w:val="single" w:color="auto" w:sz="4" w:space="0"/>
              <w:bottom w:val="single" w:color="auto" w:sz="4" w:space="0"/>
              <w:tl2br w:val="nil"/>
              <w:tr2bl w:val="nil"/>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w:t>
            </w:r>
          </w:p>
        </w:tc>
        <w:tc>
          <w:tcPr>
            <w:tcW w:w="762" w:type="pct"/>
            <w:tcBorders>
              <w:top w:val="single" w:color="auto" w:sz="4" w:space="0"/>
              <w:bottom w:val="single" w:color="auto" w:sz="4" w:space="0"/>
              <w:tl2br w:val="nil"/>
              <w:tr2bl w:val="nil"/>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w:t>
            </w:r>
          </w:p>
        </w:tc>
        <w:tc>
          <w:tcPr>
            <w:tcW w:w="1242" w:type="pct"/>
            <w:tcBorders>
              <w:top w:val="single" w:color="auto" w:sz="4" w:space="0"/>
              <w:bottom w:val="single" w:color="auto" w:sz="4" w:space="0"/>
              <w:right w:val="single" w:color="auto" w:sz="4" w:space="0"/>
              <w:tl2br w:val="nil"/>
              <w:tr2bl w:val="nil"/>
            </w:tcBorders>
            <w:shd w:val="clear" w:color="auto" w:fill="auto"/>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简单分析</w:t>
            </w:r>
            <w:r>
              <w:rPr>
                <w:color w:val="000000" w:themeColor="text1"/>
                <w:highlight w:val="none"/>
                <w:vertAlign w:val="superscript"/>
                <w14:textFill>
                  <w14:solidFill>
                    <w14:schemeClr w14:val="tx1"/>
                  </w14:solidFill>
                </w14:textFill>
              </w:rPr>
              <w:t>a</w:t>
            </w:r>
            <w:r>
              <w:rPr>
                <w:rFonts w:hint="eastAsia"/>
                <w:color w:val="000000" w:themeColor="text1"/>
                <w:highlight w:val="none"/>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5000" w:type="pct"/>
            <w:gridSpan w:val="5"/>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118"/>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a是相对于详细评价工作内容而言，在描述危险物质、环境影响途径、环境危害后果、风险防范措施等方面给出定性</w:t>
            </w:r>
            <w:bookmarkStart w:id="505" w:name="_GoBack"/>
            <w:bookmarkEnd w:id="505"/>
            <w:r>
              <w:rPr>
                <w:color w:val="000000" w:themeColor="text1"/>
                <w:highlight w:val="none"/>
                <w14:textFill>
                  <w14:solidFill>
                    <w14:schemeClr w14:val="tx1"/>
                  </w14:solidFill>
                </w14:textFill>
              </w:rPr>
              <w:t>的说明。</w:t>
            </w:r>
          </w:p>
        </w:tc>
      </w:tr>
    </w:tbl>
    <w:p>
      <w:pPr>
        <w:adjustRightInd/>
        <w:spacing w:before="120" w:beforeLines="50"/>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根据表6.3-</w:t>
      </w:r>
      <w:r>
        <w:rPr>
          <w:rFonts w:hint="eastAsia"/>
          <w:color w:val="000000" w:themeColor="text1"/>
          <w:szCs w:val="24"/>
          <w:highlight w:val="none"/>
          <w14:textFill>
            <w14:solidFill>
              <w14:schemeClr w14:val="tx1"/>
            </w14:solidFill>
          </w14:textFill>
        </w:rPr>
        <w:t>3</w:t>
      </w:r>
      <w:r>
        <w:rPr>
          <w:color w:val="000000" w:themeColor="text1"/>
          <w:szCs w:val="24"/>
          <w:highlight w:val="none"/>
          <w14:textFill>
            <w14:solidFill>
              <w14:schemeClr w14:val="tx1"/>
            </w14:solidFill>
          </w14:textFill>
        </w:rPr>
        <w:t>可知，</w:t>
      </w:r>
      <w:r>
        <w:rPr>
          <w:b/>
          <w:bCs/>
          <w:color w:val="000000" w:themeColor="text1"/>
          <w:szCs w:val="24"/>
          <w:highlight w:val="none"/>
          <w14:textFill>
            <w14:solidFill>
              <w14:schemeClr w14:val="tx1"/>
            </w14:solidFill>
          </w14:textFill>
        </w:rPr>
        <w:t>本项目风险评价工作等级为</w:t>
      </w:r>
      <w:r>
        <w:rPr>
          <w:rFonts w:hint="eastAsia"/>
          <w:b/>
          <w:bCs/>
          <w:color w:val="000000" w:themeColor="text1"/>
          <w:szCs w:val="24"/>
          <w:highlight w:val="none"/>
          <w14:textFill>
            <w14:solidFill>
              <w14:schemeClr w14:val="tx1"/>
            </w14:solidFill>
          </w14:textFill>
        </w:rPr>
        <w:t>“简单分析”</w:t>
      </w:r>
      <w:r>
        <w:rPr>
          <w:color w:val="000000" w:themeColor="text1"/>
          <w:szCs w:val="24"/>
          <w:highlight w:val="none"/>
          <w14:textFill>
            <w14:solidFill>
              <w14:schemeClr w14:val="tx1"/>
            </w14:solidFill>
          </w14:textFill>
        </w:rPr>
        <w:t>。</w:t>
      </w:r>
    </w:p>
    <w:p>
      <w:pPr>
        <w:ind w:firstLine="482"/>
        <w:rPr>
          <w:b/>
          <w:bCs/>
          <w:color w:val="000000" w:themeColor="text1"/>
          <w:szCs w:val="24"/>
          <w:highlight w:val="none"/>
          <w14:textFill>
            <w14:solidFill>
              <w14:schemeClr w14:val="tx1"/>
            </w14:solidFill>
          </w14:textFill>
        </w:rPr>
      </w:pPr>
      <w:bookmarkStart w:id="335" w:name="_Toc3633"/>
      <w:r>
        <w:rPr>
          <w:rFonts w:hint="eastAsia"/>
          <w:b/>
          <w:bCs/>
          <w:color w:val="000000" w:themeColor="text1"/>
          <w:szCs w:val="24"/>
          <w:highlight w:val="none"/>
          <w14:textFill>
            <w14:solidFill>
              <w14:schemeClr w14:val="tx1"/>
            </w14:solidFill>
          </w14:textFill>
        </w:rPr>
        <w:t>3、</w:t>
      </w:r>
      <w:r>
        <w:rPr>
          <w:b/>
          <w:bCs/>
          <w:color w:val="000000" w:themeColor="text1"/>
          <w:szCs w:val="24"/>
          <w:highlight w:val="none"/>
          <w14:textFill>
            <w14:solidFill>
              <w14:schemeClr w14:val="tx1"/>
            </w14:solidFill>
          </w14:textFill>
        </w:rPr>
        <w:t>评价范围</w:t>
      </w:r>
      <w:bookmarkEnd w:id="335"/>
    </w:p>
    <w:p>
      <w:pPr>
        <w:spacing w:before="120" w:beforeLines="50"/>
        <w:ind w:firstLine="480"/>
        <w:rPr>
          <w:rFonts w:cs="Times New Roman"/>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本项目环境风险评价</w:t>
      </w:r>
      <w:r>
        <w:rPr>
          <w:rFonts w:hint="eastAsia"/>
          <w:color w:val="000000" w:themeColor="text1"/>
          <w:highlight w:val="none"/>
          <w14:textFill>
            <w14:solidFill>
              <w14:schemeClr w14:val="tx1"/>
            </w14:solidFill>
          </w14:textFill>
        </w:rPr>
        <w:t>等级为简单分析，无需设置环境风险评价范围</w:t>
      </w:r>
      <w:r>
        <w:rPr>
          <w:rFonts w:cs="Times New Roman"/>
          <w:color w:val="000000" w:themeColor="text1"/>
          <w:szCs w:val="24"/>
          <w:highlight w:val="none"/>
          <w14:textFill>
            <w14:solidFill>
              <w14:schemeClr w14:val="tx1"/>
            </w14:solidFill>
          </w14:textFill>
        </w:rPr>
        <w:t>。</w:t>
      </w:r>
    </w:p>
    <w:p>
      <w:pPr>
        <w:pStyle w:val="4"/>
        <w:spacing w:before="120"/>
        <w:rPr>
          <w:color w:val="000000" w:themeColor="text1"/>
          <w:highlight w:val="none"/>
          <w:lang w:eastAsia="zh-CN"/>
          <w14:textFill>
            <w14:solidFill>
              <w14:schemeClr w14:val="tx1"/>
            </w14:solidFill>
          </w14:textFill>
        </w:rPr>
      </w:pPr>
      <w:bookmarkStart w:id="336" w:name="5.3.2环境敏感目标概况"/>
      <w:bookmarkEnd w:id="336"/>
      <w:bookmarkStart w:id="337" w:name="_Toc6546"/>
      <w:r>
        <w:rPr>
          <w:color w:val="000000" w:themeColor="text1"/>
          <w:highlight w:val="none"/>
          <w:lang w:eastAsia="zh-CN"/>
          <w14:textFill>
            <w14:solidFill>
              <w14:schemeClr w14:val="tx1"/>
            </w14:solidFill>
          </w14:textFill>
        </w:rPr>
        <w:t>环境风险识别</w:t>
      </w:r>
      <w:bookmarkEnd w:id="337"/>
    </w:p>
    <w:p>
      <w:pPr>
        <w:pStyle w:val="5"/>
        <w:spacing w:before="120"/>
        <w:ind w:firstLine="480"/>
        <w:rPr>
          <w:b/>
          <w:color w:val="000000" w:themeColor="text1"/>
          <w:highlight w:val="none"/>
          <w:lang w:eastAsia="zh-CN"/>
          <w14:textFill>
            <w14:solidFill>
              <w14:schemeClr w14:val="tx1"/>
            </w14:solidFill>
          </w14:textFill>
        </w:rPr>
      </w:pPr>
      <w:bookmarkStart w:id="338" w:name="_Toc120173176"/>
      <w:r>
        <w:rPr>
          <w:color w:val="000000" w:themeColor="text1"/>
          <w:highlight w:val="none"/>
          <w:lang w:eastAsia="zh-CN"/>
          <w14:textFill>
            <w14:solidFill>
              <w14:schemeClr w14:val="tx1"/>
            </w14:solidFill>
          </w14:textFill>
        </w:rPr>
        <w:t>物质危险性识别</w:t>
      </w:r>
      <w:bookmarkEnd w:id="338"/>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本项目生产过程中涉及的危险物质有天然气、天然气燃烧后的二氧化碳和采气废水等，具体见</w:t>
      </w:r>
      <w:r>
        <w:rPr>
          <w:rFonts w:ascii="宋体" w:hAnsi="宋体"/>
          <w:bCs/>
          <w:color w:val="000000" w:themeColor="text1"/>
          <w:highlight w:val="none"/>
          <w14:textFill>
            <w14:solidFill>
              <w14:schemeClr w14:val="tx1"/>
            </w14:solidFill>
          </w14:textFill>
        </w:rPr>
        <w:t>“</w:t>
      </w:r>
      <w:r>
        <w:rPr>
          <w:bCs/>
          <w:color w:val="000000" w:themeColor="text1"/>
          <w:highlight w:val="none"/>
          <w14:textFill>
            <w14:solidFill>
              <w14:schemeClr w14:val="tx1"/>
            </w14:solidFill>
          </w14:textFill>
        </w:rPr>
        <w:t>6.1评价依据</w:t>
      </w:r>
      <w:r>
        <w:rPr>
          <w:rFonts w:ascii="宋体" w:hAnsi="宋体"/>
          <w:bCs/>
          <w:color w:val="000000" w:themeColor="text1"/>
          <w:highlight w:val="none"/>
          <w14:textFill>
            <w14:solidFill>
              <w14:schemeClr w14:val="tx1"/>
            </w14:solidFill>
          </w14:textFill>
        </w:rPr>
        <w:t>”</w:t>
      </w:r>
      <w:r>
        <w:rPr>
          <w:bCs/>
          <w:color w:val="000000" w:themeColor="text1"/>
          <w:highlight w:val="none"/>
          <w14:textFill>
            <w14:solidFill>
              <w14:schemeClr w14:val="tx1"/>
            </w14:solidFill>
          </w14:textFill>
        </w:rPr>
        <w:t>章节内容。本项目涉及的主要危险物质</w:t>
      </w:r>
      <w:r>
        <w:rPr>
          <w:rFonts w:hint="eastAsia"/>
          <w:bCs/>
          <w:color w:val="000000" w:themeColor="text1"/>
          <w:highlight w:val="none"/>
          <w14:textFill>
            <w14:solidFill>
              <w14:schemeClr w14:val="tx1"/>
            </w14:solidFill>
          </w14:textFill>
        </w:rPr>
        <w:t>为</w:t>
      </w:r>
      <w:r>
        <w:rPr>
          <w:bCs/>
          <w:color w:val="000000" w:themeColor="text1"/>
          <w:highlight w:val="none"/>
          <w14:textFill>
            <w14:solidFill>
              <w14:schemeClr w14:val="tx1"/>
            </w14:solidFill>
          </w14:textFill>
        </w:rPr>
        <w:t>CH</w:t>
      </w:r>
      <w:r>
        <w:rPr>
          <w:bCs/>
          <w:color w:val="000000" w:themeColor="text1"/>
          <w:highlight w:val="none"/>
          <w:vertAlign w:val="subscript"/>
          <w14:textFill>
            <w14:solidFill>
              <w14:schemeClr w14:val="tx1"/>
            </w14:solidFill>
          </w14:textFill>
        </w:rPr>
        <w:t>4</w:t>
      </w:r>
      <w:r>
        <w:rPr>
          <w:bCs/>
          <w:color w:val="000000" w:themeColor="text1"/>
          <w:highlight w:val="none"/>
          <w14:textFill>
            <w14:solidFill>
              <w14:schemeClr w14:val="tx1"/>
            </w14:solidFill>
          </w14:textFill>
        </w:rPr>
        <w:t>（易燃易爆）。</w:t>
      </w:r>
    </w:p>
    <w:p>
      <w:pPr>
        <w:pStyle w:val="5"/>
        <w:spacing w:before="120"/>
        <w:ind w:firstLine="480"/>
        <w:rPr>
          <w:b/>
          <w:color w:val="000000" w:themeColor="text1"/>
          <w:highlight w:val="none"/>
          <w:lang w:eastAsia="zh-CN"/>
          <w14:textFill>
            <w14:solidFill>
              <w14:schemeClr w14:val="tx1"/>
            </w14:solidFill>
          </w14:textFill>
        </w:rPr>
      </w:pPr>
      <w:bookmarkStart w:id="339" w:name="_Toc120173177"/>
      <w:r>
        <w:rPr>
          <w:color w:val="000000" w:themeColor="text1"/>
          <w:highlight w:val="none"/>
          <w:lang w:eastAsia="zh-CN"/>
          <w14:textFill>
            <w14:solidFill>
              <w14:schemeClr w14:val="tx1"/>
            </w14:solidFill>
          </w14:textFill>
        </w:rPr>
        <w:t>生产系统风险识别</w:t>
      </w:r>
      <w:bookmarkEnd w:id="339"/>
    </w:p>
    <w:p>
      <w:pPr>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w:t>
      </w:r>
      <w:r>
        <w:rPr>
          <w:rFonts w:hint="eastAsia"/>
          <w:b/>
          <w:bCs/>
          <w:color w:val="000000" w:themeColor="text1"/>
          <w:highlight w:val="none"/>
          <w14:textFill>
            <w14:solidFill>
              <w14:schemeClr w14:val="tx1"/>
            </w14:solidFill>
          </w14:textFill>
        </w:rPr>
        <w:t>试采</w:t>
      </w:r>
      <w:r>
        <w:rPr>
          <w:b/>
          <w:bCs/>
          <w:color w:val="000000" w:themeColor="text1"/>
          <w:highlight w:val="none"/>
          <w14:textFill>
            <w14:solidFill>
              <w14:schemeClr w14:val="tx1"/>
            </w14:solidFill>
          </w14:textFill>
        </w:rPr>
        <w:t>站场废水泄漏</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项目废水泄漏</w:t>
      </w:r>
      <w:r>
        <w:rPr>
          <w:rFonts w:hint="eastAsia"/>
          <w:bCs/>
          <w:color w:val="000000" w:themeColor="text1"/>
          <w:highlight w:val="none"/>
          <w14:textFill>
            <w14:solidFill>
              <w14:schemeClr w14:val="tx1"/>
            </w14:solidFill>
          </w14:textFill>
        </w:rPr>
        <w:t>为</w:t>
      </w:r>
      <w:r>
        <w:rPr>
          <w:bCs/>
          <w:color w:val="000000" w:themeColor="text1"/>
          <w:highlight w:val="none"/>
          <w14:textFill>
            <w14:solidFill>
              <w14:schemeClr w14:val="tx1"/>
            </w14:solidFill>
          </w14:textFill>
        </w:rPr>
        <w:t>试采期站场污水罐泄漏。废水泄漏原因可能为罐体老化、管道破损或人为破坏及洪水、地震等不可抗拒因素。泄漏废水可能污染地表水、地下水及土壤，影响农作物生长发育和产量。</w:t>
      </w:r>
    </w:p>
    <w:p>
      <w:pPr>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（2）废水转运过程泄漏</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本项目气田水通过罐车转运回用或送至有处理能力和处理资质的单位进行处理。废水转运过程中可能存在罐体泄漏、运输车侧翻导致污水外溢的风险。如</w:t>
      </w:r>
      <w:r>
        <w:rPr>
          <w:rFonts w:hint="eastAsia"/>
          <w:bCs/>
          <w:color w:val="000000" w:themeColor="text1"/>
          <w:highlight w:val="none"/>
          <w14:textFill>
            <w14:solidFill>
              <w14:schemeClr w14:val="tx1"/>
            </w14:solidFill>
          </w14:textFill>
        </w:rPr>
        <w:t>途经</w:t>
      </w:r>
      <w:r>
        <w:rPr>
          <w:bCs/>
          <w:color w:val="000000" w:themeColor="text1"/>
          <w:highlight w:val="none"/>
          <w14:textFill>
            <w14:solidFill>
              <w14:schemeClr w14:val="tx1"/>
            </w14:solidFill>
          </w14:textFill>
        </w:rPr>
        <w:t>集中式饮用水水源地、水产种质保护区等特别敏感区域时发生泄漏，将产生一定的影响。</w:t>
      </w:r>
    </w:p>
    <w:p>
      <w:pPr>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（3）</w:t>
      </w:r>
      <w:r>
        <w:rPr>
          <w:rFonts w:hint="eastAsia"/>
          <w:b/>
          <w:bCs/>
          <w:color w:val="000000" w:themeColor="text1"/>
          <w:highlight w:val="none"/>
          <w14:textFill>
            <w14:solidFill>
              <w14:schemeClr w14:val="tx1"/>
            </w14:solidFill>
          </w14:textFill>
        </w:rPr>
        <w:t>试采</w:t>
      </w:r>
      <w:r>
        <w:rPr>
          <w:b/>
          <w:bCs/>
          <w:color w:val="000000" w:themeColor="text1"/>
          <w:highlight w:val="none"/>
          <w14:textFill>
            <w14:solidFill>
              <w14:schemeClr w14:val="tx1"/>
            </w14:solidFill>
          </w14:textFill>
        </w:rPr>
        <w:t>站场及集输管线</w:t>
      </w:r>
      <w:r>
        <w:rPr>
          <w:rFonts w:hint="eastAsia"/>
          <w:b/>
          <w:bCs/>
          <w:color w:val="000000" w:themeColor="text1"/>
          <w:highlight w:val="none"/>
          <w14:textFill>
            <w14:solidFill>
              <w14:schemeClr w14:val="tx1"/>
            </w14:solidFill>
          </w14:textFill>
        </w:rPr>
        <w:t>天然气泄漏</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本项目天然气泄漏情形为</w:t>
      </w:r>
      <w:r>
        <w:rPr>
          <w:rFonts w:hint="eastAsia"/>
          <w:bCs/>
          <w:color w:val="000000" w:themeColor="text1"/>
          <w:highlight w:val="none"/>
          <w14:textFill>
            <w14:solidFill>
              <w14:schemeClr w14:val="tx1"/>
            </w14:solidFill>
          </w14:textFill>
        </w:rPr>
        <w:t>试采</w:t>
      </w:r>
      <w:r>
        <w:rPr>
          <w:bCs/>
          <w:color w:val="000000" w:themeColor="text1"/>
          <w:highlight w:val="none"/>
          <w14:textFill>
            <w14:solidFill>
              <w14:schemeClr w14:val="tx1"/>
            </w14:solidFill>
          </w14:textFill>
        </w:rPr>
        <w:t>站场内部的管线或设备泄漏。</w:t>
      </w:r>
      <w:r>
        <w:rPr>
          <w:rFonts w:hint="eastAsia"/>
          <w:bCs/>
          <w:color w:val="000000" w:themeColor="text1"/>
          <w:highlight w:val="none"/>
          <w14:textFill>
            <w14:solidFill>
              <w14:schemeClr w14:val="tx1"/>
            </w14:solidFill>
          </w14:textFill>
        </w:rPr>
        <w:t>试采</w:t>
      </w:r>
      <w:r>
        <w:rPr>
          <w:bCs/>
          <w:color w:val="000000" w:themeColor="text1"/>
          <w:highlight w:val="none"/>
          <w14:textFill>
            <w14:solidFill>
              <w14:schemeClr w14:val="tx1"/>
            </w14:solidFill>
          </w14:textFill>
        </w:rPr>
        <w:t>站场内部管线为井口</w:t>
      </w:r>
      <w:r>
        <w:rPr>
          <w:rFonts w:hint="eastAsia"/>
          <w:bCs/>
          <w:color w:val="000000" w:themeColor="text1"/>
          <w:highlight w:val="none"/>
          <w14:textFill>
            <w14:solidFill>
              <w14:schemeClr w14:val="tx1"/>
            </w14:solidFill>
          </w14:textFill>
        </w:rPr>
        <w:t>～</w:t>
      </w:r>
      <w:r>
        <w:rPr>
          <w:bCs/>
          <w:color w:val="000000" w:themeColor="text1"/>
          <w:highlight w:val="none"/>
          <w14:textFill>
            <w14:solidFill>
              <w14:schemeClr w14:val="tx1"/>
            </w14:solidFill>
          </w14:textFill>
        </w:rPr>
        <w:t>水套加热炉</w:t>
      </w:r>
      <w:r>
        <w:rPr>
          <w:rFonts w:hint="eastAsia"/>
          <w:bCs/>
          <w:color w:val="000000" w:themeColor="text1"/>
          <w:highlight w:val="none"/>
          <w14:textFill>
            <w14:solidFill>
              <w14:schemeClr w14:val="tx1"/>
            </w14:solidFill>
          </w14:textFill>
        </w:rPr>
        <w:t>～</w:t>
      </w:r>
      <w:r>
        <w:rPr>
          <w:bCs/>
          <w:color w:val="000000" w:themeColor="text1"/>
          <w:highlight w:val="none"/>
          <w14:textFill>
            <w14:solidFill>
              <w14:schemeClr w14:val="tx1"/>
            </w14:solidFill>
          </w14:textFill>
        </w:rPr>
        <w:t>外输截止阀，</w:t>
      </w:r>
      <w:r>
        <w:rPr>
          <w:rFonts w:hint="eastAsia"/>
          <w:bCs/>
          <w:color w:val="000000" w:themeColor="text1"/>
          <w:highlight w:val="none"/>
          <w14:textFill>
            <w14:solidFill>
              <w14:schemeClr w14:val="tx1"/>
            </w14:solidFill>
          </w14:textFill>
        </w:rPr>
        <w:t>试采站</w:t>
      </w:r>
      <w:r>
        <w:rPr>
          <w:bCs/>
          <w:color w:val="000000" w:themeColor="text1"/>
          <w:highlight w:val="none"/>
          <w14:textFill>
            <w14:solidFill>
              <w14:schemeClr w14:val="tx1"/>
            </w14:solidFill>
          </w14:textFill>
        </w:rPr>
        <w:t>可能存在天然气泄漏的设备为撬装卧式分离器。本项目站内集输管线为天然气管线和设备破裂原因为内、外腐蚀作用，母体材料缺陷或焊口缺陷隐患，意外重大的机械损伤或地震、地陷、洪水等自然灾害破坏作用。管线或设备破裂会造成天然气泄漏，本项目区域大气扩散条件较好，天然气中</w:t>
      </w:r>
      <w:r>
        <w:rPr>
          <w:rFonts w:hint="eastAsia"/>
          <w:bCs/>
          <w:color w:val="000000" w:themeColor="text1"/>
          <w:highlight w:val="none"/>
          <w14:textFill>
            <w14:solidFill>
              <w14:schemeClr w14:val="tx1"/>
            </w14:solidFill>
          </w14:textFill>
        </w:rPr>
        <w:t>不含</w:t>
      </w:r>
      <w:r>
        <w:rPr>
          <w:bCs/>
          <w:color w:val="000000" w:themeColor="text1"/>
          <w:highlight w:val="none"/>
          <w14:textFill>
            <w14:solidFill>
              <w14:schemeClr w14:val="tx1"/>
            </w14:solidFill>
          </w14:textFill>
        </w:rPr>
        <w:t>硫化氢，发生泄漏后及时关闭阀门，泄漏的天然气量较少，因此天然气泄漏对空气影响较小。</w:t>
      </w:r>
    </w:p>
    <w:p>
      <w:pPr>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（4）火灾爆炸引发次生污染</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本项目发生火灾爆炸情形</w:t>
      </w:r>
      <w:r>
        <w:rPr>
          <w:rFonts w:hint="eastAsia"/>
          <w:bCs/>
          <w:color w:val="000000" w:themeColor="text1"/>
          <w:highlight w:val="none"/>
          <w14:textFill>
            <w14:solidFill>
              <w14:schemeClr w14:val="tx1"/>
            </w14:solidFill>
          </w14:textFill>
        </w:rPr>
        <w:t>为</w:t>
      </w:r>
      <w:r>
        <w:rPr>
          <w:bCs/>
          <w:color w:val="000000" w:themeColor="text1"/>
          <w:highlight w:val="none"/>
          <w14:textFill>
            <w14:solidFill>
              <w14:schemeClr w14:val="tx1"/>
            </w14:solidFill>
          </w14:textFill>
        </w:rPr>
        <w:t>试采过程站场或集输管线发生天然气泄漏后，遇明火燃烧产生污染物CO进入大气。</w:t>
      </w:r>
    </w:p>
    <w:p>
      <w:pPr>
        <w:pStyle w:val="5"/>
        <w:spacing w:before="120"/>
        <w:ind w:firstLine="480"/>
        <w:rPr>
          <w:b/>
          <w:color w:val="000000" w:themeColor="text1"/>
          <w:highlight w:val="none"/>
          <w:lang w:eastAsia="zh-CN"/>
          <w14:textFill>
            <w14:solidFill>
              <w14:schemeClr w14:val="tx1"/>
            </w14:solidFill>
          </w14:textFill>
        </w:rPr>
      </w:pPr>
      <w:bookmarkStart w:id="340" w:name="_Toc120173178"/>
      <w:r>
        <w:rPr>
          <w:color w:val="000000" w:themeColor="text1"/>
          <w:highlight w:val="none"/>
          <w:lang w:eastAsia="zh-CN"/>
          <w14:textFill>
            <w14:solidFill>
              <w14:schemeClr w14:val="tx1"/>
            </w14:solidFill>
          </w14:textFill>
        </w:rPr>
        <w:t>危险物质可能影响环境的途径</w:t>
      </w:r>
      <w:bookmarkEnd w:id="340"/>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通过以上物质识别、生产系统危险性识别过程可以看出，本项目涉及危险物质的向环境转移的途径主要有：</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w:t>
      </w:r>
      <w:r>
        <w:rPr>
          <w:rFonts w:hint="eastAsia"/>
          <w:bCs/>
          <w:color w:val="000000" w:themeColor="text1"/>
          <w:highlight w:val="none"/>
          <w14:textFill>
            <w14:solidFill>
              <w14:schemeClr w14:val="tx1"/>
            </w14:solidFill>
          </w14:textFill>
        </w:rPr>
        <w:t>试采站</w:t>
      </w:r>
      <w:r>
        <w:rPr>
          <w:bCs/>
          <w:color w:val="000000" w:themeColor="text1"/>
          <w:highlight w:val="none"/>
          <w14:textFill>
            <w14:solidFill>
              <w14:schemeClr w14:val="tx1"/>
            </w14:solidFill>
          </w14:textFill>
        </w:rPr>
        <w:t>废水泄漏可能污染地表水、地下水及土壤；</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（2）废水转运过程发生泄漏可能污染地表水、地下水及土壤；</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（3）</w:t>
      </w:r>
      <w:r>
        <w:rPr>
          <w:rFonts w:hint="eastAsia"/>
          <w:bCs/>
          <w:color w:val="000000" w:themeColor="text1"/>
          <w:highlight w:val="none"/>
          <w14:textFill>
            <w14:solidFill>
              <w14:schemeClr w14:val="tx1"/>
            </w14:solidFill>
          </w14:textFill>
        </w:rPr>
        <w:t>试采</w:t>
      </w:r>
      <w:r>
        <w:rPr>
          <w:bCs/>
          <w:color w:val="000000" w:themeColor="text1"/>
          <w:highlight w:val="none"/>
          <w14:textFill>
            <w14:solidFill>
              <w14:schemeClr w14:val="tx1"/>
            </w14:solidFill>
          </w14:textFill>
        </w:rPr>
        <w:t>站场及集输管线发生天然气泄漏对环境空气的影响；</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（4）天然气</w:t>
      </w:r>
      <w:r>
        <w:rPr>
          <w:rFonts w:hint="eastAsia"/>
          <w:bCs/>
          <w:color w:val="000000" w:themeColor="text1"/>
          <w:highlight w:val="none"/>
          <w14:textFill>
            <w14:solidFill>
              <w14:schemeClr w14:val="tx1"/>
            </w14:solidFill>
          </w14:textFill>
        </w:rPr>
        <w:t>泄漏</w:t>
      </w:r>
      <w:r>
        <w:rPr>
          <w:bCs/>
          <w:color w:val="000000" w:themeColor="text1"/>
          <w:highlight w:val="none"/>
          <w14:textFill>
            <w14:solidFill>
              <w14:schemeClr w14:val="tx1"/>
            </w14:solidFill>
          </w14:textFill>
        </w:rPr>
        <w:t>后，遇明火燃烧次生污染物CO进入大气对环境空气的影响。</w:t>
      </w:r>
    </w:p>
    <w:p>
      <w:pPr>
        <w:pStyle w:val="4"/>
        <w:spacing w:before="120"/>
        <w:rPr>
          <w:color w:val="000000" w:themeColor="text1"/>
          <w:highlight w:val="none"/>
          <w:lang w:eastAsia="zh-CN"/>
          <w14:textFill>
            <w14:solidFill>
              <w14:schemeClr w14:val="tx1"/>
            </w14:solidFill>
          </w14:textFill>
        </w:rPr>
      </w:pPr>
      <w:bookmarkStart w:id="341" w:name="_Toc474725972"/>
      <w:bookmarkStart w:id="342" w:name="_Toc27248"/>
      <w:r>
        <w:rPr>
          <w:color w:val="000000" w:themeColor="text1"/>
          <w:highlight w:val="none"/>
          <w:lang w:eastAsia="zh-CN"/>
          <w14:textFill>
            <w14:solidFill>
              <w14:schemeClr w14:val="tx1"/>
            </w14:solidFill>
          </w14:textFill>
        </w:rPr>
        <w:t>环境风险分析</w:t>
      </w:r>
      <w:bookmarkEnd w:id="341"/>
      <w:bookmarkEnd w:id="342"/>
    </w:p>
    <w:p>
      <w:pPr>
        <w:pStyle w:val="5"/>
        <w:spacing w:before="120"/>
        <w:ind w:firstLine="480"/>
        <w:rPr>
          <w:b/>
          <w:color w:val="000000" w:themeColor="text1"/>
          <w:highlight w:val="none"/>
          <w:lang w:eastAsia="zh-CN"/>
          <w14:textFill>
            <w14:solidFill>
              <w14:schemeClr w14:val="tx1"/>
            </w14:solidFill>
          </w14:textFill>
        </w:rPr>
      </w:pPr>
      <w:bookmarkStart w:id="343" w:name="_Toc120173180"/>
      <w:r>
        <w:rPr>
          <w:color w:val="000000" w:themeColor="text1"/>
          <w:highlight w:val="none"/>
          <w:lang w:eastAsia="zh-CN"/>
          <w14:textFill>
            <w14:solidFill>
              <w14:schemeClr w14:val="tx1"/>
            </w14:solidFill>
          </w14:textFill>
        </w:rPr>
        <w:t>大气环境风险影响分析</w:t>
      </w:r>
      <w:bookmarkEnd w:id="343"/>
    </w:p>
    <w:p>
      <w:pPr>
        <w:ind w:firstLine="482"/>
        <w:rPr>
          <w:b/>
          <w:color w:val="000000" w:themeColor="text1"/>
          <w:highlight w:val="none"/>
          <w14:textFill>
            <w14:solidFill>
              <w14:schemeClr w14:val="tx1"/>
            </w14:solidFill>
          </w14:textFill>
        </w:rPr>
      </w:pPr>
      <w:bookmarkStart w:id="344" w:name="_Hlk88498378"/>
      <w:r>
        <w:rPr>
          <w:b/>
          <w:color w:val="000000" w:themeColor="text1"/>
          <w:highlight w:val="none"/>
          <w14:textFill>
            <w14:solidFill>
              <w14:schemeClr w14:val="tx1"/>
            </w14:solidFill>
          </w14:textFill>
        </w:rPr>
        <w:t>（1）试采期天然气泄漏风险分析</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由于试采时在测试放喷定产后配产规模下生产，单井最大配产规模10×10</w:t>
      </w:r>
      <w:r>
        <w:rPr>
          <w:bCs/>
          <w:color w:val="000000" w:themeColor="text1"/>
          <w:highlight w:val="none"/>
          <w:vertAlign w:val="superscript"/>
          <w14:textFill>
            <w14:solidFill>
              <w14:schemeClr w14:val="tx1"/>
            </w14:solidFill>
          </w14:textFill>
        </w:rPr>
        <w:t>4</w:t>
      </w:r>
      <w:r>
        <w:rPr>
          <w:bCs/>
          <w:color w:val="000000" w:themeColor="text1"/>
          <w:highlight w:val="none"/>
          <w14:textFill>
            <w14:solidFill>
              <w14:schemeClr w14:val="tx1"/>
            </w14:solidFill>
          </w14:textFill>
        </w:rPr>
        <w:t>m</w:t>
      </w:r>
      <w:r>
        <w:rPr>
          <w:bCs/>
          <w:color w:val="000000" w:themeColor="text1"/>
          <w:highlight w:val="none"/>
          <w:vertAlign w:val="superscript"/>
          <w14:textFill>
            <w14:solidFill>
              <w14:schemeClr w14:val="tx1"/>
            </w14:solidFill>
          </w14:textFill>
        </w:rPr>
        <w:t>3</w:t>
      </w:r>
      <w:r>
        <w:rPr>
          <w:bCs/>
          <w:color w:val="000000" w:themeColor="text1"/>
          <w:highlight w:val="none"/>
          <w14:textFill>
            <w14:solidFill>
              <w14:schemeClr w14:val="tx1"/>
            </w14:solidFill>
          </w14:textFill>
        </w:rPr>
        <w:t>/d，地面试采阶段环境风险源较钻井和储层改造施工阶段小，其环境风险影响范围较施工期小，且在管道发生断裂泄漏事故后，自控系统控制的截断阀能在2min内截断上游气源，管道两边截断阀（井口截断阀、出站阀组区截断阀）在第一时间响应关闭并启动放</w:t>
      </w:r>
      <w:r>
        <w:rPr>
          <w:rFonts w:hint="eastAsia"/>
          <w:bCs/>
          <w:color w:val="000000" w:themeColor="text1"/>
          <w:highlight w:val="none"/>
          <w14:textFill>
            <w14:solidFill>
              <w14:schemeClr w14:val="tx1"/>
            </w14:solidFill>
          </w14:textFill>
        </w:rPr>
        <w:t>空</w:t>
      </w:r>
      <w:r>
        <w:rPr>
          <w:bCs/>
          <w:color w:val="000000" w:themeColor="text1"/>
          <w:highlight w:val="none"/>
          <w14:textFill>
            <w14:solidFill>
              <w14:schemeClr w14:val="tx1"/>
            </w14:solidFill>
          </w14:textFill>
        </w:rPr>
        <w:t>程序，最大泄漏量为管线在线量和2min的天然气流量，天然气泄漏量小。由于天然气主要成分为甲烷，稀释扩散较快，对环境、人和动物的影响是局部影响，发生风险事故后周边居民能及时地进行疏散。因此，对大气环境影响小。</w:t>
      </w:r>
    </w:p>
    <w:p>
      <w:pPr>
        <w:ind w:firstLine="482"/>
        <w:rPr>
          <w:b/>
          <w:color w:val="000000" w:themeColor="text1"/>
          <w:highlight w:val="none"/>
          <w14:textFill>
            <w14:solidFill>
              <w14:schemeClr w14:val="tx1"/>
            </w14:solidFill>
          </w14:textFill>
        </w:rPr>
      </w:pPr>
      <w:r>
        <w:rPr>
          <w:b/>
          <w:color w:val="000000" w:themeColor="text1"/>
          <w:highlight w:val="none"/>
          <w14:textFill>
            <w14:solidFill>
              <w14:schemeClr w14:val="tx1"/>
            </w14:solidFill>
          </w14:textFill>
        </w:rPr>
        <w:t>（2）</w:t>
      </w:r>
      <w:r>
        <w:rPr>
          <w:b/>
          <w:bCs/>
          <w:color w:val="000000" w:themeColor="text1"/>
          <w:highlight w:val="none"/>
          <w14:textFill>
            <w14:solidFill>
              <w14:schemeClr w14:val="tx1"/>
            </w14:solidFill>
          </w14:textFill>
        </w:rPr>
        <w:t>火灾、爆炸等引发的伴生/次生污染物排放情形影响分析</w:t>
      </w:r>
    </w:p>
    <w:p>
      <w:pPr>
        <w:adjustRightInd/>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在事故状态下，若发生火灾或爆炸事故，天然气燃烧生成的主要产物为CO</w:t>
      </w:r>
      <w:r>
        <w:rPr>
          <w:color w:val="000000" w:themeColor="text1"/>
          <w:highlight w:val="none"/>
          <w:vertAlign w:val="subscript"/>
          <w14:textFill>
            <w14:solidFill>
              <w14:schemeClr w14:val="tx1"/>
            </w14:solidFill>
          </w14:textFill>
        </w:rPr>
        <w:t>2</w:t>
      </w:r>
      <w:r>
        <w:rPr>
          <w:color w:val="000000" w:themeColor="text1"/>
          <w:highlight w:val="none"/>
          <w14:textFill>
            <w14:solidFill>
              <w14:schemeClr w14:val="tx1"/>
            </w14:solidFill>
          </w14:textFill>
        </w:rPr>
        <w:t>和H</w:t>
      </w:r>
      <w:r>
        <w:rPr>
          <w:color w:val="000000" w:themeColor="text1"/>
          <w:highlight w:val="none"/>
          <w:vertAlign w:val="subscript"/>
          <w14:textFill>
            <w14:solidFill>
              <w14:schemeClr w14:val="tx1"/>
            </w14:solidFill>
          </w14:textFill>
        </w:rPr>
        <w:t>2</w:t>
      </w:r>
      <w:r>
        <w:rPr>
          <w:color w:val="000000" w:themeColor="text1"/>
          <w:highlight w:val="none"/>
          <w14:textFill>
            <w14:solidFill>
              <w14:schemeClr w14:val="tx1"/>
            </w14:solidFill>
          </w14:textFill>
        </w:rPr>
        <w:t>O，仅在事故刚发生时有少量甲烷、乙烷等释放，且很快就能扩散，不会长期影响空气质量。</w:t>
      </w:r>
      <w:r>
        <w:rPr>
          <w:rFonts w:hint="eastAsia"/>
          <w:color w:val="000000" w:themeColor="text1"/>
          <w:highlight w:val="none"/>
          <w14:textFill>
            <w14:solidFill>
              <w14:schemeClr w14:val="tx1"/>
            </w14:solidFill>
          </w14:textFill>
        </w:rPr>
        <w:t>但本项目四周存在众多林地，若火灾事故扩散至林地范围，最直观的危害是烧死或烧伤林木，一方面使林木蓄积量下降、降低林木密度、破坏森林结构，另一方面也使林木生长受到严重影响，降低林木利用价值，还会影响森林生态系统中火灾影响范围内的物种，使其数量显著减少。同时，林木的减少还有可能引起水土流失。</w:t>
      </w:r>
    </w:p>
    <w:p>
      <w:pPr>
        <w:ind w:firstLine="480"/>
        <w:rPr>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事故时天然气燃烧主要采用二氧化碳或干粉灭火器等进行灭火</w:t>
      </w:r>
      <w:r>
        <w:rPr>
          <w:rFonts w:hint="eastAsia"/>
          <w:color w:val="000000" w:themeColor="text1"/>
          <w:highlight w:val="none"/>
          <w14:textFill>
            <w14:solidFill>
              <w14:schemeClr w14:val="tx1"/>
            </w14:solidFill>
          </w14:textFill>
        </w:rPr>
        <w:t>，试采期间24小时有人值守，能很快发现火情并迅速采取措施，避免事故扩散至厂外，及时采取相关措施后，</w:t>
      </w:r>
      <w:r>
        <w:rPr>
          <w:color w:val="000000" w:themeColor="text1"/>
          <w:highlight w:val="none"/>
          <w14:textFill>
            <w14:solidFill>
              <w14:schemeClr w14:val="tx1"/>
            </w14:solidFill>
          </w14:textFill>
        </w:rPr>
        <w:t>对项目拟建地周围环境不会造成较大污染</w:t>
      </w:r>
      <w:r>
        <w:rPr>
          <w:bCs/>
          <w:color w:val="000000" w:themeColor="text1"/>
          <w:highlight w:val="none"/>
          <w14:textFill>
            <w14:solidFill>
              <w14:schemeClr w14:val="tx1"/>
            </w14:solidFill>
          </w14:textFill>
        </w:rPr>
        <w:t>。</w:t>
      </w:r>
      <w:bookmarkEnd w:id="344"/>
    </w:p>
    <w:p>
      <w:pPr>
        <w:pStyle w:val="5"/>
        <w:spacing w:before="120"/>
        <w:ind w:firstLine="480"/>
        <w:rPr>
          <w:b/>
          <w:color w:val="000000" w:themeColor="text1"/>
          <w:highlight w:val="none"/>
          <w:lang w:eastAsia="zh-CN"/>
          <w14:textFill>
            <w14:solidFill>
              <w14:schemeClr w14:val="tx1"/>
            </w14:solidFill>
          </w14:textFill>
        </w:rPr>
      </w:pPr>
      <w:bookmarkStart w:id="345" w:name="_Toc120173181"/>
      <w:r>
        <w:rPr>
          <w:color w:val="000000" w:themeColor="text1"/>
          <w:highlight w:val="none"/>
          <w:lang w:eastAsia="zh-CN"/>
          <w14:textFill>
            <w14:solidFill>
              <w14:schemeClr w14:val="tx1"/>
            </w14:solidFill>
          </w14:textFill>
        </w:rPr>
        <w:t>地表水环境风险影响分析</w:t>
      </w:r>
      <w:bookmarkEnd w:id="345"/>
    </w:p>
    <w:p>
      <w:pPr>
        <w:ind w:firstLine="482"/>
        <w:rPr>
          <w:b/>
          <w:color w:val="000000" w:themeColor="text1"/>
          <w:highlight w:val="none"/>
          <w14:textFill>
            <w14:solidFill>
              <w14:schemeClr w14:val="tx1"/>
            </w14:solidFill>
          </w14:textFill>
        </w:rPr>
      </w:pPr>
      <w:r>
        <w:rPr>
          <w:b/>
          <w:color w:val="000000" w:themeColor="text1"/>
          <w:highlight w:val="none"/>
          <w14:textFill>
            <w14:solidFill>
              <w14:schemeClr w14:val="tx1"/>
            </w14:solidFill>
          </w14:textFill>
        </w:rPr>
        <w:t>（1）废水泄漏或外溢影响分析</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气田水的危害主要表现在：pH值过高过低、可溶性盐含量高，含石油类。泄漏和外溢废水对地表水的影响一般有两种途径，一种是泄漏后直接进入水体；另一种是泄漏于地表，由降雨形成的地表径流将泄漏废水或受污染的土壤一起带入水体造成污染。由于本项目位于森林生态环境与农业生态环境中，周边主要为耕地与林地，项目附近有冲沟等，泄漏的废水可能随着降雨</w:t>
      </w:r>
      <w:r>
        <w:rPr>
          <w:rFonts w:hint="eastAsia"/>
          <w:bCs/>
          <w:color w:val="000000" w:themeColor="text1"/>
          <w:highlight w:val="none"/>
          <w14:textFill>
            <w14:solidFill>
              <w14:schemeClr w14:val="tx1"/>
            </w14:solidFill>
          </w14:textFill>
        </w:rPr>
        <w:t>进入周边地表水水体</w:t>
      </w:r>
      <w:r>
        <w:rPr>
          <w:bCs/>
          <w:color w:val="000000" w:themeColor="text1"/>
          <w:highlight w:val="none"/>
          <w14:textFill>
            <w14:solidFill>
              <w14:schemeClr w14:val="tx1"/>
            </w14:solidFill>
          </w14:textFill>
        </w:rPr>
        <w:t>，使地表水中的COD、BOD、石油类增高，影响水生生物的生长。</w:t>
      </w:r>
    </w:p>
    <w:p>
      <w:pPr>
        <w:ind w:firstLine="480"/>
        <w:rPr>
          <w:bCs/>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站场</w:t>
      </w:r>
      <w:r>
        <w:rPr>
          <w:color w:val="000000" w:themeColor="text1"/>
          <w:highlight w:val="none"/>
          <w14:textFill>
            <w14:solidFill>
              <w14:schemeClr w14:val="tx1"/>
            </w14:solidFill>
          </w14:textFill>
        </w:rPr>
        <w:t>内</w:t>
      </w:r>
      <w:r>
        <w:rPr>
          <w:rFonts w:hint="eastAsia"/>
          <w:color w:val="000000" w:themeColor="text1"/>
          <w:highlight w:val="none"/>
          <w14:textFill>
            <w14:solidFill>
              <w14:schemeClr w14:val="tx1"/>
            </w14:solidFill>
          </w14:textFill>
        </w:rPr>
        <w:t>气田水</w:t>
      </w:r>
      <w:r>
        <w:rPr>
          <w:color w:val="000000" w:themeColor="text1"/>
          <w:highlight w:val="none"/>
          <w14:textFill>
            <w14:solidFill>
              <w14:schemeClr w14:val="tx1"/>
            </w14:solidFill>
          </w14:textFill>
        </w:rPr>
        <w:t>在发生风险事故时（设备故障、管道破损</w:t>
      </w:r>
      <w:r>
        <w:rPr>
          <w:rFonts w:hint="eastAsia"/>
          <w:color w:val="000000" w:themeColor="text1"/>
          <w:highlight w:val="none"/>
          <w14:textFill>
            <w14:solidFill>
              <w14:schemeClr w14:val="tx1"/>
            </w14:solidFill>
          </w14:textFill>
        </w:rPr>
        <w:t>导致</w:t>
      </w:r>
      <w:r>
        <w:rPr>
          <w:color w:val="000000" w:themeColor="text1"/>
          <w:highlight w:val="none"/>
          <w14:textFill>
            <w14:solidFill>
              <w14:schemeClr w14:val="tx1"/>
            </w14:solidFill>
          </w14:textFill>
        </w:rPr>
        <w:t>气田水泄漏），管道有截断装置和自动控制装置，</w:t>
      </w:r>
      <w:r>
        <w:rPr>
          <w:color w:val="000000" w:themeColor="text1"/>
          <w:szCs w:val="24"/>
          <w:highlight w:val="none"/>
          <w14:textFill>
            <w14:solidFill>
              <w14:schemeClr w14:val="tx1"/>
            </w14:solidFill>
          </w14:textFill>
        </w:rPr>
        <w:t>破裂后会自动通过压力变化自动停止输送，一旦泄漏立即采取围堵措施，气田水均收集在</w:t>
      </w:r>
      <w:r>
        <w:rPr>
          <w:rFonts w:hint="eastAsia"/>
          <w:color w:val="000000" w:themeColor="text1"/>
          <w:szCs w:val="24"/>
          <w:highlight w:val="none"/>
          <w14:textFill>
            <w14:solidFill>
              <w14:schemeClr w14:val="tx1"/>
            </w14:solidFill>
          </w14:textFill>
        </w:rPr>
        <w:t>站场</w:t>
      </w:r>
      <w:r>
        <w:rPr>
          <w:color w:val="000000" w:themeColor="text1"/>
          <w:szCs w:val="24"/>
          <w:highlight w:val="none"/>
          <w14:textFill>
            <w14:solidFill>
              <w14:schemeClr w14:val="tx1"/>
            </w14:solidFill>
          </w14:textFill>
        </w:rPr>
        <w:t>内部，几乎不会对</w:t>
      </w:r>
      <w:r>
        <w:rPr>
          <w:rFonts w:hint="eastAsia"/>
          <w:color w:val="000000" w:themeColor="text1"/>
          <w:szCs w:val="24"/>
          <w:highlight w:val="none"/>
          <w14:textFill>
            <w14:solidFill>
              <w14:schemeClr w14:val="tx1"/>
            </w14:solidFill>
          </w14:textFill>
        </w:rPr>
        <w:t>站外地表水体</w:t>
      </w:r>
      <w:r>
        <w:rPr>
          <w:color w:val="000000" w:themeColor="text1"/>
          <w:szCs w:val="24"/>
          <w:highlight w:val="none"/>
          <w14:textFill>
            <w14:solidFill>
              <w14:schemeClr w14:val="tx1"/>
            </w14:solidFill>
          </w14:textFill>
        </w:rPr>
        <w:t>产生影响</w:t>
      </w:r>
      <w:r>
        <w:rPr>
          <w:rFonts w:hint="eastAsia"/>
          <w:color w:val="000000" w:themeColor="text1"/>
          <w:szCs w:val="24"/>
          <w:highlight w:val="none"/>
          <w14:textFill>
            <w14:solidFill>
              <w14:schemeClr w14:val="tx1"/>
            </w14:solidFill>
          </w14:textFill>
        </w:rPr>
        <w:t>。本项目</w:t>
      </w:r>
      <w:r>
        <w:rPr>
          <w:color w:val="000000" w:themeColor="text1"/>
          <w:szCs w:val="24"/>
          <w:highlight w:val="none"/>
          <w14:textFill>
            <w14:solidFill>
              <w14:schemeClr w14:val="tx1"/>
            </w14:solidFill>
          </w14:textFill>
        </w:rPr>
        <w:t>环境风险后果可以接受</w:t>
      </w:r>
      <w:r>
        <w:rPr>
          <w:rFonts w:hint="eastAsia"/>
          <w:color w:val="000000" w:themeColor="text1"/>
          <w:szCs w:val="21"/>
          <w:highlight w:val="none"/>
          <w14:textFill>
            <w14:solidFill>
              <w14:schemeClr w14:val="tx1"/>
            </w14:solidFill>
          </w14:textFill>
        </w:rPr>
        <w:t>。</w:t>
      </w:r>
    </w:p>
    <w:p>
      <w:pPr>
        <w:ind w:firstLine="482"/>
        <w:rPr>
          <w:b/>
          <w:color w:val="000000" w:themeColor="text1"/>
          <w:highlight w:val="none"/>
          <w14:textFill>
            <w14:solidFill>
              <w14:schemeClr w14:val="tx1"/>
            </w14:solidFill>
          </w14:textFill>
        </w:rPr>
      </w:pPr>
      <w:r>
        <w:rPr>
          <w:b/>
          <w:color w:val="000000" w:themeColor="text1"/>
          <w:highlight w:val="none"/>
          <w14:textFill>
            <w14:solidFill>
              <w14:schemeClr w14:val="tx1"/>
            </w14:solidFill>
          </w14:textFill>
        </w:rPr>
        <w:t>（2）</w:t>
      </w:r>
      <w:r>
        <w:rPr>
          <w:b/>
          <w:bCs/>
          <w:color w:val="000000" w:themeColor="text1"/>
          <w:highlight w:val="none"/>
          <w14:textFill>
            <w14:solidFill>
              <w14:schemeClr w14:val="tx1"/>
            </w14:solidFill>
          </w14:textFill>
        </w:rPr>
        <w:t>物质外运过程事故影响分析</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本项目液体类物质转运采用罐体装载，罐体为钢板密封罐，发生翻车</w:t>
      </w:r>
      <w:r>
        <w:rPr>
          <w:rFonts w:hint="eastAsia"/>
          <w:bCs/>
          <w:color w:val="000000" w:themeColor="text1"/>
          <w:highlight w:val="none"/>
          <w14:textFill>
            <w14:solidFill>
              <w14:schemeClr w14:val="tx1"/>
            </w14:solidFill>
          </w14:textFill>
        </w:rPr>
        <w:t>泄漏的概率</w:t>
      </w:r>
      <w:r>
        <w:rPr>
          <w:bCs/>
          <w:color w:val="000000" w:themeColor="text1"/>
          <w:highlight w:val="none"/>
          <w14:textFill>
            <w14:solidFill>
              <w14:schemeClr w14:val="tx1"/>
            </w14:solidFill>
          </w14:textFill>
        </w:rPr>
        <w:t>很小，且</w:t>
      </w:r>
      <w:r>
        <w:rPr>
          <w:rFonts w:hint="eastAsia"/>
          <w:bCs/>
          <w:color w:val="000000" w:themeColor="text1"/>
          <w:highlight w:val="none"/>
          <w14:textFill>
            <w14:solidFill>
              <w14:schemeClr w14:val="tx1"/>
            </w14:solidFill>
          </w14:textFill>
        </w:rPr>
        <w:t>气田水</w:t>
      </w:r>
      <w:r>
        <w:rPr>
          <w:bCs/>
          <w:color w:val="000000" w:themeColor="text1"/>
          <w:highlight w:val="none"/>
          <w14:textFill>
            <w14:solidFill>
              <w14:schemeClr w14:val="tx1"/>
            </w14:solidFill>
          </w14:textFill>
        </w:rPr>
        <w:t>无有毒有害物质，主要是含有机污染物，罐车输送的量约10t/车，一次运输量不大，不会产生严重后果。根据沿海对盐碱地改造的经验，一块盐碱地经2</w:t>
      </w:r>
      <w:r>
        <w:rPr>
          <w:rFonts w:hint="eastAsia"/>
          <w:bCs/>
          <w:color w:val="000000" w:themeColor="text1"/>
          <w:highlight w:val="none"/>
          <w14:textFill>
            <w14:solidFill>
              <w14:schemeClr w14:val="tx1"/>
            </w14:solidFill>
          </w14:textFill>
        </w:rPr>
        <w:t>～</w:t>
      </w:r>
      <w:r>
        <w:rPr>
          <w:bCs/>
          <w:color w:val="000000" w:themeColor="text1"/>
          <w:highlight w:val="none"/>
          <w14:textFill>
            <w14:solidFill>
              <w14:schemeClr w14:val="tx1"/>
            </w14:solidFill>
          </w14:textFill>
        </w:rPr>
        <w:t>3次灌淡水浸泡后，便可种植水稻。达州地区自然降雨量大，受污染的植被、土壤、耕地经过几场雨后便可基本得到恢复。物质转运过程中发生事故污染的可能性极小，在环境所能接受的范围内。</w:t>
      </w:r>
    </w:p>
    <w:p>
      <w:pPr>
        <w:widowControl/>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经调查，运输路线主要沿现有乡村道路、县道、国道等运输，现有道路路况较好，沿线环境保护目标主要为道路两侧居民及途经的地表水体（本次评价要求废水拉运路线避让达州市罗江库水源地保护区）。</w:t>
      </w:r>
    </w:p>
    <w:p>
      <w:pPr>
        <w:widowControl/>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因此，运输单位应当根据物品危险特性采取相应的安全防护措施，并配备必要的防溢、防漏、防晒等防护用品和应急救援器材，转运时应避开大雾、暴雨等恶劣天气，在车辆行驶在跨越州河段旁边时，应减速慢行，观察并安全通过。</w:t>
      </w:r>
    </w:p>
    <w:p>
      <w:pPr>
        <w:widowControl/>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本项目废水转运罐体为钢板密封罐，发生翻车泄漏的</w:t>
      </w:r>
      <w:r>
        <w:rPr>
          <w:rFonts w:hint="eastAsia" w:cs="Times New Roman"/>
          <w:bCs/>
          <w:color w:val="000000" w:themeColor="text1"/>
          <w:szCs w:val="24"/>
          <w:highlight w:val="none"/>
          <w14:textFill>
            <w14:solidFill>
              <w14:schemeClr w14:val="tx1"/>
            </w14:solidFill>
          </w14:textFill>
        </w:rPr>
        <w:t>概率</w:t>
      </w:r>
      <w:r>
        <w:rPr>
          <w:rFonts w:cs="Times New Roman"/>
          <w:bCs/>
          <w:color w:val="000000" w:themeColor="text1"/>
          <w:szCs w:val="24"/>
          <w:highlight w:val="none"/>
          <w14:textFill>
            <w14:solidFill>
              <w14:schemeClr w14:val="tx1"/>
            </w14:solidFill>
          </w14:textFill>
        </w:rPr>
        <w:t>很小，罐车转运过程中发生事故污染的可能性极小，加强转运风险防范措施后，其环境风险在环境可防可控。</w:t>
      </w:r>
    </w:p>
    <w:p>
      <w:pPr>
        <w:pStyle w:val="5"/>
        <w:spacing w:before="120"/>
        <w:ind w:firstLine="480"/>
        <w:rPr>
          <w:b/>
          <w:color w:val="000000" w:themeColor="text1"/>
          <w:highlight w:val="none"/>
          <w:lang w:eastAsia="zh-CN"/>
          <w14:textFill>
            <w14:solidFill>
              <w14:schemeClr w14:val="tx1"/>
            </w14:solidFill>
          </w14:textFill>
        </w:rPr>
      </w:pPr>
      <w:bookmarkStart w:id="346" w:name="_Toc120173182"/>
      <w:r>
        <w:rPr>
          <w:color w:val="000000" w:themeColor="text1"/>
          <w:highlight w:val="none"/>
          <w:lang w:eastAsia="zh-CN"/>
          <w14:textFill>
            <w14:solidFill>
              <w14:schemeClr w14:val="tx1"/>
            </w14:solidFill>
          </w14:textFill>
        </w:rPr>
        <w:t>地下水及土壤环境风险影响分析</w:t>
      </w:r>
      <w:bookmarkEnd w:id="346"/>
    </w:p>
    <w:p>
      <w:pPr>
        <w:ind w:firstLine="482"/>
        <w:rPr>
          <w:b/>
          <w:color w:val="000000" w:themeColor="text1"/>
          <w:highlight w:val="none"/>
          <w14:textFill>
            <w14:solidFill>
              <w14:schemeClr w14:val="tx1"/>
            </w14:solidFill>
          </w14:textFill>
        </w:rPr>
      </w:pPr>
      <w:r>
        <w:rPr>
          <w:b/>
          <w:color w:val="000000" w:themeColor="text1"/>
          <w:highlight w:val="none"/>
          <w14:textFill>
            <w14:solidFill>
              <w14:schemeClr w14:val="tx1"/>
            </w14:solidFill>
          </w14:textFill>
        </w:rPr>
        <w:t>（1）气田水等泄漏影响分析</w:t>
      </w:r>
    </w:p>
    <w:p>
      <w:pPr>
        <w:ind w:firstLine="480"/>
        <w:rPr>
          <w:bCs/>
          <w:color w:val="000000" w:themeColor="text1"/>
          <w:highlight w:val="none"/>
          <w14:textFill>
            <w14:solidFill>
              <w14:schemeClr w14:val="tx1"/>
            </w14:solidFill>
          </w14:textFill>
        </w:rPr>
      </w:pPr>
      <w:r>
        <w:rPr>
          <w:color w:val="000000" w:themeColor="text1"/>
          <w:szCs w:val="24"/>
          <w:highlight w:val="none"/>
          <w14:textFill>
            <w14:solidFill>
              <w14:schemeClr w14:val="tx1"/>
            </w14:solidFill>
          </w14:textFill>
        </w:rPr>
        <w:t>本项目气田水对站内设备、管道自然腐蚀穿孔的</w:t>
      </w:r>
      <w:r>
        <w:rPr>
          <w:rFonts w:hint="eastAsia" w:cs="Times New Roman"/>
          <w:bCs/>
          <w:color w:val="000000" w:themeColor="text1"/>
          <w:szCs w:val="24"/>
          <w:highlight w:val="none"/>
          <w14:textFill>
            <w14:solidFill>
              <w14:schemeClr w14:val="tx1"/>
            </w14:solidFill>
          </w14:textFill>
        </w:rPr>
        <w:t>概率</w:t>
      </w:r>
      <w:r>
        <w:rPr>
          <w:color w:val="000000" w:themeColor="text1"/>
          <w:szCs w:val="24"/>
          <w:highlight w:val="none"/>
          <w14:textFill>
            <w14:solidFill>
              <w14:schemeClr w14:val="tx1"/>
            </w14:solidFill>
          </w14:textFill>
        </w:rPr>
        <w:t>非常小，</w:t>
      </w:r>
      <w:r>
        <w:rPr>
          <w:rFonts w:hint="eastAsia"/>
          <w:color w:val="000000" w:themeColor="text1"/>
          <w:szCs w:val="24"/>
          <w:highlight w:val="none"/>
          <w14:textFill>
            <w14:solidFill>
              <w14:schemeClr w14:val="tx1"/>
            </w14:solidFill>
          </w14:textFill>
        </w:rPr>
        <w:t>项目每日分离气田水量不大，若气田水罐发生泄漏，气田水罐下方设置有围堰，围堰进行了重点防渗措施，泄漏出的气田水首先进入围堰内收集，同时，气田水罐设置有监控系统，泄漏后会及时报警，工作人员很快便能发现泄漏事故并进行维修处置。因此，气田水罐泄漏导致污染物进入外环境可能性较小。</w:t>
      </w:r>
    </w:p>
    <w:p>
      <w:pPr>
        <w:ind w:firstLine="480"/>
        <w:rPr>
          <w:bCs/>
          <w:color w:val="000000" w:themeColor="text1"/>
          <w:highlight w:val="none"/>
          <w14:textFill>
            <w14:solidFill>
              <w14:schemeClr w14:val="tx1"/>
            </w14:solidFill>
          </w14:textFill>
        </w:rPr>
      </w:pPr>
      <w:r>
        <w:rPr>
          <w:color w:val="000000" w:themeColor="text1"/>
          <w:szCs w:val="24"/>
          <w:highlight w:val="none"/>
          <w14:textFill>
            <w14:solidFill>
              <w14:schemeClr w14:val="tx1"/>
            </w14:solidFill>
          </w14:textFill>
        </w:rPr>
        <w:t>站场内各区域按照要求均进行了防渗处理，</w:t>
      </w:r>
      <w:r>
        <w:rPr>
          <w:rFonts w:hint="eastAsia"/>
          <w:color w:val="000000" w:themeColor="text1"/>
          <w:szCs w:val="24"/>
          <w:highlight w:val="none"/>
          <w14:textFill>
            <w14:solidFill>
              <w14:schemeClr w14:val="tx1"/>
            </w14:solidFill>
          </w14:textFill>
        </w:rPr>
        <w:t>站场</w:t>
      </w:r>
      <w:r>
        <w:rPr>
          <w:color w:val="000000" w:themeColor="text1"/>
          <w:szCs w:val="24"/>
          <w:highlight w:val="none"/>
          <w14:textFill>
            <w14:solidFill>
              <w14:schemeClr w14:val="tx1"/>
            </w14:solidFill>
          </w14:textFill>
        </w:rPr>
        <w:t>内部气田水一旦发生泄漏，立即采取关停、围堵</w:t>
      </w:r>
      <w:r>
        <w:rPr>
          <w:rFonts w:hint="eastAsia"/>
          <w:color w:val="000000" w:themeColor="text1"/>
          <w:szCs w:val="24"/>
          <w:highlight w:val="none"/>
          <w14:textFill>
            <w14:solidFill>
              <w14:schemeClr w14:val="tx1"/>
            </w14:solidFill>
          </w14:textFill>
        </w:rPr>
        <w:t>、修复</w:t>
      </w:r>
      <w:r>
        <w:rPr>
          <w:color w:val="000000" w:themeColor="text1"/>
          <w:szCs w:val="24"/>
          <w:highlight w:val="none"/>
          <w14:textFill>
            <w14:solidFill>
              <w14:schemeClr w14:val="tx1"/>
            </w14:solidFill>
          </w14:textFill>
        </w:rPr>
        <w:t>等措施，</w:t>
      </w:r>
      <w:r>
        <w:rPr>
          <w:rFonts w:hint="eastAsia"/>
          <w:color w:val="000000" w:themeColor="text1"/>
          <w:szCs w:val="24"/>
          <w:highlight w:val="none"/>
          <w14:textFill>
            <w14:solidFill>
              <w14:schemeClr w14:val="tx1"/>
            </w14:solidFill>
          </w14:textFill>
        </w:rPr>
        <w:t>将收集的气田水交由资质单位处理，气田水进入外环境可能性小，</w:t>
      </w:r>
      <w:r>
        <w:rPr>
          <w:color w:val="000000" w:themeColor="text1"/>
          <w:szCs w:val="24"/>
          <w:highlight w:val="none"/>
          <w14:textFill>
            <w14:solidFill>
              <w14:schemeClr w14:val="tx1"/>
            </w14:solidFill>
          </w14:textFill>
        </w:rPr>
        <w:t>对</w:t>
      </w:r>
      <w:r>
        <w:rPr>
          <w:rFonts w:hint="eastAsia"/>
          <w:color w:val="000000" w:themeColor="text1"/>
          <w:szCs w:val="24"/>
          <w:highlight w:val="none"/>
          <w14:textFill>
            <w14:solidFill>
              <w14:schemeClr w14:val="tx1"/>
            </w14:solidFill>
          </w14:textFill>
        </w:rPr>
        <w:t>地下水</w:t>
      </w:r>
      <w:r>
        <w:rPr>
          <w:color w:val="000000" w:themeColor="text1"/>
          <w:szCs w:val="24"/>
          <w:highlight w:val="none"/>
          <w14:textFill>
            <w14:solidFill>
              <w14:schemeClr w14:val="tx1"/>
            </w14:solidFill>
          </w14:textFill>
        </w:rPr>
        <w:t>影响较小</w:t>
      </w:r>
      <w:r>
        <w:rPr>
          <w:bCs/>
          <w:color w:val="000000" w:themeColor="text1"/>
          <w:highlight w:val="none"/>
          <w14:textFill>
            <w14:solidFill>
              <w14:schemeClr w14:val="tx1"/>
            </w14:solidFill>
          </w14:textFill>
        </w:rPr>
        <w:t>。</w:t>
      </w:r>
    </w:p>
    <w:p>
      <w:pPr>
        <w:ind w:firstLine="482"/>
        <w:rPr>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3、</w:t>
      </w:r>
      <w:r>
        <w:rPr>
          <w:b/>
          <w:bCs/>
          <w:color w:val="000000" w:themeColor="text1"/>
          <w:highlight w:val="none"/>
          <w14:textFill>
            <w14:solidFill>
              <w14:schemeClr w14:val="tx1"/>
            </w14:solidFill>
          </w14:textFill>
        </w:rPr>
        <w:t>风险事故地下水影响预测分析</w:t>
      </w:r>
    </w:p>
    <w:p>
      <w:pPr>
        <w:adjustRightInd/>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根据地下水环境影响识别结果，运营期</w:t>
      </w:r>
      <w:r>
        <w:rPr>
          <w:rFonts w:hint="eastAsia"/>
          <w:color w:val="000000" w:themeColor="text1"/>
          <w:highlight w:val="none"/>
          <w14:textFill>
            <w14:solidFill>
              <w14:schemeClr w14:val="tx1"/>
            </w14:solidFill>
          </w14:textFill>
        </w:rPr>
        <w:t>事故</w:t>
      </w:r>
      <w:r>
        <w:rPr>
          <w:color w:val="000000" w:themeColor="text1"/>
          <w:highlight w:val="none"/>
          <w14:textFill>
            <w14:solidFill>
              <w14:schemeClr w14:val="tx1"/>
            </w14:solidFill>
          </w14:textFill>
        </w:rPr>
        <w:t>状况下对地下水环境影响较大。本项目</w:t>
      </w:r>
      <w:r>
        <w:rPr>
          <w:rFonts w:hint="eastAsia"/>
          <w:color w:val="000000" w:themeColor="text1"/>
          <w:highlight w:val="none"/>
          <w14:textFill>
            <w14:solidFill>
              <w14:schemeClr w14:val="tx1"/>
            </w14:solidFill>
          </w14:textFill>
        </w:rPr>
        <w:t>事故</w:t>
      </w:r>
      <w:r>
        <w:rPr>
          <w:color w:val="000000" w:themeColor="text1"/>
          <w:highlight w:val="none"/>
          <w14:textFill>
            <w14:solidFill>
              <w14:schemeClr w14:val="tx1"/>
            </w14:solidFill>
          </w14:textFill>
        </w:rPr>
        <w:t>状况下对地下水可能产生的不利影响途径主要为</w:t>
      </w:r>
      <w:r>
        <w:rPr>
          <w:rFonts w:hint="eastAsia"/>
          <w:color w:val="000000" w:themeColor="text1"/>
          <w:szCs w:val="24"/>
          <w:highlight w:val="none"/>
          <w14:textFill>
            <w14:solidFill>
              <w14:schemeClr w14:val="tx1"/>
            </w14:solidFill>
          </w14:textFill>
        </w:rPr>
        <w:t>气田水</w:t>
      </w:r>
      <w:r>
        <w:rPr>
          <w:color w:val="000000" w:themeColor="text1"/>
          <w:szCs w:val="24"/>
          <w:highlight w:val="none"/>
          <w14:textFill>
            <w14:solidFill>
              <w14:schemeClr w14:val="tx1"/>
            </w14:solidFill>
          </w14:textFill>
        </w:rPr>
        <w:t>罐</w:t>
      </w:r>
      <w:r>
        <w:rPr>
          <w:color w:val="000000" w:themeColor="text1"/>
          <w:highlight w:val="none"/>
          <w14:textFill>
            <w14:solidFill>
              <w14:schemeClr w14:val="tx1"/>
            </w14:solidFill>
          </w14:textFill>
        </w:rPr>
        <w:t>发生破裂且防腐层失效的情况下导致污染物通过下渗的方式进入地下水环境。</w:t>
      </w:r>
    </w:p>
    <w:p>
      <w:pPr>
        <w:adjustRightInd/>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根据项目可能泄漏的物料的危害性</w:t>
      </w:r>
      <w:r>
        <w:rPr>
          <w:rFonts w:hint="eastAsia"/>
          <w:color w:val="000000" w:themeColor="text1"/>
          <w:highlight w:val="none"/>
          <w14:textFill>
            <w14:solidFill>
              <w14:schemeClr w14:val="tx1"/>
            </w14:solidFill>
          </w14:textFill>
        </w:rPr>
        <w:t>及拟采取的防渗措施</w:t>
      </w:r>
      <w:r>
        <w:rPr>
          <w:color w:val="000000" w:themeColor="text1"/>
          <w:highlight w:val="none"/>
          <w14:textFill>
            <w14:solidFill>
              <w14:schemeClr w14:val="tx1"/>
            </w14:solidFill>
          </w14:textFill>
        </w:rPr>
        <w:t>，本次评价选取</w:t>
      </w:r>
      <w:r>
        <w:rPr>
          <w:rFonts w:hint="eastAsia"/>
          <w:color w:val="000000" w:themeColor="text1"/>
          <w:szCs w:val="24"/>
          <w:highlight w:val="none"/>
          <w14:textFill>
            <w14:solidFill>
              <w14:schemeClr w14:val="tx1"/>
            </w14:solidFill>
          </w14:textFill>
        </w:rPr>
        <w:t>气田水</w:t>
      </w:r>
      <w:r>
        <w:rPr>
          <w:color w:val="000000" w:themeColor="text1"/>
          <w:szCs w:val="24"/>
          <w:highlight w:val="none"/>
          <w14:textFill>
            <w14:solidFill>
              <w14:schemeClr w14:val="tx1"/>
            </w14:solidFill>
          </w14:textFill>
        </w:rPr>
        <w:t>罐</w:t>
      </w:r>
      <w:r>
        <w:rPr>
          <w:color w:val="000000" w:themeColor="text1"/>
          <w:highlight w:val="none"/>
          <w14:textFill>
            <w14:solidFill>
              <w14:schemeClr w14:val="tx1"/>
            </w14:solidFill>
          </w14:textFill>
        </w:rPr>
        <w:t>发生破裂，同时</w:t>
      </w:r>
      <w:r>
        <w:rPr>
          <w:rFonts w:hint="eastAsia"/>
          <w:color w:val="000000" w:themeColor="text1"/>
          <w:highlight w:val="none"/>
          <w14:textFill>
            <w14:solidFill>
              <w14:schemeClr w14:val="tx1"/>
            </w14:solidFill>
          </w14:textFill>
        </w:rPr>
        <w:t>泄漏处</w:t>
      </w:r>
      <w:r>
        <w:rPr>
          <w:color w:val="000000" w:themeColor="text1"/>
          <w:highlight w:val="none"/>
          <w14:textFill>
            <w14:solidFill>
              <w14:schemeClr w14:val="tx1"/>
            </w14:solidFill>
          </w14:textFill>
        </w:rPr>
        <w:t>地面防渗层失效</w:t>
      </w:r>
      <w:r>
        <w:rPr>
          <w:rFonts w:hint="eastAsia"/>
          <w:color w:val="000000" w:themeColor="text1"/>
          <w:highlight w:val="none"/>
          <w14:textFill>
            <w14:solidFill>
              <w14:schemeClr w14:val="tx1"/>
            </w14:solidFill>
          </w14:textFill>
        </w:rPr>
        <w:t>，污染物泄漏</w:t>
      </w:r>
      <w:r>
        <w:rPr>
          <w:color w:val="000000" w:themeColor="text1"/>
          <w:highlight w:val="none"/>
          <w14:textFill>
            <w14:solidFill>
              <w14:schemeClr w14:val="tx1"/>
            </w14:solidFill>
          </w14:textFill>
        </w:rPr>
        <w:t>进入地下水环境的影响。</w:t>
      </w:r>
    </w:p>
    <w:p>
      <w:pPr>
        <w:widowControl/>
        <w:ind w:firstLine="480"/>
        <w:rPr>
          <w:color w:val="000000" w:themeColor="text1"/>
          <w:szCs w:val="24"/>
          <w:highlight w:val="none"/>
          <w14:textFill>
            <w14:solidFill>
              <w14:schemeClr w14:val="tx1"/>
            </w14:solidFill>
          </w14:textFill>
        </w:rPr>
      </w:pPr>
      <w:r>
        <w:rPr>
          <w:color w:val="000000" w:themeColor="text1"/>
          <w:szCs w:val="24"/>
          <w:highlight w:val="none"/>
          <w:lang w:bidi="ar"/>
          <w14:textFill>
            <w14:solidFill>
              <w14:schemeClr w14:val="tx1"/>
            </w14:solidFill>
          </w14:textFill>
        </w:rPr>
        <w:t>根据地下水预测章节，</w:t>
      </w:r>
      <w:r>
        <w:rPr>
          <w:rFonts w:hint="eastAsia" w:cs="Times New Roman"/>
          <w:snapToGrid w:val="0"/>
          <w:color w:val="000000" w:themeColor="text1"/>
          <w:kern w:val="0"/>
          <w:szCs w:val="24"/>
          <w:highlight w:val="none"/>
          <w14:textFill>
            <w14:solidFill>
              <w14:schemeClr w14:val="tx1"/>
            </w14:solidFill>
          </w14:textFill>
        </w:rPr>
        <w:t>本项目</w:t>
      </w:r>
      <w:r>
        <w:rPr>
          <w:rFonts w:cs="Times New Roman"/>
          <w:snapToGrid w:val="0"/>
          <w:color w:val="000000" w:themeColor="text1"/>
          <w:kern w:val="0"/>
          <w:szCs w:val="24"/>
          <w:highlight w:val="none"/>
          <w14:textFill>
            <w14:solidFill>
              <w14:schemeClr w14:val="tx1"/>
            </w14:solidFill>
          </w14:textFill>
        </w:rPr>
        <w:t>污水</w:t>
      </w:r>
      <w:r>
        <w:rPr>
          <w:rFonts w:hint="eastAsia" w:cs="Times New Roman"/>
          <w:snapToGrid w:val="0"/>
          <w:color w:val="000000" w:themeColor="text1"/>
          <w:kern w:val="0"/>
          <w:szCs w:val="24"/>
          <w:highlight w:val="none"/>
          <w14:textFill>
            <w14:solidFill>
              <w14:schemeClr w14:val="tx1"/>
            </w14:solidFill>
          </w14:textFill>
        </w:rPr>
        <w:t>罐底部发生裂口，气田水</w:t>
      </w:r>
      <w:r>
        <w:rPr>
          <w:rFonts w:cs="Times New Roman"/>
          <w:snapToGrid w:val="0"/>
          <w:color w:val="000000" w:themeColor="text1"/>
          <w:kern w:val="0"/>
          <w:szCs w:val="24"/>
          <w:highlight w:val="none"/>
          <w14:textFill>
            <w14:solidFill>
              <w14:schemeClr w14:val="tx1"/>
            </w14:solidFill>
          </w14:textFill>
        </w:rPr>
        <w:t>通过裂缝逐渐渗漏到地下含水层中，对地下水水质造成污染</w:t>
      </w:r>
      <w:r>
        <w:rPr>
          <w:rFonts w:hint="eastAsia"/>
          <w:color w:val="000000" w:themeColor="text1"/>
          <w:szCs w:val="24"/>
          <w:highlight w:val="none"/>
          <w14:textFill>
            <w14:solidFill>
              <w14:schemeClr w14:val="tx1"/>
            </w14:solidFill>
          </w14:textFill>
        </w:rPr>
        <w:t>；</w:t>
      </w:r>
      <w:r>
        <w:rPr>
          <w:rFonts w:cs="Times New Roman"/>
          <w:color w:val="000000" w:themeColor="text1"/>
          <w:kern w:val="0"/>
          <w:szCs w:val="24"/>
          <w:highlight w:val="none"/>
          <w14:textFill>
            <w14:solidFill>
              <w14:schemeClr w14:val="tx1"/>
            </w14:solidFill>
          </w14:textFill>
        </w:rPr>
        <w:t>COD</w:t>
      </w:r>
      <w:r>
        <w:rPr>
          <w:rFonts w:cs="Times New Roman"/>
          <w:color w:val="000000" w:themeColor="text1"/>
          <w:kern w:val="0"/>
          <w:szCs w:val="24"/>
          <w:highlight w:val="none"/>
          <w:vertAlign w:val="subscript"/>
          <w14:textFill>
            <w14:solidFill>
              <w14:schemeClr w14:val="tx1"/>
            </w14:solidFill>
          </w14:textFill>
        </w:rPr>
        <w:t>Mn</w:t>
      </w:r>
      <w:r>
        <w:rPr>
          <w:rFonts w:cs="Times New Roman"/>
          <w:color w:val="000000" w:themeColor="text1"/>
          <w:kern w:val="0"/>
          <w:szCs w:val="24"/>
          <w:highlight w:val="none"/>
          <w14:textFill>
            <w14:solidFill>
              <w14:schemeClr w14:val="tx1"/>
            </w14:solidFill>
          </w14:textFill>
        </w:rPr>
        <w:t>在污水</w:t>
      </w:r>
      <w:r>
        <w:rPr>
          <w:rFonts w:hint="eastAsia" w:cs="Times New Roman"/>
          <w:color w:val="000000" w:themeColor="text1"/>
          <w:kern w:val="0"/>
          <w:szCs w:val="24"/>
          <w:highlight w:val="none"/>
          <w14:textFill>
            <w14:solidFill>
              <w14:schemeClr w14:val="tx1"/>
            </w14:solidFill>
          </w14:textFill>
        </w:rPr>
        <w:t>罐</w:t>
      </w:r>
      <w:r>
        <w:rPr>
          <w:rFonts w:cs="Times New Roman"/>
          <w:color w:val="000000" w:themeColor="text1"/>
          <w:kern w:val="0"/>
          <w:szCs w:val="24"/>
          <w:highlight w:val="none"/>
          <w14:textFill>
            <w14:solidFill>
              <w14:schemeClr w14:val="tx1"/>
            </w14:solidFill>
          </w14:textFill>
        </w:rPr>
        <w:t>破裂365d时最远超标距离为下游65m，最高浓度为</w:t>
      </w:r>
      <w:r>
        <w:rPr>
          <w:rFonts w:cs="Times New Roman"/>
          <w:bCs/>
          <w:color w:val="000000" w:themeColor="text1"/>
          <w:kern w:val="0"/>
          <w:szCs w:val="24"/>
          <w:highlight w:val="none"/>
          <w14:textFill>
            <w14:solidFill>
              <w14:schemeClr w14:val="tx1"/>
            </w14:solidFill>
          </w14:textFill>
        </w:rPr>
        <w:t>2.996</w:t>
      </w:r>
      <w:r>
        <w:rPr>
          <w:rFonts w:cs="Times New Roman"/>
          <w:color w:val="000000" w:themeColor="text1"/>
          <w:kern w:val="0"/>
          <w:szCs w:val="24"/>
          <w:highlight w:val="none"/>
          <w14:textFill>
            <w14:solidFill>
              <w14:schemeClr w14:val="tx1"/>
            </w14:solidFill>
          </w14:textFill>
        </w:rPr>
        <w:t>mg/L，在1000d时，已无超标范围</w:t>
      </w:r>
      <w:r>
        <w:rPr>
          <w:rFonts w:hint="eastAsia" w:cs="Times New Roman"/>
          <w:color w:val="000000" w:themeColor="text1"/>
          <w:kern w:val="0"/>
          <w:szCs w:val="24"/>
          <w:highlight w:val="none"/>
          <w14:textFill>
            <w14:solidFill>
              <w14:schemeClr w14:val="tx1"/>
            </w14:solidFill>
          </w14:textFill>
        </w:rPr>
        <w:t>；</w:t>
      </w:r>
      <w:r>
        <w:rPr>
          <w:rFonts w:cs="Times New Roman"/>
          <w:color w:val="000000" w:themeColor="text1"/>
          <w:kern w:val="0"/>
          <w:szCs w:val="24"/>
          <w:highlight w:val="none"/>
          <w14:textFill>
            <w14:solidFill>
              <w14:schemeClr w14:val="tx1"/>
            </w14:solidFill>
          </w14:textFill>
        </w:rPr>
        <w:t>石油类在污水</w:t>
      </w:r>
      <w:r>
        <w:rPr>
          <w:rFonts w:hint="eastAsia" w:cs="Times New Roman"/>
          <w:color w:val="000000" w:themeColor="text1"/>
          <w:kern w:val="0"/>
          <w:szCs w:val="24"/>
          <w:highlight w:val="none"/>
          <w14:textFill>
            <w14:solidFill>
              <w14:schemeClr w14:val="tx1"/>
            </w14:solidFill>
          </w14:textFill>
        </w:rPr>
        <w:t>罐</w:t>
      </w:r>
      <w:r>
        <w:rPr>
          <w:rFonts w:cs="Times New Roman"/>
          <w:color w:val="000000" w:themeColor="text1"/>
          <w:kern w:val="0"/>
          <w:szCs w:val="24"/>
          <w:highlight w:val="none"/>
          <w14:textFill>
            <w14:solidFill>
              <w14:schemeClr w14:val="tx1"/>
            </w14:solidFill>
          </w14:textFill>
        </w:rPr>
        <w:t>破裂100d时最远超标距离为下游26m，最高浓度为</w:t>
      </w:r>
      <w:r>
        <w:rPr>
          <w:rFonts w:cs="Times New Roman"/>
          <w:bCs/>
          <w:color w:val="000000" w:themeColor="text1"/>
          <w:kern w:val="0"/>
          <w:szCs w:val="24"/>
          <w:highlight w:val="none"/>
          <w14:textFill>
            <w14:solidFill>
              <w14:schemeClr w14:val="tx1"/>
            </w14:solidFill>
          </w14:textFill>
        </w:rPr>
        <w:t>0.126</w:t>
      </w:r>
      <w:r>
        <w:rPr>
          <w:rFonts w:cs="Times New Roman"/>
          <w:color w:val="000000" w:themeColor="text1"/>
          <w:kern w:val="0"/>
          <w:szCs w:val="24"/>
          <w:highlight w:val="none"/>
          <w14:textFill>
            <w14:solidFill>
              <w14:schemeClr w14:val="tx1"/>
            </w14:solidFill>
          </w14:textFill>
        </w:rPr>
        <w:t>mg/L，在365d时，已无超标范围</w:t>
      </w:r>
      <w:r>
        <w:rPr>
          <w:rFonts w:hint="eastAsia" w:cs="Times New Roman"/>
          <w:color w:val="000000" w:themeColor="text1"/>
          <w:kern w:val="0"/>
          <w:szCs w:val="24"/>
          <w:highlight w:val="none"/>
          <w14:textFill>
            <w14:solidFill>
              <w14:schemeClr w14:val="tx1"/>
            </w14:solidFill>
          </w14:textFill>
        </w:rPr>
        <w:t>；</w:t>
      </w:r>
      <w:r>
        <w:rPr>
          <w:rFonts w:cs="Times New Roman"/>
          <w:color w:val="000000" w:themeColor="text1"/>
          <w:kern w:val="0"/>
          <w:szCs w:val="24"/>
          <w:highlight w:val="none"/>
          <w14:textFill>
            <w14:solidFill>
              <w14:schemeClr w14:val="tx1"/>
            </w14:solidFill>
          </w14:textFill>
        </w:rPr>
        <w:t>氯化物在污水</w:t>
      </w:r>
      <w:r>
        <w:rPr>
          <w:rFonts w:hint="eastAsia" w:cs="Times New Roman"/>
          <w:color w:val="000000" w:themeColor="text1"/>
          <w:kern w:val="0"/>
          <w:szCs w:val="24"/>
          <w:highlight w:val="none"/>
          <w14:textFill>
            <w14:solidFill>
              <w14:schemeClr w14:val="tx1"/>
            </w14:solidFill>
          </w14:textFill>
        </w:rPr>
        <w:t>罐</w:t>
      </w:r>
      <w:r>
        <w:rPr>
          <w:rFonts w:cs="Times New Roman"/>
          <w:color w:val="000000" w:themeColor="text1"/>
          <w:kern w:val="0"/>
          <w:szCs w:val="24"/>
          <w:highlight w:val="none"/>
          <w14:textFill>
            <w14:solidFill>
              <w14:schemeClr w14:val="tx1"/>
            </w14:solidFill>
          </w14:textFill>
        </w:rPr>
        <w:t>破裂整个工况下中心点处均未出现超标现象</w:t>
      </w:r>
      <w:r>
        <w:rPr>
          <w:rFonts w:hint="eastAsia"/>
          <w:color w:val="000000" w:themeColor="text1"/>
          <w:szCs w:val="24"/>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施工单位严格按照相关技术规范进行施工，选用质量合格管道，</w:t>
      </w:r>
      <w:r>
        <w:rPr>
          <w:color w:val="000000" w:themeColor="text1"/>
          <w:highlight w:val="none"/>
          <w14:textFill>
            <w14:solidFill>
              <w14:schemeClr w14:val="tx1"/>
            </w14:solidFill>
          </w14:textFill>
        </w:rPr>
        <w:t>站场内各区域</w:t>
      </w:r>
      <w:r>
        <w:rPr>
          <w:rFonts w:hint="eastAsia"/>
          <w:color w:val="000000" w:themeColor="text1"/>
          <w:highlight w:val="none"/>
          <w14:textFill>
            <w14:solidFill>
              <w14:schemeClr w14:val="tx1"/>
            </w14:solidFill>
          </w14:textFill>
        </w:rPr>
        <w:t>和集输管线应</w:t>
      </w:r>
      <w:r>
        <w:rPr>
          <w:color w:val="000000" w:themeColor="text1"/>
          <w:highlight w:val="none"/>
          <w14:textFill>
            <w14:solidFill>
              <w14:schemeClr w14:val="tx1"/>
            </w14:solidFill>
          </w14:textFill>
        </w:rPr>
        <w:t>按照要求进行防渗处理，</w:t>
      </w:r>
      <w:r>
        <w:rPr>
          <w:rFonts w:hint="eastAsia"/>
          <w:color w:val="000000" w:themeColor="text1"/>
          <w:highlight w:val="none"/>
          <w14:textFill>
            <w14:solidFill>
              <w14:schemeClr w14:val="tx1"/>
            </w14:solidFill>
          </w14:textFill>
        </w:rPr>
        <w:t>站场</w:t>
      </w:r>
      <w:r>
        <w:rPr>
          <w:color w:val="000000" w:themeColor="text1"/>
          <w:highlight w:val="none"/>
          <w14:textFill>
            <w14:solidFill>
              <w14:schemeClr w14:val="tx1"/>
            </w14:solidFill>
          </w14:textFill>
        </w:rPr>
        <w:t>内部</w:t>
      </w:r>
      <w:r>
        <w:rPr>
          <w:rFonts w:hint="eastAsia"/>
          <w:color w:val="000000" w:themeColor="text1"/>
          <w:highlight w:val="none"/>
          <w14:textFill>
            <w14:solidFill>
              <w14:schemeClr w14:val="tx1"/>
            </w14:solidFill>
          </w14:textFill>
        </w:rPr>
        <w:t>含水原料气、</w:t>
      </w:r>
      <w:r>
        <w:rPr>
          <w:color w:val="000000" w:themeColor="text1"/>
          <w:highlight w:val="none"/>
          <w14:textFill>
            <w14:solidFill>
              <w14:schemeClr w14:val="tx1"/>
            </w14:solidFill>
          </w14:textFill>
        </w:rPr>
        <w:t>气田水一旦发生泄漏，立即采取关停、围堵等措施，</w:t>
      </w:r>
      <w:r>
        <w:rPr>
          <w:rFonts w:hint="eastAsia"/>
          <w:color w:val="000000" w:themeColor="text1"/>
          <w:highlight w:val="none"/>
          <w14:textFill>
            <w14:solidFill>
              <w14:schemeClr w14:val="tx1"/>
            </w14:solidFill>
          </w14:textFill>
        </w:rPr>
        <w:t>加强设备设施维护</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采取上述措施后，项目建设</w:t>
      </w:r>
      <w:r>
        <w:rPr>
          <w:color w:val="000000" w:themeColor="text1"/>
          <w:highlight w:val="none"/>
          <w14:textFill>
            <w14:solidFill>
              <w14:schemeClr w14:val="tx1"/>
            </w14:solidFill>
          </w14:textFill>
        </w:rPr>
        <w:t>对地下水</w:t>
      </w:r>
      <w:r>
        <w:rPr>
          <w:rFonts w:hint="eastAsia"/>
          <w:color w:val="000000" w:themeColor="text1"/>
          <w:highlight w:val="none"/>
          <w14:textFill>
            <w14:solidFill>
              <w14:schemeClr w14:val="tx1"/>
            </w14:solidFill>
          </w14:textFill>
        </w:rPr>
        <w:t>环境</w:t>
      </w:r>
      <w:r>
        <w:rPr>
          <w:color w:val="000000" w:themeColor="text1"/>
          <w:highlight w:val="none"/>
          <w14:textFill>
            <w14:solidFill>
              <w14:schemeClr w14:val="tx1"/>
            </w14:solidFill>
          </w14:textFill>
        </w:rPr>
        <w:t>影响较小。</w:t>
      </w:r>
    </w:p>
    <w:p>
      <w:pPr>
        <w:adjustRightInd/>
        <w:ind w:firstLine="482"/>
        <w:rPr>
          <w:b/>
          <w:bCs/>
          <w:color w:val="000000" w:themeColor="text1"/>
          <w:szCs w:val="24"/>
          <w:highlight w:val="none"/>
          <w:lang w:bidi="ar"/>
          <w14:textFill>
            <w14:solidFill>
              <w14:schemeClr w14:val="tx1"/>
            </w14:solidFill>
          </w14:textFill>
        </w:rPr>
      </w:pPr>
      <w:bookmarkStart w:id="347" w:name="_Toc7164"/>
      <w:r>
        <w:rPr>
          <w:rFonts w:hint="eastAsia"/>
          <w:b/>
          <w:bCs/>
          <w:color w:val="000000" w:themeColor="text1"/>
          <w:szCs w:val="24"/>
          <w:highlight w:val="none"/>
          <w:lang w:bidi="ar"/>
          <w14:textFill>
            <w14:solidFill>
              <w14:schemeClr w14:val="tx1"/>
            </w14:solidFill>
          </w14:textFill>
        </w:rPr>
        <w:t>4、</w:t>
      </w:r>
      <w:r>
        <w:rPr>
          <w:b/>
          <w:bCs/>
          <w:color w:val="000000" w:themeColor="text1"/>
          <w:szCs w:val="24"/>
          <w:highlight w:val="none"/>
          <w:lang w:bidi="ar"/>
          <w14:textFill>
            <w14:solidFill>
              <w14:schemeClr w14:val="tx1"/>
            </w14:solidFill>
          </w14:textFill>
        </w:rPr>
        <w:t>项目对地下水环境保护目标的影响</w:t>
      </w:r>
      <w:bookmarkEnd w:id="347"/>
    </w:p>
    <w:p>
      <w:pPr>
        <w:adjustRightInd/>
        <w:ind w:firstLine="480"/>
        <w:rPr>
          <w:color w:val="000000" w:themeColor="text1"/>
          <w:szCs w:val="24"/>
          <w:highlight w:val="none"/>
          <w:lang w:bidi="ar"/>
          <w14:textFill>
            <w14:solidFill>
              <w14:schemeClr w14:val="tx1"/>
            </w14:solidFill>
          </w14:textFill>
        </w:rPr>
      </w:pPr>
      <w:r>
        <w:rPr>
          <w:color w:val="000000" w:themeColor="text1"/>
          <w:szCs w:val="24"/>
          <w:highlight w:val="none"/>
          <w:lang w:bidi="ar"/>
          <w14:textFill>
            <w14:solidFill>
              <w14:schemeClr w14:val="tx1"/>
            </w14:solidFill>
          </w14:textFill>
        </w:rPr>
        <w:t>根据地下水预测章节可知，事故工况下，若</w:t>
      </w:r>
      <w:r>
        <w:rPr>
          <w:rFonts w:hint="eastAsia"/>
          <w:color w:val="000000" w:themeColor="text1"/>
          <w:szCs w:val="24"/>
          <w:highlight w:val="none"/>
          <w:lang w:bidi="ar"/>
          <w14:textFill>
            <w14:solidFill>
              <w14:schemeClr w14:val="tx1"/>
            </w14:solidFill>
          </w14:textFill>
        </w:rPr>
        <w:t>气田水罐</w:t>
      </w:r>
      <w:r>
        <w:rPr>
          <w:color w:val="000000" w:themeColor="text1"/>
          <w:szCs w:val="24"/>
          <w:highlight w:val="none"/>
          <w:lang w:bidi="ar"/>
          <w14:textFill>
            <w14:solidFill>
              <w14:schemeClr w14:val="tx1"/>
            </w14:solidFill>
          </w14:textFill>
        </w:rPr>
        <w:t>发生破裂并未及时发现采取应急措施，将对周边地下水环境</w:t>
      </w:r>
      <w:r>
        <w:rPr>
          <w:rFonts w:hint="eastAsia"/>
          <w:color w:val="000000" w:themeColor="text1"/>
          <w:szCs w:val="24"/>
          <w:highlight w:val="none"/>
          <w:lang w:bidi="ar"/>
          <w14:textFill>
            <w14:solidFill>
              <w14:schemeClr w14:val="tx1"/>
            </w14:solidFill>
          </w14:textFill>
        </w:rPr>
        <w:t>、土壤环境</w:t>
      </w:r>
      <w:r>
        <w:rPr>
          <w:color w:val="000000" w:themeColor="text1"/>
          <w:szCs w:val="24"/>
          <w:highlight w:val="none"/>
          <w:lang w:bidi="ar"/>
          <w14:textFill>
            <w14:solidFill>
              <w14:schemeClr w14:val="tx1"/>
            </w14:solidFill>
          </w14:textFill>
        </w:rPr>
        <w:t>造成</w:t>
      </w:r>
      <w:r>
        <w:rPr>
          <w:rFonts w:hint="eastAsia"/>
          <w:color w:val="000000" w:themeColor="text1"/>
          <w:szCs w:val="24"/>
          <w:highlight w:val="none"/>
          <w:lang w:bidi="ar"/>
          <w14:textFill>
            <w14:solidFill>
              <w14:schemeClr w14:val="tx1"/>
            </w14:solidFill>
          </w14:textFill>
        </w:rPr>
        <w:t>轻微</w:t>
      </w:r>
      <w:r>
        <w:rPr>
          <w:color w:val="000000" w:themeColor="text1"/>
          <w:szCs w:val="24"/>
          <w:highlight w:val="none"/>
          <w:lang w:bidi="ar"/>
          <w14:textFill>
            <w14:solidFill>
              <w14:schemeClr w14:val="tx1"/>
            </w14:solidFill>
          </w14:textFill>
        </w:rPr>
        <w:t>影响。</w:t>
      </w:r>
      <w:r>
        <w:rPr>
          <w:rFonts w:cs="Times New Roman"/>
          <w:color w:val="000000" w:themeColor="text1"/>
          <w:kern w:val="0"/>
          <w:szCs w:val="24"/>
          <w:highlight w:val="none"/>
          <w14:textFill>
            <w14:solidFill>
              <w14:schemeClr w14:val="tx1"/>
            </w14:solidFill>
          </w14:textFill>
        </w:rPr>
        <w:t>根据外环境关系调查，本项目</w:t>
      </w:r>
      <w:r>
        <w:rPr>
          <w:rFonts w:hint="eastAsia" w:cs="Times New Roman"/>
          <w:color w:val="000000" w:themeColor="text1"/>
          <w:kern w:val="0"/>
          <w:szCs w:val="24"/>
          <w:highlight w:val="none"/>
          <w14:textFill>
            <w14:solidFill>
              <w14:schemeClr w14:val="tx1"/>
            </w14:solidFill>
          </w14:textFill>
        </w:rPr>
        <w:t>污水罐</w:t>
      </w:r>
      <w:r>
        <w:rPr>
          <w:rFonts w:cs="Times New Roman"/>
          <w:color w:val="000000" w:themeColor="text1"/>
          <w:kern w:val="0"/>
          <w:szCs w:val="24"/>
          <w:highlight w:val="none"/>
          <w14:textFill>
            <w14:solidFill>
              <w14:schemeClr w14:val="tx1"/>
            </w14:solidFill>
          </w14:textFill>
        </w:rPr>
        <w:t>地下水下游在超标范围内无居民水井分布（下游距离最近的水井</w:t>
      </w:r>
      <w:r>
        <w:rPr>
          <w:rFonts w:hint="eastAsia" w:cs="Times New Roman"/>
          <w:color w:val="000000" w:themeColor="text1"/>
          <w:kern w:val="0"/>
          <w:szCs w:val="24"/>
          <w:highlight w:val="none"/>
          <w14:textFill>
            <w14:solidFill>
              <w14:schemeClr w14:val="tx1"/>
            </w14:solidFill>
          </w14:textFill>
        </w:rPr>
        <w:t>为污水罐</w:t>
      </w:r>
      <w:r>
        <w:rPr>
          <w:rFonts w:cs="Times New Roman"/>
          <w:color w:val="000000" w:themeColor="text1"/>
          <w:kern w:val="0"/>
          <w:szCs w:val="24"/>
          <w:highlight w:val="none"/>
          <w14:textFill>
            <w14:solidFill>
              <w14:schemeClr w14:val="tx1"/>
            </w14:solidFill>
          </w14:textFill>
        </w:rPr>
        <w:t>东侧430m处居民水井）</w:t>
      </w:r>
      <w:r>
        <w:rPr>
          <w:rFonts w:hint="eastAsia" w:cs="Times New Roman"/>
          <w:color w:val="000000" w:themeColor="text1"/>
          <w:kern w:val="0"/>
          <w:szCs w:val="24"/>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rFonts w:cs="Times New Roman"/>
          <w:color w:val="000000" w:themeColor="text1"/>
          <w:szCs w:val="24"/>
          <w:highlight w:val="none"/>
          <w:lang w:bidi="ar"/>
          <w14:textFill>
            <w14:solidFill>
              <w14:schemeClr w14:val="tx1"/>
            </w14:solidFill>
          </w14:textFill>
        </w:rPr>
        <w:t>同时，本项目</w:t>
      </w:r>
      <w:r>
        <w:rPr>
          <w:rFonts w:hint="eastAsia" w:cs="Times New Roman"/>
          <w:color w:val="000000" w:themeColor="text1"/>
          <w:szCs w:val="24"/>
          <w:highlight w:val="none"/>
          <w:lang w:bidi="ar"/>
          <w14:textFill>
            <w14:solidFill>
              <w14:schemeClr w14:val="tx1"/>
            </w14:solidFill>
          </w14:textFill>
        </w:rPr>
        <w:t>集输管线采用三层PE防腐，特殊地段采用加强级三层PE防腐，试采站内采取分区防渗措施</w:t>
      </w:r>
      <w:r>
        <w:rPr>
          <w:rFonts w:cs="Times New Roman"/>
          <w:color w:val="000000" w:themeColor="text1"/>
          <w:szCs w:val="24"/>
          <w:highlight w:val="none"/>
          <w:lang w:bidi="ar"/>
          <w14:textFill>
            <w14:solidFill>
              <w14:schemeClr w14:val="tx1"/>
            </w14:solidFill>
          </w14:textFill>
        </w:rPr>
        <w:t>，</w:t>
      </w:r>
      <w:r>
        <w:rPr>
          <w:rFonts w:hint="eastAsia" w:cs="Times New Roman"/>
          <w:color w:val="000000" w:themeColor="text1"/>
          <w:szCs w:val="24"/>
          <w:highlight w:val="none"/>
          <w:lang w:bidi="ar"/>
          <w14:textFill>
            <w14:solidFill>
              <w14:schemeClr w14:val="tx1"/>
            </w14:solidFill>
          </w14:textFill>
        </w:rPr>
        <w:t>设备</w:t>
      </w:r>
      <w:r>
        <w:rPr>
          <w:rFonts w:cs="Times New Roman"/>
          <w:color w:val="000000" w:themeColor="text1"/>
          <w:szCs w:val="24"/>
          <w:highlight w:val="none"/>
          <w:lang w:bidi="ar"/>
          <w14:textFill>
            <w14:solidFill>
              <w14:schemeClr w14:val="tx1"/>
            </w14:solidFill>
          </w14:textFill>
        </w:rPr>
        <w:t>破裂与</w:t>
      </w:r>
      <w:r>
        <w:rPr>
          <w:rFonts w:hint="eastAsia" w:cs="Times New Roman"/>
          <w:color w:val="000000" w:themeColor="text1"/>
          <w:szCs w:val="24"/>
          <w:highlight w:val="none"/>
          <w:lang w:bidi="ar"/>
          <w14:textFill>
            <w14:solidFill>
              <w14:schemeClr w14:val="tx1"/>
            </w14:solidFill>
          </w14:textFill>
        </w:rPr>
        <w:t>地坪</w:t>
      </w:r>
      <w:r>
        <w:rPr>
          <w:rFonts w:cs="Times New Roman"/>
          <w:color w:val="000000" w:themeColor="text1"/>
          <w:szCs w:val="24"/>
          <w:highlight w:val="none"/>
          <w:lang w:bidi="ar"/>
          <w14:textFill>
            <w14:solidFill>
              <w14:schemeClr w14:val="tx1"/>
            </w14:solidFill>
          </w14:textFill>
        </w:rPr>
        <w:t>防渗失效同时发生的概率较低，此外，</w:t>
      </w:r>
      <w:r>
        <w:rPr>
          <w:rFonts w:hint="eastAsia" w:cs="Times New Roman"/>
          <w:color w:val="000000" w:themeColor="text1"/>
          <w:szCs w:val="24"/>
          <w:highlight w:val="none"/>
          <w:lang w:bidi="ar"/>
          <w14:textFill>
            <w14:solidFill>
              <w14:schemeClr w14:val="tx1"/>
            </w14:solidFill>
          </w14:textFill>
        </w:rPr>
        <w:t>试采期间作业区内有工作人员定期</w:t>
      </w:r>
      <w:r>
        <w:rPr>
          <w:rFonts w:cs="Times New Roman"/>
          <w:color w:val="000000" w:themeColor="text1"/>
          <w:szCs w:val="24"/>
          <w:highlight w:val="none"/>
          <w:lang w:bidi="ar"/>
          <w14:textFill>
            <w14:solidFill>
              <w14:schemeClr w14:val="tx1"/>
            </w14:solidFill>
          </w14:textFill>
        </w:rPr>
        <w:t>对</w:t>
      </w:r>
      <w:r>
        <w:rPr>
          <w:rFonts w:hint="eastAsia" w:cs="Times New Roman"/>
          <w:color w:val="000000" w:themeColor="text1"/>
          <w:szCs w:val="24"/>
          <w:highlight w:val="none"/>
          <w:lang w:bidi="ar"/>
          <w14:textFill>
            <w14:solidFill>
              <w14:schemeClr w14:val="tx1"/>
            </w14:solidFill>
          </w14:textFill>
        </w:rPr>
        <w:t>各生产设施设备和管线</w:t>
      </w:r>
      <w:r>
        <w:rPr>
          <w:rFonts w:cs="Times New Roman"/>
          <w:color w:val="000000" w:themeColor="text1"/>
          <w:szCs w:val="24"/>
          <w:highlight w:val="none"/>
          <w:lang w:bidi="ar"/>
          <w14:textFill>
            <w14:solidFill>
              <w14:schemeClr w14:val="tx1"/>
            </w14:solidFill>
          </w14:textFill>
        </w:rPr>
        <w:t>等进行</w:t>
      </w:r>
      <w:r>
        <w:rPr>
          <w:rFonts w:hint="eastAsia" w:cs="Times New Roman"/>
          <w:color w:val="000000" w:themeColor="text1"/>
          <w:szCs w:val="24"/>
          <w:highlight w:val="none"/>
          <w:lang w:bidi="ar"/>
          <w14:textFill>
            <w14:solidFill>
              <w14:schemeClr w14:val="tx1"/>
            </w14:solidFill>
          </w14:textFill>
        </w:rPr>
        <w:t>巡视、</w:t>
      </w:r>
      <w:r>
        <w:rPr>
          <w:rFonts w:cs="Times New Roman"/>
          <w:color w:val="000000" w:themeColor="text1"/>
          <w:szCs w:val="24"/>
          <w:highlight w:val="none"/>
          <w:lang w:bidi="ar"/>
          <w14:textFill>
            <w14:solidFill>
              <w14:schemeClr w14:val="tx1"/>
            </w14:solidFill>
          </w14:textFill>
        </w:rPr>
        <w:t>检查，能够及时发</w:t>
      </w:r>
      <w:r>
        <w:rPr>
          <w:rFonts w:hint="eastAsia" w:cs="Times New Roman"/>
          <w:color w:val="000000" w:themeColor="text1"/>
          <w:szCs w:val="24"/>
          <w:highlight w:val="none"/>
          <w:lang w:bidi="ar"/>
          <w14:textFill>
            <w14:solidFill>
              <w14:schemeClr w14:val="tx1"/>
            </w14:solidFill>
          </w14:textFill>
        </w:rPr>
        <w:t>现</w:t>
      </w:r>
      <w:r>
        <w:rPr>
          <w:rFonts w:cs="Times New Roman"/>
          <w:color w:val="000000" w:themeColor="text1"/>
          <w:szCs w:val="24"/>
          <w:highlight w:val="none"/>
          <w:lang w:bidi="ar"/>
          <w14:textFill>
            <w14:solidFill>
              <w14:schemeClr w14:val="tx1"/>
            </w14:solidFill>
          </w14:textFill>
        </w:rPr>
        <w:t>事故并采取措施。</w:t>
      </w:r>
      <w:r>
        <w:rPr>
          <w:rFonts w:hint="eastAsia" w:cs="Times New Roman"/>
          <w:color w:val="000000" w:themeColor="text1"/>
          <w:szCs w:val="24"/>
          <w:highlight w:val="none"/>
          <w:lang w:bidi="ar"/>
          <w14:textFill>
            <w14:solidFill>
              <w14:schemeClr w14:val="tx1"/>
            </w14:solidFill>
          </w14:textFill>
        </w:rPr>
        <w:t>同时</w:t>
      </w:r>
      <w:r>
        <w:rPr>
          <w:rFonts w:cs="Times New Roman"/>
          <w:color w:val="000000" w:themeColor="text1"/>
          <w:szCs w:val="24"/>
          <w:highlight w:val="none"/>
          <w:lang w:bidi="ar"/>
          <w14:textFill>
            <w14:solidFill>
              <w14:schemeClr w14:val="tx1"/>
            </w14:solidFill>
          </w14:textFill>
        </w:rPr>
        <w:t>，在实际情况中，</w:t>
      </w:r>
      <w:r>
        <w:rPr>
          <w:rFonts w:hint="eastAsia" w:cs="Times New Roman"/>
          <w:color w:val="000000" w:themeColor="text1"/>
          <w:szCs w:val="24"/>
          <w:highlight w:val="none"/>
          <w:lang w:bidi="ar"/>
          <w14:textFill>
            <w14:solidFill>
              <w14:schemeClr w14:val="tx1"/>
            </w14:solidFill>
          </w14:textFill>
        </w:rPr>
        <w:t>含水原料气、</w:t>
      </w:r>
      <w:r>
        <w:rPr>
          <w:rFonts w:cs="Times New Roman"/>
          <w:color w:val="000000" w:themeColor="text1"/>
          <w:szCs w:val="24"/>
          <w:highlight w:val="none"/>
          <w:lang w:bidi="ar"/>
          <w14:textFill>
            <w14:solidFill>
              <w14:schemeClr w14:val="tx1"/>
            </w14:solidFill>
          </w14:textFill>
        </w:rPr>
        <w:t>气田水</w:t>
      </w:r>
      <w:r>
        <w:rPr>
          <w:rFonts w:hint="eastAsia" w:cs="Times New Roman"/>
          <w:color w:val="000000" w:themeColor="text1"/>
          <w:szCs w:val="24"/>
          <w:highlight w:val="none"/>
          <w:lang w:bidi="ar"/>
          <w14:textFill>
            <w14:solidFill>
              <w14:schemeClr w14:val="tx1"/>
            </w14:solidFill>
          </w14:textFill>
        </w:rPr>
        <w:t>、放空分离液、油类物质</w:t>
      </w:r>
      <w:r>
        <w:rPr>
          <w:rFonts w:cs="Times New Roman"/>
          <w:color w:val="000000" w:themeColor="text1"/>
          <w:szCs w:val="24"/>
          <w:highlight w:val="none"/>
          <w:lang w:bidi="ar"/>
          <w14:textFill>
            <w14:solidFill>
              <w14:schemeClr w14:val="tx1"/>
            </w14:solidFill>
          </w14:textFill>
        </w:rPr>
        <w:t>泄漏</w:t>
      </w:r>
      <w:r>
        <w:rPr>
          <w:rFonts w:hint="eastAsia" w:cs="Times New Roman"/>
          <w:color w:val="000000" w:themeColor="text1"/>
          <w:szCs w:val="24"/>
          <w:highlight w:val="none"/>
          <w:lang w:bidi="ar"/>
          <w14:textFill>
            <w14:solidFill>
              <w14:schemeClr w14:val="tx1"/>
            </w14:solidFill>
          </w14:textFill>
        </w:rPr>
        <w:t>至</w:t>
      </w:r>
      <w:r>
        <w:rPr>
          <w:rFonts w:cs="Times New Roman"/>
          <w:color w:val="000000" w:themeColor="text1"/>
          <w:szCs w:val="24"/>
          <w:highlight w:val="none"/>
          <w:lang w:bidi="ar"/>
          <w14:textFill>
            <w14:solidFill>
              <w14:schemeClr w14:val="tx1"/>
            </w14:solidFill>
          </w14:textFill>
        </w:rPr>
        <w:t>周边地下水</w:t>
      </w:r>
      <w:r>
        <w:rPr>
          <w:rFonts w:hint="eastAsia" w:cs="Times New Roman"/>
          <w:color w:val="000000" w:themeColor="text1"/>
          <w:szCs w:val="24"/>
          <w:highlight w:val="none"/>
          <w:lang w:bidi="ar"/>
          <w14:textFill>
            <w14:solidFill>
              <w14:schemeClr w14:val="tx1"/>
            </w14:solidFill>
          </w14:textFill>
        </w:rPr>
        <w:t>环境</w:t>
      </w:r>
      <w:r>
        <w:rPr>
          <w:rFonts w:cs="Times New Roman"/>
          <w:color w:val="000000" w:themeColor="text1"/>
          <w:szCs w:val="24"/>
          <w:highlight w:val="none"/>
          <w:lang w:bidi="ar"/>
          <w14:textFill>
            <w14:solidFill>
              <w14:schemeClr w14:val="tx1"/>
            </w14:solidFill>
          </w14:textFill>
        </w:rPr>
        <w:t>的</w:t>
      </w:r>
      <w:r>
        <w:rPr>
          <w:rFonts w:hint="eastAsia" w:cs="Times New Roman"/>
          <w:color w:val="000000" w:themeColor="text1"/>
          <w:szCs w:val="24"/>
          <w:highlight w:val="none"/>
          <w:lang w:bidi="ar"/>
          <w14:textFill>
            <w14:solidFill>
              <w14:schemeClr w14:val="tx1"/>
            </w14:solidFill>
          </w14:textFill>
        </w:rPr>
        <w:t>可能性小。综上，发生泄漏事故后对地下水环境的影响较小</w:t>
      </w:r>
      <w:r>
        <w:rPr>
          <w:rFonts w:cs="Times New Roman"/>
          <w:color w:val="000000" w:themeColor="text1"/>
          <w:szCs w:val="24"/>
          <w:highlight w:val="none"/>
          <w:lang w:bidi="ar"/>
          <w14:textFill>
            <w14:solidFill>
              <w14:schemeClr w14:val="tx1"/>
            </w14:solidFill>
          </w14:textFill>
        </w:rPr>
        <w:t>。</w:t>
      </w:r>
    </w:p>
    <w:p>
      <w:pPr>
        <w:pStyle w:val="4"/>
        <w:spacing w:before="120"/>
        <w:rPr>
          <w:color w:val="000000" w:themeColor="text1"/>
          <w:highlight w:val="none"/>
          <w:lang w:eastAsia="zh-CN"/>
          <w14:textFill>
            <w14:solidFill>
              <w14:schemeClr w14:val="tx1"/>
            </w14:solidFill>
          </w14:textFill>
        </w:rPr>
      </w:pPr>
      <w:bookmarkStart w:id="348" w:name="5.3.5环境风险防范措施及应急要求"/>
      <w:bookmarkEnd w:id="348"/>
      <w:bookmarkStart w:id="349" w:name="_Toc11591"/>
      <w:r>
        <w:rPr>
          <w:color w:val="000000" w:themeColor="text1"/>
          <w:highlight w:val="none"/>
          <w:lang w:eastAsia="zh-CN"/>
          <w14:textFill>
            <w14:solidFill>
              <w14:schemeClr w14:val="tx1"/>
            </w14:solidFill>
          </w14:textFill>
        </w:rPr>
        <w:t>环境风险防范措施</w:t>
      </w:r>
      <w:bookmarkEnd w:id="349"/>
    </w:p>
    <w:p>
      <w:pPr>
        <w:pStyle w:val="5"/>
        <w:spacing w:before="120"/>
        <w:ind w:firstLine="480"/>
        <w:rPr>
          <w:bCs w:val="0"/>
          <w:color w:val="000000" w:themeColor="text1"/>
          <w:highlight w:val="none"/>
          <w:lang w:eastAsia="zh-CN"/>
          <w14:textFill>
            <w14:solidFill>
              <w14:schemeClr w14:val="tx1"/>
            </w14:solidFill>
          </w14:textFill>
        </w:rPr>
      </w:pPr>
      <w:r>
        <w:rPr>
          <w:rFonts w:hint="eastAsia"/>
          <w:bCs w:val="0"/>
          <w:color w:val="000000" w:themeColor="text1"/>
          <w:highlight w:val="none"/>
          <w:lang w:eastAsia="zh-CN"/>
          <w14:textFill>
            <w14:solidFill>
              <w14:schemeClr w14:val="tx1"/>
            </w14:solidFill>
          </w14:textFill>
        </w:rPr>
        <w:t>风险物质泄漏防范措施</w:t>
      </w:r>
    </w:p>
    <w:p>
      <w:pPr>
        <w:numPr>
          <w:ilvl w:val="0"/>
          <w:numId w:val="15"/>
        </w:numPr>
        <w:autoSpaceDE w:val="0"/>
        <w:autoSpaceDN w:val="0"/>
        <w:adjustRightInd/>
        <w:snapToGrid/>
        <w:ind w:firstLine="480"/>
        <w:textAlignment w:val="baseline"/>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加强对周围群众宣传工作，发生泄漏情况后及时对周围群众有序疏散（必要情况下）；</w:t>
      </w:r>
    </w:p>
    <w:p>
      <w:pPr>
        <w:numPr>
          <w:ilvl w:val="0"/>
          <w:numId w:val="15"/>
        </w:numPr>
        <w:autoSpaceDE w:val="0"/>
        <w:autoSpaceDN w:val="0"/>
        <w:adjustRightInd/>
        <w:snapToGrid/>
        <w:ind w:firstLine="480"/>
        <w:textAlignment w:val="baseline"/>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气田水罐下方均设置10-15cm高围堰，并采取重点防渗措施，泄漏发生后由围堰首先收集泄漏物质；围堰容积可参照GB18597，不应低于对应贮存区域最大液态物料容器容积；</w:t>
      </w:r>
    </w:p>
    <w:p>
      <w:pPr>
        <w:numPr>
          <w:ilvl w:val="0"/>
          <w:numId w:val="15"/>
        </w:numPr>
        <w:autoSpaceDE w:val="0"/>
        <w:autoSpaceDN w:val="0"/>
        <w:adjustRightInd/>
        <w:snapToGrid/>
        <w:ind w:firstLine="480"/>
        <w:textAlignment w:val="baseline"/>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站场</w:t>
      </w:r>
      <w:r>
        <w:rPr>
          <w:rFonts w:cs="Times New Roman"/>
          <w:color w:val="000000" w:themeColor="text1"/>
          <w:highlight w:val="none"/>
          <w14:textFill>
            <w14:solidFill>
              <w14:schemeClr w14:val="tx1"/>
            </w14:solidFill>
          </w14:textFill>
        </w:rPr>
        <w:t>内采取分区防渗措施，集输管道采用3层PE防腐联合阴极保护；</w:t>
      </w:r>
    </w:p>
    <w:p>
      <w:pPr>
        <w:numPr>
          <w:ilvl w:val="0"/>
          <w:numId w:val="15"/>
        </w:numPr>
        <w:autoSpaceDE w:val="0"/>
        <w:autoSpaceDN w:val="0"/>
        <w:adjustRightInd/>
        <w:snapToGrid/>
        <w:ind w:firstLine="480"/>
        <w:textAlignment w:val="baseline"/>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配备充足的应急物资，以应对事故状态下对泄漏的风险物质的堵截围挡、转移、处理；</w:t>
      </w:r>
    </w:p>
    <w:p>
      <w:pPr>
        <w:numPr>
          <w:ilvl w:val="0"/>
          <w:numId w:val="15"/>
        </w:numPr>
        <w:autoSpaceDE w:val="0"/>
        <w:autoSpaceDN w:val="0"/>
        <w:adjustRightInd/>
        <w:snapToGrid/>
        <w:ind w:firstLine="480"/>
        <w:textAlignment w:val="baseline"/>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对作业区工作人员，要保证定期对其进行系统的安全教育和培训，确保人员持证上岗。对于已建立的安全管理制度，要严格遵守执行，降低人为失误率；</w:t>
      </w:r>
    </w:p>
    <w:p>
      <w:pPr>
        <w:numPr>
          <w:ilvl w:val="0"/>
          <w:numId w:val="15"/>
        </w:numPr>
        <w:autoSpaceDE w:val="0"/>
        <w:autoSpaceDN w:val="0"/>
        <w:adjustRightInd/>
        <w:snapToGrid/>
        <w:ind w:firstLine="480"/>
        <w:textAlignment w:val="baseline"/>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优选施工单位，在管材选用、焊接工艺、焊后质量检验以及安装方面提出严格的技术要求，并实施工程施工监理制度</w:t>
      </w:r>
      <w:r>
        <w:rPr>
          <w:rFonts w:hint="eastAsia" w:cs="Times New Roman"/>
          <w:color w:val="000000" w:themeColor="text1"/>
          <w:highlight w:val="none"/>
          <w14:textFill>
            <w14:solidFill>
              <w14:schemeClr w14:val="tx1"/>
            </w14:solidFill>
          </w14:textFill>
        </w:rPr>
        <w:t>；</w:t>
      </w:r>
    </w:p>
    <w:p>
      <w:pPr>
        <w:numPr>
          <w:ilvl w:val="0"/>
          <w:numId w:val="15"/>
        </w:numPr>
        <w:autoSpaceDE w:val="0"/>
        <w:autoSpaceDN w:val="0"/>
        <w:adjustRightInd/>
        <w:snapToGrid/>
        <w:ind w:firstLine="480"/>
        <w:textAlignment w:val="baseline"/>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在管道外壁做防腐绝缘层，防止管道外壁腐蚀穿孔；加强管道防腐管理，采用清洁生产工艺，对管道腐蚀情况实施监测以及沿线泄漏和管道设施的检查</w:t>
      </w:r>
      <w:r>
        <w:rPr>
          <w:rFonts w:hint="eastAsia" w:cs="Times New Roman"/>
          <w:color w:val="000000" w:themeColor="text1"/>
          <w:highlight w:val="none"/>
          <w14:textFill>
            <w14:solidFill>
              <w14:schemeClr w14:val="tx1"/>
            </w14:solidFill>
          </w14:textFill>
        </w:rPr>
        <w:t>；</w:t>
      </w:r>
    </w:p>
    <w:p>
      <w:pPr>
        <w:numPr>
          <w:ilvl w:val="0"/>
          <w:numId w:val="15"/>
        </w:numPr>
        <w:autoSpaceDE w:val="0"/>
        <w:autoSpaceDN w:val="0"/>
        <w:adjustRightInd/>
        <w:snapToGrid/>
        <w:ind w:firstLine="480"/>
        <w:textAlignment w:val="baseline"/>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为了防止天然气泄漏爆炸及燃烧而危害员工和附近群众的安全，在站场和线路工程设计中应采取严格的防爆措施</w:t>
      </w:r>
      <w:r>
        <w:rPr>
          <w:rFonts w:hint="eastAsia" w:cs="Times New Roman"/>
          <w:color w:val="000000" w:themeColor="text1"/>
          <w:highlight w:val="none"/>
          <w14:textFill>
            <w14:solidFill>
              <w14:schemeClr w14:val="tx1"/>
            </w14:solidFill>
          </w14:textFill>
        </w:rPr>
        <w:t>；</w:t>
      </w:r>
    </w:p>
    <w:p>
      <w:pPr>
        <w:numPr>
          <w:ilvl w:val="0"/>
          <w:numId w:val="15"/>
        </w:numPr>
        <w:autoSpaceDE w:val="0"/>
        <w:autoSpaceDN w:val="0"/>
        <w:adjustRightInd/>
        <w:snapToGrid/>
        <w:ind w:firstLine="480"/>
        <w:textAlignment w:val="baseline"/>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项目评价范围内居民点等易出现事故的区域或有敏感点分布的地区，通过加套管、加设告示牌、标示桩和加强对周边各单位和个人进行宣传的方式进行防护，同时还应保持同沿线各单位的联络畅通，确保发生事故时能第一时间通知沿线敏感点</w:t>
      </w:r>
      <w:r>
        <w:rPr>
          <w:rFonts w:hint="eastAsia" w:cs="Times New Roman"/>
          <w:color w:val="000000" w:themeColor="text1"/>
          <w:highlight w:val="none"/>
          <w14:textFill>
            <w14:solidFill>
              <w14:schemeClr w14:val="tx1"/>
            </w14:solidFill>
          </w14:textFill>
        </w:rPr>
        <w:t>；</w:t>
      </w:r>
    </w:p>
    <w:p>
      <w:pPr>
        <w:numPr>
          <w:ilvl w:val="0"/>
          <w:numId w:val="15"/>
        </w:numPr>
        <w:autoSpaceDE w:val="0"/>
        <w:autoSpaceDN w:val="0"/>
        <w:adjustRightInd/>
        <w:snapToGrid/>
        <w:ind w:firstLine="480"/>
        <w:textAlignment w:val="baseline"/>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站场</w:t>
      </w:r>
      <w:r>
        <w:rPr>
          <w:rFonts w:cs="Times New Roman"/>
          <w:color w:val="000000" w:themeColor="text1"/>
          <w:highlight w:val="none"/>
          <w14:textFill>
            <w14:solidFill>
              <w14:schemeClr w14:val="tx1"/>
            </w14:solidFill>
          </w14:textFill>
        </w:rPr>
        <w:t>配备完善的放空系统，满足站场检修、超压或事故状态下的安全放空要求。站内不同压力等级系统分别设置安全阀和紧急放空阀，中低压放空分别引管至放空区进行放空</w:t>
      </w:r>
      <w:r>
        <w:rPr>
          <w:rFonts w:hint="eastAsia" w:cs="Times New Roman"/>
          <w:color w:val="000000" w:themeColor="text1"/>
          <w:highlight w:val="none"/>
          <w14:textFill>
            <w14:solidFill>
              <w14:schemeClr w14:val="tx1"/>
            </w14:solidFill>
          </w14:textFill>
        </w:rPr>
        <w:t>；</w:t>
      </w:r>
    </w:p>
    <w:p>
      <w:pPr>
        <w:numPr>
          <w:ilvl w:val="0"/>
          <w:numId w:val="15"/>
        </w:numPr>
        <w:autoSpaceDE w:val="0"/>
        <w:autoSpaceDN w:val="0"/>
        <w:adjustRightInd/>
        <w:snapToGrid/>
        <w:ind w:firstLine="480"/>
        <w:textAlignment w:val="baseline"/>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站场设置完善的安全截断系统，以确保站内及试采集气管道事故情况下，均能快速关闭、截断气源，设备安全泄压。</w:t>
      </w:r>
      <w:r>
        <w:rPr>
          <w:rFonts w:hint="eastAsia" w:cs="Times New Roman"/>
          <w:color w:val="000000" w:themeColor="text1"/>
          <w:highlight w:val="none"/>
          <w14:textFill>
            <w14:solidFill>
              <w14:schemeClr w14:val="tx1"/>
            </w14:solidFill>
          </w14:textFill>
        </w:rPr>
        <w:t>站场</w:t>
      </w:r>
      <w:r>
        <w:rPr>
          <w:rFonts w:cs="Times New Roman"/>
          <w:color w:val="000000" w:themeColor="text1"/>
          <w:highlight w:val="none"/>
          <w14:textFill>
            <w14:solidFill>
              <w14:schemeClr w14:val="tx1"/>
            </w14:solidFill>
          </w14:textFill>
        </w:rPr>
        <w:t>设置独立的气体探测报警系统，能对全站的可燃气体泄漏进行监视和报警。井口设置安全截断系统，出站管线设有紧急截断阀当检测点压力超高或超低时该系统能自动关闭井口，以确保无论是井口、站内或集气管道事故情况下井口和出站均能快速关闭、截断气源</w:t>
      </w:r>
      <w:r>
        <w:rPr>
          <w:rFonts w:hint="eastAsia" w:cs="Times New Roman"/>
          <w:color w:val="000000" w:themeColor="text1"/>
          <w:highlight w:val="none"/>
          <w14:textFill>
            <w14:solidFill>
              <w14:schemeClr w14:val="tx1"/>
            </w14:solidFill>
          </w14:textFill>
        </w:rPr>
        <w:t>；</w:t>
      </w:r>
    </w:p>
    <w:p>
      <w:pPr>
        <w:numPr>
          <w:ilvl w:val="0"/>
          <w:numId w:val="15"/>
        </w:numPr>
        <w:autoSpaceDE w:val="0"/>
        <w:autoSpaceDN w:val="0"/>
        <w:adjustRightInd/>
        <w:snapToGrid/>
        <w:ind w:firstLine="480"/>
        <w:textAlignment w:val="baseline"/>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站场的设备、管道设计压力均应按规范规定确定，严禁超负荷运行</w:t>
      </w:r>
      <w:r>
        <w:rPr>
          <w:rFonts w:hint="eastAsia" w:cs="Times New Roman"/>
          <w:color w:val="000000" w:themeColor="text1"/>
          <w:highlight w:val="none"/>
          <w14:textFill>
            <w14:solidFill>
              <w14:schemeClr w14:val="tx1"/>
            </w14:solidFill>
          </w14:textFill>
        </w:rPr>
        <w:t>；</w:t>
      </w:r>
    </w:p>
    <w:p>
      <w:pPr>
        <w:numPr>
          <w:ilvl w:val="0"/>
          <w:numId w:val="15"/>
        </w:numPr>
        <w:autoSpaceDE w:val="0"/>
        <w:autoSpaceDN w:val="0"/>
        <w:adjustRightInd/>
        <w:snapToGrid/>
        <w:ind w:firstLine="480"/>
        <w:textAlignment w:val="baseline"/>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为了防止泄漏引起爆炸、燃烧，设置可燃气体报警系统。项目在工艺装置区等均设置了可燃气体探测器，并与值班室主机相连，出现天然气泄漏时可及时报警。</w:t>
      </w:r>
    </w:p>
    <w:p>
      <w:pPr>
        <w:pStyle w:val="5"/>
        <w:spacing w:before="120"/>
        <w:ind w:firstLine="480"/>
        <w:rPr>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火灾次生污染风险防范措施</w:t>
      </w:r>
    </w:p>
    <w:p>
      <w:pPr>
        <w:widowControl/>
        <w:adjustRightInd/>
        <w:ind w:firstLine="480"/>
        <w:jc w:val="left"/>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1）配备移动式灭火设备，按《建筑灭火器配置设计规范》规定，对可能发生火灾的各类场所（工艺装置区、主要建筑物、仪表及电气设备间等），根据其火灾危险性、区域大小等实际情况，分别配置有一定数量不同类型、不同规格的固定式和移动式灭火器材，以及时扑救初期零星火灾。保持与</w:t>
      </w:r>
      <w:r>
        <w:rPr>
          <w:rFonts w:hint="eastAsia" w:cs="Times New Roman"/>
          <w:color w:val="000000" w:themeColor="text1"/>
          <w:highlight w:val="none"/>
          <w14:textFill>
            <w14:solidFill>
              <w14:schemeClr w14:val="tx1"/>
            </w14:solidFill>
          </w14:textFill>
        </w:rPr>
        <w:t>宣汉</w:t>
      </w:r>
      <w:r>
        <w:rPr>
          <w:rFonts w:cs="Times New Roman"/>
          <w:color w:val="000000" w:themeColor="text1"/>
          <w:highlight w:val="none"/>
          <w14:textFill>
            <w14:solidFill>
              <w14:schemeClr w14:val="tx1"/>
            </w14:solidFill>
          </w14:textFill>
        </w:rPr>
        <w:t>县消防大队的联系；</w:t>
      </w:r>
    </w:p>
    <w:p>
      <w:pPr>
        <w:adjustRightInd/>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（2）</w:t>
      </w:r>
      <w:r>
        <w:rPr>
          <w:rFonts w:cs="Times New Roman"/>
          <w:color w:val="000000" w:themeColor="text1"/>
          <w:highlight w:val="none"/>
          <w14:textFill>
            <w14:solidFill>
              <w14:schemeClr w14:val="tx1"/>
            </w14:solidFill>
          </w14:textFill>
        </w:rPr>
        <w:t>加强明火管理，在站场内严禁吸烟，禁止任何进出人员携带火种（打火机、火柴等）。要管理好罐区、配电房内的电器设施，防止产生电器火花。做好防止静电火花产生的措施，操作人员不能穿化纤制作的工作服，应穿棉布或防静电布制作的衣服。</w:t>
      </w:r>
    </w:p>
    <w:p>
      <w:pPr>
        <w:widowControl/>
        <w:adjustRightInd/>
        <w:ind w:firstLine="480"/>
        <w:jc w:val="left"/>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（3）站内的电气设计按防爆范围等级采用防爆电器，以避免可能泄漏的天然气遇电器火花而产生爆炸。</w:t>
      </w:r>
    </w:p>
    <w:p>
      <w:pPr>
        <w:autoSpaceDE w:val="0"/>
        <w:autoSpaceDN w:val="0"/>
        <w:adjustRightInd/>
        <w:snapToGrid/>
        <w:ind w:firstLine="480"/>
        <w:textAlignment w:val="baseline"/>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（4）站场设计上采用防雷和防静电火花与天然气接触发生爆炸危害的措施。</w:t>
      </w:r>
    </w:p>
    <w:p>
      <w:pPr>
        <w:pStyle w:val="5"/>
        <w:spacing w:before="120"/>
        <w:ind w:firstLine="480"/>
        <w:rPr>
          <w:b/>
          <w:color w:val="000000" w:themeColor="text1"/>
          <w:highlight w:val="none"/>
          <w:lang w:eastAsia="zh-CN"/>
          <w14:textFill>
            <w14:solidFill>
              <w14:schemeClr w14:val="tx1"/>
            </w14:solidFill>
          </w14:textFill>
        </w:rPr>
      </w:pPr>
      <w:bookmarkStart w:id="350" w:name="_Toc120173186"/>
      <w:bookmarkStart w:id="351" w:name="_Hlk88499419"/>
      <w:r>
        <w:rPr>
          <w:color w:val="000000" w:themeColor="text1"/>
          <w:highlight w:val="none"/>
          <w:lang w:eastAsia="zh-CN"/>
          <w14:textFill>
            <w14:solidFill>
              <w14:schemeClr w14:val="tx1"/>
            </w14:solidFill>
          </w14:textFill>
        </w:rPr>
        <w:t>物质外运风险防范措施</w:t>
      </w:r>
      <w:bookmarkEnd w:id="350"/>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w:t>
      </w:r>
      <w:r>
        <w:rPr>
          <w:rFonts w:cs="Times New Roman"/>
          <w:color w:val="000000" w:themeColor="text1"/>
          <w:highlight w:val="none"/>
          <w14:textFill>
            <w14:solidFill>
              <w14:schemeClr w14:val="tx1"/>
            </w14:solidFill>
          </w14:textFill>
        </w:rPr>
        <w:t>1）废水转运单位在开展运输工作前，应对运输人员进行相关安全环保知识培训，运输车辆、装卸工具必须符合安全环保要求，装卸过程中不得溢出和泄漏。严禁随意倾倒、排放或者向第三方转移废水。</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w:t>
      </w:r>
      <w:r>
        <w:rPr>
          <w:rFonts w:cs="Times New Roman"/>
          <w:color w:val="000000" w:themeColor="text1"/>
          <w:highlight w:val="none"/>
          <w14:textFill>
            <w14:solidFill>
              <w14:schemeClr w14:val="tx1"/>
            </w14:solidFill>
          </w14:textFill>
        </w:rPr>
        <w:t>2）运输前规划运输路线，废水转运过程中应严格按照规定的路线运输到相应的目的地；运输过程中应尽量避开环境敏感区，遇环境敏感区需减速慢行，废水转运应建立交接三联单制度，确保废水运至相应的目的地。</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w:t>
      </w:r>
      <w:r>
        <w:rPr>
          <w:rFonts w:cs="Times New Roman"/>
          <w:color w:val="000000" w:themeColor="text1"/>
          <w:highlight w:val="none"/>
          <w14:textFill>
            <w14:solidFill>
              <w14:schemeClr w14:val="tx1"/>
            </w14:solidFill>
          </w14:textFill>
        </w:rPr>
        <w:t>3）废水转运必须使用密闭的车辆运输，并确保运输车辆车况处于良好状态。</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w:t>
      </w:r>
      <w:r>
        <w:rPr>
          <w:rFonts w:cs="Times New Roman"/>
          <w:color w:val="000000" w:themeColor="text1"/>
          <w:highlight w:val="none"/>
          <w14:textFill>
            <w14:solidFill>
              <w14:schemeClr w14:val="tx1"/>
            </w14:solidFill>
          </w14:textFill>
        </w:rPr>
        <w:t>4）尽量避免雨天和大雾天运转废水。</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w:t>
      </w:r>
      <w:r>
        <w:rPr>
          <w:rFonts w:cs="Times New Roman"/>
          <w:color w:val="000000" w:themeColor="text1"/>
          <w:highlight w:val="none"/>
          <w14:textFill>
            <w14:solidFill>
              <w14:schemeClr w14:val="tx1"/>
            </w14:solidFill>
          </w14:textFill>
        </w:rPr>
        <w:t>5）本工程废水运输由专业单位负责实施，不得自行运输，也不得委托公司外其他单位运输。</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w:t>
      </w:r>
      <w:r>
        <w:rPr>
          <w:rFonts w:cs="Times New Roman"/>
          <w:color w:val="000000" w:themeColor="text1"/>
          <w:highlight w:val="none"/>
          <w14:textFill>
            <w14:solidFill>
              <w14:schemeClr w14:val="tx1"/>
            </w14:solidFill>
          </w14:textFill>
        </w:rPr>
        <w:t>6）承包废水转运的承包商实施车辆登记制度，为每台车辆安装GPS系统，并纳入建设方的GPS监控系统平台，以便随时掌握废水运输车辆位置和行驶路线，确保废水转运至相应的目的地。</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w:t>
      </w:r>
      <w:r>
        <w:rPr>
          <w:rFonts w:cs="Times New Roman"/>
          <w:color w:val="000000" w:themeColor="text1"/>
          <w:highlight w:val="none"/>
          <w14:textFill>
            <w14:solidFill>
              <w14:schemeClr w14:val="tx1"/>
            </w14:solidFill>
          </w14:textFill>
        </w:rPr>
        <w:t>7）废水运输车辆严格执行签认制度。签认单保存期不得少于二年，以便备查。</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w:t>
      </w:r>
      <w:r>
        <w:rPr>
          <w:rFonts w:cs="Times New Roman"/>
          <w:color w:val="000000" w:themeColor="text1"/>
          <w:highlight w:val="none"/>
          <w14:textFill>
            <w14:solidFill>
              <w14:schemeClr w14:val="tx1"/>
            </w14:solidFill>
          </w14:textFill>
        </w:rPr>
        <w:t>8）废水</w:t>
      </w:r>
      <w:r>
        <w:rPr>
          <w:rFonts w:hint="eastAsia" w:cs="Times New Roman"/>
          <w:color w:val="000000" w:themeColor="text1"/>
          <w:highlight w:val="none"/>
          <w14:textFill>
            <w14:solidFill>
              <w14:schemeClr w14:val="tx1"/>
            </w14:solidFill>
          </w14:textFill>
        </w:rPr>
        <w:t>运输</w:t>
      </w:r>
      <w:r>
        <w:rPr>
          <w:rFonts w:cs="Times New Roman"/>
          <w:color w:val="000000" w:themeColor="text1"/>
          <w:highlight w:val="none"/>
          <w14:textFill>
            <w14:solidFill>
              <w14:schemeClr w14:val="tx1"/>
            </w14:solidFill>
          </w14:textFill>
        </w:rPr>
        <w:t>单位应做好应急管理工作，做好风险防范识别，编制生产废水运输应急预案，每次废水运输任务都应制定运输方案和应急措施，严禁超速超载，路过环境敏感区需</w:t>
      </w:r>
      <w:r>
        <w:rPr>
          <w:rFonts w:hint="eastAsia" w:cs="Times New Roman"/>
          <w:color w:val="000000" w:themeColor="text1"/>
          <w:highlight w:val="none"/>
          <w14:textFill>
            <w14:solidFill>
              <w14:schemeClr w14:val="tx1"/>
            </w14:solidFill>
          </w14:textFill>
        </w:rPr>
        <w:t>减速慢行</w:t>
      </w:r>
      <w:r>
        <w:rPr>
          <w:rFonts w:cs="Times New Roman"/>
          <w:color w:val="000000" w:themeColor="text1"/>
          <w:highlight w:val="none"/>
          <w14:textFill>
            <w14:solidFill>
              <w14:schemeClr w14:val="tx1"/>
            </w14:solidFill>
          </w14:textFill>
        </w:rPr>
        <w:t>，安全驶离，强化运输过程的安全管理，防止因安全事故衍生成环保事故。</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w:t>
      </w:r>
      <w:r>
        <w:rPr>
          <w:rFonts w:cs="Times New Roman"/>
          <w:color w:val="000000" w:themeColor="text1"/>
          <w:highlight w:val="none"/>
          <w14:textFill>
            <w14:solidFill>
              <w14:schemeClr w14:val="tx1"/>
            </w14:solidFill>
          </w14:textFill>
        </w:rPr>
        <w:t>9）废水产生单位和废水转运单位应建立健全管理制度和办法，加强与地方相关部门的联系和协调。废水运输过程中，废水产生单位、承运单位应做好相关记录，建立相关台账。在发生事故后应及时通报当地环保部门，并积极配合环保部门抢险。确保安全通过，同时要注意清洁运输，防止废水泄漏。</w:t>
      </w:r>
    </w:p>
    <w:bookmarkEnd w:id="351"/>
    <w:p>
      <w:pPr>
        <w:pStyle w:val="5"/>
        <w:spacing w:before="120"/>
        <w:ind w:firstLine="480"/>
        <w:rPr>
          <w:b/>
          <w:color w:val="000000" w:themeColor="text1"/>
          <w:highlight w:val="none"/>
          <w:lang w:eastAsia="zh-CN"/>
          <w14:textFill>
            <w14:solidFill>
              <w14:schemeClr w14:val="tx1"/>
            </w14:solidFill>
          </w14:textFill>
        </w:rPr>
      </w:pPr>
      <w:r>
        <w:rPr>
          <w:color w:val="000000" w:themeColor="text1"/>
          <w:szCs w:val="24"/>
          <w:highlight w:val="none"/>
          <w:lang w:eastAsia="zh-CN"/>
          <w14:textFill>
            <w14:solidFill>
              <w14:schemeClr w14:val="tx1"/>
            </w14:solidFill>
          </w14:textFill>
        </w:rPr>
        <w:t>试采工程风险防范措施</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（1）场站</w:t>
      </w:r>
      <w:r>
        <w:rPr>
          <w:rFonts w:hint="eastAsia"/>
          <w:color w:val="000000" w:themeColor="text1"/>
          <w:highlight w:val="none"/>
          <w14:textFill>
            <w14:solidFill>
              <w14:schemeClr w14:val="tx1"/>
            </w14:solidFill>
          </w14:textFill>
        </w:rPr>
        <w:t>应</w:t>
      </w:r>
      <w:r>
        <w:rPr>
          <w:color w:val="000000" w:themeColor="text1"/>
          <w:highlight w:val="none"/>
          <w14:textFill>
            <w14:solidFill>
              <w14:schemeClr w14:val="tx1"/>
            </w14:solidFill>
          </w14:textFill>
        </w:rPr>
        <w:t>配备足够数量的正压式空气呼吸器及空气呼吸器气瓶压力相应的空气压缩机等。配备相应的安全设施，如井口安全系统、放</w:t>
      </w:r>
      <w:r>
        <w:rPr>
          <w:rFonts w:hint="eastAsia"/>
          <w:color w:val="000000" w:themeColor="text1"/>
          <w:highlight w:val="none"/>
          <w14:textFill>
            <w14:solidFill>
              <w14:schemeClr w14:val="tx1"/>
            </w14:solidFill>
          </w14:textFill>
        </w:rPr>
        <w:t>空</w:t>
      </w:r>
      <w:r>
        <w:rPr>
          <w:color w:val="000000" w:themeColor="text1"/>
          <w:highlight w:val="none"/>
          <w14:textFill>
            <w14:solidFill>
              <w14:schemeClr w14:val="tx1"/>
            </w14:solidFill>
          </w14:textFill>
        </w:rPr>
        <w:t>系统、灭火器、消防砂池、警示标志、逃生门、防雷和防静电措施、报警系统、风向标、高音喇叭等。</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（2）站场周围设置明显的安全警示标志，并告知附近居民可能性危险、危害及安全注意事项。调查附近居民分布情况，掌握有效的联系方式等。</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（3）设备和管线焊接和检验，应符合相关标准和规范要求。</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（4）场站的建设和布局，应严格按照设计规范要求进行设计，确保站场安全。</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（5）结合站场可能发生的事故类型，编制详细的应急救援预案，有针对性地进行宣传，并定期演练。</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（6）加强污水运输车辆的管理，防止运输过程发生事故导致废水</w:t>
      </w:r>
      <w:r>
        <w:rPr>
          <w:rFonts w:hint="eastAsia"/>
          <w:color w:val="000000" w:themeColor="text1"/>
          <w:highlight w:val="none"/>
          <w14:textFill>
            <w14:solidFill>
              <w14:schemeClr w14:val="tx1"/>
            </w14:solidFill>
          </w14:textFill>
        </w:rPr>
        <w:t>泄漏</w:t>
      </w:r>
      <w:r>
        <w:rPr>
          <w:color w:val="000000" w:themeColor="text1"/>
          <w:highlight w:val="none"/>
          <w14:textFill>
            <w14:solidFill>
              <w14:schemeClr w14:val="tx1"/>
            </w14:solidFill>
          </w14:textFill>
        </w:rPr>
        <w:t>，污染环境；定期对污水进行转运，避免由于储存过多导致其外溢污染环境；加强污水池的维护保养工作，避免由于腐蚀等造成其泄露污染环境。</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（7）污水</w:t>
      </w:r>
      <w:r>
        <w:rPr>
          <w:rFonts w:hint="eastAsia"/>
          <w:color w:val="000000" w:themeColor="text1"/>
          <w:highlight w:val="none"/>
          <w14:textFill>
            <w14:solidFill>
              <w14:schemeClr w14:val="tx1"/>
            </w14:solidFill>
          </w14:textFill>
        </w:rPr>
        <w:t>罐</w:t>
      </w:r>
      <w:r>
        <w:rPr>
          <w:color w:val="000000" w:themeColor="text1"/>
          <w:highlight w:val="none"/>
          <w14:textFill>
            <w14:solidFill>
              <w14:schemeClr w14:val="tx1"/>
            </w14:solidFill>
          </w14:textFill>
        </w:rPr>
        <w:t>区设置防渗围堰，防止</w:t>
      </w:r>
      <w:r>
        <w:rPr>
          <w:rFonts w:hint="eastAsia"/>
          <w:color w:val="000000" w:themeColor="text1"/>
          <w:highlight w:val="none"/>
          <w14:textFill>
            <w14:solidFill>
              <w14:schemeClr w14:val="tx1"/>
            </w14:solidFill>
          </w14:textFill>
        </w:rPr>
        <w:t>泄漏</w:t>
      </w:r>
      <w:r>
        <w:rPr>
          <w:color w:val="000000" w:themeColor="text1"/>
          <w:highlight w:val="none"/>
          <w14:textFill>
            <w14:solidFill>
              <w14:schemeClr w14:val="tx1"/>
            </w14:solidFill>
          </w14:textFill>
        </w:rPr>
        <w:t>废水外溢。</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（8）自动控制系统。</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站场</w:t>
      </w:r>
      <w:r>
        <w:rPr>
          <w:color w:val="000000" w:themeColor="text1"/>
          <w:highlight w:val="none"/>
          <w14:textFill>
            <w14:solidFill>
              <w14:schemeClr w14:val="tx1"/>
            </w14:solidFill>
          </w14:textFill>
        </w:rPr>
        <w:t>井口装置等相关工艺设施等实现自动控制、定期巡查；</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2）对本项目</w:t>
      </w:r>
      <w:r>
        <w:rPr>
          <w:rFonts w:hint="eastAsia"/>
          <w:color w:val="000000" w:themeColor="text1"/>
          <w:highlight w:val="none"/>
          <w14:textFill>
            <w14:solidFill>
              <w14:schemeClr w14:val="tx1"/>
            </w14:solidFill>
          </w14:textFill>
        </w:rPr>
        <w:t>站场</w:t>
      </w:r>
      <w:r>
        <w:rPr>
          <w:color w:val="000000" w:themeColor="text1"/>
          <w:highlight w:val="none"/>
          <w14:textFill>
            <w14:solidFill>
              <w14:schemeClr w14:val="tx1"/>
            </w14:solidFill>
          </w14:textFill>
        </w:rPr>
        <w:t>生产装置等全部工艺过程进行监视和控制，实现对整个试采区域的生产运行进行监控和调度管理；</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3）场站可实现对下列数据的采集和传递：站场/工艺设施的工艺变量、站场/工艺设施的阀门状态、设备状态、井口温度、压力、流量信息/计量参数、管道防腐参数等；</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4）可进行安全报警、装置气体泄漏检测；</w:t>
      </w:r>
    </w:p>
    <w:p>
      <w:pPr>
        <w:ind w:firstLine="480"/>
        <w:rPr>
          <w:rFonts w:cs="Times New Roman"/>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5）对</w:t>
      </w:r>
      <w:r>
        <w:rPr>
          <w:rFonts w:hint="eastAsia"/>
          <w:color w:val="000000" w:themeColor="text1"/>
          <w:highlight w:val="none"/>
          <w14:textFill>
            <w14:solidFill>
              <w14:schemeClr w14:val="tx1"/>
            </w14:solidFill>
          </w14:textFill>
        </w:rPr>
        <w:t>站场</w:t>
      </w:r>
      <w:r>
        <w:rPr>
          <w:color w:val="000000" w:themeColor="text1"/>
          <w:highlight w:val="none"/>
          <w14:textFill>
            <w14:solidFill>
              <w14:schemeClr w14:val="tx1"/>
            </w14:solidFill>
          </w14:textFill>
        </w:rPr>
        <w:t>进行远程监视，实现紧急情况下30s内各切断阀自动截断关停</w:t>
      </w:r>
      <w:r>
        <w:rPr>
          <w:rFonts w:cs="Times New Roman"/>
          <w:color w:val="000000" w:themeColor="text1"/>
          <w:highlight w:val="none"/>
          <w14:textFill>
            <w14:solidFill>
              <w14:schemeClr w14:val="tx1"/>
            </w14:solidFill>
          </w14:textFill>
        </w:rPr>
        <w:t>。</w:t>
      </w:r>
    </w:p>
    <w:p>
      <w:pPr>
        <w:pStyle w:val="5"/>
        <w:spacing w:before="120"/>
        <w:ind w:firstLine="480"/>
        <w:rPr>
          <w:b/>
          <w:color w:val="000000" w:themeColor="text1"/>
          <w:highlight w:val="none"/>
          <w:lang w:eastAsia="zh-CN"/>
          <w14:textFill>
            <w14:solidFill>
              <w14:schemeClr w14:val="tx1"/>
            </w14:solidFill>
          </w14:textFill>
        </w:rPr>
      </w:pPr>
      <w:bookmarkStart w:id="352" w:name="_Toc120173192"/>
      <w:r>
        <w:rPr>
          <w:color w:val="000000" w:themeColor="text1"/>
          <w:highlight w:val="none"/>
          <w:lang w:eastAsia="zh-CN"/>
          <w14:textFill>
            <w14:solidFill>
              <w14:schemeClr w14:val="tx1"/>
            </w14:solidFill>
          </w14:textFill>
        </w:rPr>
        <w:t>其他环境风险防范措施</w:t>
      </w:r>
      <w:bookmarkEnd w:id="352"/>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（1）井口装置总成各零部件损坏时，不得采用焊接方式来修补，应更换新的零部件。新购设备或零部件的材料、牌号、机械性能应与原装置或零部件的性能一致，且应有质量保证书。</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（2）本工程所属作业区建立健全义务消防组织，熟悉灭火作战方案，定期组织演练。应定期对消防设施、消防器材和灭火剂进行检查。灭火剂应每年全面检查一次，并定期更换。</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（3）岗位值班人员和干部对消防器材和消防设备应做到懂原理、懂性能、懂结构、懂用途、会使用、会保养、会检查。</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（4）对管道沿线周围的居民做好事故应急宣传，以保证一旦发生天然气泄漏事故时，居民做出正确反应。</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（5）</w:t>
      </w:r>
      <w:r>
        <w:rPr>
          <w:rFonts w:hint="eastAsia" w:cs="Times New Roman"/>
          <w:color w:val="000000" w:themeColor="text1"/>
          <w:highlight w:val="none"/>
          <w14:textFill>
            <w14:solidFill>
              <w14:schemeClr w14:val="tx1"/>
            </w14:solidFill>
          </w14:textFill>
        </w:rPr>
        <w:t>管道</w:t>
      </w:r>
      <w:r>
        <w:rPr>
          <w:rFonts w:cs="Times New Roman"/>
          <w:color w:val="000000" w:themeColor="text1"/>
          <w:highlight w:val="none"/>
          <w14:textFill>
            <w14:solidFill>
              <w14:schemeClr w14:val="tx1"/>
            </w14:solidFill>
          </w14:textFill>
        </w:rPr>
        <w:t xml:space="preserve">沿线人类活动频繁，管道沿线应标志清晰，巡线员定期巡线，发现危及管道安全的情况及时处理和汇报。 </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（6）对管道沿线的居民做好宣传，张贴《中华人民共和国石油天然气管道保护法》加强居民保护管道安全的知识和意识。</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7）根据《石油天然气管道安全规程》的规定，管道使用单位应制定定期检验计划：除日常巡检外，一年至少一次外部检验，由使用单位专职人员进行；全面检验每五年一次，由专业检验单位承担。外部检验包括管道损伤、变形缺陷、管道防腐层、绝热层、管道附件、安全装置</w:t>
      </w:r>
      <w:r>
        <w:rPr>
          <w:rFonts w:hint="eastAsia" w:cs="Times New Roman"/>
          <w:color w:val="000000" w:themeColor="text1"/>
          <w:highlight w:val="none"/>
          <w14:textFill>
            <w14:solidFill>
              <w14:schemeClr w14:val="tx1"/>
            </w14:solidFill>
          </w14:textFill>
        </w:rPr>
        <w:t>电弧</w:t>
      </w:r>
      <w:r>
        <w:rPr>
          <w:rFonts w:cs="Times New Roman"/>
          <w:color w:val="000000" w:themeColor="text1"/>
          <w:highlight w:val="none"/>
          <w14:textFill>
            <w14:solidFill>
              <w14:schemeClr w14:val="tx1"/>
            </w14:solidFill>
          </w14:textFill>
        </w:rPr>
        <w:t>保护系统和管道标志桩、测试桩和标志牌等。</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（8）管道防腐设备、检测仪器、仪表，应实行专人专责制，必须定期检定和正确使用。</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9）在今后的运营过程中，建设方必须保证站场设备设施运行正常以及各标示装置、标示设施的完整，并对周边群众，可能涉及管线的施工单位、施工人员做好宣传教育工作；加强巡检工作，编制应急预案并按照预案内容进行定期演练，定期采用试压等方式检验管线的封闭性；同时还必须同当地人民政府、规划部门、</w:t>
      </w:r>
      <w:r>
        <w:rPr>
          <w:rFonts w:hint="eastAsia" w:cs="Times New Roman"/>
          <w:color w:val="000000" w:themeColor="text1"/>
          <w:highlight w:val="none"/>
          <w14:textFill>
            <w14:solidFill>
              <w14:schemeClr w14:val="tx1"/>
            </w14:solidFill>
          </w14:textFill>
        </w:rPr>
        <w:t>生态环境</w:t>
      </w:r>
      <w:r>
        <w:rPr>
          <w:rFonts w:cs="Times New Roman"/>
          <w:color w:val="000000" w:themeColor="text1"/>
          <w:highlight w:val="none"/>
          <w14:textFill>
            <w14:solidFill>
              <w14:schemeClr w14:val="tx1"/>
            </w14:solidFill>
          </w14:textFill>
        </w:rPr>
        <w:t>局等做好协调工作，避免将来在撤离范围内规划建设有人居住的建构筑物。</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10）建设单位应与当地有关部门做好沟通，并加强对管线沿线居民对管线保护的宣传工作，特别是加强宣传《中华人民共和国石油天然气管道保护法》：在管道5m范围内不得“取土、挖塘、修渠、修建养殖水场，排放腐蚀性物质，堆放大宗物资，采石、盖房、建温室、垒家禽棚圈、修筑其他建筑物、构筑物或者种植深根植物”的宣传。</w:t>
      </w:r>
    </w:p>
    <w:p>
      <w:pPr>
        <w:pStyle w:val="4"/>
        <w:spacing w:before="120"/>
        <w:rPr>
          <w:color w:val="000000" w:themeColor="text1"/>
          <w:highlight w:val="none"/>
          <w:lang w:eastAsia="zh-CN"/>
          <w14:textFill>
            <w14:solidFill>
              <w14:schemeClr w14:val="tx1"/>
            </w14:solidFill>
          </w14:textFill>
        </w:rPr>
      </w:pPr>
      <w:bookmarkStart w:id="353" w:name="_Toc80793281"/>
      <w:bookmarkStart w:id="354" w:name="_Toc25244"/>
      <w:r>
        <w:rPr>
          <w:color w:val="000000" w:themeColor="text1"/>
          <w:highlight w:val="none"/>
          <w:lang w:eastAsia="zh-CN"/>
          <w14:textFill>
            <w14:solidFill>
              <w14:schemeClr w14:val="tx1"/>
            </w14:solidFill>
          </w14:textFill>
        </w:rPr>
        <w:t>应急</w:t>
      </w:r>
      <w:bookmarkEnd w:id="353"/>
      <w:r>
        <w:rPr>
          <w:color w:val="000000" w:themeColor="text1"/>
          <w:highlight w:val="none"/>
          <w:lang w:eastAsia="zh-CN"/>
          <w14:textFill>
            <w14:solidFill>
              <w14:schemeClr w14:val="tx1"/>
            </w14:solidFill>
          </w14:textFill>
        </w:rPr>
        <w:t>措施</w:t>
      </w:r>
      <w:bookmarkEnd w:id="354"/>
    </w:p>
    <w:p>
      <w:pPr>
        <w:pStyle w:val="5"/>
        <w:spacing w:before="120"/>
        <w:ind w:firstLine="480"/>
        <w:rPr>
          <w:b/>
          <w:color w:val="000000" w:themeColor="text1"/>
          <w:highlight w:val="none"/>
          <w:lang w:eastAsia="zh-CN"/>
          <w14:textFill>
            <w14:solidFill>
              <w14:schemeClr w14:val="tx1"/>
            </w14:solidFill>
          </w14:textFill>
        </w:rPr>
      </w:pPr>
      <w:bookmarkStart w:id="355" w:name="_Toc120173194"/>
      <w:r>
        <w:rPr>
          <w:rFonts w:hint="eastAsia"/>
          <w:color w:val="000000" w:themeColor="text1"/>
          <w:highlight w:val="none"/>
          <w:lang w:eastAsia="zh-CN"/>
          <w14:textFill>
            <w14:solidFill>
              <w14:schemeClr w14:val="tx1"/>
            </w14:solidFill>
          </w14:textFill>
        </w:rPr>
        <w:t>风险物质泄漏应急措施</w:t>
      </w:r>
      <w:bookmarkEnd w:id="355"/>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当天然气</w:t>
      </w:r>
      <w:r>
        <w:rPr>
          <w:rFonts w:hint="eastAsia"/>
          <w:color w:val="000000" w:themeColor="text1"/>
          <w:highlight w:val="none"/>
          <w14:textFill>
            <w14:solidFill>
              <w14:schemeClr w14:val="tx1"/>
            </w14:solidFill>
          </w14:textFill>
        </w:rPr>
        <w:t>试采</w:t>
      </w:r>
      <w:r>
        <w:rPr>
          <w:color w:val="000000" w:themeColor="text1"/>
          <w:highlight w:val="none"/>
          <w14:textFill>
            <w14:solidFill>
              <w14:schemeClr w14:val="tx1"/>
            </w14:solidFill>
          </w14:textFill>
        </w:rPr>
        <w:t>期间出现失控时，应立即通知并协助当地政府疏散井口500m范围内的散居农户等，周边较近的场镇居民、学校师生、医院医护人员和病人等。根据监测情况，考虑风向、地形、人口密度、受污染程度等情况及时作出风险和危害程度评估，决定是否扩大撤离范围。</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为了保障每位员工和井场周围群众的生命安全，应按正确的方法和方向撤离，每位接到撤离通知的员工和群众应按下列程序撤离：</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（1）群众由当地政府组织撤离；</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逃生时要注意风向，一要沿上风（逆风）方向逃生，二要沿着地面上的高处跑。撤离路线：建议撤离时根据风向，根据所在地道路分布情况转移至高处安全集合点，同时建设单位应引导周边群众撤离。撤离路线应根据实际风险进行调整，原则就是往上风向撤离。项目撤离路线均不受周边地形限制，项目区域主导风为东北风，撤离路线不位于下风向，因此撤离路线是合理的。</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（3）时间就是生命，紧急逃生时，不要因收贵重物品等事宜延误时间，并且要轻装撤离逃生。</w:t>
      </w:r>
    </w:p>
    <w:p>
      <w:pPr>
        <w:ind w:firstLine="480"/>
        <w:rPr>
          <w:rFonts w:cs="Times New Roman"/>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（4）当所处位置离井场很远时，则只要偏离风向往离井场越来越远的方向逃生即可</w:t>
      </w:r>
    </w:p>
    <w:p>
      <w:pPr>
        <w:pStyle w:val="5"/>
        <w:spacing w:before="120"/>
        <w:ind w:firstLine="480"/>
        <w:rPr>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火灾次生污染应急措施</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如火势较小，现场抢险人员确保安全情况下迅速判断火灾可能蔓延的位置，切断进入火灾事故地点的一切物料，然后立即启用现场各种消防设备、器材扑灭初期火灾和控制火源。</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（1）必须对燃烧强度进行控制，先消灭外围火灾，如地面火灾、建（构）筑火灾等。然后集中力量，控制主要火源。使之在一定范围内燃烧。</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（2）必要时采取堵漏或隔离措施，预防次生灾害扩大。据现场泄漏情况，研究制定堵漏方案，并严格按照堵漏方案实施，并迅速疏散受火势威胁的物料。</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（3）</w:t>
      </w:r>
      <w:r>
        <w:rPr>
          <w:rFonts w:cs="Times New Roman"/>
          <w:color w:val="000000" w:themeColor="text1"/>
          <w:highlight w:val="none"/>
          <w14:textFill>
            <w14:solidFill>
              <w14:schemeClr w14:val="tx1"/>
            </w14:solidFill>
          </w14:textFill>
        </w:rPr>
        <w:t>为了避免本项目火灾或爆炸事故对周围人群的影响，在发生火灾爆炸等事故状态下，应迅速撤离</w:t>
      </w:r>
      <w:r>
        <w:rPr>
          <w:rFonts w:hint="eastAsia" w:cs="Times New Roman"/>
          <w:color w:val="000000" w:themeColor="text1"/>
          <w:highlight w:val="none"/>
          <w14:textFill>
            <w14:solidFill>
              <w14:schemeClr w14:val="tx1"/>
            </w14:solidFill>
          </w14:textFill>
        </w:rPr>
        <w:t>事故周边距离较近</w:t>
      </w:r>
      <w:r>
        <w:rPr>
          <w:rFonts w:cs="Times New Roman"/>
          <w:color w:val="000000" w:themeColor="text1"/>
          <w:highlight w:val="none"/>
          <w14:textFill>
            <w14:solidFill>
              <w14:schemeClr w14:val="tx1"/>
            </w14:solidFill>
          </w14:textFill>
        </w:rPr>
        <w:t>人群，制定好各类事故状态下的疏散方案和疏散路线。</w:t>
      </w:r>
    </w:p>
    <w:p>
      <w:pPr>
        <w:pStyle w:val="5"/>
        <w:spacing w:before="120"/>
        <w:ind w:firstLine="480"/>
        <w:rPr>
          <w:b/>
          <w:color w:val="000000" w:themeColor="text1"/>
          <w:highlight w:val="none"/>
          <w:lang w:eastAsia="zh-CN"/>
          <w14:textFill>
            <w14:solidFill>
              <w14:schemeClr w14:val="tx1"/>
            </w14:solidFill>
          </w14:textFill>
        </w:rPr>
      </w:pPr>
      <w:bookmarkStart w:id="356" w:name="_Toc120173197"/>
      <w:r>
        <w:rPr>
          <w:rFonts w:hint="eastAsia"/>
          <w:color w:val="000000" w:themeColor="text1"/>
          <w:highlight w:val="none"/>
          <w:lang w:eastAsia="zh-CN"/>
          <w14:textFill>
            <w14:solidFill>
              <w14:schemeClr w14:val="tx1"/>
            </w14:solidFill>
          </w14:textFill>
        </w:rPr>
        <w:t>敏感目标风险事故应急措施</w:t>
      </w:r>
      <w:bookmarkEnd w:id="356"/>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1）警戒组人员封锁事故现场，建立现场抢险救援工作区域。根据事故的类别、规模和危害程度，天气条件（特别是风向、气温）等因素，设立现场抢险工作区域，设置警戒线和警示标志。一般情况下，警戒区域范围为事故地点上风口距事故地中心</w:t>
      </w:r>
      <w:r>
        <w:rPr>
          <w:rFonts w:cs="Times New Roman"/>
          <w:color w:val="000000" w:themeColor="text1"/>
          <w:highlight w:val="none"/>
          <w14:textFill>
            <w14:solidFill>
              <w14:schemeClr w14:val="tx1"/>
            </w14:solidFill>
          </w14:textFill>
        </w:rPr>
        <w:t>40</w:t>
      </w:r>
      <w:r>
        <w:rPr>
          <w:rFonts w:hint="eastAsia" w:cs="Times New Roman"/>
          <w:color w:val="000000" w:themeColor="text1"/>
          <w:highlight w:val="none"/>
          <w14:textFill>
            <w14:solidFill>
              <w14:schemeClr w14:val="tx1"/>
            </w14:solidFill>
          </w14:textFill>
        </w:rPr>
        <w:t>米，下风口距事故中心</w:t>
      </w:r>
      <w:r>
        <w:rPr>
          <w:rFonts w:cs="Times New Roman"/>
          <w:color w:val="000000" w:themeColor="text1"/>
          <w:highlight w:val="none"/>
          <w14:textFill>
            <w14:solidFill>
              <w14:schemeClr w14:val="tx1"/>
            </w14:solidFill>
          </w14:textFill>
        </w:rPr>
        <w:t>50</w:t>
      </w:r>
      <w:r>
        <w:rPr>
          <w:rFonts w:hint="eastAsia" w:cs="Times New Roman"/>
          <w:color w:val="000000" w:themeColor="text1"/>
          <w:highlight w:val="none"/>
          <w14:textFill>
            <w14:solidFill>
              <w14:schemeClr w14:val="tx1"/>
            </w14:solidFill>
          </w14:textFill>
        </w:rPr>
        <w:t>米内，并安排人员警戒。工作区域内，严禁一切无关人员、车辆和物品进入，严禁一切明火，关闭手机，禁止一切电器的使用。同时，开辟应急救援人员、车辆及物资进出的安全通道，并安排专人负责引导监护工作。其中：抢险车辆进入抢险工作区域必须安装阻火器，车辆停放必须听引导人员指挥。现场抢险救援工作区域一般设立危险区域、缓冲区域、安全区域。</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（2）当发生环境风险物质泄漏、着火、爆炸时，疏散组人员应设立疏散区域，危险区域、缓冲区域、安全区域、疏散区域内严禁明火、必须切断电源，严禁电器使用，关闭区域内所有机动车辆。</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3）非事故现场人员紧急疏散：发生环境风险物质泄漏、着火、爆炸时，应急救援指挥应立即确定事发地周边居民和群众的疏散区域，下达人员疏散指令，疏散组应组织人员疏散和清场检查，疏散过程中，可通过广播、手机、发出紧急公告或派出宣传队等进行疏散工作，并做好疏散过程中的医疗、卫生保障和救助或者告知自我救护方法。在疏散中，应组织群众向上风向，迎风疏散转移。</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（4）</w:t>
      </w:r>
      <w:r>
        <w:rPr>
          <w:rFonts w:cs="Times New Roman"/>
          <w:color w:val="000000" w:themeColor="text1"/>
          <w:highlight w:val="none"/>
          <w14:textFill>
            <w14:solidFill>
              <w14:schemeClr w14:val="tx1"/>
            </w14:solidFill>
          </w14:textFill>
        </w:rPr>
        <w:t>事故现场人员疏散：当事故发展趋势无法控制时，如压力容器爆炸、</w:t>
      </w:r>
      <w:r>
        <w:rPr>
          <w:rFonts w:hint="eastAsia" w:cs="Times New Roman"/>
          <w:color w:val="000000" w:themeColor="text1"/>
          <w:highlight w:val="none"/>
          <w14:textFill>
            <w14:solidFill>
              <w14:schemeClr w14:val="tx1"/>
            </w14:solidFill>
          </w14:textFill>
        </w:rPr>
        <w:t>油类、天然气</w:t>
      </w:r>
      <w:r>
        <w:rPr>
          <w:rFonts w:cs="Times New Roman"/>
          <w:color w:val="000000" w:themeColor="text1"/>
          <w:highlight w:val="none"/>
          <w14:textFill>
            <w14:solidFill>
              <w14:schemeClr w14:val="tx1"/>
            </w14:solidFill>
          </w14:textFill>
        </w:rPr>
        <w:t>大量泄漏着火，火势严重，需请求上级主管部门、119、110、120救助时，应急救援指挥应立即下达疏散指令，现场指挥员马上进行清点现场抢险人员，撤离时，应急人员必须做好个人安全防护，并记好逃生路线，从事故地风向上游逃生，撤离后，所有现场抢险人员就应在指定地点集中清点。</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（5）为泄漏影响范围内的居民提供桶装水、罐车拉水等日常生活用水。</w:t>
      </w:r>
    </w:p>
    <w:p>
      <w:pPr>
        <w:pStyle w:val="5"/>
        <w:spacing w:before="120"/>
        <w:ind w:firstLine="480"/>
        <w:rPr>
          <w:b/>
          <w:color w:val="000000" w:themeColor="text1"/>
          <w:highlight w:val="none"/>
          <w:lang w:eastAsia="zh-CN"/>
          <w14:textFill>
            <w14:solidFill>
              <w14:schemeClr w14:val="tx1"/>
            </w14:solidFill>
          </w14:textFill>
        </w:rPr>
      </w:pPr>
      <w:bookmarkStart w:id="357" w:name="_Toc120173198"/>
      <w:r>
        <w:rPr>
          <w:color w:val="000000" w:themeColor="text1"/>
          <w:highlight w:val="none"/>
          <w:lang w:eastAsia="zh-CN"/>
          <w14:textFill>
            <w14:solidFill>
              <w14:schemeClr w14:val="tx1"/>
            </w14:solidFill>
          </w14:textFill>
        </w:rPr>
        <w:t>废水</w:t>
      </w:r>
      <w:r>
        <w:rPr>
          <w:rFonts w:hint="eastAsia"/>
          <w:color w:val="000000" w:themeColor="text1"/>
          <w:highlight w:val="none"/>
          <w:lang w:eastAsia="zh-CN"/>
          <w14:textFill>
            <w14:solidFill>
              <w14:schemeClr w14:val="tx1"/>
            </w14:solidFill>
          </w14:textFill>
        </w:rPr>
        <w:t>泄漏</w:t>
      </w:r>
      <w:r>
        <w:rPr>
          <w:color w:val="000000" w:themeColor="text1"/>
          <w:highlight w:val="none"/>
          <w:lang w:eastAsia="zh-CN"/>
          <w14:textFill>
            <w14:solidFill>
              <w14:schemeClr w14:val="tx1"/>
            </w14:solidFill>
          </w14:textFill>
        </w:rPr>
        <w:t>应急措施</w:t>
      </w:r>
      <w:bookmarkEnd w:id="357"/>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（1）当</w:t>
      </w:r>
      <w:r>
        <w:rPr>
          <w:rFonts w:hint="eastAsia" w:cs="Times New Roman"/>
          <w:color w:val="000000" w:themeColor="text1"/>
          <w:highlight w:val="none"/>
          <w14:textFill>
            <w14:solidFill>
              <w14:schemeClr w14:val="tx1"/>
            </w14:solidFill>
          </w14:textFill>
        </w:rPr>
        <w:t>气田水</w:t>
      </w:r>
      <w:r>
        <w:rPr>
          <w:rFonts w:cs="Times New Roman"/>
          <w:color w:val="000000" w:themeColor="text1"/>
          <w:highlight w:val="none"/>
          <w14:textFill>
            <w14:solidFill>
              <w14:schemeClr w14:val="tx1"/>
            </w14:solidFill>
          </w14:textFill>
        </w:rPr>
        <w:t>外溢时，应及时围堵，并及时进行清理，确保废水不进入河流中。</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（2）对受泄露</w:t>
      </w:r>
      <w:r>
        <w:rPr>
          <w:rFonts w:hint="eastAsia" w:cs="Times New Roman"/>
          <w:color w:val="000000" w:themeColor="text1"/>
          <w:highlight w:val="none"/>
          <w14:textFill>
            <w14:solidFill>
              <w14:schemeClr w14:val="tx1"/>
            </w14:solidFill>
          </w14:textFill>
        </w:rPr>
        <w:t>气田水</w:t>
      </w:r>
      <w:r>
        <w:rPr>
          <w:rFonts w:cs="Times New Roman"/>
          <w:color w:val="000000" w:themeColor="text1"/>
          <w:highlight w:val="none"/>
          <w14:textFill>
            <w14:solidFill>
              <w14:schemeClr w14:val="tx1"/>
            </w14:solidFill>
          </w14:textFill>
        </w:rPr>
        <w:t>污染的土壤进行清理和置换，确保农业生产不受影响，同时避免雨水冲刷进入河流中。</w:t>
      </w:r>
    </w:p>
    <w:p>
      <w:pPr>
        <w:pStyle w:val="5"/>
        <w:spacing w:before="120"/>
        <w:ind w:firstLine="480"/>
        <w:rPr>
          <w:b/>
          <w:color w:val="000000" w:themeColor="text1"/>
          <w:highlight w:val="none"/>
          <w:lang w:eastAsia="zh-CN"/>
          <w14:textFill>
            <w14:solidFill>
              <w14:schemeClr w14:val="tx1"/>
            </w14:solidFill>
          </w14:textFill>
        </w:rPr>
      </w:pPr>
      <w:bookmarkStart w:id="358" w:name="_Toc120173199"/>
      <w:r>
        <w:rPr>
          <w:color w:val="000000" w:themeColor="text1"/>
          <w:highlight w:val="none"/>
          <w:lang w:eastAsia="zh-CN"/>
          <w14:textFill>
            <w14:solidFill>
              <w14:schemeClr w14:val="tx1"/>
            </w14:solidFill>
          </w14:textFill>
        </w:rPr>
        <w:t>外运过程应急措施</w:t>
      </w:r>
      <w:bookmarkEnd w:id="358"/>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废水外运均采用密闭罐车运输，罐体为钢板密封罐，发生翻车</w:t>
      </w:r>
      <w:r>
        <w:rPr>
          <w:rFonts w:hint="eastAsia" w:cs="Times New Roman"/>
          <w:color w:val="000000" w:themeColor="text1"/>
          <w:highlight w:val="none"/>
          <w14:textFill>
            <w14:solidFill>
              <w14:schemeClr w14:val="tx1"/>
            </w14:solidFill>
          </w14:textFill>
        </w:rPr>
        <w:t>泄漏的概率</w:t>
      </w:r>
      <w:r>
        <w:rPr>
          <w:rFonts w:cs="Times New Roman"/>
          <w:color w:val="000000" w:themeColor="text1"/>
          <w:highlight w:val="none"/>
          <w14:textFill>
            <w14:solidFill>
              <w14:schemeClr w14:val="tx1"/>
            </w14:solidFill>
          </w14:textFill>
        </w:rPr>
        <w:t>很小，且</w:t>
      </w:r>
      <w:r>
        <w:rPr>
          <w:rFonts w:hint="eastAsia" w:cs="Times New Roman"/>
          <w:color w:val="000000" w:themeColor="text1"/>
          <w:highlight w:val="none"/>
          <w14:textFill>
            <w14:solidFill>
              <w14:schemeClr w14:val="tx1"/>
            </w14:solidFill>
          </w14:textFill>
        </w:rPr>
        <w:t>气田水</w:t>
      </w:r>
      <w:r>
        <w:rPr>
          <w:rFonts w:cs="Times New Roman"/>
          <w:color w:val="000000" w:themeColor="text1"/>
          <w:highlight w:val="none"/>
          <w14:textFill>
            <w14:solidFill>
              <w14:schemeClr w14:val="tx1"/>
            </w14:solidFill>
          </w14:textFill>
        </w:rPr>
        <w:t>无有毒有害物质，罐车输送的量约10t/车，一次运输量不大，发生事故时对环境也不会造成重大环境影响。一旦发生事故，废水外溢造成环境污染时，现场人员应及时向上级汇报并视情况向当地生态环境局汇报，同时采取有力措施，防止污染扩大。应急抢险应以尽量减少泄</w:t>
      </w:r>
      <w:r>
        <w:rPr>
          <w:rFonts w:hint="eastAsia" w:cs="Times New Roman"/>
          <w:color w:val="000000" w:themeColor="text1"/>
          <w:highlight w:val="none"/>
          <w14:textFill>
            <w14:solidFill>
              <w14:schemeClr w14:val="tx1"/>
            </w14:solidFill>
          </w14:textFill>
        </w:rPr>
        <w:t>漏</w:t>
      </w:r>
      <w:r>
        <w:rPr>
          <w:rFonts w:cs="Times New Roman"/>
          <w:color w:val="000000" w:themeColor="text1"/>
          <w:highlight w:val="none"/>
          <w14:textFill>
            <w14:solidFill>
              <w14:schemeClr w14:val="tx1"/>
            </w14:solidFill>
          </w14:textFill>
        </w:rPr>
        <w:t>量、控制废水扩散范围为基本原则。施工单位须制定出应急救援预案和与当地政府和有关部门建立相衔接的应急救援体系，并按规定程序报批后进行宣传和演练，加强信息交流，建立与相关方面的通讯联络系统。</w:t>
      </w:r>
    </w:p>
    <w:p>
      <w:pPr>
        <w:pStyle w:val="5"/>
        <w:spacing w:before="120"/>
        <w:ind w:firstLine="480"/>
        <w:rPr>
          <w:b/>
          <w:color w:val="000000" w:themeColor="text1"/>
          <w:highlight w:val="none"/>
          <w:lang w:eastAsia="zh-CN"/>
          <w14:textFill>
            <w14:solidFill>
              <w14:schemeClr w14:val="tx1"/>
            </w14:solidFill>
          </w14:textFill>
        </w:rPr>
      </w:pPr>
      <w:bookmarkStart w:id="359" w:name="_Toc120173201"/>
      <w:r>
        <w:rPr>
          <w:color w:val="000000" w:themeColor="text1"/>
          <w:highlight w:val="none"/>
          <w:lang w:eastAsia="zh-CN"/>
          <w14:textFill>
            <w14:solidFill>
              <w14:schemeClr w14:val="tx1"/>
            </w14:solidFill>
          </w14:textFill>
        </w:rPr>
        <w:t>事故发生后外环境污染物的消除方案</w:t>
      </w:r>
      <w:bookmarkEnd w:id="359"/>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当发生天然气扩散时，应及时进行</w:t>
      </w:r>
      <w:r>
        <w:rPr>
          <w:rFonts w:hint="eastAsia" w:cs="Times New Roman"/>
          <w:color w:val="000000" w:themeColor="text1"/>
          <w:highlight w:val="none"/>
          <w14:textFill>
            <w14:solidFill>
              <w14:schemeClr w14:val="tx1"/>
            </w14:solidFill>
          </w14:textFill>
        </w:rPr>
        <w:t>控制</w:t>
      </w:r>
      <w:r>
        <w:rPr>
          <w:rFonts w:cs="Times New Roman"/>
          <w:color w:val="000000" w:themeColor="text1"/>
          <w:highlight w:val="none"/>
          <w14:textFill>
            <w14:solidFill>
              <w14:schemeClr w14:val="tx1"/>
            </w14:solidFill>
          </w14:textFill>
        </w:rPr>
        <w:t>，争取最短时间控制</w:t>
      </w:r>
      <w:r>
        <w:rPr>
          <w:rFonts w:hint="eastAsia" w:cs="Times New Roman"/>
          <w:color w:val="000000" w:themeColor="text1"/>
          <w:highlight w:val="none"/>
          <w14:textFill>
            <w14:solidFill>
              <w14:schemeClr w14:val="tx1"/>
            </w14:solidFill>
          </w14:textFill>
        </w:rPr>
        <w:t>泄漏</w:t>
      </w:r>
      <w:r>
        <w:rPr>
          <w:rFonts w:cs="Times New Roman"/>
          <w:color w:val="000000" w:themeColor="text1"/>
          <w:highlight w:val="none"/>
          <w14:textFill>
            <w14:solidFill>
              <w14:schemeClr w14:val="tx1"/>
            </w14:solidFill>
          </w14:textFill>
        </w:rPr>
        <w:t>源头，尽可能切断</w:t>
      </w:r>
      <w:r>
        <w:rPr>
          <w:rFonts w:cs="Times New Roman"/>
          <w:bCs/>
          <w:color w:val="000000" w:themeColor="text1"/>
          <w:highlight w:val="none"/>
          <w14:textFill>
            <w14:solidFill>
              <w14:schemeClr w14:val="tx1"/>
            </w14:solidFill>
          </w14:textFill>
        </w:rPr>
        <w:t>泄漏</w:t>
      </w:r>
      <w:r>
        <w:rPr>
          <w:rFonts w:cs="Times New Roman"/>
          <w:color w:val="000000" w:themeColor="text1"/>
          <w:highlight w:val="none"/>
          <w14:textFill>
            <w14:solidFill>
              <w14:schemeClr w14:val="tx1"/>
            </w14:solidFill>
          </w14:textFill>
        </w:rPr>
        <w:t>源。天然气扩散时间短，通过空气流动自然扩散降低空气中可燃气体浓度。</w:t>
      </w:r>
      <w:r>
        <w:rPr>
          <w:rFonts w:hint="eastAsia" w:cs="Times New Roman"/>
          <w:color w:val="000000" w:themeColor="text1"/>
          <w:highlight w:val="none"/>
          <w14:textFill>
            <w14:solidFill>
              <w14:schemeClr w14:val="tx1"/>
            </w14:solidFill>
          </w14:textFill>
        </w:rPr>
        <w:t>泄漏气体</w:t>
      </w:r>
      <w:r>
        <w:rPr>
          <w:rFonts w:cs="Times New Roman"/>
          <w:color w:val="000000" w:themeColor="text1"/>
          <w:highlight w:val="none"/>
          <w14:textFill>
            <w14:solidFill>
              <w14:schemeClr w14:val="tx1"/>
            </w14:solidFill>
          </w14:textFill>
        </w:rPr>
        <w:t>点燃后可通过空气流动自然扩散和自然降雨降低空气中污染物浓度。对洒水收集的废水经收集后单独处理达标排放。</w:t>
      </w:r>
    </w:p>
    <w:p>
      <w:pPr>
        <w:pStyle w:val="5"/>
        <w:spacing w:before="120"/>
        <w:ind w:firstLine="480"/>
        <w:rPr>
          <w:b/>
          <w:color w:val="000000" w:themeColor="text1"/>
          <w:highlight w:val="none"/>
          <w:lang w:eastAsia="zh-CN"/>
          <w14:textFill>
            <w14:solidFill>
              <w14:schemeClr w14:val="tx1"/>
            </w14:solidFill>
          </w14:textFill>
        </w:rPr>
      </w:pPr>
      <w:bookmarkStart w:id="360" w:name="_Toc120173202"/>
      <w:r>
        <w:rPr>
          <w:color w:val="000000" w:themeColor="text1"/>
          <w:highlight w:val="none"/>
          <w:lang w:eastAsia="zh-CN"/>
          <w14:textFill>
            <w14:solidFill>
              <w14:schemeClr w14:val="tx1"/>
            </w14:solidFill>
          </w14:textFill>
        </w:rPr>
        <w:t>宣传、培训和演习</w:t>
      </w:r>
      <w:bookmarkEnd w:id="360"/>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1）公众信息交流。各级政府、天然气开采企业要按规定向公众和员工说明天然气开采的危险性及发生事故可能造成的危害，广泛宣传应急救援有关法律法规和天然气开采事故预防、避险、避灾、自救、互救的常识。</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2）培训。天然气开采有关应急救援队伍按照有关规定参加业务培训；天然气开发企业按照有关规定对员工进行应急培训；各级安全生产监督管理部门负责对应急救援培训情况进行监督检查。各级应急救援管理机构加强应急管理、救援人员的上岗前培训和常规性培训。</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（3）演习。普光分公司及所属单位每年至少组织一次环境事故应急的桌面演练或全面演习，并将演习总结报应急办公室。</w:t>
      </w:r>
    </w:p>
    <w:p>
      <w:pPr>
        <w:pStyle w:val="5"/>
        <w:spacing w:before="120"/>
        <w:ind w:firstLine="480"/>
        <w:rPr>
          <w:b/>
          <w:color w:val="000000" w:themeColor="text1"/>
          <w:highlight w:val="none"/>
          <w:lang w:eastAsia="zh-CN"/>
          <w14:textFill>
            <w14:solidFill>
              <w14:schemeClr w14:val="tx1"/>
            </w14:solidFill>
          </w14:textFill>
        </w:rPr>
      </w:pPr>
      <w:bookmarkStart w:id="361" w:name="_Toc120173203"/>
      <w:r>
        <w:rPr>
          <w:color w:val="000000" w:themeColor="text1"/>
          <w:highlight w:val="none"/>
          <w:lang w:eastAsia="zh-CN"/>
          <w14:textFill>
            <w14:solidFill>
              <w14:schemeClr w14:val="tx1"/>
            </w14:solidFill>
          </w14:textFill>
        </w:rPr>
        <w:t>风险管理措施</w:t>
      </w:r>
      <w:bookmarkEnd w:id="361"/>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普光分公司成立专门的为应对油气勘探、开发等生产经营过程中可能发生的重大突发事故，最大限度地保障人民群众生命和财产安全，减轻事故灾害。普光分公司建立了详细周密的应急救援体系，设立了三级应急救援网络。</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普光分公司应急领导小组负责所属范围内所有重、特大事故的应急管理。定期组织、检查、审核等五个专业事故应急小组职责履行情况。发生重大事故，专业应急小组进行应急指挥、调度、抢险、施救、现场调查、恢复生产等工作，普光分公司应急领导小组协调有关工作。对特大事故，普光分公司应急领导小组直接负责事故现场指挥、调度、抢险、施救、恢复生产，并会同地方政府、股份公司开展事故调查等工作。</w:t>
      </w:r>
    </w:p>
    <w:p>
      <w:pPr>
        <w:pStyle w:val="5"/>
        <w:spacing w:before="120"/>
        <w:ind w:firstLine="480"/>
        <w:rPr>
          <w:b/>
          <w:color w:val="000000" w:themeColor="text1"/>
          <w:highlight w:val="none"/>
          <w:lang w:eastAsia="zh-CN"/>
          <w14:textFill>
            <w14:solidFill>
              <w14:schemeClr w14:val="tx1"/>
            </w14:solidFill>
          </w14:textFill>
        </w:rPr>
      </w:pPr>
      <w:bookmarkStart w:id="362" w:name="_Toc120173204"/>
      <w:r>
        <w:rPr>
          <w:color w:val="000000" w:themeColor="text1"/>
          <w:highlight w:val="none"/>
          <w:lang w:eastAsia="zh-CN"/>
          <w14:textFill>
            <w14:solidFill>
              <w14:schemeClr w14:val="tx1"/>
            </w14:solidFill>
          </w14:textFill>
        </w:rPr>
        <w:t>应急联动</w:t>
      </w:r>
      <w:bookmarkEnd w:id="362"/>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（1）上层联动：本项目所在的达州市、宣汉县</w:t>
      </w:r>
      <w:r>
        <w:rPr>
          <w:rFonts w:hint="eastAsia" w:cs="Times New Roman"/>
          <w:color w:val="000000" w:themeColor="text1"/>
          <w:highlight w:val="none"/>
          <w14:textFill>
            <w14:solidFill>
              <w14:schemeClr w14:val="tx1"/>
            </w14:solidFill>
          </w14:textFill>
        </w:rPr>
        <w:t>、通川区、</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14:textFill>
            <w14:solidFill>
              <w14:schemeClr w14:val="tx1"/>
            </w14:solidFill>
          </w14:textFill>
        </w:rPr>
        <w:t>、魏兴镇</w:t>
      </w:r>
      <w:r>
        <w:rPr>
          <w:rFonts w:cs="Times New Roman"/>
          <w:color w:val="000000" w:themeColor="text1"/>
          <w:highlight w:val="none"/>
          <w14:textFill>
            <w14:solidFill>
              <w14:schemeClr w14:val="tx1"/>
            </w14:solidFill>
          </w14:textFill>
        </w:rPr>
        <w:t>政府均设置有应急管理办公室，工程的建设和运行得到了当地各级政府的大力支持，因此，在企业自身建立并完善应急响应机制的前提下，与地方进一步强化应急联动，应急联动具有可行性。</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（2）下层联动：开展项目周边人居调查工作，结合项目周边人员分布情况，落实紧急情况下的应急联络人，确保有效组织环境风险事故下的应急撤离。</w:t>
      </w:r>
    </w:p>
    <w:p>
      <w:pPr>
        <w:pStyle w:val="5"/>
        <w:spacing w:before="120"/>
        <w:ind w:firstLine="480"/>
        <w:rPr>
          <w:b/>
          <w:color w:val="000000" w:themeColor="text1"/>
          <w:highlight w:val="none"/>
          <w:lang w:eastAsia="zh-CN"/>
          <w14:textFill>
            <w14:solidFill>
              <w14:schemeClr w14:val="tx1"/>
            </w14:solidFill>
          </w14:textFill>
        </w:rPr>
      </w:pPr>
      <w:bookmarkStart w:id="363" w:name="_Toc120173206"/>
      <w:r>
        <w:rPr>
          <w:color w:val="000000" w:themeColor="text1"/>
          <w:highlight w:val="none"/>
          <w:lang w:eastAsia="zh-CN"/>
          <w14:textFill>
            <w14:solidFill>
              <w14:schemeClr w14:val="tx1"/>
            </w14:solidFill>
          </w14:textFill>
        </w:rPr>
        <w:t>本项目环境风险应急预案</w:t>
      </w:r>
      <w:bookmarkEnd w:id="363"/>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根据前述环境风险事故分析，本次评价将针对本项目试采作业的特点，结合企业制定的应急预案，提出试采期环境风险事故应急预案编制要求，供企业及有关部门参考。</w:t>
      </w:r>
      <w:r>
        <w:rPr>
          <w:color w:val="000000" w:themeColor="text1"/>
          <w:highlight w:val="none"/>
          <w14:textFill>
            <w14:solidFill>
              <w14:schemeClr w14:val="tx1"/>
            </w14:solidFill>
          </w14:textFill>
        </w:rPr>
        <w:t>见表6.6-1。</w:t>
      </w:r>
    </w:p>
    <w:p>
      <w:pPr>
        <w:pStyle w:val="19"/>
        <w:tabs>
          <w:tab w:val="left" w:pos="863"/>
        </w:tabs>
        <w:spacing w:before="0"/>
        <w:ind w:left="0" w:firstLine="210"/>
        <w:jc w:val="center"/>
        <w:rPr>
          <w:rFonts w:ascii="Times New Roman" w:hAnsi="Times New Roman" w:eastAsia="黑体"/>
          <w:color w:val="000000" w:themeColor="text1"/>
          <w:sz w:val="21"/>
          <w:szCs w:val="21"/>
          <w:highlight w:val="none"/>
          <w:lang w:eastAsia="zh-CN"/>
          <w14:textFill>
            <w14:solidFill>
              <w14:schemeClr w14:val="tx1"/>
            </w14:solidFill>
          </w14:textFill>
        </w:rPr>
      </w:pPr>
    </w:p>
    <w:p>
      <w:pPr>
        <w:pStyle w:val="19"/>
        <w:tabs>
          <w:tab w:val="left" w:pos="863"/>
        </w:tabs>
        <w:spacing w:before="0"/>
        <w:ind w:left="0" w:firstLine="210"/>
        <w:jc w:val="center"/>
        <w:rPr>
          <w:rFonts w:ascii="Times New Roman" w:hAnsi="Times New Roman" w:eastAsia="黑体"/>
          <w:color w:val="000000" w:themeColor="text1"/>
          <w:sz w:val="21"/>
          <w:szCs w:val="21"/>
          <w:highlight w:val="none"/>
          <w:lang w:eastAsia="zh-CN"/>
          <w14:textFill>
            <w14:solidFill>
              <w14:schemeClr w14:val="tx1"/>
            </w14:solidFill>
          </w14:textFill>
        </w:rPr>
      </w:pPr>
      <w:r>
        <w:rPr>
          <w:rFonts w:ascii="Times New Roman" w:hAnsi="Times New Roman" w:eastAsia="黑体"/>
          <w:color w:val="000000" w:themeColor="text1"/>
          <w:sz w:val="21"/>
          <w:szCs w:val="21"/>
          <w:highlight w:val="none"/>
          <w:lang w:eastAsia="zh-CN"/>
          <w14:textFill>
            <w14:solidFill>
              <w14:schemeClr w14:val="tx1"/>
            </w14:solidFill>
          </w14:textFill>
        </w:rPr>
        <w:t>表6.6-1  应急预案主要内容一览表</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9"/>
        <w:gridCol w:w="1194"/>
        <w:gridCol w:w="66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428" w:type="pct"/>
            <w:vAlign w:val="center"/>
          </w:tcPr>
          <w:p>
            <w:pPr>
              <w:pStyle w:val="377"/>
              <w:rPr>
                <w:b/>
                <w:color w:val="000000" w:themeColor="text1"/>
                <w:highlight w:val="none"/>
                <w14:textFill>
                  <w14:solidFill>
                    <w14:schemeClr w14:val="tx1"/>
                  </w14:solidFill>
                </w14:textFill>
              </w:rPr>
            </w:pPr>
            <w:r>
              <w:rPr>
                <w:b/>
                <w:color w:val="000000" w:themeColor="text1"/>
                <w:highlight w:val="none"/>
                <w14:textFill>
                  <w14:solidFill>
                    <w14:schemeClr w14:val="tx1"/>
                  </w14:solidFill>
                </w14:textFill>
              </w:rPr>
              <w:t>序号</w:t>
            </w:r>
          </w:p>
        </w:tc>
        <w:tc>
          <w:tcPr>
            <w:tcW w:w="700" w:type="pct"/>
            <w:vAlign w:val="center"/>
          </w:tcPr>
          <w:p>
            <w:pPr>
              <w:pStyle w:val="377"/>
              <w:rPr>
                <w:b/>
                <w:color w:val="000000" w:themeColor="text1"/>
                <w:highlight w:val="none"/>
                <w14:textFill>
                  <w14:solidFill>
                    <w14:schemeClr w14:val="tx1"/>
                  </w14:solidFill>
                </w14:textFill>
              </w:rPr>
            </w:pPr>
            <w:r>
              <w:rPr>
                <w:b/>
                <w:color w:val="000000" w:themeColor="text1"/>
                <w:highlight w:val="none"/>
                <w14:textFill>
                  <w14:solidFill>
                    <w14:schemeClr w14:val="tx1"/>
                  </w14:solidFill>
                </w14:textFill>
              </w:rPr>
              <w:t>项目</w:t>
            </w:r>
          </w:p>
        </w:tc>
        <w:tc>
          <w:tcPr>
            <w:tcW w:w="3872" w:type="pct"/>
            <w:vAlign w:val="center"/>
          </w:tcPr>
          <w:p>
            <w:pPr>
              <w:pStyle w:val="377"/>
              <w:rPr>
                <w:b/>
                <w:color w:val="000000" w:themeColor="text1"/>
                <w:highlight w:val="none"/>
                <w14:textFill>
                  <w14:solidFill>
                    <w14:schemeClr w14:val="tx1"/>
                  </w14:solidFill>
                </w14:textFill>
              </w:rPr>
            </w:pPr>
            <w:r>
              <w:rPr>
                <w:b/>
                <w:color w:val="000000" w:themeColor="text1"/>
                <w:highlight w:val="none"/>
                <w14:textFill>
                  <w14:solidFill>
                    <w14:schemeClr w14:val="tx1"/>
                  </w14:solidFill>
                </w14:textFill>
              </w:rPr>
              <w:t>内容及要求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8" w:type="pct"/>
            <w:vAlign w:val="center"/>
          </w:tcPr>
          <w:p>
            <w:pPr>
              <w:pStyle w:val="37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700" w:type="pct"/>
            <w:vAlign w:val="center"/>
          </w:tcPr>
          <w:p>
            <w:pPr>
              <w:pStyle w:val="37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应急计划区</w:t>
            </w:r>
          </w:p>
        </w:tc>
        <w:tc>
          <w:tcPr>
            <w:tcW w:w="3872" w:type="pct"/>
            <w:vAlign w:val="center"/>
          </w:tcPr>
          <w:p>
            <w:pPr>
              <w:pStyle w:val="37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危险目标：开采生产装置区</w:t>
            </w:r>
          </w:p>
          <w:p>
            <w:pPr>
              <w:pStyle w:val="37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环境保护目标：井口周边0～500m为紧急撤离范围。当</w:t>
            </w:r>
            <w:r>
              <w:rPr>
                <w:rFonts w:hint="eastAsia"/>
                <w:color w:val="000000" w:themeColor="text1"/>
                <w:highlight w:val="none"/>
                <w14:textFill>
                  <w14:solidFill>
                    <w14:schemeClr w14:val="tx1"/>
                  </w14:solidFill>
                </w14:textFill>
              </w:rPr>
              <w:t>泄漏事故</w:t>
            </w:r>
            <w:r>
              <w:rPr>
                <w:color w:val="000000" w:themeColor="text1"/>
                <w:highlight w:val="none"/>
                <w14:textFill>
                  <w14:solidFill>
                    <w14:schemeClr w14:val="tx1"/>
                  </w14:solidFill>
                </w14:textFill>
              </w:rPr>
              <w:t>并且失控时，一般撤离范围可根据监测情况决定。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8" w:type="pct"/>
            <w:vAlign w:val="center"/>
          </w:tcPr>
          <w:p>
            <w:pPr>
              <w:pStyle w:val="37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700" w:type="pct"/>
            <w:vAlign w:val="center"/>
          </w:tcPr>
          <w:p>
            <w:pPr>
              <w:pStyle w:val="37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应急组织机构、人员</w:t>
            </w:r>
          </w:p>
        </w:tc>
        <w:tc>
          <w:tcPr>
            <w:tcW w:w="3872" w:type="pct"/>
            <w:vAlign w:val="center"/>
          </w:tcPr>
          <w:p>
            <w:pPr>
              <w:pStyle w:val="37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组织机构为</w:t>
            </w:r>
            <w:r>
              <w:rPr>
                <w:color w:val="000000" w:themeColor="text1"/>
                <w:szCs w:val="24"/>
                <w:highlight w:val="none"/>
                <w14:textFill>
                  <w14:solidFill>
                    <w14:schemeClr w14:val="tx1"/>
                  </w14:solidFill>
                </w14:textFill>
              </w:rPr>
              <w:t>中国石油化工股份有限公司中原油田普光分公司</w:t>
            </w:r>
            <w:r>
              <w:rPr>
                <w:color w:val="000000" w:themeColor="text1"/>
                <w:highlight w:val="none"/>
                <w14:textFill>
                  <w14:solidFill>
                    <w14:schemeClr w14:val="tx1"/>
                  </w14:solidFill>
                </w14:textFill>
              </w:rPr>
              <w:t>及当地政府。</w:t>
            </w:r>
          </w:p>
          <w:p>
            <w:pPr>
              <w:pStyle w:val="37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关键依靠当地政府。充分、重点发挥地方镇乡、村级政府的组织能力，纳入应急组织机构中。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8" w:type="pct"/>
            <w:vAlign w:val="center"/>
          </w:tcPr>
          <w:p>
            <w:pPr>
              <w:pStyle w:val="37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700" w:type="pct"/>
            <w:vAlign w:val="center"/>
          </w:tcPr>
          <w:p>
            <w:pPr>
              <w:pStyle w:val="37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预案分级</w:t>
            </w:r>
          </w:p>
          <w:p>
            <w:pPr>
              <w:pStyle w:val="37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响应条件</w:t>
            </w:r>
          </w:p>
        </w:tc>
        <w:tc>
          <w:tcPr>
            <w:tcW w:w="3872" w:type="pct"/>
            <w:vAlign w:val="center"/>
          </w:tcPr>
          <w:p>
            <w:pPr>
              <w:pStyle w:val="37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规定环境风险事故的级别及相应的应急状态分类，以此制定相应的应急响应程序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8" w:type="pct"/>
            <w:vAlign w:val="center"/>
          </w:tcPr>
          <w:p>
            <w:pPr>
              <w:pStyle w:val="37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c>
          <w:tcPr>
            <w:tcW w:w="700" w:type="pct"/>
            <w:vAlign w:val="center"/>
          </w:tcPr>
          <w:p>
            <w:pPr>
              <w:pStyle w:val="37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应急救援</w:t>
            </w:r>
          </w:p>
          <w:p>
            <w:pPr>
              <w:pStyle w:val="37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保障</w:t>
            </w:r>
          </w:p>
        </w:tc>
        <w:tc>
          <w:tcPr>
            <w:tcW w:w="3872" w:type="pct"/>
            <w:vAlign w:val="center"/>
          </w:tcPr>
          <w:p>
            <w:pPr>
              <w:pStyle w:val="37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应急设施，设备与器材等：</w:t>
            </w:r>
          </w:p>
          <w:p>
            <w:pPr>
              <w:pStyle w:val="37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井场配备CO测试、防毒、医疗、消防、疏散等应急设施。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8" w:type="pct"/>
            <w:vAlign w:val="center"/>
          </w:tcPr>
          <w:p>
            <w:pPr>
              <w:pStyle w:val="37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c>
          <w:tcPr>
            <w:tcW w:w="700" w:type="pct"/>
            <w:vAlign w:val="center"/>
          </w:tcPr>
          <w:p>
            <w:pPr>
              <w:pStyle w:val="37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报警、通讯联络方式</w:t>
            </w:r>
          </w:p>
        </w:tc>
        <w:tc>
          <w:tcPr>
            <w:tcW w:w="3872" w:type="pct"/>
            <w:vAlign w:val="center"/>
          </w:tcPr>
          <w:p>
            <w:pPr>
              <w:pStyle w:val="37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规定应急状态下的</w:t>
            </w:r>
            <w:r>
              <w:rPr>
                <w:rFonts w:hint="eastAsia"/>
                <w:color w:val="000000" w:themeColor="text1"/>
                <w:highlight w:val="none"/>
                <w14:textFill>
                  <w14:solidFill>
                    <w14:schemeClr w14:val="tx1"/>
                  </w14:solidFill>
                </w14:textFill>
              </w:rPr>
              <w:t>报警通信</w:t>
            </w:r>
            <w:r>
              <w:rPr>
                <w:color w:val="000000" w:themeColor="text1"/>
                <w:highlight w:val="none"/>
                <w14:textFill>
                  <w14:solidFill>
                    <w14:schemeClr w14:val="tx1"/>
                  </w14:solidFill>
                </w14:textFill>
              </w:rPr>
              <w:t>方式、通知方式和交通保障、管制：</w:t>
            </w:r>
          </w:p>
          <w:p>
            <w:pPr>
              <w:pStyle w:val="37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协调通过广播系统和电话通知。至少在1个小组设2个电话联络点。小组通知人员应指定4人负责通知本小组内的居民。并电话通知当地交警队负责交通保障、管制，不允许非救援车辆进入危险井口周边区域。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 w:hRule="atLeast"/>
          <w:jc w:val="center"/>
        </w:trPr>
        <w:tc>
          <w:tcPr>
            <w:tcW w:w="428" w:type="pct"/>
            <w:vAlign w:val="center"/>
          </w:tcPr>
          <w:p>
            <w:pPr>
              <w:pStyle w:val="37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w:t>
            </w:r>
          </w:p>
        </w:tc>
        <w:tc>
          <w:tcPr>
            <w:tcW w:w="700" w:type="pct"/>
            <w:vAlign w:val="center"/>
          </w:tcPr>
          <w:p>
            <w:pPr>
              <w:pStyle w:val="37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应急环境监测、抢险、救援及控制</w:t>
            </w:r>
          </w:p>
          <w:p>
            <w:pPr>
              <w:pStyle w:val="37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措施</w:t>
            </w:r>
          </w:p>
        </w:tc>
        <w:tc>
          <w:tcPr>
            <w:tcW w:w="3872" w:type="pct"/>
            <w:vAlign w:val="center"/>
          </w:tcPr>
          <w:p>
            <w:pPr>
              <w:pStyle w:val="37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环境应急监测可组织协调当地环境监测中心站。</w:t>
            </w:r>
          </w:p>
          <w:p>
            <w:pPr>
              <w:pStyle w:val="37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抢险、救援组织协调当地消防队、医院和</w:t>
            </w:r>
            <w:r>
              <w:rPr>
                <w:color w:val="000000" w:themeColor="text1"/>
                <w:szCs w:val="24"/>
                <w:highlight w:val="none"/>
                <w14:textFill>
                  <w14:solidFill>
                    <w14:schemeClr w14:val="tx1"/>
                  </w14:solidFill>
                </w14:textFill>
              </w:rPr>
              <w:t>中国石油化工股份有限公司中原油田普光分公司</w:t>
            </w:r>
            <w:r>
              <w:rPr>
                <w:color w:val="000000" w:themeColor="text1"/>
                <w:highlight w:val="none"/>
                <w14:textFill>
                  <w14:solidFill>
                    <w14:schemeClr w14:val="tx1"/>
                  </w14:solidFill>
                </w14:textFill>
              </w:rPr>
              <w:t>的应急队伍。</w:t>
            </w:r>
          </w:p>
          <w:p>
            <w:pPr>
              <w:pStyle w:val="37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系统泄漏并发生火灾</w:t>
            </w:r>
            <w:r>
              <w:rPr>
                <w:rFonts w:hint="eastAsia"/>
                <w:color w:val="000000" w:themeColor="text1"/>
                <w:highlight w:val="none"/>
                <w14:textFill>
                  <w14:solidFill>
                    <w14:schemeClr w14:val="tx1"/>
                  </w14:solidFill>
                </w14:textFill>
              </w:rPr>
              <w:t>失控</w:t>
            </w:r>
            <w:r>
              <w:rPr>
                <w:color w:val="000000" w:themeColor="text1"/>
                <w:highlight w:val="none"/>
                <w14:textFill>
                  <w14:solidFill>
                    <w14:schemeClr w14:val="tx1"/>
                  </w14:solidFill>
                </w14:textFill>
              </w:rPr>
              <w:t>的关键控制措施：应立即组织撤离井口周边500m的居民。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8" w:type="pct"/>
            <w:vAlign w:val="center"/>
          </w:tcPr>
          <w:p>
            <w:pPr>
              <w:pStyle w:val="37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w:t>
            </w:r>
          </w:p>
        </w:tc>
        <w:tc>
          <w:tcPr>
            <w:tcW w:w="700" w:type="pct"/>
            <w:vAlign w:val="center"/>
          </w:tcPr>
          <w:p>
            <w:pPr>
              <w:pStyle w:val="37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应急检测、防护措施、清除泄漏措施和器材</w:t>
            </w:r>
          </w:p>
        </w:tc>
        <w:tc>
          <w:tcPr>
            <w:tcW w:w="3872" w:type="pct"/>
            <w:vAlign w:val="center"/>
          </w:tcPr>
          <w:p>
            <w:pPr>
              <w:pStyle w:val="37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应急检测、防护采用</w:t>
            </w:r>
            <w:r>
              <w:rPr>
                <w:color w:val="000000" w:themeColor="text1"/>
                <w:szCs w:val="24"/>
                <w:highlight w:val="none"/>
                <w14:textFill>
                  <w14:solidFill>
                    <w14:schemeClr w14:val="tx1"/>
                  </w14:solidFill>
                </w14:textFill>
              </w:rPr>
              <w:t>中国石油化工股份有限公司中原油田普光分公司</w:t>
            </w:r>
            <w:r>
              <w:rPr>
                <w:color w:val="000000" w:themeColor="text1"/>
                <w:highlight w:val="none"/>
                <w14:textFill>
                  <w14:solidFill>
                    <w14:schemeClr w14:val="tx1"/>
                  </w14:solidFill>
                </w14:textFill>
              </w:rPr>
              <w:t>配备的设备和消防队伍的设备。清除泄漏必要时可通过消防车喷雾状水溶解将大气污染物转化为地表水污染物。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8" w:type="pct"/>
            <w:vAlign w:val="center"/>
          </w:tcPr>
          <w:p>
            <w:pPr>
              <w:pStyle w:val="37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w:t>
            </w:r>
          </w:p>
        </w:tc>
        <w:tc>
          <w:tcPr>
            <w:tcW w:w="700" w:type="pct"/>
            <w:vAlign w:val="center"/>
          </w:tcPr>
          <w:p>
            <w:pPr>
              <w:pStyle w:val="37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人员紧急撤离、疏散，应急剂量控制、撤离组织计划</w:t>
            </w:r>
          </w:p>
        </w:tc>
        <w:tc>
          <w:tcPr>
            <w:tcW w:w="3872" w:type="pct"/>
            <w:vAlign w:val="center"/>
          </w:tcPr>
          <w:p>
            <w:pPr>
              <w:pStyle w:val="37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紧急撤离区：井口外500m范围为紧急撤离区。撤离路线应根据</w:t>
            </w:r>
            <w:r>
              <w:rPr>
                <w:rFonts w:hint="eastAsia"/>
                <w:color w:val="000000" w:themeColor="text1"/>
                <w:highlight w:val="none"/>
                <w14:textFill>
                  <w14:solidFill>
                    <w14:schemeClr w14:val="tx1"/>
                  </w14:solidFill>
                </w14:textFill>
              </w:rPr>
              <w:t>站场</w:t>
            </w:r>
            <w:r>
              <w:rPr>
                <w:color w:val="000000" w:themeColor="text1"/>
                <w:highlight w:val="none"/>
                <w14:textFill>
                  <w14:solidFill>
                    <w14:schemeClr w14:val="tx1"/>
                  </w14:solidFill>
                </w14:textFill>
              </w:rPr>
              <w:t>风向标，沿发生事故时的上风向方向或侧风向远离事故源方向撤离。通过高音喇叭、广播、电话及时通知周边各户居民，保证全部及时通知撤离。</w:t>
            </w:r>
          </w:p>
          <w:p>
            <w:pPr>
              <w:pStyle w:val="37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一般撤离区：当发生系统泄漏并发生火灾</w:t>
            </w:r>
            <w:r>
              <w:rPr>
                <w:rFonts w:hint="eastAsia"/>
                <w:color w:val="000000" w:themeColor="text1"/>
                <w:highlight w:val="none"/>
                <w14:textFill>
                  <w14:solidFill>
                    <w14:schemeClr w14:val="tx1"/>
                  </w14:solidFill>
                </w14:textFill>
              </w:rPr>
              <w:t>失控</w:t>
            </w:r>
            <w:r>
              <w:rPr>
                <w:color w:val="000000" w:themeColor="text1"/>
                <w:highlight w:val="none"/>
                <w14:textFill>
                  <w14:solidFill>
                    <w14:schemeClr w14:val="tx1"/>
                  </w14:solidFill>
                </w14:textFill>
              </w:rPr>
              <w:t>时，一般撤离范围可根据监测情况决定。在发生事故时应自发和在应急组织机构的带领下及时撤离。撤离路线应根据井场风向标，沿发生事故时的上风向或侧风向方向远离事故源方向撤离。由于涉及人员多，应通过应急组织机构负责组织撤离，通过广播系统和电话系统通知。由于远处居民不能看到风向标，在通知撤离时要由专业人员根据风向标说明撤离方向。可通过广播系统和电话系统通知，应通过协调村委会通过电话通知到小组，各组至少设立2个联络点。小组负责人指定4人负责通知小组内的居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8" w:type="pct"/>
            <w:vAlign w:val="center"/>
          </w:tcPr>
          <w:p>
            <w:pPr>
              <w:pStyle w:val="37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w:t>
            </w:r>
          </w:p>
        </w:tc>
        <w:tc>
          <w:tcPr>
            <w:tcW w:w="700" w:type="pct"/>
            <w:vAlign w:val="center"/>
          </w:tcPr>
          <w:p>
            <w:pPr>
              <w:pStyle w:val="37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事故应急救援关闭程序与恢复措施</w:t>
            </w:r>
          </w:p>
        </w:tc>
        <w:tc>
          <w:tcPr>
            <w:tcW w:w="3872" w:type="pct"/>
            <w:vAlign w:val="center"/>
          </w:tcPr>
          <w:p>
            <w:pPr>
              <w:pStyle w:val="37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规定应急状态终止程序事故现场善后处理，恢复措施邻近区域解除事故警戒及善后恢复措施</w:t>
            </w:r>
          </w:p>
          <w:p>
            <w:pPr>
              <w:pStyle w:val="37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（1）系统泄漏并发生火灾</w:t>
            </w:r>
            <w:r>
              <w:rPr>
                <w:rFonts w:hint="eastAsia"/>
                <w:color w:val="000000" w:themeColor="text1"/>
                <w:highlight w:val="none"/>
                <w14:textFill>
                  <w14:solidFill>
                    <w14:schemeClr w14:val="tx1"/>
                  </w14:solidFill>
                </w14:textFill>
              </w:rPr>
              <w:t>失控</w:t>
            </w:r>
            <w:r>
              <w:rPr>
                <w:color w:val="000000" w:themeColor="text1"/>
                <w:highlight w:val="none"/>
                <w14:textFill>
                  <w14:solidFill>
                    <w14:schemeClr w14:val="tx1"/>
                  </w14:solidFill>
                </w14:textFill>
              </w:rPr>
              <w:t>得到控制，伤亡人员得到全部救援和安置，危险区域的居民全部撤离。</w:t>
            </w:r>
          </w:p>
          <w:p>
            <w:pPr>
              <w:pStyle w:val="37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（2）恢复措施：对事故伤亡情况进行统计，应做好详细</w:t>
            </w:r>
            <w:r>
              <w:rPr>
                <w:rFonts w:hint="eastAsia"/>
                <w:color w:val="000000" w:themeColor="text1"/>
                <w:highlight w:val="none"/>
                <w14:textFill>
                  <w14:solidFill>
                    <w14:schemeClr w14:val="tx1"/>
                  </w14:solidFill>
                </w14:textFill>
              </w:rPr>
              <w:t>的</w:t>
            </w:r>
            <w:r>
              <w:rPr>
                <w:color w:val="000000" w:themeColor="text1"/>
                <w:highlight w:val="none"/>
                <w14:textFill>
                  <w14:solidFill>
                    <w14:schemeClr w14:val="tx1"/>
                  </w14:solidFill>
                </w14:textFill>
              </w:rPr>
              <w:t>记录并存档。行政领导组应尽快协调各</w:t>
            </w:r>
            <w:r>
              <w:rPr>
                <w:rFonts w:hint="eastAsia"/>
                <w:color w:val="000000" w:themeColor="text1"/>
                <w:highlight w:val="none"/>
                <w14:textFill>
                  <w14:solidFill>
                    <w14:schemeClr w14:val="tx1"/>
                  </w14:solidFill>
                </w14:textFill>
              </w:rPr>
              <w:t>部门</w:t>
            </w:r>
            <w:r>
              <w:rPr>
                <w:color w:val="000000" w:themeColor="text1"/>
                <w:highlight w:val="none"/>
                <w14:textFill>
                  <w14:solidFill>
                    <w14:schemeClr w14:val="tx1"/>
                  </w14:solidFill>
                </w14:textFill>
              </w:rPr>
              <w:t>做好医疗救护工作，包括医疗经费的提供、受伤人员的住院安排与护理以及善后赔偿等；</w:t>
            </w:r>
            <w:r>
              <w:rPr>
                <w:color w:val="000000" w:themeColor="text1"/>
                <w:szCs w:val="24"/>
                <w:highlight w:val="none"/>
                <w14:textFill>
                  <w14:solidFill>
                    <w14:schemeClr w14:val="tx1"/>
                  </w14:solidFill>
                </w14:textFill>
              </w:rPr>
              <w:t>中国石油化工股份有限公司中原油田普光分公司</w:t>
            </w:r>
            <w:r>
              <w:rPr>
                <w:color w:val="000000" w:themeColor="text1"/>
                <w:highlight w:val="none"/>
                <w14:textFill>
                  <w14:solidFill>
                    <w14:schemeClr w14:val="tx1"/>
                  </w14:solidFill>
                </w14:textFill>
              </w:rPr>
              <w:t>配合相关部门人员对受损设备尽快安排修复并投入生产使用。</w:t>
            </w:r>
            <w:r>
              <w:rPr>
                <w:color w:val="000000" w:themeColor="text1"/>
                <w:szCs w:val="24"/>
                <w:highlight w:val="none"/>
                <w14:textFill>
                  <w14:solidFill>
                    <w14:schemeClr w14:val="tx1"/>
                  </w14:solidFill>
                </w14:textFill>
              </w:rPr>
              <w:t>中国石油化工股份有限公司中原油田普光分公司</w:t>
            </w:r>
            <w:r>
              <w:rPr>
                <w:color w:val="000000" w:themeColor="text1"/>
                <w:highlight w:val="none"/>
                <w14:textFill>
                  <w14:solidFill>
                    <w14:schemeClr w14:val="tx1"/>
                  </w14:solidFill>
                </w14:textFill>
              </w:rPr>
              <w:t>、当地政府成立事故调查小组，调查原因并按“四不放过”的原则进行事故处理；做出事故调查报告，同时总结事件教训，实行安全事故的教育培训，杜绝类似事件的再次发生。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8" w:type="pct"/>
            <w:vAlign w:val="center"/>
          </w:tcPr>
          <w:p>
            <w:pPr>
              <w:pStyle w:val="37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700" w:type="pct"/>
            <w:vAlign w:val="center"/>
          </w:tcPr>
          <w:p>
            <w:pPr>
              <w:pStyle w:val="37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应急培训</w:t>
            </w:r>
          </w:p>
          <w:p>
            <w:pPr>
              <w:pStyle w:val="37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计划</w:t>
            </w:r>
          </w:p>
        </w:tc>
        <w:tc>
          <w:tcPr>
            <w:tcW w:w="3872" w:type="pct"/>
            <w:vAlign w:val="center"/>
          </w:tcPr>
          <w:p>
            <w:pPr>
              <w:pStyle w:val="37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应急计划制定后，平时安排人员培训与演练：</w:t>
            </w:r>
          </w:p>
          <w:p>
            <w:pPr>
              <w:pStyle w:val="37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把井口周边500m范围内居民纳入培训、演练队伍</w:t>
            </w:r>
            <w:r>
              <w:rPr>
                <w:rFonts w:hint="eastAsia"/>
                <w:color w:val="000000" w:themeColor="text1"/>
                <w:highlight w:val="none"/>
                <w14:textFill>
                  <w14:solidFill>
                    <w14:schemeClr w14:val="tx1"/>
                  </w14:solidFill>
                </w14:textFill>
              </w:rPr>
              <w:t>。加强</w:t>
            </w:r>
            <w:r>
              <w:rPr>
                <w:color w:val="000000" w:themeColor="text1"/>
                <w:highlight w:val="none"/>
                <w14:textFill>
                  <w14:solidFill>
                    <w14:schemeClr w14:val="tx1"/>
                  </w14:solidFill>
                </w14:textFill>
              </w:rPr>
              <w:t>员工应急救援培训，提高员工的应急救援能力。</w:t>
            </w:r>
            <w:r>
              <w:rPr>
                <w:rFonts w:hint="eastAsia"/>
                <w:color w:val="000000" w:themeColor="text1"/>
                <w:highlight w:val="none"/>
                <w14:textFill>
                  <w14:solidFill>
                    <w14:schemeClr w14:val="tx1"/>
                  </w14:solidFill>
                </w14:textFill>
              </w:rPr>
              <w:t>加强</w:t>
            </w:r>
            <w:r>
              <w:rPr>
                <w:color w:val="000000" w:themeColor="text1"/>
                <w:highlight w:val="none"/>
                <w14:textFill>
                  <w14:solidFill>
                    <w14:schemeClr w14:val="tx1"/>
                  </w14:solidFill>
                </w14:textFill>
              </w:rPr>
              <w:t>组织人员向</w:t>
            </w:r>
            <w:r>
              <w:rPr>
                <w:rFonts w:hint="eastAsia"/>
                <w:color w:val="000000" w:themeColor="text1"/>
                <w:highlight w:val="none"/>
                <w14:textFill>
                  <w14:solidFill>
                    <w14:schemeClr w14:val="tx1"/>
                  </w14:solidFill>
                </w14:textFill>
              </w:rPr>
              <w:t>站</w:t>
            </w:r>
            <w:r>
              <w:rPr>
                <w:color w:val="000000" w:themeColor="text1"/>
                <w:highlight w:val="none"/>
                <w14:textFill>
                  <w14:solidFill>
                    <w14:schemeClr w14:val="tx1"/>
                  </w14:solidFill>
                </w14:textFill>
              </w:rPr>
              <w:t>场附近居民宣传CO和井喷的危害及相关知识。</w:t>
            </w:r>
            <w:r>
              <w:rPr>
                <w:rFonts w:hint="eastAsia"/>
                <w:color w:val="000000" w:themeColor="text1"/>
                <w:highlight w:val="none"/>
                <w14:textFill>
                  <w14:solidFill>
                    <w14:schemeClr w14:val="tx1"/>
                  </w14:solidFill>
                </w14:textFill>
              </w:rPr>
              <w:t>企业</w:t>
            </w:r>
            <w:r>
              <w:rPr>
                <w:color w:val="000000" w:themeColor="text1"/>
                <w:highlight w:val="none"/>
                <w14:textFill>
                  <w14:solidFill>
                    <w14:schemeClr w14:val="tx1"/>
                  </w14:solidFill>
                </w14:textFill>
              </w:rPr>
              <w:t>负责</w:t>
            </w:r>
            <w:r>
              <w:rPr>
                <w:rFonts w:hint="eastAsia"/>
                <w:color w:val="000000" w:themeColor="text1"/>
                <w:highlight w:val="none"/>
                <w14:textFill>
                  <w14:solidFill>
                    <w14:schemeClr w14:val="tx1"/>
                  </w14:solidFill>
                </w14:textFill>
              </w:rPr>
              <w:t>制定</w:t>
            </w:r>
            <w:r>
              <w:rPr>
                <w:color w:val="000000" w:themeColor="text1"/>
                <w:highlight w:val="none"/>
                <w14:textFill>
                  <w14:solidFill>
                    <w14:schemeClr w14:val="tx1"/>
                  </w14:solidFill>
                </w14:textFill>
              </w:rPr>
              <w:t>应急培训计划，定期对应急组织机构成员和应急保障系统、应急信息的有关人员进行综合性应急培训并做好培训记录。通过演练掌握应急人员在应急抢险中对预案的熟悉程度和能力，二是加强抢险应急设备的维护保养，检查是否备足所需应急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8" w:type="pct"/>
            <w:vAlign w:val="center"/>
          </w:tcPr>
          <w:p>
            <w:pPr>
              <w:pStyle w:val="37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w:t>
            </w:r>
          </w:p>
        </w:tc>
        <w:tc>
          <w:tcPr>
            <w:tcW w:w="700" w:type="pct"/>
            <w:vAlign w:val="center"/>
          </w:tcPr>
          <w:p>
            <w:pPr>
              <w:pStyle w:val="37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公众教育和信息</w:t>
            </w:r>
          </w:p>
        </w:tc>
        <w:tc>
          <w:tcPr>
            <w:tcW w:w="3872" w:type="pct"/>
            <w:vAlign w:val="center"/>
          </w:tcPr>
          <w:p>
            <w:pPr>
              <w:pStyle w:val="37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对井场邻近地区开展公众教育、培训和发布有关信息：</w:t>
            </w:r>
          </w:p>
          <w:p>
            <w:pPr>
              <w:pStyle w:val="37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安全距离内居民进行公众教育，发宣传册。钻井工程前，要向可能危及居民安全范围内进行CO安全知识和遇紧急情况时的应急预案教育，提出紧急情况下的安全撤离要求。</w:t>
            </w:r>
          </w:p>
          <w:p>
            <w:pPr>
              <w:pStyle w:val="37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单位应主动联系当地政府，对紧急撤离区范围内的居民通过发放宣传册普及安全知识，内容应有危害程度、防范应急救护措施。对一般撤离区范围居民发放宣传册普及安全知识，内容应有危害程度、防范应急救护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8" w:type="pct"/>
            <w:vAlign w:val="center"/>
          </w:tcPr>
          <w:p>
            <w:pPr>
              <w:pStyle w:val="37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w:t>
            </w:r>
          </w:p>
        </w:tc>
        <w:tc>
          <w:tcPr>
            <w:tcW w:w="700" w:type="pct"/>
            <w:vAlign w:val="center"/>
          </w:tcPr>
          <w:p>
            <w:pPr>
              <w:pStyle w:val="37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夜间特别管理机制</w:t>
            </w:r>
          </w:p>
        </w:tc>
        <w:tc>
          <w:tcPr>
            <w:tcW w:w="3872" w:type="pct"/>
            <w:vAlign w:val="center"/>
          </w:tcPr>
          <w:p>
            <w:pPr>
              <w:pStyle w:val="377"/>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站场</w:t>
            </w:r>
            <w:r>
              <w:rPr>
                <w:color w:val="000000" w:themeColor="text1"/>
                <w:highlight w:val="none"/>
                <w14:textFill>
                  <w14:solidFill>
                    <w14:schemeClr w14:val="tx1"/>
                  </w14:solidFill>
                </w14:textFill>
              </w:rPr>
              <w:t>配备高音喇叭、防爆灯具，以便夜间事故及时通知周边较近距离的居民，防爆灯具应布置在井场内风向标处，以便井场人员和周边较近居民可判断风向，带领其他人员撤离。</w:t>
            </w:r>
          </w:p>
          <w:p>
            <w:pPr>
              <w:pStyle w:val="37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井场实行轮班制度，保证夜间各岗位有相应值班人员。对居民进行公众教育、培训中应强调夜间自救内容，要求居民夜间保持通讯设备的畅通，夜间不关手机等教育。及时保证人员撤离。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8" w:type="pct"/>
            <w:vAlign w:val="center"/>
          </w:tcPr>
          <w:p>
            <w:pPr>
              <w:pStyle w:val="37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13</w:t>
            </w:r>
          </w:p>
        </w:tc>
        <w:tc>
          <w:tcPr>
            <w:tcW w:w="700" w:type="pct"/>
            <w:vAlign w:val="center"/>
          </w:tcPr>
          <w:p>
            <w:pPr>
              <w:pStyle w:val="37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备案</w:t>
            </w:r>
          </w:p>
        </w:tc>
        <w:tc>
          <w:tcPr>
            <w:tcW w:w="3872" w:type="pct"/>
            <w:vAlign w:val="center"/>
          </w:tcPr>
          <w:p>
            <w:pPr>
              <w:pStyle w:val="37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将本项目环境风险应急预案报送地方环保部门备案。</w:t>
            </w:r>
          </w:p>
        </w:tc>
      </w:tr>
    </w:tbl>
    <w:p>
      <w:pPr>
        <w:ind w:firstLine="480"/>
        <w:rPr>
          <w:rFonts w:cs="Times New Roman"/>
          <w:color w:val="000000" w:themeColor="text1"/>
          <w:highlight w:val="none"/>
          <w14:textFill>
            <w14:solidFill>
              <w14:schemeClr w14:val="tx1"/>
            </w14:solidFill>
          </w14:textFill>
        </w:rPr>
      </w:pPr>
    </w:p>
    <w:p>
      <w:pPr>
        <w:ind w:firstLine="482"/>
        <w:rPr>
          <w:rFonts w:cs="Times New Roman"/>
          <w:b/>
          <w:color w:val="000000" w:themeColor="text1"/>
          <w:highlight w:val="none"/>
          <w14:textFill>
            <w14:solidFill>
              <w14:schemeClr w14:val="tx1"/>
            </w14:solidFill>
          </w14:textFill>
        </w:rPr>
      </w:pPr>
      <w:r>
        <w:rPr>
          <w:rFonts w:cs="Times New Roman"/>
          <w:b/>
          <w:color w:val="000000" w:themeColor="text1"/>
          <w:highlight w:val="none"/>
          <w14:textFill>
            <w14:solidFill>
              <w14:schemeClr w14:val="tx1"/>
            </w14:solidFill>
          </w14:textFill>
        </w:rPr>
        <w:t>1）通讯联络方式</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①</w:t>
      </w:r>
      <w:r>
        <w:rPr>
          <w:rFonts w:cs="Times New Roman"/>
          <w:color w:val="000000" w:themeColor="text1"/>
          <w:highlight w:val="none"/>
          <w14:textFill>
            <w14:solidFill>
              <w14:schemeClr w14:val="tx1"/>
            </w14:solidFill>
          </w14:textFill>
        </w:rPr>
        <w:t>报告方式</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通常方式有：捎口信、固定电话、移动电话、传真和网络。</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作业区向分公司报告，除非特别紧急的情况采用电话报告外，</w:t>
      </w:r>
      <w:r>
        <w:rPr>
          <w:rFonts w:hint="eastAsia" w:cs="Times New Roman"/>
          <w:color w:val="000000" w:themeColor="text1"/>
          <w:highlight w:val="none"/>
          <w14:textFill>
            <w14:solidFill>
              <w14:schemeClr w14:val="tx1"/>
            </w14:solidFill>
          </w14:textFill>
        </w:rPr>
        <w:t>其他</w:t>
      </w:r>
      <w:r>
        <w:rPr>
          <w:rFonts w:cs="Times New Roman"/>
          <w:color w:val="000000" w:themeColor="text1"/>
          <w:highlight w:val="none"/>
          <w14:textFill>
            <w14:solidFill>
              <w14:schemeClr w14:val="tx1"/>
            </w14:solidFill>
          </w14:textFill>
        </w:rPr>
        <w:t>一律书面报告（电传）。</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作业区向当地镇、县、市级政府及其职能部门报告事故时，采用先电话</w:t>
      </w:r>
      <w:r>
        <w:rPr>
          <w:rFonts w:hint="eastAsia" w:cs="Times New Roman"/>
          <w:color w:val="000000" w:themeColor="text1"/>
          <w:highlight w:val="none"/>
          <w14:textFill>
            <w14:solidFill>
              <w14:schemeClr w14:val="tx1"/>
            </w14:solidFill>
          </w14:textFill>
        </w:rPr>
        <w:t>告知</w:t>
      </w:r>
      <w:r>
        <w:rPr>
          <w:rFonts w:cs="Times New Roman"/>
          <w:color w:val="000000" w:themeColor="text1"/>
          <w:highlight w:val="none"/>
          <w14:textFill>
            <w14:solidFill>
              <w14:schemeClr w14:val="tx1"/>
            </w14:solidFill>
          </w14:textFill>
        </w:rPr>
        <w:t>，后附书面报告。</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作业区向村社报告事故时，采用电话或口头报告形式。</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②</w:t>
      </w:r>
      <w:r>
        <w:rPr>
          <w:rFonts w:cs="Times New Roman"/>
          <w:color w:val="000000" w:themeColor="text1"/>
          <w:highlight w:val="none"/>
          <w14:textFill>
            <w14:solidFill>
              <w14:schemeClr w14:val="tx1"/>
            </w14:solidFill>
          </w14:textFill>
        </w:rPr>
        <w:t>报警方式，作业区确认事故后，对社会公众报警的方式为：电告当地市、区、镇人民政府和所属村社。</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电告110、119。</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电告社会团体或企事业单位。</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用高音喇叭通知社会居民或采用口信，一传十，十传百的方式。借助天然气救险车的扩音设备，巡回告之。</w:t>
      </w:r>
    </w:p>
    <w:p>
      <w:pPr>
        <w:ind w:firstLine="482"/>
        <w:rPr>
          <w:rFonts w:cs="Times New Roman"/>
          <w:b/>
          <w:bCs/>
          <w:color w:val="000000" w:themeColor="text1"/>
          <w:highlight w:val="none"/>
          <w14:textFill>
            <w14:solidFill>
              <w14:schemeClr w14:val="tx1"/>
            </w14:solidFill>
          </w14:textFill>
        </w:rPr>
      </w:pPr>
      <w:r>
        <w:rPr>
          <w:rFonts w:cs="Times New Roman"/>
          <w:b/>
          <w:bCs/>
          <w:color w:val="000000" w:themeColor="text1"/>
          <w:highlight w:val="none"/>
          <w14:textFill>
            <w14:solidFill>
              <w14:schemeClr w14:val="tx1"/>
            </w14:solidFill>
          </w14:textFill>
        </w:rPr>
        <w:t>2）应急响应</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①</w:t>
      </w:r>
      <w:r>
        <w:rPr>
          <w:rFonts w:cs="Times New Roman"/>
          <w:color w:val="000000" w:themeColor="text1"/>
          <w:highlight w:val="none"/>
          <w14:textFill>
            <w14:solidFill>
              <w14:schemeClr w14:val="tx1"/>
            </w14:solidFill>
          </w14:textFill>
        </w:rPr>
        <w:t>险情发生后，应急指挥启动应急预案；</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②</w:t>
      </w:r>
      <w:r>
        <w:rPr>
          <w:rFonts w:cs="Times New Roman"/>
          <w:color w:val="000000" w:themeColor="text1"/>
          <w:highlight w:val="none"/>
          <w14:textFill>
            <w14:solidFill>
              <w14:schemeClr w14:val="tx1"/>
            </w14:solidFill>
          </w14:textFill>
        </w:rPr>
        <w:t>应急小组立即形成，由应急指挥组组长统一发布应急指挥命令；</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③</w:t>
      </w:r>
      <w:r>
        <w:rPr>
          <w:rFonts w:cs="Times New Roman"/>
          <w:color w:val="000000" w:themeColor="text1"/>
          <w:highlight w:val="none"/>
          <w14:textFill>
            <w14:solidFill>
              <w14:schemeClr w14:val="tx1"/>
            </w14:solidFill>
          </w14:textFill>
        </w:rPr>
        <w:t>生产抢修组负责现场流程的切换，协调、配合抢险单位实施应急抢险工作，以及在应急情况下现场人员的疏散（考虑该工程</w:t>
      </w:r>
      <w:r>
        <w:rPr>
          <w:rFonts w:hint="eastAsia" w:cs="Times New Roman"/>
          <w:color w:val="000000" w:themeColor="text1"/>
          <w:highlight w:val="none"/>
          <w14:textFill>
            <w14:solidFill>
              <w14:schemeClr w14:val="tx1"/>
            </w14:solidFill>
          </w14:textFill>
        </w:rPr>
        <w:t>距离</w:t>
      </w:r>
      <w:r>
        <w:rPr>
          <w:rFonts w:cs="Times New Roman"/>
          <w:color w:val="000000" w:themeColor="text1"/>
          <w:highlight w:val="none"/>
          <w14:textFill>
            <w14:solidFill>
              <w14:schemeClr w14:val="tx1"/>
            </w14:solidFill>
          </w14:textFill>
        </w:rPr>
        <w:t>居民房屋近的特点，还应组织附近居民的疏散）；</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④</w:t>
      </w:r>
      <w:r>
        <w:rPr>
          <w:rFonts w:cs="Times New Roman"/>
          <w:color w:val="000000" w:themeColor="text1"/>
          <w:highlight w:val="none"/>
          <w14:textFill>
            <w14:solidFill>
              <w14:schemeClr w14:val="tx1"/>
            </w14:solidFill>
          </w14:textFill>
        </w:rPr>
        <w:t>安全监护组负责现场可燃气体的检测，安全警戒线的设置，并配合相关单位实施应急救援；</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⑤</w:t>
      </w:r>
      <w:r>
        <w:rPr>
          <w:rFonts w:cs="Times New Roman"/>
          <w:color w:val="000000" w:themeColor="text1"/>
          <w:highlight w:val="none"/>
          <w14:textFill>
            <w14:solidFill>
              <w14:schemeClr w14:val="tx1"/>
            </w14:solidFill>
          </w14:textFill>
        </w:rPr>
        <w:t>通讯联络组负责建立抢险单位、救援单位及地方政府有关部门的联络；</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⑥</w:t>
      </w:r>
      <w:r>
        <w:rPr>
          <w:rFonts w:cs="Times New Roman"/>
          <w:color w:val="000000" w:themeColor="text1"/>
          <w:highlight w:val="none"/>
          <w14:textFill>
            <w14:solidFill>
              <w14:schemeClr w14:val="tx1"/>
            </w14:solidFill>
          </w14:textFill>
        </w:rPr>
        <w:t>后勤保障组负责抢险物资组织，后勤、车辆的保障；</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⑦</w:t>
      </w:r>
      <w:r>
        <w:rPr>
          <w:rFonts w:cs="Times New Roman"/>
          <w:color w:val="000000" w:themeColor="text1"/>
          <w:highlight w:val="none"/>
          <w14:textFill>
            <w14:solidFill>
              <w14:schemeClr w14:val="tx1"/>
            </w14:solidFill>
          </w14:textFill>
        </w:rPr>
        <w:t>站场发生异常情况（大面积泄漏、火灾、爆炸）；</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⑧</w:t>
      </w:r>
      <w:r>
        <w:rPr>
          <w:rFonts w:cs="Times New Roman"/>
          <w:color w:val="000000" w:themeColor="text1"/>
          <w:highlight w:val="none"/>
          <w14:textFill>
            <w14:solidFill>
              <w14:schemeClr w14:val="tx1"/>
            </w14:solidFill>
          </w14:textFill>
        </w:rPr>
        <w:t>集气站值班人员在站控室按下装置ESD按钮，实行全站ESD紧急关断，生产系统闭式放空，同时即向应急指挥汇报起火部位、情况；</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⑨</w:t>
      </w:r>
      <w:r>
        <w:rPr>
          <w:rFonts w:cs="Times New Roman"/>
          <w:color w:val="000000" w:themeColor="text1"/>
          <w:highlight w:val="none"/>
          <w14:textFill>
            <w14:solidFill>
              <w14:schemeClr w14:val="tx1"/>
            </w14:solidFill>
          </w14:textFill>
        </w:rPr>
        <w:t>应急指挥下令启动事故应急预案，在控制室向现场下达应急指令；</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⑩</w:t>
      </w:r>
      <w:r>
        <w:rPr>
          <w:rFonts w:cs="Times New Roman"/>
          <w:color w:val="000000" w:themeColor="text1"/>
          <w:highlight w:val="none"/>
          <w14:textFill>
            <w14:solidFill>
              <w14:schemeClr w14:val="tx1"/>
            </w14:solidFill>
          </w14:textFill>
        </w:rPr>
        <w:t>通讯联络组迅速打电话报警，向中原油田普光分公司、中国石油化工股份有限公司汇报现场情况，并联系抢险单位实施紧急抢险工作，同时向有关地方政府机构通报情况，请求救援；</w:t>
      </w:r>
    </w:p>
    <w:p>
      <w:pPr>
        <w:ind w:firstLine="480"/>
        <w:rPr>
          <w:rFonts w:cs="Times New Roman"/>
          <w:color w:val="000000" w:themeColor="text1"/>
          <w:highlight w:val="none"/>
          <w14:textFill>
            <w14:solidFill>
              <w14:schemeClr w14:val="tx1"/>
            </w14:solidFill>
          </w14:textFill>
        </w:rPr>
      </w:pPr>
      <w:r>
        <w:rPr>
          <w:rFonts w:ascii="Cambria Math" w:hAnsi="Cambria Math" w:cs="Cambria Math"/>
          <w:color w:val="000000" w:themeColor="text1"/>
          <w:highlight w:val="none"/>
          <w14:textFill>
            <w14:solidFill>
              <w14:schemeClr w14:val="tx1"/>
            </w14:solidFill>
          </w14:textFill>
        </w:rPr>
        <w:t>⑪</w:t>
      </w:r>
      <w:r>
        <w:rPr>
          <w:rFonts w:cs="Times New Roman"/>
          <w:color w:val="000000" w:themeColor="text1"/>
          <w:highlight w:val="none"/>
          <w14:textFill>
            <w14:solidFill>
              <w14:schemeClr w14:val="tx1"/>
            </w14:solidFill>
          </w14:textFill>
        </w:rPr>
        <w:t>生产抢修组人员立即切断生产现场电源，并对现场流程切断情况进行确认；</w:t>
      </w:r>
    </w:p>
    <w:p>
      <w:pPr>
        <w:ind w:firstLine="480"/>
        <w:rPr>
          <w:rFonts w:cs="Times New Roman"/>
          <w:color w:val="000000" w:themeColor="text1"/>
          <w:highlight w:val="none"/>
          <w14:textFill>
            <w14:solidFill>
              <w14:schemeClr w14:val="tx1"/>
            </w14:solidFill>
          </w14:textFill>
        </w:rPr>
      </w:pPr>
      <w:r>
        <w:rPr>
          <w:rFonts w:ascii="Cambria Math" w:hAnsi="Cambria Math" w:cs="Cambria Math"/>
          <w:color w:val="000000" w:themeColor="text1"/>
          <w:highlight w:val="none"/>
          <w14:textFill>
            <w14:solidFill>
              <w14:schemeClr w14:val="tx1"/>
            </w14:solidFill>
          </w14:textFill>
        </w:rPr>
        <w:t>⑫</w:t>
      </w:r>
      <w:r>
        <w:rPr>
          <w:rFonts w:cs="Times New Roman"/>
          <w:color w:val="000000" w:themeColor="text1"/>
          <w:highlight w:val="none"/>
          <w14:textFill>
            <w14:solidFill>
              <w14:schemeClr w14:val="tx1"/>
            </w14:solidFill>
          </w14:textFill>
        </w:rPr>
        <w:t>如现场存在火情，现场抢修组使用固定式消防系统和移动式灭火器进行灭火；</w:t>
      </w:r>
    </w:p>
    <w:p>
      <w:pPr>
        <w:ind w:firstLine="480"/>
        <w:rPr>
          <w:rFonts w:cs="Times New Roman"/>
          <w:color w:val="000000" w:themeColor="text1"/>
          <w:highlight w:val="none"/>
          <w14:textFill>
            <w14:solidFill>
              <w14:schemeClr w14:val="tx1"/>
            </w14:solidFill>
          </w14:textFill>
        </w:rPr>
      </w:pPr>
      <w:r>
        <w:rPr>
          <w:rFonts w:ascii="Cambria Math" w:hAnsi="Cambria Math" w:cs="Cambria Math"/>
          <w:color w:val="000000" w:themeColor="text1"/>
          <w:highlight w:val="none"/>
          <w14:textFill>
            <w14:solidFill>
              <w14:schemeClr w14:val="tx1"/>
            </w14:solidFill>
          </w14:textFill>
        </w:rPr>
        <w:t>⑬</w:t>
      </w:r>
      <w:r>
        <w:rPr>
          <w:rFonts w:cs="Times New Roman"/>
          <w:color w:val="000000" w:themeColor="text1"/>
          <w:highlight w:val="none"/>
          <w14:textFill>
            <w14:solidFill>
              <w14:schemeClr w14:val="tx1"/>
            </w14:solidFill>
          </w14:textFill>
        </w:rPr>
        <w:t>安全监护组负责在现场进行检测，在影响距离外设置警戒线，进行安全监护；</w:t>
      </w:r>
    </w:p>
    <w:p>
      <w:pPr>
        <w:ind w:firstLine="480"/>
        <w:rPr>
          <w:rFonts w:cs="Times New Roman"/>
          <w:color w:val="000000" w:themeColor="text1"/>
          <w:highlight w:val="none"/>
          <w14:textFill>
            <w14:solidFill>
              <w14:schemeClr w14:val="tx1"/>
            </w14:solidFill>
          </w14:textFill>
        </w:rPr>
      </w:pPr>
      <w:r>
        <w:rPr>
          <w:rFonts w:ascii="Cambria Math" w:hAnsi="Cambria Math" w:cs="Cambria Math"/>
          <w:color w:val="000000" w:themeColor="text1"/>
          <w:highlight w:val="none"/>
          <w14:textFill>
            <w14:solidFill>
              <w14:schemeClr w14:val="tx1"/>
            </w14:solidFill>
          </w14:textFill>
        </w:rPr>
        <w:t>⑭</w:t>
      </w:r>
      <w:r>
        <w:rPr>
          <w:rFonts w:cs="Times New Roman"/>
          <w:color w:val="000000" w:themeColor="text1"/>
          <w:highlight w:val="none"/>
          <w14:textFill>
            <w14:solidFill>
              <w14:schemeClr w14:val="tx1"/>
            </w14:solidFill>
          </w14:textFill>
        </w:rPr>
        <w:t>抢修现场严禁使用非防爆用具，车辆一律熄火站外停放，确因工作需要进入现场的车辆必须</w:t>
      </w:r>
      <w:r>
        <w:rPr>
          <w:rFonts w:hint="eastAsia" w:cs="Times New Roman"/>
          <w:color w:val="000000" w:themeColor="text1"/>
          <w:highlight w:val="none"/>
          <w14:textFill>
            <w14:solidFill>
              <w14:schemeClr w14:val="tx1"/>
            </w14:solidFill>
          </w14:textFill>
        </w:rPr>
        <w:t>佩戴</w:t>
      </w:r>
      <w:r>
        <w:rPr>
          <w:rFonts w:cs="Times New Roman"/>
          <w:color w:val="000000" w:themeColor="text1"/>
          <w:highlight w:val="none"/>
          <w14:textFill>
            <w14:solidFill>
              <w14:schemeClr w14:val="tx1"/>
            </w14:solidFill>
          </w14:textFill>
        </w:rPr>
        <w:t>防火帽，经安全监护组确认安全后，按指定路线行进；</w:t>
      </w:r>
    </w:p>
    <w:p>
      <w:pPr>
        <w:ind w:firstLine="480"/>
        <w:rPr>
          <w:rFonts w:cs="Times New Roman"/>
          <w:color w:val="000000" w:themeColor="text1"/>
          <w:highlight w:val="none"/>
          <w14:textFill>
            <w14:solidFill>
              <w14:schemeClr w14:val="tx1"/>
            </w14:solidFill>
          </w14:textFill>
        </w:rPr>
      </w:pPr>
      <w:r>
        <w:rPr>
          <w:rFonts w:ascii="Cambria Math" w:hAnsi="Cambria Math" w:cs="Cambria Math"/>
          <w:color w:val="000000" w:themeColor="text1"/>
          <w:highlight w:val="none"/>
          <w14:textFill>
            <w14:solidFill>
              <w14:schemeClr w14:val="tx1"/>
            </w14:solidFill>
          </w14:textFill>
        </w:rPr>
        <w:t>⑮</w:t>
      </w:r>
      <w:r>
        <w:rPr>
          <w:rFonts w:cs="Times New Roman"/>
          <w:color w:val="000000" w:themeColor="text1"/>
          <w:highlight w:val="none"/>
          <w14:textFill>
            <w14:solidFill>
              <w14:schemeClr w14:val="tx1"/>
            </w14:solidFill>
          </w14:textFill>
        </w:rPr>
        <w:t>后勤保障组负责组织相关的应急抢险物资；</w:t>
      </w:r>
    </w:p>
    <w:p>
      <w:pPr>
        <w:ind w:firstLine="480"/>
        <w:rPr>
          <w:rFonts w:cs="Times New Roman"/>
          <w:color w:val="000000" w:themeColor="text1"/>
          <w:highlight w:val="none"/>
          <w14:textFill>
            <w14:solidFill>
              <w14:schemeClr w14:val="tx1"/>
            </w14:solidFill>
          </w14:textFill>
        </w:rPr>
      </w:pPr>
      <w:r>
        <w:rPr>
          <w:rFonts w:ascii="Cambria Math" w:hAnsi="Cambria Math" w:cs="Cambria Math"/>
          <w:color w:val="000000" w:themeColor="text1"/>
          <w:highlight w:val="none"/>
          <w14:textFill>
            <w14:solidFill>
              <w14:schemeClr w14:val="tx1"/>
            </w14:solidFill>
          </w14:textFill>
        </w:rPr>
        <w:t>⑯</w:t>
      </w:r>
      <w:r>
        <w:rPr>
          <w:rFonts w:cs="Times New Roman"/>
          <w:color w:val="000000" w:themeColor="text1"/>
          <w:highlight w:val="none"/>
          <w14:textFill>
            <w14:solidFill>
              <w14:schemeClr w14:val="tx1"/>
            </w14:solidFill>
          </w14:textFill>
        </w:rPr>
        <w:t>若现场情况无法控制，现场抢修组组织现场人员进行撤离。</w:t>
      </w:r>
    </w:p>
    <w:p>
      <w:pPr>
        <w:ind w:firstLine="482"/>
        <w:rPr>
          <w:rFonts w:cs="Times New Roman"/>
          <w:b/>
          <w:bCs/>
          <w:color w:val="000000" w:themeColor="text1"/>
          <w:highlight w:val="none"/>
          <w14:textFill>
            <w14:solidFill>
              <w14:schemeClr w14:val="tx1"/>
            </w14:solidFill>
          </w14:textFill>
        </w:rPr>
      </w:pPr>
      <w:r>
        <w:rPr>
          <w:rFonts w:cs="Times New Roman"/>
          <w:b/>
          <w:bCs/>
          <w:color w:val="000000" w:themeColor="text1"/>
          <w:highlight w:val="none"/>
          <w14:textFill>
            <w14:solidFill>
              <w14:schemeClr w14:val="tx1"/>
            </w14:solidFill>
          </w14:textFill>
        </w:rPr>
        <w:t>3）事故应急处理措施</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当项目天然气发生泄漏时，项目总负责人或其指定人员应向当地政府报告，协助当地政府立即疏散管线周围的居民，并立即组织对项目周边社会关注点的撤离。</w:t>
      </w:r>
    </w:p>
    <w:p>
      <w:pPr>
        <w:ind w:firstLine="482"/>
        <w:rPr>
          <w:rFonts w:cs="Times New Roman"/>
          <w:b/>
          <w:bCs/>
          <w:color w:val="000000" w:themeColor="text1"/>
          <w:highlight w:val="none"/>
          <w14:textFill>
            <w14:solidFill>
              <w14:schemeClr w14:val="tx1"/>
            </w14:solidFill>
          </w14:textFill>
        </w:rPr>
      </w:pPr>
      <w:r>
        <w:rPr>
          <w:rFonts w:cs="Times New Roman"/>
          <w:b/>
          <w:bCs/>
          <w:color w:val="000000" w:themeColor="text1"/>
          <w:highlight w:val="none"/>
          <w14:textFill>
            <w14:solidFill>
              <w14:schemeClr w14:val="tx1"/>
            </w14:solidFill>
          </w14:textFill>
        </w:rPr>
        <w:t>4）应急监测</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按照《中国石油化工股份有限公司中原油田普光分公司环境突发环境事故应急预案》要求开展应急监测。</w:t>
      </w:r>
    </w:p>
    <w:p>
      <w:pPr>
        <w:ind w:firstLine="482"/>
        <w:rPr>
          <w:rFonts w:cs="Times New Roman"/>
          <w:b/>
          <w:bCs/>
          <w:color w:val="000000" w:themeColor="text1"/>
          <w:highlight w:val="none"/>
          <w14:textFill>
            <w14:solidFill>
              <w14:schemeClr w14:val="tx1"/>
            </w14:solidFill>
          </w14:textFill>
        </w:rPr>
      </w:pPr>
      <w:r>
        <w:rPr>
          <w:rFonts w:cs="Times New Roman"/>
          <w:b/>
          <w:bCs/>
          <w:color w:val="000000" w:themeColor="text1"/>
          <w:highlight w:val="none"/>
          <w14:textFill>
            <w14:solidFill>
              <w14:schemeClr w14:val="tx1"/>
            </w14:solidFill>
          </w14:textFill>
        </w:rPr>
        <w:t>5）事故后的恢复程序</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当恢复生产后，善后工作由现场人员负责具体落实，主要包括以下内容：</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①</w:t>
      </w:r>
      <w:r>
        <w:rPr>
          <w:rFonts w:cs="Times New Roman"/>
          <w:color w:val="000000" w:themeColor="text1"/>
          <w:highlight w:val="none"/>
          <w14:textFill>
            <w14:solidFill>
              <w14:schemeClr w14:val="tx1"/>
            </w14:solidFill>
          </w14:textFill>
        </w:rPr>
        <w:t>对现场进行清理，撤除所有的机具设备。</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②</w:t>
      </w:r>
      <w:r>
        <w:rPr>
          <w:rFonts w:cs="Times New Roman"/>
          <w:color w:val="000000" w:themeColor="text1"/>
          <w:highlight w:val="none"/>
          <w14:textFill>
            <w14:solidFill>
              <w14:schemeClr w14:val="tx1"/>
            </w14:solidFill>
          </w14:textFill>
        </w:rPr>
        <w:t>恢复地貌、植被；疏通河道、交通。</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③</w:t>
      </w:r>
      <w:r>
        <w:rPr>
          <w:rFonts w:cs="Times New Roman"/>
          <w:color w:val="000000" w:themeColor="text1"/>
          <w:highlight w:val="none"/>
          <w14:textFill>
            <w14:solidFill>
              <w14:schemeClr w14:val="tx1"/>
            </w14:solidFill>
          </w14:textFill>
        </w:rPr>
        <w:t>根据事故破坏情况，进行评估，按照相关法律，进行赔偿。</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④</w:t>
      </w:r>
      <w:r>
        <w:rPr>
          <w:rFonts w:cs="Times New Roman"/>
          <w:color w:val="000000" w:themeColor="text1"/>
          <w:highlight w:val="none"/>
          <w14:textFill>
            <w14:solidFill>
              <w14:schemeClr w14:val="tx1"/>
            </w14:solidFill>
          </w14:textFill>
        </w:rPr>
        <w:t>做好各项记录，进行归档整理。</w:t>
      </w:r>
    </w:p>
    <w:p>
      <w:pPr>
        <w:ind w:firstLine="482"/>
        <w:rPr>
          <w:rFonts w:cs="Times New Roman"/>
          <w:b/>
          <w:bCs/>
          <w:color w:val="000000" w:themeColor="text1"/>
          <w:highlight w:val="none"/>
          <w14:textFill>
            <w14:solidFill>
              <w14:schemeClr w14:val="tx1"/>
            </w14:solidFill>
          </w14:textFill>
        </w:rPr>
      </w:pPr>
      <w:r>
        <w:rPr>
          <w:rFonts w:cs="Times New Roman"/>
          <w:b/>
          <w:bCs/>
          <w:color w:val="000000" w:themeColor="text1"/>
          <w:highlight w:val="none"/>
          <w14:textFill>
            <w14:solidFill>
              <w14:schemeClr w14:val="tx1"/>
            </w14:solidFill>
          </w14:textFill>
        </w:rPr>
        <w:t>6）应急培训与演练</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应急培训和演练是培养和提高各岗位操作人员以及其他人员的日常应急处理能力的重要手段。按照《中国石油化工股份有限公司中原油田普光分公司环境突发环境事故应急预案》要求执行应急培训与演练。</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根据调查了解，本项目所在的雷页气藏及周边大湾区块自勘探开发以来未发生过井喷或废水、固废泄露导致周边河流、地下水与土壤污染的事故发生，因此本项目拟采取的环境风险防范措施有效可行。</w:t>
      </w:r>
    </w:p>
    <w:p>
      <w:pPr>
        <w:pStyle w:val="4"/>
        <w:spacing w:before="120"/>
        <w:rPr>
          <w:color w:val="000000" w:themeColor="text1"/>
          <w:highlight w:val="none"/>
          <w:lang w:eastAsia="zh-CN"/>
          <w14:textFill>
            <w14:solidFill>
              <w14:schemeClr w14:val="tx1"/>
            </w14:solidFill>
          </w14:textFill>
        </w:rPr>
      </w:pPr>
      <w:bookmarkStart w:id="364" w:name="5.3.7分析结论"/>
      <w:bookmarkEnd w:id="364"/>
      <w:bookmarkStart w:id="365" w:name="_Toc11901"/>
      <w:r>
        <w:rPr>
          <w:color w:val="000000" w:themeColor="text1"/>
          <w:highlight w:val="none"/>
          <w:lang w:eastAsia="zh-CN"/>
          <w14:textFill>
            <w14:solidFill>
              <w14:schemeClr w14:val="tx1"/>
            </w14:solidFill>
          </w14:textFill>
        </w:rPr>
        <w:t>分析结论</w:t>
      </w:r>
      <w:bookmarkEnd w:id="365"/>
    </w:p>
    <w:p>
      <w:pPr>
        <w:ind w:firstLine="480"/>
        <w:rPr>
          <w:rFonts w:cs="Times New Roman"/>
          <w:color w:val="000000" w:themeColor="text1"/>
          <w:szCs w:val="26"/>
          <w:highlight w:val="none"/>
          <w14:textFill>
            <w14:solidFill>
              <w14:schemeClr w14:val="tx1"/>
            </w14:solidFill>
          </w14:textFill>
        </w:rPr>
      </w:pPr>
      <w:r>
        <w:rPr>
          <w:rFonts w:hint="eastAsia" w:cs="Times New Roman"/>
          <w:color w:val="000000" w:themeColor="text1"/>
          <w:szCs w:val="26"/>
          <w:highlight w:val="none"/>
          <w14:textFill>
            <w14:solidFill>
              <w14:schemeClr w14:val="tx1"/>
            </w14:solidFill>
          </w14:textFill>
        </w:rPr>
        <w:t>本项目属于天然气试采项目，运营过程中涉及的甲烷等烃类物质，以及气田水等均属于环境风险物质，可燃气体的扩散遇明火，发生火灾、爆炸事故引发次生环境污染，气田水等泄漏会直接对周边地表水、地下水和土壤环境产生一定的环境风险</w:t>
      </w:r>
    </w:p>
    <w:p>
      <w:pPr>
        <w:ind w:firstLine="480"/>
        <w:rPr>
          <w:rFonts w:cs="Times New Roman"/>
          <w:color w:val="000000" w:themeColor="text1"/>
          <w:szCs w:val="26"/>
          <w:highlight w:val="none"/>
          <w14:textFill>
            <w14:solidFill>
              <w14:schemeClr w14:val="tx1"/>
            </w14:solidFill>
          </w14:textFill>
        </w:rPr>
      </w:pPr>
      <w:r>
        <w:rPr>
          <w:rFonts w:hint="eastAsia" w:cs="Times New Roman"/>
          <w:color w:val="000000" w:themeColor="text1"/>
          <w:szCs w:val="26"/>
          <w:highlight w:val="none"/>
          <w14:textFill>
            <w14:solidFill>
              <w14:schemeClr w14:val="tx1"/>
            </w14:solidFill>
          </w14:textFill>
        </w:rPr>
        <w:t>本工程废水设置于污水罐内，站场分区分级防渗，发生泄漏可能性低且有完善应急处置措施。项目发生风险事故的概率小，风险事故对人身安全、健康、环境的后果影响小，但是要尽量采取风险防范措施尽量避免事故发生，同时完善环境风险应急措施，组织编制、学习、演练应急预案以便在事故发生后将影响降低到最低程度，在采取以上措施后，可将工程环境风险控制在可接受范围内，本项目环境风险可接受</w:t>
      </w:r>
      <w:r>
        <w:rPr>
          <w:rFonts w:cs="Times New Roman"/>
          <w:color w:val="000000" w:themeColor="text1"/>
          <w:szCs w:val="26"/>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6.8</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建设项目环境风险简单分析内容表</w:t>
      </w:r>
    </w:p>
    <w:tbl>
      <w:tblPr>
        <w:tblStyle w:val="4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96"/>
        <w:gridCol w:w="1307"/>
        <w:gridCol w:w="869"/>
        <w:gridCol w:w="1747"/>
        <w:gridCol w:w="1019"/>
        <w:gridCol w:w="16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112"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建设项目名称</w:t>
            </w:r>
          </w:p>
        </w:tc>
        <w:tc>
          <w:tcPr>
            <w:tcW w:w="3888" w:type="pct"/>
            <w:gridSpan w:val="5"/>
            <w:vAlign w:val="center"/>
          </w:tcPr>
          <w:p>
            <w:pPr>
              <w:pStyle w:val="11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雷页1井试采地面工程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11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建设地点</w:t>
            </w:r>
          </w:p>
        </w:tc>
        <w:tc>
          <w:tcPr>
            <w:tcW w:w="3888" w:type="pct"/>
            <w:gridSpan w:val="5"/>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本项目试采站位于达州市宣汉县</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，外输管线涉及宣汉县</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、红岭镇（原红岭乡）和通川区魏兴镇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1112" w:type="pct"/>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地理坐标</w:t>
            </w:r>
          </w:p>
        </w:tc>
        <w:tc>
          <w:tcPr>
            <w:tcW w:w="767"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起点</w:t>
            </w:r>
          </w:p>
        </w:tc>
        <w:tc>
          <w:tcPr>
            <w:tcW w:w="510"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经度</w:t>
            </w:r>
          </w:p>
        </w:tc>
        <w:tc>
          <w:tcPr>
            <w:tcW w:w="102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107.603779</w:t>
            </w:r>
            <w:r>
              <w:rPr>
                <w:rFonts w:hint="eastAsia"/>
                <w:color w:val="000000" w:themeColor="text1"/>
                <w:highlight w:val="none"/>
                <w14:textFill>
                  <w14:solidFill>
                    <w14:schemeClr w14:val="tx1"/>
                  </w14:solidFill>
                </w14:textFill>
              </w:rPr>
              <w:t>°东</w:t>
            </w:r>
          </w:p>
        </w:tc>
        <w:tc>
          <w:tcPr>
            <w:tcW w:w="598"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纬度</w:t>
            </w:r>
          </w:p>
        </w:tc>
        <w:tc>
          <w:tcPr>
            <w:tcW w:w="988"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31.331836</w:t>
            </w:r>
            <w:r>
              <w:rPr>
                <w:rFonts w:hint="eastAsia"/>
                <w:color w:val="000000" w:themeColor="text1"/>
                <w:highlight w:val="none"/>
                <w14:textFill>
                  <w14:solidFill>
                    <w14:schemeClr w14:val="tx1"/>
                  </w14:solidFill>
                </w14:textFill>
              </w:rPr>
              <w:t>°北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1112" w:type="pct"/>
            <w:vMerge w:val="continue"/>
            <w:vAlign w:val="center"/>
          </w:tcPr>
          <w:p>
            <w:pPr>
              <w:pStyle w:val="118"/>
              <w:rPr>
                <w:color w:val="000000" w:themeColor="text1"/>
                <w:highlight w:val="none"/>
                <w14:textFill>
                  <w14:solidFill>
                    <w14:schemeClr w14:val="tx1"/>
                  </w14:solidFill>
                </w14:textFill>
              </w:rPr>
            </w:pPr>
          </w:p>
        </w:tc>
        <w:tc>
          <w:tcPr>
            <w:tcW w:w="767"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终点</w:t>
            </w:r>
          </w:p>
        </w:tc>
        <w:tc>
          <w:tcPr>
            <w:tcW w:w="510"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经度</w:t>
            </w:r>
          </w:p>
        </w:tc>
        <w:tc>
          <w:tcPr>
            <w:tcW w:w="1025"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07.517378</w:t>
            </w:r>
            <w:r>
              <w:rPr>
                <w:rFonts w:hint="eastAsia"/>
                <w:color w:val="000000" w:themeColor="text1"/>
                <w:highlight w:val="none"/>
                <w14:textFill>
                  <w14:solidFill>
                    <w14:schemeClr w14:val="tx1"/>
                  </w14:solidFill>
                </w14:textFill>
              </w:rPr>
              <w:t>°东</w:t>
            </w:r>
          </w:p>
        </w:tc>
        <w:tc>
          <w:tcPr>
            <w:tcW w:w="598"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纬度</w:t>
            </w:r>
          </w:p>
        </w:tc>
        <w:tc>
          <w:tcPr>
            <w:tcW w:w="988"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1.359992</w:t>
            </w:r>
            <w:r>
              <w:rPr>
                <w:rFonts w:hint="eastAsia"/>
                <w:color w:val="000000" w:themeColor="text1"/>
                <w:highlight w:val="none"/>
                <w14:textFill>
                  <w14:solidFill>
                    <w14:schemeClr w14:val="tx1"/>
                  </w14:solidFill>
                </w14:textFill>
              </w:rPr>
              <w:t>°北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111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主要危险物质及分布</w:t>
            </w:r>
          </w:p>
        </w:tc>
        <w:tc>
          <w:tcPr>
            <w:tcW w:w="3888" w:type="pct"/>
            <w:gridSpan w:val="5"/>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主要危险物质为甲烷、气田水，分布在集输管线、场站内设备等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8" w:hRule="atLeast"/>
        </w:trPr>
        <w:tc>
          <w:tcPr>
            <w:tcW w:w="111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环境影响途径及危害后果</w:t>
            </w:r>
          </w:p>
        </w:tc>
        <w:tc>
          <w:tcPr>
            <w:tcW w:w="3888" w:type="pct"/>
            <w:gridSpan w:val="5"/>
            <w:vAlign w:val="center"/>
          </w:tcPr>
          <w:p>
            <w:pPr>
              <w:widowControl/>
              <w:numPr>
                <w:ilvl w:val="0"/>
                <w:numId w:val="16"/>
              </w:numPr>
              <w:autoSpaceDE w:val="0"/>
              <w:autoSpaceDN w:val="0"/>
              <w:adjustRightInd/>
              <w:snapToGrid/>
              <w:spacing w:line="240" w:lineRule="auto"/>
              <w:ind w:firstLine="0" w:firstLineChars="0"/>
              <w:jc w:val="left"/>
              <w:textAlignment w:val="baseline"/>
              <w:rPr>
                <w:rFonts w:cs="Times New Roman"/>
                <w:color w:val="000000" w:themeColor="text1"/>
                <w:sz w:val="21"/>
                <w:highlight w:val="none"/>
                <w14:textFill>
                  <w14:solidFill>
                    <w14:schemeClr w14:val="tx1"/>
                  </w14:solidFill>
                </w14:textFill>
              </w:rPr>
            </w:pPr>
            <w:r>
              <w:rPr>
                <w:rFonts w:hint="eastAsia" w:cs="Times New Roman"/>
                <w:color w:val="000000" w:themeColor="text1"/>
                <w:sz w:val="21"/>
                <w:highlight w:val="none"/>
                <w14:textFill>
                  <w14:solidFill>
                    <w14:schemeClr w14:val="tx1"/>
                  </w14:solidFill>
                </w14:textFill>
              </w:rPr>
              <w:t>天然气因管道腐蚀或外力作用引起的泄漏，进而进入大气，在泄漏浓度高的地方引起群众缺氧、窒息；泄漏天然气遇火源发生火灾爆炸等引发的次生/伴生CO污染排放。</w:t>
            </w:r>
          </w:p>
          <w:p>
            <w:pPr>
              <w:widowControl/>
              <w:numPr>
                <w:ilvl w:val="0"/>
                <w:numId w:val="16"/>
              </w:numPr>
              <w:autoSpaceDE w:val="0"/>
              <w:autoSpaceDN w:val="0"/>
              <w:adjustRightInd/>
              <w:snapToGrid/>
              <w:spacing w:line="240" w:lineRule="auto"/>
              <w:ind w:firstLine="0" w:firstLineChars="0"/>
              <w:jc w:val="left"/>
              <w:textAlignment w:val="baseline"/>
              <w:rPr>
                <w:rFonts w:cs="Times New Roman"/>
                <w:color w:val="000000" w:themeColor="text1"/>
                <w:sz w:val="21"/>
                <w:highlight w:val="none"/>
                <w14:textFill>
                  <w14:solidFill>
                    <w14:schemeClr w14:val="tx1"/>
                  </w14:solidFill>
                </w14:textFill>
              </w:rPr>
            </w:pPr>
            <w:r>
              <w:rPr>
                <w:rFonts w:hint="eastAsia" w:cs="Times New Roman"/>
                <w:color w:val="000000" w:themeColor="text1"/>
                <w:sz w:val="21"/>
                <w:highlight w:val="none"/>
                <w14:textFill>
                  <w14:solidFill>
                    <w14:schemeClr w14:val="tx1"/>
                  </w14:solidFill>
                </w14:textFill>
              </w:rPr>
              <w:t>气田水因管道/储罐腐蚀或外力作用引起的泄漏，进而进入外环境，引起土壤、地下水、地表水环境中COD、氯化物等污染物超标。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9" w:hRule="atLeast"/>
        </w:trPr>
        <w:tc>
          <w:tcPr>
            <w:tcW w:w="111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风险防范措施要求</w:t>
            </w:r>
          </w:p>
        </w:tc>
        <w:tc>
          <w:tcPr>
            <w:tcW w:w="3888" w:type="pct"/>
            <w:gridSpan w:val="5"/>
            <w:vAlign w:val="center"/>
          </w:tcPr>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①</w:t>
            </w:r>
            <w:r>
              <w:rPr>
                <w:color w:val="000000" w:themeColor="text1"/>
                <w:highlight w:val="none"/>
                <w14:textFill>
                  <w14:solidFill>
                    <w14:schemeClr w14:val="tx1"/>
                  </w14:solidFill>
                </w14:textFill>
              </w:rPr>
              <w:t>制定应急救援预案并定期演练；</w:t>
            </w:r>
          </w:p>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②</w:t>
            </w:r>
            <w:r>
              <w:rPr>
                <w:color w:val="000000" w:themeColor="text1"/>
                <w:highlight w:val="none"/>
                <w14:textFill>
                  <w14:solidFill>
                    <w14:schemeClr w14:val="tx1"/>
                  </w14:solidFill>
                </w14:textFill>
              </w:rPr>
              <w:t>配备完善的放空系统、安全截断系统、可燃气体报警系统；</w:t>
            </w:r>
          </w:p>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③</w:t>
            </w:r>
            <w:r>
              <w:rPr>
                <w:color w:val="000000" w:themeColor="text1"/>
                <w:highlight w:val="none"/>
                <w14:textFill>
                  <w14:solidFill>
                    <w14:schemeClr w14:val="tx1"/>
                  </w14:solidFill>
                </w14:textFill>
              </w:rPr>
              <w:t>按照相关规范进行了防爆、防雷、防静电设计；</w:t>
            </w:r>
          </w:p>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④</w:t>
            </w:r>
            <w:r>
              <w:rPr>
                <w:color w:val="000000" w:themeColor="text1"/>
                <w:highlight w:val="none"/>
                <w14:textFill>
                  <w14:solidFill>
                    <w14:schemeClr w14:val="tx1"/>
                  </w14:solidFill>
                </w14:textFill>
              </w:rPr>
              <w:t>与站场周边的居民和当地村委会建立联络沟通机制，完善应急监控能力；</w:t>
            </w:r>
          </w:p>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⑤</w:t>
            </w:r>
            <w:r>
              <w:rPr>
                <w:color w:val="000000" w:themeColor="text1"/>
                <w:highlight w:val="none"/>
                <w14:textFill>
                  <w14:solidFill>
                    <w14:schemeClr w14:val="tx1"/>
                  </w14:solidFill>
                </w14:textFill>
              </w:rPr>
              <w:t>定期对站场设备及管线进行巡检，检查设备及管线有无漏点，确保其设备完好，无泄漏发生；</w:t>
            </w:r>
          </w:p>
          <w:p>
            <w:pPr>
              <w:pStyle w:val="118"/>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⑥</w:t>
            </w:r>
            <w:r>
              <w:rPr>
                <w:rFonts w:hint="eastAsia"/>
                <w:color w:val="000000" w:themeColor="text1"/>
                <w:highlight w:val="none"/>
                <w14:textFill>
                  <w14:solidFill>
                    <w14:schemeClr w14:val="tx1"/>
                  </w14:solidFill>
                </w14:textFill>
              </w:rPr>
              <w:t>试采</w:t>
            </w:r>
            <w:r>
              <w:rPr>
                <w:color w:val="000000" w:themeColor="text1"/>
                <w:highlight w:val="none"/>
                <w14:textFill>
                  <w14:solidFill>
                    <w14:schemeClr w14:val="tx1"/>
                  </w14:solidFill>
                </w14:textFill>
              </w:rPr>
              <w:t>期做好分区分级防渗，设置围堰，对</w:t>
            </w:r>
            <w:r>
              <w:rPr>
                <w:rFonts w:hint="eastAsia"/>
                <w:color w:val="000000" w:themeColor="text1"/>
                <w:highlight w:val="none"/>
                <w14:textFill>
                  <w14:solidFill>
                    <w14:schemeClr w14:val="tx1"/>
                  </w14:solidFill>
                </w14:textFill>
              </w:rPr>
              <w:t>污水</w:t>
            </w:r>
            <w:r>
              <w:rPr>
                <w:color w:val="000000" w:themeColor="text1"/>
                <w:highlight w:val="none"/>
                <w14:textFill>
                  <w14:solidFill>
                    <w14:schemeClr w14:val="tx1"/>
                  </w14:solidFill>
                </w14:textFill>
              </w:rPr>
              <w:t>罐等进行地面硬化、防渗，做好防雨、</w:t>
            </w:r>
            <w:r>
              <w:rPr>
                <w:rFonts w:hint="eastAsia"/>
                <w:color w:val="000000" w:themeColor="text1"/>
                <w:highlight w:val="none"/>
                <w14:textFill>
                  <w14:solidFill>
                    <w14:schemeClr w14:val="tx1"/>
                  </w14:solidFill>
                </w14:textFill>
              </w:rPr>
              <w:t>防雷措施</w:t>
            </w:r>
            <w:r>
              <w:rPr>
                <w:color w:val="000000" w:themeColor="text1"/>
                <w:highlight w:val="none"/>
                <w14:textFill>
                  <w14:solidFill>
                    <w14:schemeClr w14:val="tx1"/>
                  </w14:solidFill>
                </w14:textFill>
              </w:rPr>
              <w:t>；修建围堰，</w:t>
            </w:r>
            <w:r>
              <w:rPr>
                <w:rFonts w:hint="eastAsia"/>
                <w:color w:val="000000" w:themeColor="text1"/>
                <w:highlight w:val="none"/>
                <w14:textFill>
                  <w14:solidFill>
                    <w14:schemeClr w14:val="tx1"/>
                  </w14:solidFill>
                </w14:textFill>
              </w:rPr>
              <w:t>防止气田水</w:t>
            </w:r>
            <w:r>
              <w:rPr>
                <w:color w:val="000000" w:themeColor="text1"/>
                <w:highlight w:val="none"/>
                <w14:textFill>
                  <w14:solidFill>
                    <w14:schemeClr w14:val="tx1"/>
                  </w14:solidFill>
                </w14:textFill>
              </w:rPr>
              <w:t>泄漏进入周围环境。</w:t>
            </w:r>
          </w:p>
        </w:tc>
      </w:tr>
    </w:tbl>
    <w:p>
      <w:pPr>
        <w:ind w:firstLine="480"/>
        <w:jc w:val="center"/>
        <w:rPr>
          <w:rFonts w:cs="Times New Roman"/>
          <w:color w:val="000000" w:themeColor="text1"/>
          <w:szCs w:val="24"/>
          <w:highlight w:val="none"/>
          <w14:textFill>
            <w14:solidFill>
              <w14:schemeClr w14:val="tx1"/>
            </w14:solidFill>
          </w14:textFill>
        </w:rPr>
      </w:pP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br w:type="page"/>
      </w:r>
    </w:p>
    <w:p>
      <w:pPr>
        <w:pStyle w:val="3"/>
        <w:rPr>
          <w:b/>
          <w:color w:val="000000" w:themeColor="text1"/>
          <w:highlight w:val="none"/>
          <w:lang w:eastAsia="zh-CN"/>
          <w14:textFill>
            <w14:solidFill>
              <w14:schemeClr w14:val="tx1"/>
            </w14:solidFill>
          </w14:textFill>
        </w:rPr>
      </w:pPr>
      <w:bookmarkStart w:id="366" w:name="_Toc5867"/>
      <w:r>
        <w:rPr>
          <w:color w:val="000000" w:themeColor="text1"/>
          <w:highlight w:val="none"/>
          <w:lang w:eastAsia="zh-CN"/>
          <w14:textFill>
            <w14:solidFill>
              <w14:schemeClr w14:val="tx1"/>
            </w14:solidFill>
          </w14:textFill>
        </w:rPr>
        <w:t>环境保护措施及其可行性论证</w:t>
      </w:r>
      <w:bookmarkEnd w:id="366"/>
    </w:p>
    <w:p>
      <w:pPr>
        <w:pStyle w:val="4"/>
        <w:spacing w:before="120"/>
        <w:rPr>
          <w:color w:val="000000" w:themeColor="text1"/>
          <w:highlight w:val="none"/>
          <w:lang w:eastAsia="zh-CN"/>
          <w14:textFill>
            <w14:solidFill>
              <w14:schemeClr w14:val="tx1"/>
            </w14:solidFill>
          </w14:textFill>
        </w:rPr>
      </w:pPr>
      <w:bookmarkStart w:id="367" w:name="_bookmark32"/>
      <w:bookmarkEnd w:id="367"/>
      <w:bookmarkStart w:id="368" w:name="6.1施工期环境保护措施及可行性分析"/>
      <w:bookmarkEnd w:id="368"/>
      <w:bookmarkStart w:id="369" w:name="_Toc2658"/>
      <w:r>
        <w:rPr>
          <w:color w:val="000000" w:themeColor="text1"/>
          <w:highlight w:val="none"/>
          <w:lang w:eastAsia="zh-CN"/>
          <w14:textFill>
            <w14:solidFill>
              <w14:schemeClr w14:val="tx1"/>
            </w14:solidFill>
          </w14:textFill>
        </w:rPr>
        <w:t>施工期环境保护措施及可行性分析</w:t>
      </w:r>
      <w:bookmarkEnd w:id="369"/>
    </w:p>
    <w:p>
      <w:pPr>
        <w:pStyle w:val="5"/>
        <w:spacing w:before="120"/>
        <w:ind w:firstLine="480"/>
        <w:rPr>
          <w:b/>
          <w:color w:val="000000" w:themeColor="text1"/>
          <w:highlight w:val="none"/>
          <w:lang w:eastAsia="zh-CN"/>
          <w14:textFill>
            <w14:solidFill>
              <w14:schemeClr w14:val="tx1"/>
            </w14:solidFill>
          </w14:textFill>
        </w:rPr>
      </w:pPr>
      <w:bookmarkStart w:id="370" w:name="6.1.1施工废气防治措施及可行性分析"/>
      <w:bookmarkEnd w:id="370"/>
      <w:bookmarkStart w:id="371" w:name="_Toc120173210"/>
      <w:r>
        <w:rPr>
          <w:color w:val="000000" w:themeColor="text1"/>
          <w:highlight w:val="none"/>
          <w:lang w:eastAsia="zh-CN"/>
          <w14:textFill>
            <w14:solidFill>
              <w14:schemeClr w14:val="tx1"/>
            </w14:solidFill>
          </w14:textFill>
        </w:rPr>
        <w:t>施工期生态环境保护措施及可行性分析</w:t>
      </w:r>
      <w:bookmarkEnd w:id="371"/>
    </w:p>
    <w:p>
      <w:pPr>
        <w:ind w:firstLine="480"/>
        <w:rPr>
          <w:color w:val="000000" w:themeColor="text1"/>
          <w:highlight w:val="none"/>
          <w14:textFill>
            <w14:solidFill>
              <w14:schemeClr w14:val="tx1"/>
            </w14:solidFill>
          </w14:textFill>
        </w:rPr>
      </w:pPr>
      <w:r>
        <w:rPr>
          <w:color w:val="000000" w:themeColor="text1"/>
          <w:highlight w:val="none"/>
          <w:lang w:bidi="ar"/>
          <w14:textFill>
            <w14:solidFill>
              <w14:schemeClr w14:val="tx1"/>
            </w14:solidFill>
          </w14:textFill>
        </w:rPr>
        <w:t>坚持尊重自然、顺应自然、保护自然的理念，采取自然的恢复措施或绿色修复工艺，避免生态保护措施自身的不利影响。</w:t>
      </w:r>
    </w:p>
    <w:p>
      <w:pPr>
        <w:ind w:firstLine="480"/>
        <w:rPr>
          <w:color w:val="000000" w:themeColor="text1"/>
          <w:highlight w:val="none"/>
          <w:lang w:bidi="ar"/>
          <w14:textFill>
            <w14:solidFill>
              <w14:schemeClr w14:val="tx1"/>
            </w14:solidFill>
          </w14:textFill>
        </w:rPr>
      </w:pPr>
      <w:r>
        <w:rPr>
          <w:color w:val="000000" w:themeColor="text1"/>
          <w:highlight w:val="none"/>
          <w14:textFill>
            <w14:solidFill>
              <w14:schemeClr w14:val="tx1"/>
            </w14:solidFill>
          </w14:textFill>
        </w:rPr>
        <w:t>本工程建设过程中，将不可避免地对施工区的植被、动植物、景观和周围环境产生一定影响。</w:t>
      </w:r>
      <w:r>
        <w:rPr>
          <w:rFonts w:hint="eastAsia"/>
          <w:color w:val="000000" w:themeColor="text1"/>
          <w:highlight w:val="none"/>
          <w14:textFill>
            <w14:solidFill>
              <w14:schemeClr w14:val="tx1"/>
            </w14:solidFill>
          </w14:textFill>
        </w:rPr>
        <w:t>这些</w:t>
      </w:r>
      <w:r>
        <w:rPr>
          <w:color w:val="000000" w:themeColor="text1"/>
          <w:highlight w:val="none"/>
          <w14:textFill>
            <w14:solidFill>
              <w14:schemeClr w14:val="tx1"/>
            </w14:solidFill>
          </w14:textFill>
        </w:rPr>
        <w:t>影响是暂时性的，可通过采取自然或人工辅助措施的方法加以恢复，通过采取人工措施的方法</w:t>
      </w:r>
      <w:r>
        <w:rPr>
          <w:rFonts w:hint="eastAsia"/>
          <w:color w:val="000000" w:themeColor="text1"/>
          <w:highlight w:val="none"/>
          <w14:textFill>
            <w14:solidFill>
              <w14:schemeClr w14:val="tx1"/>
            </w14:solidFill>
          </w14:textFill>
        </w:rPr>
        <w:t>提高</w:t>
      </w:r>
      <w:r>
        <w:rPr>
          <w:color w:val="000000" w:themeColor="text1"/>
          <w:highlight w:val="none"/>
          <w14:textFill>
            <w14:solidFill>
              <w14:schemeClr w14:val="tx1"/>
            </w14:solidFill>
          </w14:textFill>
        </w:rPr>
        <w:t>地区植被覆盖率，使区域生态系统的结构和功能整体得到逐步改善，完全恢复，乃至更</w:t>
      </w:r>
      <w:r>
        <w:rPr>
          <w:color w:val="000000" w:themeColor="text1"/>
          <w:highlight w:val="none"/>
          <w:lang w:bidi="ar"/>
          <w14:textFill>
            <w14:solidFill>
              <w14:schemeClr w14:val="tx1"/>
            </w14:solidFill>
          </w14:textFill>
        </w:rPr>
        <w:t>为高效。</w:t>
      </w:r>
    </w:p>
    <w:p>
      <w:pPr>
        <w:pStyle w:val="6"/>
        <w:spacing w:before="120"/>
        <w:ind w:firstLine="480"/>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生态保护的宣传</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建设单位在施工</w:t>
      </w:r>
      <w:r>
        <w:rPr>
          <w:rFonts w:hint="eastAsia"/>
          <w:color w:val="000000" w:themeColor="text1"/>
          <w:highlight w:val="none"/>
          <w14:textFill>
            <w14:solidFill>
              <w14:schemeClr w14:val="tx1"/>
            </w14:solidFill>
          </w14:textFill>
        </w:rPr>
        <w:t>期间</w:t>
      </w:r>
      <w:r>
        <w:rPr>
          <w:color w:val="000000" w:themeColor="text1"/>
          <w:highlight w:val="none"/>
          <w14:textFill>
            <w14:solidFill>
              <w14:schemeClr w14:val="tx1"/>
            </w14:solidFill>
          </w14:textFill>
        </w:rPr>
        <w:t>需认真做好生态保护的宣传和监督工作，如印发宣传册、制作宣传栏、定期开展宣传活动等。绝不能超计划占用耕地、林地、草地及其他用地；施工过程中，注意加强对施工人员的管理和宣传教育，提高他们保护环境、保护野生动物的意识和觉悟，严令禁止偷猎和捕杀野生动物，禁止乱砍滥伐，做到文明施工。施工期间若遇到野生动物，应注意对其即刻采取适当的保护措施，必要时进行临时人工饲养或上报上级部门处理，不使其受到捕杀和伤害等在内的各种威胁。</w:t>
      </w:r>
    </w:p>
    <w:p>
      <w:pPr>
        <w:pStyle w:val="6"/>
        <w:spacing w:before="120"/>
        <w:ind w:firstLine="480"/>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避让、减缓措施</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（1）土地与植被保护措施</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施工期间为充分</w:t>
      </w:r>
      <w:r>
        <w:rPr>
          <w:rFonts w:hint="eastAsia"/>
          <w:color w:val="000000" w:themeColor="text1"/>
          <w:highlight w:val="none"/>
          <w14:textFill>
            <w14:solidFill>
              <w14:schemeClr w14:val="tx1"/>
            </w14:solidFill>
          </w14:textFill>
        </w:rPr>
        <w:t>地</w:t>
      </w:r>
      <w:r>
        <w:rPr>
          <w:color w:val="000000" w:themeColor="text1"/>
          <w:highlight w:val="none"/>
          <w14:textFill>
            <w14:solidFill>
              <w14:schemeClr w14:val="tx1"/>
            </w14:solidFill>
          </w14:textFill>
        </w:rPr>
        <w:t>保护评价范围现有土地和植被，可采取如下保护措施：</w:t>
      </w:r>
    </w:p>
    <w:p>
      <w:pPr>
        <w:ind w:firstLine="480"/>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①</w:t>
      </w:r>
      <w:r>
        <w:rPr>
          <w:color w:val="000000" w:themeColor="text1"/>
          <w:highlight w:val="none"/>
          <w14:textFill>
            <w14:solidFill>
              <w14:schemeClr w14:val="tx1"/>
            </w14:solidFill>
          </w14:textFill>
        </w:rPr>
        <w:t>优先采用生态友好的工程建设技术、工艺及材料。</w:t>
      </w:r>
    </w:p>
    <w:p>
      <w:pPr>
        <w:ind w:firstLine="480"/>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②</w:t>
      </w:r>
      <w:r>
        <w:rPr>
          <w:color w:val="000000" w:themeColor="text1"/>
          <w:highlight w:val="none"/>
          <w14:textFill>
            <w14:solidFill>
              <w14:schemeClr w14:val="tx1"/>
            </w14:solidFill>
          </w14:textFill>
        </w:rPr>
        <w:t>根据施工总体平面布置，严格规范施工范围，确定施工用地范围，进行标桩划界，禁止施工人员进入非施工占地区，严禁任意越界破坏周围植被。</w:t>
      </w:r>
    </w:p>
    <w:p>
      <w:pPr>
        <w:ind w:firstLine="480"/>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③</w:t>
      </w:r>
      <w:r>
        <w:rPr>
          <w:color w:val="000000" w:themeColor="text1"/>
          <w:highlight w:val="none"/>
          <w14:textFill>
            <w14:solidFill>
              <w14:schemeClr w14:val="tx1"/>
            </w14:solidFill>
          </w14:textFill>
        </w:rPr>
        <w:t>做好环卫工作，废弃物应合理堆放，及时处置，禁止乱丢垃圾和废弃物，严禁场内污水进入外环沟，确保周边环境不被污染。</w:t>
      </w:r>
    </w:p>
    <w:p>
      <w:pPr>
        <w:ind w:firstLine="480"/>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④</w:t>
      </w:r>
      <w:r>
        <w:rPr>
          <w:color w:val="000000" w:themeColor="text1"/>
          <w:highlight w:val="none"/>
          <w14:textFill>
            <w14:solidFill>
              <w14:schemeClr w14:val="tx1"/>
            </w14:solidFill>
          </w14:textFill>
        </w:rPr>
        <w:t>在项目建设过程中，强化临时占地的及时复耕复垦，对可以恢复的临时占地及时进行植被恢复。</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（2）水土流失的防治对策措施</w:t>
      </w:r>
    </w:p>
    <w:p>
      <w:pPr>
        <w:widowControl/>
        <w:adjustRightInd/>
        <w:ind w:firstLine="480"/>
        <w:rPr>
          <w:color w:val="000000" w:themeColor="text1"/>
          <w:szCs w:val="24"/>
          <w:highlight w:val="none"/>
          <w:lang w:bidi="ar"/>
          <w14:textFill>
            <w14:solidFill>
              <w14:schemeClr w14:val="tx1"/>
            </w14:solidFill>
          </w14:textFill>
        </w:rPr>
      </w:pPr>
      <w:r>
        <w:rPr>
          <w:rFonts w:hint="eastAsia"/>
          <w:color w:val="000000" w:themeColor="text1"/>
          <w:szCs w:val="24"/>
          <w:highlight w:val="none"/>
          <w:lang w:bidi="ar"/>
          <w14:textFill>
            <w14:solidFill>
              <w14:schemeClr w14:val="tx1"/>
            </w14:solidFill>
          </w14:textFill>
        </w:rPr>
        <w:t>①场站工程</w:t>
      </w:r>
    </w:p>
    <w:p>
      <w:pPr>
        <w:widowControl/>
        <w:adjustRightInd/>
        <w:ind w:firstLine="480"/>
        <w:rPr>
          <w:color w:val="000000" w:themeColor="text1"/>
          <w:szCs w:val="24"/>
          <w:highlight w:val="none"/>
          <w:lang w:bidi="ar"/>
          <w14:textFill>
            <w14:solidFill>
              <w14:schemeClr w14:val="tx1"/>
            </w14:solidFill>
          </w14:textFill>
        </w:rPr>
      </w:pPr>
      <w:r>
        <w:rPr>
          <w:color w:val="000000" w:themeColor="text1"/>
          <w:szCs w:val="24"/>
          <w:highlight w:val="none"/>
          <w:lang w:bidi="ar"/>
          <w14:textFill>
            <w14:solidFill>
              <w14:schemeClr w14:val="tx1"/>
            </w14:solidFill>
          </w14:textFill>
        </w:rPr>
        <w:t>主体设计对开挖裸露面实施临时苫盖措施，以防止地面雨水对开挖区域造成冲刷。临时苫盖采用密目网。</w:t>
      </w:r>
    </w:p>
    <w:p>
      <w:pPr>
        <w:widowControl/>
        <w:adjustRightInd/>
        <w:ind w:firstLine="480"/>
        <w:rPr>
          <w:color w:val="000000" w:themeColor="text1"/>
          <w:szCs w:val="24"/>
          <w:highlight w:val="none"/>
          <w:lang w:bidi="ar"/>
          <w14:textFill>
            <w14:solidFill>
              <w14:schemeClr w14:val="tx1"/>
            </w14:solidFill>
          </w14:textFill>
        </w:rPr>
      </w:pPr>
      <w:r>
        <w:rPr>
          <w:rFonts w:hint="eastAsia"/>
          <w:color w:val="000000" w:themeColor="text1"/>
          <w:szCs w:val="24"/>
          <w:highlight w:val="none"/>
          <w:lang w:bidi="ar"/>
          <w14:textFill>
            <w14:solidFill>
              <w14:schemeClr w14:val="tx1"/>
            </w14:solidFill>
          </w14:textFill>
        </w:rPr>
        <w:t>②集输管线</w:t>
      </w:r>
      <w:r>
        <w:rPr>
          <w:color w:val="000000" w:themeColor="text1"/>
          <w:szCs w:val="24"/>
          <w:highlight w:val="none"/>
          <w:lang w:bidi="ar"/>
          <w14:textFill>
            <w14:solidFill>
              <w14:schemeClr w14:val="tx1"/>
            </w14:solidFill>
          </w14:textFill>
        </w:rPr>
        <w:t>、施工场地</w:t>
      </w:r>
    </w:p>
    <w:p>
      <w:pPr>
        <w:widowControl/>
        <w:numPr>
          <w:ilvl w:val="0"/>
          <w:numId w:val="17"/>
        </w:numPr>
        <w:adjustRightInd/>
        <w:snapToGrid/>
        <w:ind w:firstLine="480"/>
        <w:textAlignment w:val="baseline"/>
        <w:rPr>
          <w:color w:val="000000" w:themeColor="text1"/>
          <w:szCs w:val="24"/>
          <w:highlight w:val="none"/>
          <w:lang w:bidi="ar"/>
          <w14:textFill>
            <w14:solidFill>
              <w14:schemeClr w14:val="tx1"/>
            </w14:solidFill>
          </w14:textFill>
        </w:rPr>
      </w:pPr>
      <w:r>
        <w:rPr>
          <w:rFonts w:hint="eastAsia"/>
          <w:color w:val="000000" w:themeColor="text1"/>
          <w:szCs w:val="24"/>
          <w:highlight w:val="none"/>
          <w:lang w:bidi="ar"/>
          <w14:textFill>
            <w14:solidFill>
              <w14:schemeClr w14:val="tx1"/>
            </w14:solidFill>
          </w14:textFill>
        </w:rPr>
        <w:t>表土剥离</w:t>
      </w:r>
    </w:p>
    <w:p>
      <w:pPr>
        <w:widowControl/>
        <w:numPr>
          <w:ilvl w:val="255"/>
          <w:numId w:val="0"/>
        </w:numPr>
        <w:adjustRightInd/>
        <w:ind w:firstLine="480" w:firstLineChars="200"/>
        <w:rPr>
          <w:color w:val="000000" w:themeColor="text1"/>
          <w:szCs w:val="24"/>
          <w:highlight w:val="none"/>
          <w:lang w:bidi="ar"/>
          <w14:textFill>
            <w14:solidFill>
              <w14:schemeClr w14:val="tx1"/>
            </w14:solidFill>
          </w14:textFill>
        </w:rPr>
      </w:pPr>
      <w:r>
        <w:rPr>
          <w:rFonts w:hint="eastAsia"/>
          <w:color w:val="000000" w:themeColor="text1"/>
          <w:szCs w:val="24"/>
          <w:highlight w:val="none"/>
          <w:lang w:bidi="ar"/>
          <w14:textFill>
            <w14:solidFill>
              <w14:schemeClr w14:val="tx1"/>
            </w14:solidFill>
          </w14:textFill>
        </w:rPr>
        <w:t>对施工作业带占用耕地、草地、林地的区域进行表土剥离，剥离厚度为25</w:t>
      </w:r>
      <w:r>
        <w:rPr>
          <w:rFonts w:hint="eastAsia"/>
          <w:color w:val="000000" w:themeColor="text1"/>
          <w:szCs w:val="24"/>
          <w:highlight w:val="none"/>
          <w:lang w:eastAsia="zh-CN" w:bidi="ar"/>
          <w14:textFill>
            <w14:solidFill>
              <w14:schemeClr w14:val="tx1"/>
            </w14:solidFill>
          </w14:textFill>
        </w:rPr>
        <w:t>～</w:t>
      </w:r>
      <w:r>
        <w:rPr>
          <w:rFonts w:hint="eastAsia"/>
          <w:color w:val="000000" w:themeColor="text1"/>
          <w:szCs w:val="24"/>
          <w:highlight w:val="none"/>
          <w:lang w:bidi="ar"/>
          <w14:textFill>
            <w14:solidFill>
              <w14:schemeClr w14:val="tx1"/>
            </w14:solidFill>
          </w14:textFill>
        </w:rPr>
        <w:t>30cm，剥离的表土堆存在管线旁作业带，用于土地整治时进行表土回覆。对施工场地内占用</w:t>
      </w:r>
      <w:r>
        <w:rPr>
          <w:color w:val="000000" w:themeColor="text1"/>
          <w:szCs w:val="24"/>
          <w:highlight w:val="none"/>
          <w:lang w:bidi="ar"/>
          <w14:textFill>
            <w14:solidFill>
              <w14:schemeClr w14:val="tx1"/>
            </w14:solidFill>
          </w14:textFill>
        </w:rPr>
        <w:t>耕地</w:t>
      </w:r>
      <w:r>
        <w:rPr>
          <w:rFonts w:hint="eastAsia"/>
          <w:color w:val="000000" w:themeColor="text1"/>
          <w:szCs w:val="24"/>
          <w:highlight w:val="none"/>
          <w:lang w:bidi="ar"/>
          <w14:textFill>
            <w14:solidFill>
              <w14:schemeClr w14:val="tx1"/>
            </w14:solidFill>
          </w14:textFill>
        </w:rPr>
        <w:t>、园地、林地</w:t>
      </w:r>
      <w:r>
        <w:rPr>
          <w:color w:val="000000" w:themeColor="text1"/>
          <w:szCs w:val="24"/>
          <w:highlight w:val="none"/>
          <w:lang w:bidi="ar"/>
          <w14:textFill>
            <w14:solidFill>
              <w14:schemeClr w14:val="tx1"/>
            </w14:solidFill>
          </w14:textFill>
        </w:rPr>
        <w:t>的区域进行表土剥离，剥离厚度为</w:t>
      </w:r>
      <w:r>
        <w:rPr>
          <w:rFonts w:hint="eastAsia"/>
          <w:color w:val="000000" w:themeColor="text1"/>
          <w:szCs w:val="24"/>
          <w:highlight w:val="none"/>
          <w:lang w:bidi="ar"/>
          <w14:textFill>
            <w14:solidFill>
              <w14:schemeClr w14:val="tx1"/>
            </w14:solidFill>
          </w14:textFill>
        </w:rPr>
        <w:t>25</w:t>
      </w:r>
      <w:r>
        <w:rPr>
          <w:rFonts w:hint="eastAsia"/>
          <w:color w:val="000000" w:themeColor="text1"/>
          <w:szCs w:val="24"/>
          <w:highlight w:val="none"/>
          <w:lang w:eastAsia="zh-CN" w:bidi="ar"/>
          <w14:textFill>
            <w14:solidFill>
              <w14:schemeClr w14:val="tx1"/>
            </w14:solidFill>
          </w14:textFill>
        </w:rPr>
        <w:t>～</w:t>
      </w:r>
      <w:r>
        <w:rPr>
          <w:color w:val="000000" w:themeColor="text1"/>
          <w:szCs w:val="24"/>
          <w:highlight w:val="none"/>
          <w:lang w:bidi="ar"/>
          <w14:textFill>
            <w14:solidFill>
              <w14:schemeClr w14:val="tx1"/>
            </w14:solidFill>
          </w14:textFill>
        </w:rPr>
        <w:t>30cm，剥离的表土堆存在</w:t>
      </w:r>
      <w:r>
        <w:rPr>
          <w:rFonts w:hint="eastAsia"/>
          <w:color w:val="000000" w:themeColor="text1"/>
          <w:szCs w:val="24"/>
          <w:highlight w:val="none"/>
          <w:lang w:bidi="ar"/>
          <w14:textFill>
            <w14:solidFill>
              <w14:schemeClr w14:val="tx1"/>
            </w14:solidFill>
          </w14:textFill>
        </w:rPr>
        <w:t>施工场地内专门设置的表土堆放区，</w:t>
      </w:r>
      <w:r>
        <w:rPr>
          <w:color w:val="000000" w:themeColor="text1"/>
          <w:szCs w:val="24"/>
          <w:highlight w:val="none"/>
          <w:lang w:bidi="ar"/>
          <w14:textFill>
            <w14:solidFill>
              <w14:schemeClr w14:val="tx1"/>
            </w14:solidFill>
          </w14:textFill>
        </w:rPr>
        <w:t>用于土地复垦时进行表土回覆</w:t>
      </w:r>
    </w:p>
    <w:p>
      <w:pPr>
        <w:widowControl/>
        <w:numPr>
          <w:ilvl w:val="0"/>
          <w:numId w:val="17"/>
        </w:numPr>
        <w:adjustRightInd/>
        <w:snapToGrid/>
        <w:ind w:firstLine="480"/>
        <w:textAlignment w:val="baseline"/>
        <w:rPr>
          <w:color w:val="000000" w:themeColor="text1"/>
          <w:szCs w:val="24"/>
          <w:highlight w:val="none"/>
          <w:lang w:bidi="ar"/>
          <w14:textFill>
            <w14:solidFill>
              <w14:schemeClr w14:val="tx1"/>
            </w14:solidFill>
          </w14:textFill>
        </w:rPr>
      </w:pPr>
      <w:r>
        <w:rPr>
          <w:rFonts w:hint="eastAsia"/>
          <w:color w:val="000000" w:themeColor="text1"/>
          <w:szCs w:val="24"/>
          <w:highlight w:val="none"/>
          <w:lang w:bidi="ar"/>
          <w14:textFill>
            <w14:solidFill>
              <w14:schemeClr w14:val="tx1"/>
            </w14:solidFill>
          </w14:textFill>
        </w:rPr>
        <w:t>土地复垦</w:t>
      </w:r>
    </w:p>
    <w:p>
      <w:pPr>
        <w:widowControl/>
        <w:adjustRightInd/>
        <w:ind w:firstLine="480"/>
        <w:rPr>
          <w:color w:val="000000" w:themeColor="text1"/>
          <w:szCs w:val="24"/>
          <w:highlight w:val="none"/>
          <w:lang w:bidi="ar"/>
          <w14:textFill>
            <w14:solidFill>
              <w14:schemeClr w14:val="tx1"/>
            </w14:solidFill>
          </w14:textFill>
        </w:rPr>
      </w:pPr>
      <w:r>
        <w:rPr>
          <w:rFonts w:hint="eastAsia"/>
          <w:color w:val="000000" w:themeColor="text1"/>
          <w:szCs w:val="24"/>
          <w:highlight w:val="none"/>
          <w:lang w:bidi="ar"/>
          <w14:textFill>
            <w14:solidFill>
              <w14:schemeClr w14:val="tx1"/>
            </w14:solidFill>
          </w14:textFill>
        </w:rPr>
        <w:t>在施工结束后，对占用的区域进行土地复垦，包括平整土地、翻地改善土壤理化性状，给植物及农作物生长尤其是根的发育创造了适宜的土壤条件。其方法和要求：先将表土翻松，再进行细平工作，局部高差较大处，进行回填，做到挖填同时进行。平整时应采取就近原则，开挖及回填时应保证表土回覆前土块有足够的保水层，防止表土层底部漏水，配合平整进行表土回覆。</w:t>
      </w:r>
    </w:p>
    <w:p>
      <w:pPr>
        <w:widowControl/>
        <w:adjustRightInd/>
        <w:ind w:firstLine="480"/>
        <w:rPr>
          <w:color w:val="000000" w:themeColor="text1"/>
          <w:szCs w:val="24"/>
          <w:highlight w:val="none"/>
          <w:lang w:bidi="ar"/>
          <w14:textFill>
            <w14:solidFill>
              <w14:schemeClr w14:val="tx1"/>
            </w14:solidFill>
          </w14:textFill>
        </w:rPr>
      </w:pPr>
      <w:r>
        <w:rPr>
          <w:rFonts w:hint="eastAsia"/>
          <w:color w:val="000000" w:themeColor="text1"/>
          <w:szCs w:val="24"/>
          <w:highlight w:val="none"/>
          <w:lang w:bidi="ar"/>
          <w14:textFill>
            <w14:solidFill>
              <w14:schemeClr w14:val="tx1"/>
            </w14:solidFill>
          </w14:textFill>
        </w:rPr>
        <w:t>C.植物恢复</w:t>
      </w:r>
    </w:p>
    <w:p>
      <w:pPr>
        <w:widowControl/>
        <w:adjustRightInd/>
        <w:ind w:firstLine="480"/>
        <w:rPr>
          <w:color w:val="000000" w:themeColor="text1"/>
          <w:szCs w:val="24"/>
          <w:highlight w:val="none"/>
          <w:lang w:bidi="ar"/>
          <w14:textFill>
            <w14:solidFill>
              <w14:schemeClr w14:val="tx1"/>
            </w14:solidFill>
          </w14:textFill>
        </w:rPr>
      </w:pPr>
      <w:r>
        <w:rPr>
          <w:color w:val="000000" w:themeColor="text1"/>
          <w:szCs w:val="24"/>
          <w:highlight w:val="none"/>
          <w:lang w:bidi="ar"/>
          <w14:textFill>
            <w14:solidFill>
              <w14:schemeClr w14:val="tx1"/>
            </w14:solidFill>
          </w14:textFill>
        </w:rPr>
        <w:t>在土地</w:t>
      </w:r>
      <w:r>
        <w:rPr>
          <w:rFonts w:hint="eastAsia"/>
          <w:color w:val="000000" w:themeColor="text1"/>
          <w:szCs w:val="24"/>
          <w:highlight w:val="none"/>
          <w:lang w:bidi="ar"/>
          <w14:textFill>
            <w14:solidFill>
              <w14:schemeClr w14:val="tx1"/>
            </w14:solidFill>
          </w14:textFill>
        </w:rPr>
        <w:t>复垦</w:t>
      </w:r>
      <w:r>
        <w:rPr>
          <w:color w:val="000000" w:themeColor="text1"/>
          <w:szCs w:val="24"/>
          <w:highlight w:val="none"/>
          <w:lang w:bidi="ar"/>
          <w14:textFill>
            <w14:solidFill>
              <w14:schemeClr w14:val="tx1"/>
            </w14:solidFill>
          </w14:textFill>
        </w:rPr>
        <w:t>完成后，对原地貌类型为林地的临时占地进行植被恢复。根据《</w:t>
      </w:r>
      <w:r>
        <w:rPr>
          <w:rFonts w:hint="eastAsia"/>
          <w:color w:val="000000" w:themeColor="text1"/>
          <w:szCs w:val="24"/>
          <w:highlight w:val="none"/>
          <w:lang w:bidi="ar"/>
          <w14:textFill>
            <w14:solidFill>
              <w14:schemeClr w14:val="tx1"/>
            </w14:solidFill>
          </w14:textFill>
        </w:rPr>
        <w:t>中华人民共和国石油天然气管道保护法</w:t>
      </w:r>
      <w:r>
        <w:rPr>
          <w:color w:val="000000" w:themeColor="text1"/>
          <w:szCs w:val="24"/>
          <w:highlight w:val="none"/>
          <w:lang w:bidi="ar"/>
          <w14:textFill>
            <w14:solidFill>
              <w14:schemeClr w14:val="tx1"/>
            </w14:solidFill>
          </w14:textFill>
        </w:rPr>
        <w:t>》第三十条第一款规定，在管道线路中心线两侧各5米地域范围内，禁止种植乔木、灌木、藤类、芦苇、竹子或者其他深根植物。因此，</w:t>
      </w:r>
      <w:r>
        <w:rPr>
          <w:rFonts w:hint="eastAsia"/>
          <w:color w:val="000000" w:themeColor="text1"/>
          <w:szCs w:val="24"/>
          <w:highlight w:val="none"/>
          <w:lang w:bidi="ar"/>
          <w14:textFill>
            <w14:solidFill>
              <w14:schemeClr w14:val="tx1"/>
            </w14:solidFill>
          </w14:textFill>
        </w:rPr>
        <w:t>对管线两侧5m范围内的原有</w:t>
      </w:r>
      <w:r>
        <w:rPr>
          <w:color w:val="000000" w:themeColor="text1"/>
          <w:szCs w:val="24"/>
          <w:highlight w:val="none"/>
          <w:lang w:bidi="ar"/>
          <w14:textFill>
            <w14:solidFill>
              <w14:schemeClr w14:val="tx1"/>
            </w14:solidFill>
          </w14:textFill>
        </w:rPr>
        <w:t>林地</w:t>
      </w:r>
      <w:r>
        <w:rPr>
          <w:rFonts w:hint="eastAsia"/>
          <w:color w:val="000000" w:themeColor="text1"/>
          <w:szCs w:val="24"/>
          <w:highlight w:val="none"/>
          <w:lang w:bidi="ar"/>
          <w14:textFill>
            <w14:solidFill>
              <w14:schemeClr w14:val="tx1"/>
            </w14:solidFill>
          </w14:textFill>
        </w:rPr>
        <w:t>部分</w:t>
      </w:r>
      <w:r>
        <w:rPr>
          <w:color w:val="000000" w:themeColor="text1"/>
          <w:szCs w:val="24"/>
          <w:highlight w:val="none"/>
          <w:lang w:bidi="ar"/>
          <w14:textFill>
            <w14:solidFill>
              <w14:schemeClr w14:val="tx1"/>
            </w14:solidFill>
          </w14:textFill>
        </w:rPr>
        <w:t>统一采用撒播草种进行植被恢复，草种采用狗牙根，草种应选择一级种，草籽新鲜饱满，纯度≥95%，发芽率≥90%，撒播密度80kg/hm</w:t>
      </w:r>
      <w:r>
        <w:rPr>
          <w:color w:val="000000" w:themeColor="text1"/>
          <w:szCs w:val="24"/>
          <w:highlight w:val="none"/>
          <w:vertAlign w:val="superscript"/>
          <w:lang w:bidi="ar"/>
          <w14:textFill>
            <w14:solidFill>
              <w14:schemeClr w14:val="tx1"/>
            </w14:solidFill>
          </w14:textFill>
        </w:rPr>
        <w:t>2</w:t>
      </w:r>
      <w:r>
        <w:rPr>
          <w:color w:val="000000" w:themeColor="text1"/>
          <w:szCs w:val="24"/>
          <w:highlight w:val="none"/>
          <w:lang w:bidi="ar"/>
          <w14:textFill>
            <w14:solidFill>
              <w14:schemeClr w14:val="tx1"/>
            </w14:solidFill>
          </w14:textFill>
        </w:rPr>
        <w:t>。</w:t>
      </w:r>
    </w:p>
    <w:p>
      <w:pPr>
        <w:widowControl/>
        <w:adjustRightInd/>
        <w:ind w:firstLine="480"/>
        <w:rPr>
          <w:color w:val="000000" w:themeColor="text1"/>
          <w:szCs w:val="24"/>
          <w:highlight w:val="none"/>
          <w:lang w:bidi="ar"/>
          <w14:textFill>
            <w14:solidFill>
              <w14:schemeClr w14:val="tx1"/>
            </w14:solidFill>
          </w14:textFill>
        </w:rPr>
      </w:pPr>
      <w:r>
        <w:rPr>
          <w:rFonts w:hint="eastAsia"/>
          <w:color w:val="000000" w:themeColor="text1"/>
          <w:szCs w:val="24"/>
          <w:highlight w:val="none"/>
          <w:lang w:bidi="ar"/>
          <w14:textFill>
            <w14:solidFill>
              <w14:schemeClr w14:val="tx1"/>
            </w14:solidFill>
          </w14:textFill>
        </w:rPr>
        <w:t>D.临时措施</w:t>
      </w:r>
    </w:p>
    <w:p>
      <w:pPr>
        <w:widowControl/>
        <w:adjustRightInd/>
        <w:ind w:firstLine="480"/>
        <w:rPr>
          <w:rFonts w:ascii="TTF46827ACtCID" w:hAnsi="TTF46827ACtCID" w:eastAsia="TTF46827ACtCID" w:cs="TTF46827ACtCID"/>
          <w:color w:val="000000" w:themeColor="text1"/>
          <w:szCs w:val="24"/>
          <w:highlight w:val="none"/>
          <w:lang w:bidi="ar"/>
          <w14:textFill>
            <w14:solidFill>
              <w14:schemeClr w14:val="tx1"/>
            </w14:solidFill>
          </w14:textFill>
        </w:rPr>
      </w:pPr>
      <w:r>
        <w:rPr>
          <w:rFonts w:hint="eastAsia" w:ascii="宋体" w:hAnsi="宋体" w:cs="宋体"/>
          <w:color w:val="000000" w:themeColor="text1"/>
          <w:szCs w:val="24"/>
          <w:highlight w:val="none"/>
          <w:lang w:bidi="ar"/>
          <w14:textFill>
            <w14:solidFill>
              <w14:schemeClr w14:val="tx1"/>
            </w14:solidFill>
          </w14:textFill>
        </w:rPr>
        <w:t>对</w:t>
      </w:r>
      <w:r>
        <w:rPr>
          <w:rFonts w:ascii="TTF46827ACtCID" w:hAnsi="TTF46827ACtCID" w:eastAsia="TTF46827ACtCID" w:cs="TTF46827ACtCID"/>
          <w:color w:val="000000" w:themeColor="text1"/>
          <w:szCs w:val="24"/>
          <w:highlight w:val="none"/>
          <w:lang w:bidi="ar"/>
          <w14:textFill>
            <w14:solidFill>
              <w14:schemeClr w14:val="tx1"/>
            </w14:solidFill>
          </w14:textFill>
        </w:rPr>
        <w:t>临时堆土（包括表土和一般土石方）和裸露土质边坡进行临时苫盖，减少因降雨而产生的水土流失。临时苫盖采用密目网，可重复使用。</w:t>
      </w:r>
    </w:p>
    <w:p>
      <w:pPr>
        <w:widowControl/>
        <w:adjustRightInd/>
        <w:ind w:firstLine="480"/>
        <w:rPr>
          <w:rFonts w:ascii="TTF46827ACtCID" w:hAnsi="TTF46827ACtCID" w:eastAsia="TTF46827ACtCID" w:cs="TTF46827ACtCID"/>
          <w:color w:val="000000" w:themeColor="text1"/>
          <w:szCs w:val="24"/>
          <w:highlight w:val="none"/>
          <w:lang w:bidi="ar"/>
          <w14:textFill>
            <w14:solidFill>
              <w14:schemeClr w14:val="tx1"/>
            </w14:solidFill>
          </w14:textFill>
        </w:rPr>
      </w:pPr>
      <w:r>
        <w:rPr>
          <w:rFonts w:hint="eastAsia" w:ascii="宋体" w:hAnsi="宋体" w:cs="宋体"/>
          <w:color w:val="000000" w:themeColor="text1"/>
          <w:szCs w:val="24"/>
          <w:highlight w:val="none"/>
          <w:lang w:bidi="ar"/>
          <w14:textFill>
            <w14:solidFill>
              <w14:schemeClr w14:val="tx1"/>
            </w14:solidFill>
          </w14:textFill>
        </w:rPr>
        <w:t>对</w:t>
      </w:r>
      <w:r>
        <w:rPr>
          <w:rFonts w:ascii="TTF46827ACtCID" w:hAnsi="TTF46827ACtCID" w:eastAsia="TTF46827ACtCID" w:cs="TTF46827ACtCID"/>
          <w:color w:val="000000" w:themeColor="text1"/>
          <w:szCs w:val="24"/>
          <w:highlight w:val="none"/>
          <w:lang w:bidi="ar"/>
          <w14:textFill>
            <w14:solidFill>
              <w14:schemeClr w14:val="tx1"/>
            </w14:solidFill>
          </w14:textFill>
        </w:rPr>
        <w:t>临时堆土（包括表土和一般土石方）进行临时铺垫。临时铺垫采用防雨布，可重复使用。</w:t>
      </w:r>
    </w:p>
    <w:p>
      <w:pPr>
        <w:widowControl/>
        <w:adjustRightInd/>
        <w:ind w:firstLine="480"/>
        <w:rPr>
          <w:rFonts w:eastAsia="TTF46827ACtCID"/>
          <w:color w:val="000000" w:themeColor="text1"/>
          <w:szCs w:val="24"/>
          <w:highlight w:val="none"/>
          <w:lang w:bidi="ar"/>
          <w14:textFill>
            <w14:solidFill>
              <w14:schemeClr w14:val="tx1"/>
            </w14:solidFill>
          </w14:textFill>
        </w:rPr>
      </w:pPr>
      <w:r>
        <w:rPr>
          <w:rFonts w:hint="eastAsia" w:ascii="宋体" w:hAnsi="宋体" w:cs="宋体"/>
          <w:color w:val="000000" w:themeColor="text1"/>
          <w:szCs w:val="24"/>
          <w:highlight w:val="none"/>
          <w:lang w:bidi="ar"/>
          <w14:textFill>
            <w14:solidFill>
              <w14:schemeClr w14:val="tx1"/>
            </w14:solidFill>
          </w14:textFill>
        </w:rPr>
        <w:t>在</w:t>
      </w:r>
      <w:r>
        <w:rPr>
          <w:rFonts w:eastAsia="TTF46827ACtCID"/>
          <w:color w:val="000000" w:themeColor="text1"/>
          <w:szCs w:val="24"/>
          <w:highlight w:val="none"/>
          <w:lang w:bidi="ar"/>
          <w14:textFill>
            <w14:solidFill>
              <w14:schemeClr w14:val="tx1"/>
            </w14:solidFill>
          </w14:textFill>
        </w:rPr>
        <w:t>横坡敷设段临时堆土下边坡与顺坡敷设段每隔20m沿等高线设置填土编织袋拦挡，用于拦挡开挖的临时堆土。填土编织袋拦挡采用梯形断面，顶宽0.5m，底宽1m，高0.5m左右，两侧坡比为1：0.5。填土编织袋拦挡采用编织土袋，内装部分表土，可重复使用。在施工结束后，拆除编织土袋，并将表土进行回填。</w:t>
      </w:r>
      <w:r>
        <w:rPr>
          <w:rFonts w:hint="eastAsia" w:eastAsia="TTF46827ACtCID"/>
          <w:color w:val="000000" w:themeColor="text1"/>
          <w:szCs w:val="24"/>
          <w:highlight w:val="none"/>
          <w:lang w:bidi="ar"/>
          <w14:textFill>
            <w14:solidFill>
              <w14:schemeClr w14:val="tx1"/>
            </w14:solidFill>
          </w14:textFill>
        </w:rPr>
        <w:t>拆除的编织袋可回收利用于其他施工作业现场。</w:t>
      </w:r>
    </w:p>
    <w:p>
      <w:pPr>
        <w:widowControl/>
        <w:adjustRightInd/>
        <w:ind w:firstLine="480"/>
        <w:rPr>
          <w:color w:val="000000" w:themeColor="text1"/>
          <w:highlight w:val="none"/>
          <w14:textFill>
            <w14:solidFill>
              <w14:schemeClr w14:val="tx1"/>
            </w14:solidFill>
          </w14:textFill>
        </w:rPr>
      </w:pPr>
      <w:r>
        <w:rPr>
          <w:rFonts w:hint="eastAsia" w:ascii="宋体" w:hAnsi="宋体" w:cs="宋体"/>
          <w:color w:val="000000" w:themeColor="text1"/>
          <w:szCs w:val="24"/>
          <w:highlight w:val="none"/>
          <w:lang w:bidi="ar"/>
          <w14:textFill>
            <w14:solidFill>
              <w14:schemeClr w14:val="tx1"/>
            </w14:solidFill>
          </w14:textFill>
        </w:rPr>
        <w:t>在</w:t>
      </w:r>
      <w:r>
        <w:rPr>
          <w:rFonts w:ascii="TTF46827ACtCID" w:hAnsi="TTF46827ACtCID" w:eastAsia="TTF46827ACtCID" w:cs="TTF46827ACtCID"/>
          <w:color w:val="000000" w:themeColor="text1"/>
          <w:szCs w:val="24"/>
          <w:highlight w:val="none"/>
          <w:lang w:bidi="ar"/>
          <w14:textFill>
            <w14:solidFill>
              <w14:schemeClr w14:val="tx1"/>
            </w14:solidFill>
          </w14:textFill>
        </w:rPr>
        <w:t>临时堆土周围布设临时排水沟。临时排水沟采用梯形断面，底宽</w:t>
      </w:r>
      <w:r>
        <w:rPr>
          <w:color w:val="000000" w:themeColor="text1"/>
          <w:szCs w:val="24"/>
          <w:highlight w:val="none"/>
          <w:lang w:bidi="ar"/>
          <w14:textFill>
            <w14:solidFill>
              <w14:schemeClr w14:val="tx1"/>
            </w14:solidFill>
          </w14:textFill>
        </w:rPr>
        <w:t>0.3m</w:t>
      </w:r>
      <w:r>
        <w:rPr>
          <w:rFonts w:ascii="TTF46827ACtCID" w:hAnsi="TTF46827ACtCID" w:eastAsia="TTF46827ACtCID" w:cs="TTF46827ACtCID"/>
          <w:color w:val="000000" w:themeColor="text1"/>
          <w:szCs w:val="24"/>
          <w:highlight w:val="none"/>
          <w:lang w:bidi="ar"/>
          <w14:textFill>
            <w14:solidFill>
              <w14:schemeClr w14:val="tx1"/>
            </w14:solidFill>
          </w14:textFill>
        </w:rPr>
        <w:t>，沟深</w:t>
      </w:r>
      <w:r>
        <w:rPr>
          <w:color w:val="000000" w:themeColor="text1"/>
          <w:szCs w:val="24"/>
          <w:highlight w:val="none"/>
          <w:lang w:bidi="ar"/>
          <w14:textFill>
            <w14:solidFill>
              <w14:schemeClr w14:val="tx1"/>
            </w14:solidFill>
          </w14:textFill>
        </w:rPr>
        <w:t>0.3m</w:t>
      </w:r>
      <w:r>
        <w:rPr>
          <w:rFonts w:ascii="TTF46827ACtCID" w:hAnsi="TTF46827ACtCID" w:eastAsia="TTF46827ACtCID" w:cs="TTF46827ACtCID"/>
          <w:color w:val="000000" w:themeColor="text1"/>
          <w:szCs w:val="24"/>
          <w:highlight w:val="none"/>
          <w:lang w:bidi="ar"/>
          <w14:textFill>
            <w14:solidFill>
              <w14:schemeClr w14:val="tx1"/>
            </w14:solidFill>
          </w14:textFill>
        </w:rPr>
        <w:t>，坡率</w:t>
      </w:r>
      <w:r>
        <w:rPr>
          <w:color w:val="000000" w:themeColor="text1"/>
          <w:szCs w:val="24"/>
          <w:highlight w:val="none"/>
          <w:lang w:bidi="ar"/>
          <w14:textFill>
            <w14:solidFill>
              <w14:schemeClr w14:val="tx1"/>
            </w14:solidFill>
          </w14:textFill>
        </w:rPr>
        <w:t>1:0.5</w:t>
      </w:r>
      <w:r>
        <w:rPr>
          <w:rFonts w:ascii="TTF46827ACtCID" w:hAnsi="TTF46827ACtCID" w:eastAsia="TTF46827ACtCID" w:cs="TTF46827ACtCID"/>
          <w:color w:val="000000" w:themeColor="text1"/>
          <w:szCs w:val="24"/>
          <w:highlight w:val="none"/>
          <w:lang w:bidi="ar"/>
          <w14:textFill>
            <w14:solidFill>
              <w14:schemeClr w14:val="tx1"/>
            </w14:solidFill>
          </w14:textFill>
        </w:rPr>
        <w:t>，土沟开挖完成后，对沟底及沟坡进行素土夯实。临时排水沟接至地方自然排水系统。</w:t>
      </w:r>
    </w:p>
    <w:p>
      <w:pPr>
        <w:widowControl/>
        <w:adjustRightInd/>
        <w:ind w:firstLine="480"/>
        <w:rPr>
          <w:color w:val="000000" w:themeColor="text1"/>
          <w:szCs w:val="24"/>
          <w:highlight w:val="none"/>
          <w:lang w:bidi="ar"/>
          <w14:textFill>
            <w14:solidFill>
              <w14:schemeClr w14:val="tx1"/>
            </w14:solidFill>
          </w14:textFill>
        </w:rPr>
      </w:pPr>
      <w:r>
        <w:rPr>
          <w:rFonts w:hint="eastAsia" w:ascii="宋体" w:hAnsi="宋体" w:cs="宋体"/>
          <w:color w:val="000000" w:themeColor="text1"/>
          <w:szCs w:val="24"/>
          <w:highlight w:val="none"/>
          <w:lang w:bidi="ar"/>
          <w14:textFill>
            <w14:solidFill>
              <w14:schemeClr w14:val="tx1"/>
            </w14:solidFill>
          </w14:textFill>
        </w:rPr>
        <w:t>③</w:t>
      </w:r>
      <w:r>
        <w:rPr>
          <w:color w:val="000000" w:themeColor="text1"/>
          <w:szCs w:val="24"/>
          <w:highlight w:val="none"/>
          <w:lang w:bidi="ar"/>
          <w14:textFill>
            <w14:solidFill>
              <w14:schemeClr w14:val="tx1"/>
            </w14:solidFill>
          </w14:textFill>
        </w:rPr>
        <w:t>施工便道</w:t>
      </w:r>
    </w:p>
    <w:p>
      <w:pPr>
        <w:widowControl/>
        <w:adjustRightInd/>
        <w:ind w:firstLine="480"/>
        <w:rPr>
          <w:color w:val="000000" w:themeColor="text1"/>
          <w:szCs w:val="24"/>
          <w:highlight w:val="none"/>
          <w:lang w:bidi="ar"/>
          <w14:textFill>
            <w14:solidFill>
              <w14:schemeClr w14:val="tx1"/>
            </w14:solidFill>
          </w14:textFill>
        </w:rPr>
      </w:pPr>
      <w:r>
        <w:rPr>
          <w:color w:val="000000" w:themeColor="text1"/>
          <w:szCs w:val="24"/>
          <w:highlight w:val="none"/>
          <w:lang w:bidi="ar"/>
          <w14:textFill>
            <w14:solidFill>
              <w14:schemeClr w14:val="tx1"/>
            </w14:solidFill>
          </w14:textFill>
        </w:rPr>
        <w:t>A.表土剥离</w:t>
      </w:r>
    </w:p>
    <w:p>
      <w:pPr>
        <w:widowControl/>
        <w:adjustRightInd/>
        <w:ind w:firstLine="480"/>
        <w:rPr>
          <w:color w:val="000000" w:themeColor="text1"/>
          <w:highlight w:val="none"/>
          <w14:textFill>
            <w14:solidFill>
              <w14:schemeClr w14:val="tx1"/>
            </w14:solidFill>
          </w14:textFill>
        </w:rPr>
      </w:pPr>
      <w:r>
        <w:rPr>
          <w:color w:val="000000" w:themeColor="text1"/>
          <w:szCs w:val="24"/>
          <w:highlight w:val="none"/>
          <w:lang w:bidi="ar"/>
          <w14:textFill>
            <w14:solidFill>
              <w14:schemeClr w14:val="tx1"/>
            </w14:solidFill>
          </w14:textFill>
        </w:rPr>
        <w:t>对施工便道内占用耕地</w:t>
      </w:r>
      <w:r>
        <w:rPr>
          <w:rFonts w:hint="eastAsia"/>
          <w:color w:val="000000" w:themeColor="text1"/>
          <w:szCs w:val="24"/>
          <w:highlight w:val="none"/>
          <w:lang w:bidi="ar"/>
          <w14:textFill>
            <w14:solidFill>
              <w14:schemeClr w14:val="tx1"/>
            </w14:solidFill>
          </w14:textFill>
        </w:rPr>
        <w:t>、园地</w:t>
      </w:r>
      <w:r>
        <w:rPr>
          <w:color w:val="000000" w:themeColor="text1"/>
          <w:szCs w:val="24"/>
          <w:highlight w:val="none"/>
          <w:lang w:bidi="ar"/>
          <w14:textFill>
            <w14:solidFill>
              <w14:schemeClr w14:val="tx1"/>
            </w14:solidFill>
          </w14:textFill>
        </w:rPr>
        <w:t>的区域进行表土剥离，剥离厚度为30cm，剥离的表土堆存在施工便道旁，</w:t>
      </w:r>
      <w:r>
        <w:rPr>
          <w:rFonts w:hint="eastAsia"/>
          <w:color w:val="000000" w:themeColor="text1"/>
          <w:szCs w:val="24"/>
          <w:highlight w:val="none"/>
          <w:lang w:bidi="ar"/>
          <w14:textFill>
            <w14:solidFill>
              <w14:schemeClr w14:val="tx1"/>
            </w14:solidFill>
          </w14:textFill>
        </w:rPr>
        <w:t>用于表土</w:t>
      </w:r>
      <w:r>
        <w:rPr>
          <w:color w:val="000000" w:themeColor="text1"/>
          <w:szCs w:val="24"/>
          <w:highlight w:val="none"/>
          <w:lang w:bidi="ar"/>
          <w14:textFill>
            <w14:solidFill>
              <w14:schemeClr w14:val="tx1"/>
            </w14:solidFill>
          </w14:textFill>
        </w:rPr>
        <w:t>回覆。</w:t>
      </w:r>
    </w:p>
    <w:p>
      <w:pPr>
        <w:widowControl/>
        <w:adjustRightInd/>
        <w:ind w:firstLine="480"/>
        <w:rPr>
          <w:color w:val="000000" w:themeColor="text1"/>
          <w:szCs w:val="24"/>
          <w:highlight w:val="none"/>
          <w:lang w:bidi="ar"/>
          <w14:textFill>
            <w14:solidFill>
              <w14:schemeClr w14:val="tx1"/>
            </w14:solidFill>
          </w14:textFill>
        </w:rPr>
      </w:pPr>
      <w:r>
        <w:rPr>
          <w:color w:val="000000" w:themeColor="text1"/>
          <w:szCs w:val="24"/>
          <w:highlight w:val="none"/>
          <w:lang w:bidi="ar"/>
          <w14:textFill>
            <w14:solidFill>
              <w14:schemeClr w14:val="tx1"/>
            </w14:solidFill>
          </w14:textFill>
        </w:rPr>
        <w:t>B.土地复垦</w:t>
      </w:r>
    </w:p>
    <w:p>
      <w:pPr>
        <w:widowControl/>
        <w:adjustRightInd/>
        <w:ind w:firstLine="480"/>
        <w:rPr>
          <w:color w:val="000000" w:themeColor="text1"/>
          <w:highlight w:val="none"/>
          <w14:textFill>
            <w14:solidFill>
              <w14:schemeClr w14:val="tx1"/>
            </w14:solidFill>
          </w14:textFill>
        </w:rPr>
      </w:pPr>
      <w:r>
        <w:rPr>
          <w:color w:val="000000" w:themeColor="text1"/>
          <w:szCs w:val="24"/>
          <w:highlight w:val="none"/>
          <w:lang w:bidi="ar"/>
          <w14:textFill>
            <w14:solidFill>
              <w14:schemeClr w14:val="tx1"/>
            </w14:solidFill>
          </w14:textFill>
        </w:rPr>
        <w:t>在施工结束后，对占用的临时占地进行土地整治，包括平整土地、翻地改善土壤理化性状，给植物及农作物生长尤其是根的发育创造了适宜的土壤条件。其方法和要求：先将表土翻松，再进行细平工作，局部高差较大处，进行回填，做到挖填同时进行。平整时应采取就近原则，开挖及回填时应保证表土回覆前土块有足够的保水层，防止表土层底部漏水，配合平整进行表土回覆。</w:t>
      </w:r>
    </w:p>
    <w:p>
      <w:pPr>
        <w:widowControl/>
        <w:adjustRightInd/>
        <w:ind w:firstLine="480"/>
        <w:rPr>
          <w:color w:val="000000" w:themeColor="text1"/>
          <w:szCs w:val="24"/>
          <w:highlight w:val="none"/>
          <w:lang w:bidi="ar"/>
          <w14:textFill>
            <w14:solidFill>
              <w14:schemeClr w14:val="tx1"/>
            </w14:solidFill>
          </w14:textFill>
        </w:rPr>
      </w:pPr>
      <w:r>
        <w:rPr>
          <w:color w:val="000000" w:themeColor="text1"/>
          <w:szCs w:val="24"/>
          <w:highlight w:val="none"/>
          <w:lang w:bidi="ar"/>
          <w14:textFill>
            <w14:solidFill>
              <w14:schemeClr w14:val="tx1"/>
            </w14:solidFill>
          </w14:textFill>
        </w:rPr>
        <w:t>C.植被恢复</w:t>
      </w:r>
    </w:p>
    <w:p>
      <w:pPr>
        <w:widowControl/>
        <w:adjustRightInd/>
        <w:ind w:firstLine="480"/>
        <w:rPr>
          <w:color w:val="000000" w:themeColor="text1"/>
          <w:szCs w:val="24"/>
          <w:highlight w:val="none"/>
          <w:lang w:bidi="ar"/>
          <w14:textFill>
            <w14:solidFill>
              <w14:schemeClr w14:val="tx1"/>
            </w14:solidFill>
          </w14:textFill>
        </w:rPr>
      </w:pPr>
      <w:r>
        <w:rPr>
          <w:color w:val="000000" w:themeColor="text1"/>
          <w:szCs w:val="24"/>
          <w:highlight w:val="none"/>
          <w:lang w:bidi="ar"/>
          <w14:textFill>
            <w14:solidFill>
              <w14:schemeClr w14:val="tx1"/>
            </w14:solidFill>
          </w14:textFill>
        </w:rPr>
        <w:t>对原地貌类型为林地、园地的临时占地进行植被恢复。主体工程设计对林地统一采用撒播草种进行植被恢复，植被恢复要求与集输管线部分一致。</w:t>
      </w:r>
    </w:p>
    <w:p>
      <w:pPr>
        <w:widowControl/>
        <w:adjustRightInd/>
        <w:ind w:firstLine="480"/>
        <w:rPr>
          <w:color w:val="000000" w:themeColor="text1"/>
          <w:szCs w:val="24"/>
          <w:highlight w:val="none"/>
          <w:lang w:bidi="ar"/>
          <w14:textFill>
            <w14:solidFill>
              <w14:schemeClr w14:val="tx1"/>
            </w14:solidFill>
          </w14:textFill>
        </w:rPr>
      </w:pPr>
      <w:r>
        <w:rPr>
          <w:color w:val="000000" w:themeColor="text1"/>
          <w:szCs w:val="24"/>
          <w:highlight w:val="none"/>
          <w:lang w:bidi="ar"/>
          <w14:textFill>
            <w14:solidFill>
              <w14:schemeClr w14:val="tx1"/>
            </w14:solidFill>
          </w14:textFill>
        </w:rPr>
        <w:t>D.临时措施</w:t>
      </w:r>
    </w:p>
    <w:p>
      <w:pPr>
        <w:widowControl/>
        <w:adjustRightInd/>
        <w:ind w:firstLine="480"/>
        <w:rPr>
          <w:color w:val="000000" w:themeColor="text1"/>
          <w:szCs w:val="24"/>
          <w:highlight w:val="none"/>
          <w:lang w:bidi="ar"/>
          <w14:textFill>
            <w14:solidFill>
              <w14:schemeClr w14:val="tx1"/>
            </w14:solidFill>
          </w14:textFill>
        </w:rPr>
      </w:pPr>
      <w:r>
        <w:rPr>
          <w:color w:val="000000" w:themeColor="text1"/>
          <w:szCs w:val="24"/>
          <w:highlight w:val="none"/>
          <w:lang w:bidi="ar"/>
          <w14:textFill>
            <w14:solidFill>
              <w14:schemeClr w14:val="tx1"/>
            </w14:solidFill>
          </w14:textFill>
        </w:rPr>
        <w:t>对临时堆土（包括表土和一般土石方）和裸露土质边坡进行临时苫盖，减少因降雨而产生的水土流失。临时苫盖采用密目网，可重复使用。</w:t>
      </w:r>
    </w:p>
    <w:p>
      <w:pPr>
        <w:widowControl/>
        <w:adjustRightInd/>
        <w:ind w:firstLine="480"/>
        <w:rPr>
          <w:color w:val="000000" w:themeColor="text1"/>
          <w:szCs w:val="24"/>
          <w:highlight w:val="none"/>
          <w:lang w:bidi="ar"/>
          <w14:textFill>
            <w14:solidFill>
              <w14:schemeClr w14:val="tx1"/>
            </w14:solidFill>
          </w14:textFill>
        </w:rPr>
      </w:pPr>
      <w:r>
        <w:rPr>
          <w:color w:val="000000" w:themeColor="text1"/>
          <w:szCs w:val="24"/>
          <w:highlight w:val="none"/>
          <w:lang w:bidi="ar"/>
          <w14:textFill>
            <w14:solidFill>
              <w14:schemeClr w14:val="tx1"/>
            </w14:solidFill>
          </w14:textFill>
        </w:rPr>
        <w:t>在</w:t>
      </w:r>
      <w:r>
        <w:rPr>
          <w:rFonts w:hint="eastAsia"/>
          <w:color w:val="000000" w:themeColor="text1"/>
          <w:szCs w:val="24"/>
          <w:highlight w:val="none"/>
          <w:lang w:bidi="ar"/>
          <w14:textFill>
            <w14:solidFill>
              <w14:schemeClr w14:val="tx1"/>
            </w14:solidFill>
          </w14:textFill>
        </w:rPr>
        <w:t>临时堆土周围设置填土编织袋拦挡，</w:t>
      </w:r>
      <w:r>
        <w:rPr>
          <w:color w:val="000000" w:themeColor="text1"/>
          <w:szCs w:val="24"/>
          <w:highlight w:val="none"/>
          <w:lang w:bidi="ar"/>
          <w14:textFill>
            <w14:solidFill>
              <w14:schemeClr w14:val="tx1"/>
            </w14:solidFill>
          </w14:textFill>
        </w:rPr>
        <w:t>用于拦挡开挖的临时堆土。填土编织袋拦挡采用梯形断面，顶宽0.5m，底宽1m，高0.5m左右，两侧坡比为1：0.5。填土编织袋拦挡采用编织土袋，内装部分表土，可重复使用。在施工结束后，拆除编织土袋，并将表土进行回填。拆除的编织袋可回收利用于其他施工作业现场。</w:t>
      </w:r>
    </w:p>
    <w:p>
      <w:pPr>
        <w:ind w:firstLine="480"/>
        <w:rPr>
          <w:color w:val="000000" w:themeColor="text1"/>
          <w:highlight w:val="none"/>
          <w14:textFill>
            <w14:solidFill>
              <w14:schemeClr w14:val="tx1"/>
            </w14:solidFill>
          </w14:textFill>
        </w:rPr>
      </w:pPr>
      <w:r>
        <w:rPr>
          <w:color w:val="000000" w:themeColor="text1"/>
          <w:szCs w:val="24"/>
          <w:highlight w:val="none"/>
          <w:lang w:bidi="ar"/>
          <w14:textFill>
            <w14:solidFill>
              <w14:schemeClr w14:val="tx1"/>
            </w14:solidFill>
          </w14:textFill>
        </w:rPr>
        <w:t>在临时堆土周围布设临时排水沟。临时排水沟采用梯形断面，底宽0.3m，沟深0.3m，坡率1:0.5，土沟开挖完成后，对沟底及沟坡进行素土夯实。临时排水沟接至地方自然排水系统</w:t>
      </w:r>
      <w:r>
        <w:rPr>
          <w:color w:val="000000" w:themeColor="text1"/>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（3）对陆生野生动物保护措施</w:t>
      </w:r>
    </w:p>
    <w:p>
      <w:pPr>
        <w:ind w:firstLine="480"/>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①</w:t>
      </w:r>
      <w:r>
        <w:rPr>
          <w:color w:val="000000" w:themeColor="text1"/>
          <w:highlight w:val="none"/>
          <w14:textFill>
            <w14:solidFill>
              <w14:schemeClr w14:val="tx1"/>
            </w14:solidFill>
          </w14:textFill>
        </w:rPr>
        <w:t>加强宣传野生动物保护法规，打击捕杀野生动物的行为</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增强</w:t>
      </w:r>
      <w:r>
        <w:rPr>
          <w:color w:val="000000" w:themeColor="text1"/>
          <w:highlight w:val="none"/>
          <w14:textFill>
            <w14:solidFill>
              <w14:schemeClr w14:val="tx1"/>
            </w14:solidFill>
          </w14:textFill>
        </w:rPr>
        <w:t>施工人员的保护意识，施工人员必须遵守《中华人民共和国野生动物保护法》，严禁捕猎保护动物，特别是重点保护野生动物。</w:t>
      </w:r>
    </w:p>
    <w:p>
      <w:pPr>
        <w:ind w:firstLine="480"/>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②</w:t>
      </w:r>
      <w:r>
        <w:rPr>
          <w:color w:val="000000" w:themeColor="text1"/>
          <w:highlight w:val="none"/>
          <w14:textFill>
            <w14:solidFill>
              <w14:schemeClr w14:val="tx1"/>
            </w14:solidFill>
          </w14:textFill>
        </w:rPr>
        <w:t>防止动物生境污染</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人类活动的增加，会给环境污染带来新的隐患。从保护生态与环境的角度出发，建议本工程开工之前，尽量做好施工规划前期工作，做好工程完工后生态环境的恢复工作，以尽量减少植被破坏对动物栖息地的不利影响。</w:t>
      </w:r>
    </w:p>
    <w:p>
      <w:pPr>
        <w:ind w:firstLine="480"/>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③</w:t>
      </w:r>
      <w:r>
        <w:rPr>
          <w:color w:val="000000" w:themeColor="text1"/>
          <w:highlight w:val="none"/>
          <w14:textFill>
            <w14:solidFill>
              <w14:schemeClr w14:val="tx1"/>
            </w14:solidFill>
          </w14:textFill>
        </w:rPr>
        <w:t>杜绝夜间施工，以保证自然生态系统和野生动物栖息地的稳定。</w:t>
      </w:r>
    </w:p>
    <w:p>
      <w:pPr>
        <w:ind w:firstLine="480"/>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④</w:t>
      </w:r>
      <w:r>
        <w:rPr>
          <w:color w:val="000000" w:themeColor="text1"/>
          <w:highlight w:val="none"/>
          <w14:textFill>
            <w14:solidFill>
              <w14:schemeClr w14:val="tx1"/>
            </w14:solidFill>
          </w14:textFill>
        </w:rPr>
        <w:t>对野生动物具体保护方案</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鸟类：</w:t>
      </w:r>
      <w:r>
        <w:rPr>
          <w:rFonts w:hint="eastAsia" w:ascii="宋体" w:hAnsi="宋体" w:cs="宋体"/>
          <w:color w:val="000000" w:themeColor="text1"/>
          <w:highlight w:val="none"/>
          <w14:textFill>
            <w14:solidFill>
              <w14:schemeClr w14:val="tx1"/>
            </w14:solidFill>
          </w14:textFill>
        </w:rPr>
        <w:t>①</w:t>
      </w:r>
      <w:r>
        <w:rPr>
          <w:color w:val="000000" w:themeColor="text1"/>
          <w:highlight w:val="none"/>
          <w14:textFill>
            <w14:solidFill>
              <w14:schemeClr w14:val="tx1"/>
            </w14:solidFill>
          </w14:textFill>
        </w:rPr>
        <w:t>尽量减少施工对植被的破坏，保证施工后植被的恢复。</w:t>
      </w:r>
      <w:r>
        <w:rPr>
          <w:rFonts w:hint="eastAsia" w:ascii="宋体" w:hAnsi="宋体" w:cs="宋体"/>
          <w:color w:val="000000" w:themeColor="text1"/>
          <w:highlight w:val="none"/>
          <w14:textFill>
            <w14:solidFill>
              <w14:schemeClr w14:val="tx1"/>
            </w14:solidFill>
          </w14:textFill>
        </w:rPr>
        <w:t>②</w:t>
      </w:r>
      <w:r>
        <w:rPr>
          <w:color w:val="000000" w:themeColor="text1"/>
          <w:highlight w:val="none"/>
          <w14:textFill>
            <w14:solidFill>
              <w14:schemeClr w14:val="tx1"/>
            </w14:solidFill>
          </w14:textFill>
        </w:rPr>
        <w:t>增强人们的环境保护意识，加强对重点保护野生动物的保护，严禁非法猎捕保护鸟类及对人类有益的鸟类。</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兽类：保护好现有的植被，使兽类有一个稳定的栖息地。为将项目建设对兽类栖息地的影响减少到最低限度，应在所有可能的地区采用可能的方法恢复植被；对工程废物和施工人员的生活垃圾进行快速处理，尽量避免废物为鼠类等疫源性兽类提供生活环境，同时也可减少工程对动物栖息地的破坏。</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（4）对</w:t>
      </w:r>
      <w:r>
        <w:rPr>
          <w:rFonts w:hint="eastAsia"/>
          <w:color w:val="000000" w:themeColor="text1"/>
          <w:highlight w:val="none"/>
          <w14:textFill>
            <w14:solidFill>
              <w14:schemeClr w14:val="tx1"/>
            </w14:solidFill>
          </w14:textFill>
        </w:rPr>
        <w:t>天然林</w:t>
      </w:r>
      <w:r>
        <w:rPr>
          <w:color w:val="000000" w:themeColor="text1"/>
          <w:highlight w:val="none"/>
          <w14:textFill>
            <w14:solidFill>
              <w14:schemeClr w14:val="tx1"/>
            </w14:solidFill>
          </w14:textFill>
        </w:rPr>
        <w:t>的</w:t>
      </w:r>
      <w:r>
        <w:rPr>
          <w:rFonts w:hint="eastAsia"/>
          <w:color w:val="000000" w:themeColor="text1"/>
          <w:highlight w:val="none"/>
          <w14:textFill>
            <w14:solidFill>
              <w14:schemeClr w14:val="tx1"/>
            </w14:solidFill>
          </w14:textFill>
        </w:rPr>
        <w:t>保护及</w:t>
      </w:r>
      <w:r>
        <w:rPr>
          <w:color w:val="000000" w:themeColor="text1"/>
          <w:highlight w:val="none"/>
          <w14:textFill>
            <w14:solidFill>
              <w14:schemeClr w14:val="tx1"/>
            </w14:solidFill>
          </w14:textFill>
        </w:rPr>
        <w:t>避让</w:t>
      </w:r>
    </w:p>
    <w:p>
      <w:pPr>
        <w:ind w:firstLine="480"/>
        <w:rPr>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项目</w:t>
      </w:r>
      <w:r>
        <w:rPr>
          <w:rFonts w:hint="eastAsia" w:cs="Times New Roman"/>
          <w:bCs/>
          <w:color w:val="000000" w:themeColor="text1"/>
          <w:highlight w:val="none"/>
          <w14:textFill>
            <w14:solidFill>
              <w14:schemeClr w14:val="tx1"/>
            </w14:solidFill>
          </w14:textFill>
        </w:rPr>
        <w:t>试采站</w:t>
      </w:r>
      <w:r>
        <w:rPr>
          <w:rFonts w:cs="Times New Roman"/>
          <w:bCs/>
          <w:color w:val="000000" w:themeColor="text1"/>
          <w:highlight w:val="none"/>
          <w14:textFill>
            <w14:solidFill>
              <w14:schemeClr w14:val="tx1"/>
            </w14:solidFill>
          </w14:textFill>
        </w:rPr>
        <w:t>占地不涉及天然林，外输管线穿越公益林约</w:t>
      </w:r>
      <w:r>
        <w:rPr>
          <w:rFonts w:hint="eastAsia" w:cs="Times New Roman"/>
          <w:bCs/>
          <w:color w:val="000000" w:themeColor="text1"/>
          <w:highlight w:val="none"/>
          <w14:textFill>
            <w14:solidFill>
              <w14:schemeClr w14:val="tx1"/>
            </w14:solidFill>
          </w14:textFill>
        </w:rPr>
        <w:t>350</w:t>
      </w:r>
      <w:r>
        <w:rPr>
          <w:rFonts w:cs="Times New Roman"/>
          <w:bCs/>
          <w:color w:val="000000" w:themeColor="text1"/>
          <w:highlight w:val="none"/>
          <w14:textFill>
            <w14:solidFill>
              <w14:schemeClr w14:val="tx1"/>
            </w14:solidFill>
          </w14:textFill>
        </w:rPr>
        <w:t>m，</w:t>
      </w:r>
      <w:r>
        <w:rPr>
          <w:rFonts w:hint="eastAsia" w:cs="Times New Roman"/>
          <w:bCs/>
          <w:color w:val="000000" w:themeColor="text1"/>
          <w:highlight w:val="none"/>
          <w14:textFill>
            <w14:solidFill>
              <w14:schemeClr w14:val="tx1"/>
            </w14:solidFill>
          </w14:textFill>
        </w:rPr>
        <w:t>穿越天然</w:t>
      </w:r>
      <w:r>
        <w:rPr>
          <w:rFonts w:cs="Times New Roman"/>
          <w:bCs/>
          <w:color w:val="000000" w:themeColor="text1"/>
          <w:highlight w:val="none"/>
          <w14:textFill>
            <w14:solidFill>
              <w14:schemeClr w14:val="tx1"/>
            </w14:solidFill>
          </w14:textFill>
        </w:rPr>
        <w:t>林</w:t>
      </w:r>
      <w:r>
        <w:rPr>
          <w:rFonts w:cs="Times New Roman"/>
          <w:color w:val="000000" w:themeColor="text1"/>
          <w:highlight w:val="none"/>
          <w14:textFill>
            <w14:solidFill>
              <w14:schemeClr w14:val="tx1"/>
            </w14:solidFill>
          </w14:textFill>
        </w:rPr>
        <w:t>约</w:t>
      </w:r>
      <w:r>
        <w:rPr>
          <w:rFonts w:hint="eastAsia" w:cs="Times New Roman"/>
          <w:color w:val="000000" w:themeColor="text1"/>
          <w:highlight w:val="none"/>
          <w14:textFill>
            <w14:solidFill>
              <w14:schemeClr w14:val="tx1"/>
            </w14:solidFill>
          </w14:textFill>
        </w:rPr>
        <w:t>180m</w:t>
      </w:r>
      <w:r>
        <w:rPr>
          <w:rFonts w:cs="Times New Roman"/>
          <w:color w:val="000000" w:themeColor="text1"/>
          <w:highlight w:val="none"/>
          <w14:textFill>
            <w14:solidFill>
              <w14:schemeClr w14:val="tx1"/>
            </w14:solidFill>
          </w14:textFill>
        </w:rPr>
        <w:t>，</w:t>
      </w:r>
      <w:r>
        <w:rPr>
          <w:rFonts w:cs="Times New Roman"/>
          <w:bCs/>
          <w:color w:val="000000" w:themeColor="text1"/>
          <w:highlight w:val="none"/>
          <w14:textFill>
            <w14:solidFill>
              <w14:schemeClr w14:val="tx1"/>
            </w14:solidFill>
          </w14:textFill>
        </w:rPr>
        <w:t>在项目选址阶段，经过反复比选和论证，在充分考虑避让和优化措施的前提下，外输管线还是将不可避免地穿越公益林</w:t>
      </w:r>
      <w:r>
        <w:rPr>
          <w:rFonts w:hint="eastAsia" w:cs="Times New Roman"/>
          <w:bCs/>
          <w:color w:val="000000" w:themeColor="text1"/>
          <w:highlight w:val="none"/>
          <w14:textFill>
            <w14:solidFill>
              <w14:schemeClr w14:val="tx1"/>
            </w14:solidFill>
          </w14:textFill>
        </w:rPr>
        <w:t>和天然</w:t>
      </w:r>
      <w:r>
        <w:rPr>
          <w:rFonts w:cs="Times New Roman"/>
          <w:bCs/>
          <w:color w:val="000000" w:themeColor="text1"/>
          <w:highlight w:val="none"/>
          <w14:textFill>
            <w14:solidFill>
              <w14:schemeClr w14:val="tx1"/>
            </w14:solidFill>
          </w14:textFill>
        </w:rPr>
        <w:t>林</w:t>
      </w:r>
      <w:r>
        <w:rPr>
          <w:rFonts w:cs="Times New Roman"/>
          <w:color w:val="000000" w:themeColor="text1"/>
          <w:highlight w:val="none"/>
          <w14:textFill>
            <w14:solidFill>
              <w14:schemeClr w14:val="tx1"/>
            </w14:solidFill>
          </w14:textFill>
        </w:rPr>
        <w:t>，</w:t>
      </w:r>
      <w:r>
        <w:rPr>
          <w:rFonts w:cs="Times New Roman"/>
          <w:bCs/>
          <w:color w:val="000000" w:themeColor="text1"/>
          <w:highlight w:val="none"/>
          <w14:textFill>
            <w14:solidFill>
              <w14:schemeClr w14:val="tx1"/>
            </w14:solidFill>
          </w14:textFill>
        </w:rPr>
        <w:t>这部分公益林</w:t>
      </w:r>
      <w:r>
        <w:rPr>
          <w:rFonts w:hint="eastAsia" w:cs="Times New Roman"/>
          <w:bCs/>
          <w:color w:val="000000" w:themeColor="text1"/>
          <w:highlight w:val="none"/>
          <w14:textFill>
            <w14:solidFill>
              <w14:schemeClr w14:val="tx1"/>
            </w14:solidFill>
          </w14:textFill>
        </w:rPr>
        <w:t>、天然林生态</w:t>
      </w:r>
      <w:r>
        <w:rPr>
          <w:rFonts w:cs="Times New Roman"/>
          <w:bCs/>
          <w:color w:val="000000" w:themeColor="text1"/>
          <w:highlight w:val="none"/>
          <w14:textFill>
            <w14:solidFill>
              <w14:schemeClr w14:val="tx1"/>
            </w14:solidFill>
          </w14:textFill>
        </w:rPr>
        <w:t>系统服务功能主要也是水源涵养、土壤保持、生物多样性保护功能等，与周边植被从现状看无明显差异，因此占用这部分公益林不会对其生态系统服务等功能产生明显影响。项目施工期间，需采取如下措施：①优化施工和开采方案，严格控制施工</w:t>
      </w:r>
      <w:r>
        <w:rPr>
          <w:rFonts w:hint="eastAsia" w:cs="Times New Roman"/>
          <w:bCs/>
          <w:color w:val="000000" w:themeColor="text1"/>
          <w:highlight w:val="none"/>
          <w14:textFill>
            <w14:solidFill>
              <w14:schemeClr w14:val="tx1"/>
            </w14:solidFill>
          </w14:textFill>
        </w:rPr>
        <w:t>和</w:t>
      </w:r>
      <w:r>
        <w:rPr>
          <w:rFonts w:cs="Times New Roman"/>
          <w:bCs/>
          <w:color w:val="000000" w:themeColor="text1"/>
          <w:highlight w:val="none"/>
          <w14:textFill>
            <w14:solidFill>
              <w14:schemeClr w14:val="tx1"/>
            </w14:solidFill>
          </w14:textFill>
        </w:rPr>
        <w:t>开采作业面，必须避免超挖破坏周边天然林、公益林植被；②严格按照施工</w:t>
      </w:r>
      <w:r>
        <w:rPr>
          <w:rFonts w:hint="eastAsia" w:cs="Times New Roman"/>
          <w:bCs/>
          <w:color w:val="000000" w:themeColor="text1"/>
          <w:highlight w:val="none"/>
          <w14:textFill>
            <w14:solidFill>
              <w14:schemeClr w14:val="tx1"/>
            </w14:solidFill>
          </w14:textFill>
        </w:rPr>
        <w:t>和</w:t>
      </w:r>
      <w:r>
        <w:rPr>
          <w:rFonts w:cs="Times New Roman"/>
          <w:bCs/>
          <w:color w:val="000000" w:themeColor="text1"/>
          <w:highlight w:val="none"/>
          <w14:textFill>
            <w14:solidFill>
              <w14:schemeClr w14:val="tx1"/>
            </w14:solidFill>
          </w14:textFill>
        </w:rPr>
        <w:t>开采方案要求将弃土、弃渣等运往指定场地，禁止在非占地区任何位置随意堆放；③施工和开采过程中，应加强防火知识宣传教育，增强员工和附近居民的防火意识，杜绝火灾的发生；</w:t>
      </w:r>
      <w:r>
        <w:rPr>
          <w:rFonts w:cs="Times New Roman"/>
          <w:b/>
          <w:color w:val="000000" w:themeColor="text1"/>
          <w:highlight w:val="none"/>
          <w14:textFill>
            <w14:solidFill>
              <w14:schemeClr w14:val="tx1"/>
            </w14:solidFill>
          </w14:textFill>
        </w:rPr>
        <w:t>④应按照相关林地审批手续办理使用林地审批手续并获得相应批文后方可实质性施工，严禁违法使用天然林、公益林地</w:t>
      </w:r>
      <w:r>
        <w:rPr>
          <w:rFonts w:hint="eastAsia"/>
          <w:b/>
          <w:color w:val="000000" w:themeColor="text1"/>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（5）外来入侵植物防范措施</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目前防止外来物种入侵的方法主要有植物检疫、人工方法防治、化学方法防治、生物防治等。结合工程特点，要求加大宣传力度，对外来物种的危害以及传播途径向施工人员进行宣传；对现有的外来种，利用工程施工的机会，对有种子的植物要现场烧毁，以防种子扩散，在临时占地的地方要及时绿化等。</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在施工占地区或裸地绿化应采取相应的防范措施，在选择绿化树种和水土保持植物中不使用外来入侵植物，尽可能使用乡土树种。</w:t>
      </w:r>
    </w:p>
    <w:p>
      <w:pPr>
        <w:pStyle w:val="19"/>
        <w:adjustRightInd w:val="0"/>
        <w:snapToGrid w:val="0"/>
        <w:spacing w:line="360" w:lineRule="auto"/>
        <w:ind w:left="0" w:firstLine="480" w:firstLineChars="200"/>
        <w:rPr>
          <w:rFonts w:ascii="Times New Roman" w:hAnsi="Times New Roman"/>
          <w:bCs/>
          <w:color w:val="000000" w:themeColor="text1"/>
          <w:highlight w:val="none"/>
          <w:lang w:eastAsia="zh-CN"/>
          <w14:textFill>
            <w14:solidFill>
              <w14:schemeClr w14:val="tx1"/>
            </w14:solidFill>
          </w14:textFill>
        </w:rPr>
      </w:pPr>
      <w:bookmarkStart w:id="372" w:name="_Toc428258688"/>
      <w:r>
        <w:rPr>
          <w:rFonts w:hint="eastAsia" w:ascii="Times New Roman" w:hAnsi="Times New Roman"/>
          <w:bCs/>
          <w:color w:val="000000" w:themeColor="text1"/>
          <w:highlight w:val="none"/>
          <w:lang w:eastAsia="zh-CN"/>
          <w14:textFill>
            <w14:solidFill>
              <w14:schemeClr w14:val="tx1"/>
            </w14:solidFill>
          </w14:textFill>
        </w:rPr>
        <w:t>（6）水生生物保护措施</w:t>
      </w:r>
      <w:bookmarkEnd w:id="372"/>
    </w:p>
    <w:p>
      <w:pPr>
        <w:pStyle w:val="19"/>
        <w:adjustRightInd w:val="0"/>
        <w:snapToGrid w:val="0"/>
        <w:spacing w:line="360" w:lineRule="auto"/>
        <w:ind w:left="0" w:firstLine="480" w:firstLineChars="200"/>
        <w:rPr>
          <w:rFonts w:ascii="Times New Roman" w:hAnsi="Times New Roman"/>
          <w:bCs/>
          <w:color w:val="000000" w:themeColor="text1"/>
          <w:highlight w:val="none"/>
          <w:lang w:eastAsia="zh-CN"/>
          <w14:textFill>
            <w14:solidFill>
              <w14:schemeClr w14:val="tx1"/>
            </w14:solidFill>
          </w14:textFill>
        </w:rPr>
      </w:pPr>
      <w:r>
        <w:rPr>
          <w:rFonts w:hint="eastAsia" w:ascii="Times New Roman" w:hAnsi="Times New Roman"/>
          <w:bCs/>
          <w:color w:val="000000" w:themeColor="text1"/>
          <w:highlight w:val="none"/>
          <w:lang w:eastAsia="zh-CN"/>
          <w14:textFill>
            <w14:solidFill>
              <w14:schemeClr w14:val="tx1"/>
            </w14:solidFill>
          </w14:textFill>
        </w:rPr>
        <w:t>1）合理安排涉水施工时间，并采用围堰施工。</w:t>
      </w:r>
      <w:r>
        <w:rPr>
          <w:rFonts w:ascii="Times New Roman" w:hAnsi="Times New Roman"/>
          <w:bCs/>
          <w:color w:val="000000" w:themeColor="text1"/>
          <w:highlight w:val="none"/>
          <w:lang w:eastAsia="zh-CN"/>
          <w14:textFill>
            <w14:solidFill>
              <w14:schemeClr w14:val="tx1"/>
            </w14:solidFill>
          </w14:textFill>
        </w:rPr>
        <w:t>施工尽量选在枯水期进行</w:t>
      </w:r>
      <w:r>
        <w:rPr>
          <w:rFonts w:hint="eastAsia" w:ascii="Times New Roman" w:hAnsi="Times New Roman"/>
          <w:bCs/>
          <w:color w:val="000000" w:themeColor="text1"/>
          <w:highlight w:val="none"/>
          <w:lang w:eastAsia="zh-CN"/>
          <w14:textFill>
            <w14:solidFill>
              <w14:schemeClr w14:val="tx1"/>
            </w14:solidFill>
          </w14:textFill>
        </w:rPr>
        <w:t>，</w:t>
      </w:r>
      <w:r>
        <w:rPr>
          <w:rFonts w:ascii="Times New Roman" w:hAnsi="Times New Roman"/>
          <w:bCs/>
          <w:color w:val="000000" w:themeColor="text1"/>
          <w:highlight w:val="none"/>
          <w:lang w:eastAsia="zh-CN"/>
          <w14:textFill>
            <w14:solidFill>
              <w14:schemeClr w14:val="tx1"/>
            </w14:solidFill>
          </w14:textFill>
        </w:rPr>
        <w:t>避免对产卵场生境的直接影响</w:t>
      </w:r>
      <w:r>
        <w:rPr>
          <w:rFonts w:hint="eastAsia" w:ascii="Times New Roman" w:hAnsi="Times New Roman"/>
          <w:bCs/>
          <w:color w:val="000000" w:themeColor="text1"/>
          <w:highlight w:val="none"/>
          <w:lang w:eastAsia="zh-CN"/>
          <w14:textFill>
            <w14:solidFill>
              <w14:schemeClr w14:val="tx1"/>
            </w14:solidFill>
          </w14:textFill>
        </w:rPr>
        <w:t>。</w:t>
      </w:r>
    </w:p>
    <w:p>
      <w:pPr>
        <w:pStyle w:val="19"/>
        <w:adjustRightInd w:val="0"/>
        <w:snapToGrid w:val="0"/>
        <w:spacing w:line="360" w:lineRule="auto"/>
        <w:ind w:left="0" w:firstLine="480" w:firstLineChars="200"/>
        <w:rPr>
          <w:rFonts w:ascii="Times New Roman" w:hAnsi="Times New Roman"/>
          <w:bCs/>
          <w:color w:val="000000" w:themeColor="text1"/>
          <w:highlight w:val="none"/>
          <w:lang w:eastAsia="zh-CN"/>
          <w14:textFill>
            <w14:solidFill>
              <w14:schemeClr w14:val="tx1"/>
            </w14:solidFill>
          </w14:textFill>
        </w:rPr>
      </w:pPr>
      <w:r>
        <w:rPr>
          <w:rFonts w:hint="eastAsia" w:ascii="Times New Roman" w:hAnsi="Times New Roman"/>
          <w:bCs/>
          <w:color w:val="000000" w:themeColor="text1"/>
          <w:highlight w:val="none"/>
          <w:lang w:eastAsia="zh-CN"/>
          <w14:textFill>
            <w14:solidFill>
              <w14:schemeClr w14:val="tx1"/>
            </w14:solidFill>
          </w14:textFill>
        </w:rPr>
        <w:t>2）</w:t>
      </w:r>
      <w:r>
        <w:rPr>
          <w:rFonts w:ascii="Times New Roman" w:hAnsi="Times New Roman"/>
          <w:bCs/>
          <w:color w:val="000000" w:themeColor="text1"/>
          <w:highlight w:val="none"/>
          <w:lang w:eastAsia="zh-CN"/>
          <w14:textFill>
            <w14:solidFill>
              <w14:schemeClr w14:val="tx1"/>
            </w14:solidFill>
          </w14:textFill>
        </w:rPr>
        <w:t>施工</w:t>
      </w:r>
      <w:r>
        <w:rPr>
          <w:rFonts w:hint="eastAsia" w:ascii="Times New Roman" w:hAnsi="Times New Roman"/>
          <w:bCs/>
          <w:color w:val="000000" w:themeColor="text1"/>
          <w:highlight w:val="none"/>
          <w:lang w:eastAsia="zh-CN"/>
          <w14:textFill>
            <w14:solidFill>
              <w14:schemeClr w14:val="tx1"/>
            </w14:solidFill>
          </w14:textFill>
        </w:rPr>
        <w:t>场</w:t>
      </w:r>
      <w:r>
        <w:rPr>
          <w:rFonts w:ascii="Times New Roman" w:hAnsi="Times New Roman"/>
          <w:bCs/>
          <w:color w:val="000000" w:themeColor="text1"/>
          <w:highlight w:val="none"/>
          <w:lang w:eastAsia="zh-CN"/>
          <w14:textFill>
            <w14:solidFill>
              <w14:schemeClr w14:val="tx1"/>
            </w14:solidFill>
          </w14:textFill>
        </w:rPr>
        <w:t>地生活垃圾和生活污水不得随意排入附近水体。生活垃圾集中</w:t>
      </w:r>
      <w:r>
        <w:rPr>
          <w:rFonts w:hint="eastAsia" w:ascii="Times New Roman" w:hAnsi="Times New Roman"/>
          <w:bCs/>
          <w:color w:val="000000" w:themeColor="text1"/>
          <w:highlight w:val="none"/>
          <w:lang w:eastAsia="zh-CN"/>
          <w14:textFill>
            <w14:solidFill>
              <w14:schemeClr w14:val="tx1"/>
            </w14:solidFill>
          </w14:textFill>
        </w:rPr>
        <w:t>收集依托沿线乡镇垃圾中转站处置</w:t>
      </w:r>
      <w:r>
        <w:rPr>
          <w:rFonts w:ascii="Times New Roman" w:hAnsi="Times New Roman"/>
          <w:bCs/>
          <w:color w:val="000000" w:themeColor="text1"/>
          <w:highlight w:val="none"/>
          <w:lang w:eastAsia="zh-CN"/>
          <w14:textFill>
            <w14:solidFill>
              <w14:schemeClr w14:val="tx1"/>
            </w14:solidFill>
          </w14:textFill>
        </w:rPr>
        <w:t>。</w:t>
      </w:r>
    </w:p>
    <w:p>
      <w:pPr>
        <w:pStyle w:val="19"/>
        <w:adjustRightInd w:val="0"/>
        <w:snapToGrid w:val="0"/>
        <w:spacing w:line="360" w:lineRule="auto"/>
        <w:ind w:left="0" w:firstLine="480" w:firstLineChars="200"/>
        <w:rPr>
          <w:rFonts w:ascii="Times New Roman" w:hAnsi="Times New Roman"/>
          <w:bCs/>
          <w:color w:val="000000" w:themeColor="text1"/>
          <w:highlight w:val="none"/>
          <w:lang w:eastAsia="zh-CN"/>
          <w14:textFill>
            <w14:solidFill>
              <w14:schemeClr w14:val="tx1"/>
            </w14:solidFill>
          </w14:textFill>
        </w:rPr>
      </w:pPr>
      <w:r>
        <w:rPr>
          <w:rFonts w:hint="eastAsia" w:ascii="Times New Roman" w:hAnsi="Times New Roman"/>
          <w:bCs/>
          <w:color w:val="000000" w:themeColor="text1"/>
          <w:highlight w:val="none"/>
          <w:lang w:eastAsia="zh-CN"/>
          <w14:textFill>
            <w14:solidFill>
              <w14:schemeClr w14:val="tx1"/>
            </w14:solidFill>
          </w14:textFill>
        </w:rPr>
        <w:t>3）</w:t>
      </w:r>
      <w:r>
        <w:rPr>
          <w:rFonts w:ascii="Times New Roman" w:hAnsi="Times New Roman"/>
          <w:bCs/>
          <w:color w:val="000000" w:themeColor="text1"/>
          <w:highlight w:val="none"/>
          <w:lang w:eastAsia="zh-CN"/>
          <w14:textFill>
            <w14:solidFill>
              <w14:schemeClr w14:val="tx1"/>
            </w14:solidFill>
          </w14:textFill>
        </w:rPr>
        <w:t>施工用料的堆放应远离水源和其他水体，选择暴雨径流难以冲刷的地方。部分施工用料若堆放在</w:t>
      </w:r>
      <w:r>
        <w:rPr>
          <w:rFonts w:hint="eastAsia" w:ascii="Times New Roman" w:hAnsi="Times New Roman"/>
          <w:bCs/>
          <w:color w:val="000000" w:themeColor="text1"/>
          <w:highlight w:val="none"/>
          <w:lang w:eastAsia="zh-CN"/>
          <w14:textFill>
            <w14:solidFill>
              <w14:schemeClr w14:val="tx1"/>
            </w14:solidFill>
          </w14:textFill>
        </w:rPr>
        <w:t>河道</w:t>
      </w:r>
      <w:r>
        <w:rPr>
          <w:rFonts w:ascii="Times New Roman" w:hAnsi="Times New Roman"/>
          <w:bCs/>
          <w:color w:val="000000" w:themeColor="text1"/>
          <w:highlight w:val="none"/>
          <w:lang w:eastAsia="zh-CN"/>
          <w14:textFill>
            <w14:solidFill>
              <w14:schemeClr w14:val="tx1"/>
            </w14:solidFill>
          </w14:textFill>
        </w:rPr>
        <w:t>附近，应在材料堆放场四周挖明沟，沉沙井、设挡墙等，防止被暴雨径流进入水体，影响水质，各类材料应备有防雨遮雨设施。工程建设中的弃土弃渣，要按照环保要求，对弃</w:t>
      </w:r>
      <w:r>
        <w:rPr>
          <w:rFonts w:hint="eastAsia" w:ascii="Times New Roman" w:hAnsi="Times New Roman"/>
          <w:bCs/>
          <w:color w:val="000000" w:themeColor="text1"/>
          <w:highlight w:val="none"/>
          <w:lang w:eastAsia="zh-CN"/>
          <w14:textFill>
            <w14:solidFill>
              <w14:schemeClr w14:val="tx1"/>
            </w14:solidFill>
          </w14:textFill>
        </w:rPr>
        <w:t>土场</w:t>
      </w:r>
      <w:r>
        <w:rPr>
          <w:rFonts w:ascii="Times New Roman" w:hAnsi="Times New Roman"/>
          <w:bCs/>
          <w:color w:val="000000" w:themeColor="text1"/>
          <w:highlight w:val="none"/>
          <w:lang w:eastAsia="zh-CN"/>
          <w14:textFill>
            <w14:solidFill>
              <w14:schemeClr w14:val="tx1"/>
            </w14:solidFill>
          </w14:textFill>
        </w:rPr>
        <w:t>进行防护。</w:t>
      </w:r>
    </w:p>
    <w:p>
      <w:pPr>
        <w:pStyle w:val="19"/>
        <w:adjustRightInd w:val="0"/>
        <w:snapToGrid w:val="0"/>
        <w:spacing w:line="360" w:lineRule="auto"/>
        <w:ind w:left="0" w:firstLine="480" w:firstLineChars="200"/>
        <w:rPr>
          <w:rFonts w:ascii="Times New Roman" w:hAnsi="Times New Roman"/>
          <w:bCs/>
          <w:color w:val="000000" w:themeColor="text1"/>
          <w:highlight w:val="none"/>
          <w:lang w:eastAsia="zh-CN"/>
          <w14:textFill>
            <w14:solidFill>
              <w14:schemeClr w14:val="tx1"/>
            </w14:solidFill>
          </w14:textFill>
        </w:rPr>
      </w:pPr>
      <w:r>
        <w:rPr>
          <w:rFonts w:hint="eastAsia" w:ascii="Times New Roman" w:hAnsi="Times New Roman"/>
          <w:bCs/>
          <w:color w:val="000000" w:themeColor="text1"/>
          <w:highlight w:val="none"/>
          <w:lang w:eastAsia="zh-CN"/>
          <w14:textFill>
            <w14:solidFill>
              <w14:schemeClr w14:val="tx1"/>
            </w14:solidFill>
          </w14:textFill>
        </w:rPr>
        <w:t>4）</w:t>
      </w:r>
      <w:r>
        <w:rPr>
          <w:rFonts w:ascii="Times New Roman" w:hAnsi="Times New Roman"/>
          <w:bCs/>
          <w:color w:val="000000" w:themeColor="text1"/>
          <w:highlight w:val="none"/>
          <w:lang w:eastAsia="zh-CN"/>
          <w14:textFill>
            <w14:solidFill>
              <w14:schemeClr w14:val="tx1"/>
            </w14:solidFill>
          </w14:textFill>
        </w:rPr>
        <w:t>合理组织施工程序和施工机械，对施工人员</w:t>
      </w:r>
      <w:r>
        <w:rPr>
          <w:rFonts w:hint="eastAsia" w:ascii="Times New Roman" w:hAnsi="Times New Roman"/>
          <w:bCs/>
          <w:color w:val="000000" w:themeColor="text1"/>
          <w:highlight w:val="none"/>
          <w:lang w:eastAsia="zh-CN"/>
          <w14:textFill>
            <w14:solidFill>
              <w14:schemeClr w14:val="tx1"/>
            </w14:solidFill>
          </w14:textFill>
        </w:rPr>
        <w:t>做</w:t>
      </w:r>
      <w:r>
        <w:rPr>
          <w:rFonts w:ascii="Times New Roman" w:hAnsi="Times New Roman"/>
          <w:bCs/>
          <w:color w:val="000000" w:themeColor="text1"/>
          <w:highlight w:val="none"/>
          <w:lang w:eastAsia="zh-CN"/>
          <w14:textFill>
            <w14:solidFill>
              <w14:schemeClr w14:val="tx1"/>
            </w14:solidFill>
          </w14:textFill>
        </w:rPr>
        <w:t>必要的生态保护宣传教育。进行</w:t>
      </w:r>
      <w:r>
        <w:rPr>
          <w:rFonts w:hint="eastAsia" w:ascii="Times New Roman" w:hAnsi="Times New Roman"/>
          <w:bCs/>
          <w:color w:val="000000" w:themeColor="text1"/>
          <w:highlight w:val="none"/>
          <w:lang w:eastAsia="zh-CN"/>
          <w14:textFill>
            <w14:solidFill>
              <w14:schemeClr w14:val="tx1"/>
            </w14:solidFill>
          </w14:textFill>
        </w:rPr>
        <w:t>涉水</w:t>
      </w:r>
      <w:r>
        <w:rPr>
          <w:rFonts w:ascii="Times New Roman" w:hAnsi="Times New Roman"/>
          <w:bCs/>
          <w:color w:val="000000" w:themeColor="text1"/>
          <w:highlight w:val="none"/>
          <w:lang w:eastAsia="zh-CN"/>
          <w14:textFill>
            <w14:solidFill>
              <w14:schemeClr w14:val="tx1"/>
            </w14:solidFill>
          </w14:textFill>
        </w:rPr>
        <w:t>施工时，禁止将污水、垃圾</w:t>
      </w:r>
      <w:r>
        <w:rPr>
          <w:rFonts w:hint="eastAsia" w:ascii="Times New Roman" w:hAnsi="Times New Roman"/>
          <w:bCs/>
          <w:color w:val="000000" w:themeColor="text1"/>
          <w:highlight w:val="none"/>
          <w:lang w:eastAsia="zh-CN"/>
          <w14:textFill>
            <w14:solidFill>
              <w14:schemeClr w14:val="tx1"/>
            </w14:solidFill>
          </w14:textFill>
        </w:rPr>
        <w:t>和其他</w:t>
      </w:r>
      <w:r>
        <w:rPr>
          <w:rFonts w:ascii="Times New Roman" w:hAnsi="Times New Roman"/>
          <w:bCs/>
          <w:color w:val="000000" w:themeColor="text1"/>
          <w:highlight w:val="none"/>
          <w:lang w:eastAsia="zh-CN"/>
          <w14:textFill>
            <w14:solidFill>
              <w14:schemeClr w14:val="tx1"/>
            </w14:solidFill>
          </w14:textFill>
        </w:rPr>
        <w:t>施工机械的废油等污染物抛入水体，应收集后和工地上的污染物一并处理。</w:t>
      </w:r>
    </w:p>
    <w:p>
      <w:pPr>
        <w:ind w:firstLine="480"/>
        <w:rPr>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5）</w:t>
      </w:r>
      <w:r>
        <w:rPr>
          <w:rFonts w:cs="Times New Roman"/>
          <w:bCs/>
          <w:color w:val="000000" w:themeColor="text1"/>
          <w:highlight w:val="none"/>
          <w14:textFill>
            <w14:solidFill>
              <w14:schemeClr w14:val="tx1"/>
            </w14:solidFill>
          </w14:textFill>
        </w:rPr>
        <w:t>做好工程完工后生态环境的恢复工作，以尽量减少植被破坏、水土流失对水生生物的影响。</w:t>
      </w:r>
    </w:p>
    <w:p>
      <w:pPr>
        <w:pStyle w:val="6"/>
        <w:spacing w:before="12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恢复和补偿措施</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陆生植物</w:t>
      </w:r>
      <w:r>
        <w:rPr>
          <w:color w:val="000000" w:themeColor="text1"/>
          <w:highlight w:val="none"/>
          <w:lang w:bidi="ar"/>
          <w14:textFill>
            <w14:solidFill>
              <w14:schemeClr w14:val="tx1"/>
            </w14:solidFill>
          </w14:textFill>
        </w:rPr>
        <w:t>恢复原则是优先使用原生表土和选用乡土物种，防止外来生物入侵，构建与周边生态环境相协调的植物群落，最终形成可自我维持的生态系统。生态修复的目标主要包括：恢复植被和土壤，保证一定的植被覆盖度和土壤肥力；维持物种种类和组成，保护生物多样性；实现生物群落的恢复，提高生态系统的生产力和自我维持力；维持生境的连通性等。</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（1）表土剥离及堆存</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工程建设过程伴随着土石方开挖、回填活动，不可避免地对林地和草地造成破坏，毁坏地表植被、挖损和埋压土地、破坏地表土壤等，不仅降低了土壤抗蚀能力，加剧了评价区水土流失。根据区域环境的特点，需针对性地开展表土剥离和堆存，尽可能</w:t>
      </w:r>
      <w:r>
        <w:rPr>
          <w:rFonts w:hint="eastAsia"/>
          <w:color w:val="000000" w:themeColor="text1"/>
          <w:highlight w:val="none"/>
          <w14:textFill>
            <w14:solidFill>
              <w14:schemeClr w14:val="tx1"/>
            </w14:solidFill>
          </w14:textFill>
        </w:rPr>
        <w:t>地</w:t>
      </w:r>
      <w:r>
        <w:rPr>
          <w:color w:val="000000" w:themeColor="text1"/>
          <w:highlight w:val="none"/>
          <w14:textFill>
            <w14:solidFill>
              <w14:schemeClr w14:val="tx1"/>
            </w14:solidFill>
          </w14:textFill>
        </w:rPr>
        <w:t>减少水土流失。</w:t>
      </w:r>
    </w:p>
    <w:p>
      <w:pPr>
        <w:ind w:firstLine="480"/>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①</w:t>
      </w:r>
      <w:r>
        <w:rPr>
          <w:color w:val="000000" w:themeColor="text1"/>
          <w:highlight w:val="none"/>
          <w14:textFill>
            <w14:solidFill>
              <w14:schemeClr w14:val="tx1"/>
            </w14:solidFill>
          </w14:textFill>
        </w:rPr>
        <w:t>剥离区域</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施工结束后需要复绿的区域都应列为表土剥离区域，但在实际设计中应根据具体情况分析确定，如根据施工区域土层厚度、肥沃程度及后续植物措施搭配等确定。</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对于</w:t>
      </w:r>
      <w:r>
        <w:rPr>
          <w:rFonts w:hint="eastAsia"/>
          <w:color w:val="000000" w:themeColor="text1"/>
          <w:highlight w:val="none"/>
          <w14:textFill>
            <w14:solidFill>
              <w14:schemeClr w14:val="tx1"/>
            </w14:solidFill>
          </w14:textFill>
        </w:rPr>
        <w:t>新增</w:t>
      </w:r>
      <w:r>
        <w:rPr>
          <w:color w:val="000000" w:themeColor="text1"/>
          <w:highlight w:val="none"/>
          <w14:textFill>
            <w14:solidFill>
              <w14:schemeClr w14:val="tx1"/>
            </w14:solidFill>
          </w14:textFill>
        </w:rPr>
        <w:t>占地区，在开工前，应首先剥离表层土，将其暂时堆放在表土堆存场，用塑料薄膜或草席覆盖，以防止雨水冲刷和风扬，作为项目完工后覆土造地或绿化的回填表土之用。</w:t>
      </w:r>
    </w:p>
    <w:p>
      <w:pPr>
        <w:ind w:firstLine="480"/>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②</w:t>
      </w:r>
      <w:r>
        <w:rPr>
          <w:color w:val="000000" w:themeColor="text1"/>
          <w:highlight w:val="none"/>
          <w14:textFill>
            <w14:solidFill>
              <w14:schemeClr w14:val="tx1"/>
            </w14:solidFill>
          </w14:textFill>
        </w:rPr>
        <w:t>剥离厚度</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现场调查，剥离区表层土的厚度平均为20cm，厚的可达30cm，但在具体的设计中应根据剥离区域土壤耕植层厚度及后期复绿所需回填量来确定剥离厚度。由于区域内表土厚度存在差异，对土层深厚、肥沃的地方可适当深剥，对土层较薄、肥力不高的地方可适当浅剥，在总量控制（用多少剥多少）的前提下应尽量将剥离区域内最肥沃的部分土壤剥离出来。</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占地区的草地表土厚度一般在30cm以内，表土剥离中应控制剥离厚度，剥离厚度过大，否则给保存带来不便，下部生土如混进表土，致使土地生产力下降。</w:t>
      </w:r>
    </w:p>
    <w:p>
      <w:pPr>
        <w:ind w:firstLine="480"/>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③</w:t>
      </w:r>
      <w:r>
        <w:rPr>
          <w:color w:val="000000" w:themeColor="text1"/>
          <w:highlight w:val="none"/>
          <w14:textFill>
            <w14:solidFill>
              <w14:schemeClr w14:val="tx1"/>
            </w14:solidFill>
          </w14:textFill>
        </w:rPr>
        <w:t>保存及保护</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a）表土临时堆存应尽量占用场内空闲地，如场内无适合堆处则应另行征地，表土保存过程中应设有临时防护措施。</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b）根据剥离量和堆放条件，先用塑料彩条布或薄膜覆盖即可，四周用编</w:t>
      </w:r>
      <w:r>
        <w:rPr>
          <w:rFonts w:hint="eastAsia"/>
          <w:color w:val="000000" w:themeColor="text1"/>
          <w:highlight w:val="none"/>
          <w14:textFill>
            <w14:solidFill>
              <w14:schemeClr w14:val="tx1"/>
            </w14:solidFill>
          </w14:textFill>
        </w:rPr>
        <w:t>织</w:t>
      </w:r>
      <w:r>
        <w:rPr>
          <w:color w:val="000000" w:themeColor="text1"/>
          <w:highlight w:val="none"/>
          <w14:textFill>
            <w14:solidFill>
              <w14:schemeClr w14:val="tx1"/>
            </w14:solidFill>
          </w14:textFill>
        </w:rPr>
        <w:t>土袋临时挡护，编织袋外0.5m</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1.0m处设临时排水沟，堆积形成后可利用铲车或推土机对顶部和边坡稍作压实，顶部应向外侧做成一定坡度，便于排水。</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c）如保存期较长，超过1个生长季，可撒播草籽临时绿化，草种应该选择有培肥地力的（豆科）牧草。如堆放在渣场，一般应集中堆放在渣场下游或者两侧地势平缓处，避开低洼及水流汇集处。</w:t>
      </w:r>
    </w:p>
    <w:p>
      <w:pPr>
        <w:ind w:firstLine="480"/>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④</w:t>
      </w:r>
      <w:r>
        <w:rPr>
          <w:color w:val="000000" w:themeColor="text1"/>
          <w:highlight w:val="none"/>
          <w14:textFill>
            <w14:solidFill>
              <w14:schemeClr w14:val="tx1"/>
            </w14:solidFill>
          </w14:textFill>
        </w:rPr>
        <w:t>回填利用</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a）为提高草皮成活率，植草皮前应先覆土，覆土应控制厚度，一般为3cm</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5cm，覆土时应适当压实，增加与边坡粘合力，避免剥落或因含水量增加与草皮一起顺坡向下滑移，如采用框格植草护坡，也应在框格内覆土。</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b）表土回填及整地过程中应地面与周边地形相协调，应避免出现中间低四周高，以避免雨天造成洼地积水。</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c）临时占地利用完毕后应先铲除地表泥结石层，然后回填表土进行全面整地，全面整地后地面高度应与周边相一致，以利于复绿。</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（2）恢复措施与技术</w:t>
      </w:r>
    </w:p>
    <w:p>
      <w:pPr>
        <w:ind w:firstLine="480"/>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①</w:t>
      </w:r>
      <w:r>
        <w:rPr>
          <w:color w:val="000000" w:themeColor="text1"/>
          <w:highlight w:val="none"/>
          <w14:textFill>
            <w14:solidFill>
              <w14:schemeClr w14:val="tx1"/>
            </w14:solidFill>
          </w14:textFill>
        </w:rPr>
        <w:t>植被恢复措施与技术</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a）对因施工期间破坏的草地植被和生境、临时占用的草地植被及各种施工迹地，工程结束后应该尽量通过实施生态恢复措施使其逐步得到恢复。</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b）在植被恢复或其他生态恢复活动中，应该依照适地适树、原生性、特有性、实用性的基本科学原则，种植当地生态系统中原有的重要的各种植物种类，乔、灌、草植物有机搭配</w:t>
      </w:r>
      <w:r>
        <w:rPr>
          <w:rFonts w:hint="eastAsia"/>
          <w:color w:val="000000" w:themeColor="text1"/>
          <w:highlight w:val="none"/>
          <w14:textFill>
            <w14:solidFill>
              <w14:schemeClr w14:val="tx1"/>
            </w14:solidFill>
          </w14:textFill>
        </w:rPr>
        <w:t>，但</w:t>
      </w:r>
      <w:r>
        <w:rPr>
          <w:color w:val="000000" w:themeColor="text1"/>
          <w:highlight w:val="none"/>
          <w14:textFill>
            <w14:solidFill>
              <w14:schemeClr w14:val="tx1"/>
            </w14:solidFill>
          </w14:textFill>
        </w:rPr>
        <w:t>严禁在管道两侧5m范围内种植深根植物。</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c）在采集种子或繁殖体时，要根据不同树种和植物，注意选择具有生长正常、健壮、结实率高等优良性状的种源。</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d）不能营造单一树种的单优群落，要营造为混交林，以最大限度保证群落丰富及生物多样性。</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e）尽量利用自然更新的方式恢复植被，并且注意恢复过程中的环境保护，同时加强管护，要通过围栏等措施防止人、畜破坏。</w:t>
      </w:r>
    </w:p>
    <w:p>
      <w:pPr>
        <w:ind w:firstLine="480"/>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②</w:t>
      </w:r>
      <w:r>
        <w:rPr>
          <w:color w:val="000000" w:themeColor="text1"/>
          <w:highlight w:val="none"/>
          <w14:textFill>
            <w14:solidFill>
              <w14:schemeClr w14:val="tx1"/>
            </w14:solidFill>
          </w14:textFill>
        </w:rPr>
        <w:t>植物资源恢复措施及技术</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a）对各施工区发现的重要植物要认真清查登记、备案。以便在今后植物资源的恢复中作为选择植物种类的依据。</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b）种植原生种，杜绝外来种。在植被恢复或其他生态恢复活动中，避免外来种可能对当地的生态系统造成无可挽回的破坏。</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c）多种植当地的特有植物。</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d）注意采种时间、种源选择，以及造林时间。造林时，严格执行苗木检验，做好苗木保护，提高造林质量，保证成活率。加强抚育管理和管护，使植被尽快恢复。</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e）植物种类选择</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在进行植被恢复时，根据适地适树、原生性、特有性、观赏性等原则，应该采用有生态价值或经济价值的当地特有的原生植物，尤其是那些被项目建设破坏的重要物种。第一，可以恢复和增加当地植物多样性；第二，可以使植被恢复和绿化具有地方特色；第三，就地取材，可以降低绿化成本；第四，选择有一定经济价值的原生种类，可以增加一定的经济收入。</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（3）资金保障</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设立生态补偿专项经费，将野生动植物的保护和监测费用、工程地形地貌恢复费用纳入生态补偿费，确保生态恢复资金足额到位。</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（4）项目占地恢复及复垦要求</w:t>
      </w:r>
    </w:p>
    <w:p>
      <w:pPr>
        <w:snapToGrid/>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施工期占地内容为</w:t>
      </w:r>
      <w:r>
        <w:rPr>
          <w:rFonts w:hint="eastAsia" w:cs="Times New Roman"/>
          <w:bCs/>
          <w:color w:val="000000" w:themeColor="text1"/>
          <w:highlight w:val="none"/>
          <w14:textFill>
            <w14:solidFill>
              <w14:schemeClr w14:val="tx1"/>
            </w14:solidFill>
          </w14:textFill>
        </w:rPr>
        <w:t>试采站</w:t>
      </w:r>
      <w:r>
        <w:rPr>
          <w:rFonts w:cs="Times New Roman"/>
          <w:bCs/>
          <w:color w:val="000000" w:themeColor="text1"/>
          <w:highlight w:val="none"/>
          <w14:textFill>
            <w14:solidFill>
              <w14:schemeClr w14:val="tx1"/>
            </w14:solidFill>
          </w14:textFill>
        </w:rPr>
        <w:t>，</w:t>
      </w:r>
      <w:r>
        <w:rPr>
          <w:rFonts w:hint="eastAsia" w:cs="Times New Roman"/>
          <w:bCs/>
          <w:color w:val="000000" w:themeColor="text1"/>
          <w:highlight w:val="none"/>
          <w14:textFill>
            <w14:solidFill>
              <w14:schemeClr w14:val="tx1"/>
            </w14:solidFill>
          </w14:textFill>
        </w:rPr>
        <w:t>外输</w:t>
      </w:r>
      <w:r>
        <w:rPr>
          <w:rFonts w:cs="Times New Roman"/>
          <w:bCs/>
          <w:color w:val="000000" w:themeColor="text1"/>
          <w:highlight w:val="none"/>
          <w14:textFill>
            <w14:solidFill>
              <w14:schemeClr w14:val="tx1"/>
            </w14:solidFill>
          </w14:textFill>
        </w:rPr>
        <w:t>管线</w:t>
      </w:r>
      <w:r>
        <w:rPr>
          <w:rFonts w:hint="eastAsia" w:cs="Times New Roman"/>
          <w:bCs/>
          <w:color w:val="000000" w:themeColor="text1"/>
          <w:highlight w:val="none"/>
          <w14:textFill>
            <w14:solidFill>
              <w14:schemeClr w14:val="tx1"/>
            </w14:solidFill>
          </w14:textFill>
        </w:rPr>
        <w:t>作业带</w:t>
      </w:r>
      <w:r>
        <w:rPr>
          <w:rFonts w:cs="Times New Roman"/>
          <w:bCs/>
          <w:color w:val="000000" w:themeColor="text1"/>
          <w:highlight w:val="none"/>
          <w14:textFill>
            <w14:solidFill>
              <w14:schemeClr w14:val="tx1"/>
            </w14:solidFill>
          </w14:textFill>
        </w:rPr>
        <w:t>及施工便道，表土堆场，</w:t>
      </w:r>
      <w:r>
        <w:rPr>
          <w:rFonts w:hint="eastAsia" w:cs="Times New Roman"/>
          <w:bCs/>
          <w:color w:val="000000" w:themeColor="text1"/>
          <w:highlight w:val="none"/>
          <w14:textFill>
            <w14:solidFill>
              <w14:schemeClr w14:val="tx1"/>
            </w14:solidFill>
          </w14:textFill>
        </w:rPr>
        <w:t>堆管场。穿越点施工场地</w:t>
      </w:r>
      <w:r>
        <w:rPr>
          <w:rFonts w:cs="Times New Roman"/>
          <w:bCs/>
          <w:color w:val="000000" w:themeColor="text1"/>
          <w:highlight w:val="none"/>
          <w14:textFill>
            <w14:solidFill>
              <w14:schemeClr w14:val="tx1"/>
            </w14:solidFill>
          </w14:textFill>
        </w:rPr>
        <w:t>占地，</w:t>
      </w:r>
      <w:r>
        <w:rPr>
          <w:rFonts w:cs="Times New Roman"/>
          <w:bCs/>
          <w:color w:val="000000" w:themeColor="text1"/>
          <w:szCs w:val="24"/>
          <w:highlight w:val="none"/>
          <w14:textFill>
            <w14:solidFill>
              <w14:schemeClr w14:val="tx1"/>
            </w14:solidFill>
          </w14:textFill>
        </w:rPr>
        <w:t>总面积12.1hm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，占地主要以</w:t>
      </w:r>
      <w:r>
        <w:rPr>
          <w:rFonts w:hint="eastAsia" w:cs="Times New Roman"/>
          <w:bCs/>
          <w:color w:val="000000" w:themeColor="text1"/>
          <w:kern w:val="0"/>
          <w:szCs w:val="24"/>
          <w:highlight w:val="none"/>
          <w14:textFill>
            <w14:solidFill>
              <w14:schemeClr w14:val="tx1"/>
            </w14:solidFill>
          </w14:textFill>
        </w:rPr>
        <w:t>外输管线施工作业带</w:t>
      </w:r>
      <w:r>
        <w:rPr>
          <w:rFonts w:cs="Times New Roman"/>
          <w:bCs/>
          <w:color w:val="000000" w:themeColor="text1"/>
          <w:szCs w:val="24"/>
          <w:highlight w:val="none"/>
          <w14:textFill>
            <w14:solidFill>
              <w14:schemeClr w14:val="tx1"/>
            </w14:solidFill>
          </w14:textFill>
        </w:rPr>
        <w:t>为主，总面积9.44hm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；占地类型以乔木林地和旱地植被为主。</w:t>
      </w:r>
    </w:p>
    <w:p>
      <w:pPr>
        <w:ind w:firstLine="480"/>
        <w:rPr>
          <w:rFonts w:cs="Times New Roman"/>
          <w:color w:val="000000" w:themeColor="text1"/>
          <w:szCs w:val="24"/>
          <w:highlight w:val="none"/>
          <w14:textFill>
            <w14:solidFill>
              <w14:schemeClr w14:val="tx1"/>
            </w14:solidFill>
          </w14:textFill>
        </w:rPr>
      </w:pPr>
      <w:r>
        <w:rPr>
          <w:rFonts w:cs="Times New Roman"/>
          <w:bCs/>
          <w:color w:val="000000" w:themeColor="text1"/>
          <w:highlight w:val="none"/>
          <w14:textFill>
            <w14:solidFill>
              <w14:schemeClr w14:val="tx1"/>
            </w14:solidFill>
          </w14:textFill>
        </w:rPr>
        <w:t>项目</w:t>
      </w:r>
      <w:r>
        <w:rPr>
          <w:rFonts w:hint="eastAsia" w:cs="Times New Roman"/>
          <w:bCs/>
          <w:color w:val="000000" w:themeColor="text1"/>
          <w:highlight w:val="none"/>
          <w14:textFill>
            <w14:solidFill>
              <w14:schemeClr w14:val="tx1"/>
            </w14:solidFill>
          </w14:textFill>
        </w:rPr>
        <w:t>管线施工结束和试采站试采结束</w:t>
      </w:r>
      <w:r>
        <w:rPr>
          <w:rFonts w:cs="Times New Roman"/>
          <w:bCs/>
          <w:color w:val="000000" w:themeColor="text1"/>
          <w:highlight w:val="none"/>
          <w14:textFill>
            <w14:solidFill>
              <w14:schemeClr w14:val="tx1"/>
            </w14:solidFill>
          </w14:textFill>
        </w:rPr>
        <w:t>后，需在占地区进行植被复绿，复绿采用乔、灌、草植物有机搭配方式</w:t>
      </w:r>
      <w:r>
        <w:rPr>
          <w:rFonts w:hint="eastAsia" w:cs="Times New Roman"/>
          <w:bCs/>
          <w:color w:val="000000" w:themeColor="text1"/>
          <w:highlight w:val="none"/>
          <w14:textFill>
            <w14:solidFill>
              <w14:schemeClr w14:val="tx1"/>
            </w14:solidFill>
          </w14:textFill>
        </w:rPr>
        <w:t>，选</w:t>
      </w:r>
      <w:r>
        <w:rPr>
          <w:rFonts w:cs="Times New Roman"/>
          <w:bCs/>
          <w:color w:val="000000" w:themeColor="text1"/>
          <w:highlight w:val="none"/>
          <w14:textFill>
            <w14:solidFill>
              <w14:schemeClr w14:val="tx1"/>
            </w14:solidFill>
          </w14:textFill>
        </w:rPr>
        <w:t>择具有生长正常、健壮、结实率高等优良性状的种源，树种主要采用本地青冈、麻栎、栓皮栎、马尾松为主的乔木树种，结合马桑、黄荆、火棘、荚蒾、芒、白茅、芒萁等相关灌草丛</w:t>
      </w:r>
      <w:r>
        <w:rPr>
          <w:rFonts w:hint="eastAsia" w:cs="Times New Roman"/>
          <w:bCs/>
          <w:color w:val="000000" w:themeColor="text1"/>
          <w:highlight w:val="none"/>
          <w14:textFill>
            <w14:solidFill>
              <w14:schemeClr w14:val="tx1"/>
            </w14:solidFill>
          </w14:textFill>
        </w:rPr>
        <w:t>，但</w:t>
      </w:r>
      <w:r>
        <w:rPr>
          <w:color w:val="000000" w:themeColor="text1"/>
          <w:highlight w:val="none"/>
          <w14:textFill>
            <w14:solidFill>
              <w14:schemeClr w14:val="tx1"/>
            </w14:solidFill>
          </w14:textFill>
        </w:rPr>
        <w:t>严禁在管道两侧5m范围内种植深根植物</w:t>
      </w:r>
      <w:r>
        <w:rPr>
          <w:rFonts w:cs="Times New Roman"/>
          <w:bCs/>
          <w:color w:val="000000" w:themeColor="text1"/>
          <w:highlight w:val="none"/>
          <w14:textFill>
            <w14:solidFill>
              <w14:schemeClr w14:val="tx1"/>
            </w14:solidFill>
          </w14:textFill>
        </w:rPr>
        <w:t>，严控外来物种的入侵，对复绿植被做好生态监测，加强管护，保证成效，使植被尽快恢复</w:t>
      </w:r>
      <w:r>
        <w:rPr>
          <w:rFonts w:cs="Times New Roman"/>
          <w:color w:val="000000" w:themeColor="text1"/>
          <w:szCs w:val="24"/>
          <w:highlight w:val="none"/>
          <w14:textFill>
            <w14:solidFill>
              <w14:schemeClr w14:val="tx1"/>
            </w14:solidFill>
          </w14:textFill>
        </w:rPr>
        <w:t>。</w:t>
      </w:r>
    </w:p>
    <w:p>
      <w:pPr>
        <w:pStyle w:val="6"/>
        <w:spacing w:before="12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生态景观影响减缓措施</w:t>
      </w:r>
    </w:p>
    <w:p>
      <w:pPr>
        <w:ind w:firstLine="480"/>
        <w:rPr>
          <w:rFonts w:cs="Times New Roman"/>
          <w:color w:val="000000" w:themeColor="text1"/>
          <w:highlight w:val="none"/>
          <w14:textFill>
            <w14:solidFill>
              <w14:schemeClr w14:val="tx1"/>
            </w14:solidFill>
          </w14:textFill>
        </w:rPr>
      </w:pPr>
      <w:bookmarkStart w:id="373" w:name="_Hlk89361264"/>
      <w:r>
        <w:rPr>
          <w:rFonts w:cs="Times New Roman"/>
          <w:color w:val="000000" w:themeColor="text1"/>
          <w:highlight w:val="none"/>
          <w14:textFill>
            <w14:solidFill>
              <w14:schemeClr w14:val="tx1"/>
            </w14:solidFill>
          </w14:textFill>
        </w:rPr>
        <w:t>本项目在施工期采取如下生态景观减缓措施。</w:t>
      </w:r>
    </w:p>
    <w:bookmarkEnd w:id="373"/>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（1）对施工弃土进行严格管理，做到随挖随填；</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（2）进一步做好环卫工作，废弃物应合理堆放，及时处置，禁止乱丢垃圾和废弃物，严禁场内污水进入外环沟，确保周边环境不被污染；</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（3）施工人员应严格按照设计路线和场地范围活动，减少对道路和井场周围植被的破坏；</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（4）建议合理安排项目施工时间，尽量选择项目所在地处于荒芜期间（冬季）进行施工，大大减少对植被破坏，降低项目对生态景观的影响；</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（5）在项目建设过程中，对可以恢复的临时占地及时恢复，项目完成后应及时和规划部门和当地居民或村委会协商临时用地恢复使用恢复要求，及时对项目临时占地进行恢复，力求提高当地生态景观观感。</w:t>
      </w:r>
    </w:p>
    <w:p>
      <w:pPr>
        <w:pStyle w:val="6"/>
        <w:spacing w:before="12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水土流失预防措施</w:t>
      </w:r>
    </w:p>
    <w:p>
      <w:pPr>
        <w:ind w:firstLine="480"/>
        <w:rPr>
          <w:rFonts w:cs="Times New Roman"/>
          <w:color w:val="000000" w:themeColor="text1"/>
          <w:highlight w:val="none"/>
          <w14:textFill>
            <w14:solidFill>
              <w14:schemeClr w14:val="tx1"/>
            </w14:solidFill>
          </w14:textFill>
        </w:rPr>
      </w:pPr>
      <w:bookmarkStart w:id="374" w:name="_Hlk89361285"/>
      <w:r>
        <w:rPr>
          <w:rFonts w:cs="Times New Roman"/>
          <w:color w:val="000000" w:themeColor="text1"/>
          <w:highlight w:val="none"/>
          <w14:textFill>
            <w14:solidFill>
              <w14:schemeClr w14:val="tx1"/>
            </w14:solidFill>
          </w14:textFill>
        </w:rPr>
        <w:t>根据《中华人民共和国长江保护法》（2021年3月1日实施）第六十一条：</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①</w:t>
      </w:r>
      <w:r>
        <w:rPr>
          <w:rFonts w:cs="Times New Roman"/>
          <w:color w:val="000000" w:themeColor="text1"/>
          <w:highlight w:val="none"/>
          <w14:textFill>
            <w14:solidFill>
              <w14:schemeClr w14:val="tx1"/>
            </w14:solidFill>
          </w14:textFill>
        </w:rPr>
        <w:t>长江流域水土流失重点预防区和重点治理区的县级以上地方人民政府应当采取措施，防治水土流失。生态保护红线范围内的水土流失地块，以自然恢复为主，按照规定有计划地实施退耕还林还草还湿；划入自然保护地核心保护区的永久基本农田，依法有序退出并予以补划。</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②</w:t>
      </w:r>
      <w:r>
        <w:rPr>
          <w:rFonts w:cs="Times New Roman"/>
          <w:color w:val="000000" w:themeColor="text1"/>
          <w:highlight w:val="none"/>
          <w14:textFill>
            <w14:solidFill>
              <w14:schemeClr w14:val="tx1"/>
            </w14:solidFill>
          </w14:textFill>
        </w:rPr>
        <w:t>禁止在长江流域水土流失严重、生态脆弱的区域开展可能造成水土流失的生产建设活动。确因国家发展战略和国计民生需要建设的，应当经科学论证，并依法办理审批手续。</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③</w:t>
      </w:r>
      <w:r>
        <w:rPr>
          <w:rFonts w:cs="Times New Roman"/>
          <w:color w:val="000000" w:themeColor="text1"/>
          <w:highlight w:val="none"/>
          <w14:textFill>
            <w14:solidFill>
              <w14:schemeClr w14:val="tx1"/>
            </w14:solidFill>
          </w14:textFill>
        </w:rPr>
        <w:t>长江流域县级以上地方人民政府应当对石漠化的土地因地制宜采取综合治理措施，修复生态系统，防止土地石漠化蔓延。</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本项目位于长江流域水土流失重点治理区，本项目未位于生态红线范围内，本项目新增用地</w:t>
      </w:r>
      <w:r>
        <w:rPr>
          <w:rFonts w:hint="eastAsia" w:cs="Times New Roman"/>
          <w:color w:val="000000" w:themeColor="text1"/>
          <w:highlight w:val="none"/>
          <w14:textFill>
            <w14:solidFill>
              <w14:schemeClr w14:val="tx1"/>
            </w14:solidFill>
          </w14:textFill>
        </w:rPr>
        <w:t>面积小</w:t>
      </w:r>
      <w:r>
        <w:rPr>
          <w:rFonts w:cs="Times New Roman"/>
          <w:color w:val="000000" w:themeColor="text1"/>
          <w:highlight w:val="none"/>
          <w14:textFill>
            <w14:solidFill>
              <w14:schemeClr w14:val="tx1"/>
            </w14:solidFill>
          </w14:textFill>
        </w:rPr>
        <w:t>，本项目为天然气试采项目，且将依法办理审批手续。本项目所在地植被茂盛，周边树林分布广泛，水土流失现象不明显，不涉及石漠化等。综上所述，本项目与《中华人民共和国长江保护法》相符。</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本项目在施工期拟采取如下水保措施</w:t>
      </w:r>
      <w:bookmarkEnd w:id="374"/>
      <w:r>
        <w:rPr>
          <w:rFonts w:cs="Times New Roman"/>
          <w:color w:val="000000" w:themeColor="text1"/>
          <w:highlight w:val="none"/>
          <w14:textFill>
            <w14:solidFill>
              <w14:schemeClr w14:val="tx1"/>
            </w14:solidFill>
          </w14:textFill>
        </w:rPr>
        <w:t>：</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（1）在施工过程中合理安排施工进度，施工尽量避开雨天和大风天；分段施工，减少风蚀导致的水土流失。</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（2）划定施工作业范围和路线，不得扩大施工作业范围，尽可能减少对土壤和农作物的破坏以及由此引发的水土流失。</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（3）在施工中破坏植被的地段，施工结束后，必须及时进行植被恢复工作，减轻水土流失。</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（4）在站场施工，设置一定围挡，减少施工过程中水土流失量。</w:t>
      </w:r>
    </w:p>
    <w:p>
      <w:pPr>
        <w:ind w:firstLine="480"/>
        <w:rPr>
          <w:rFonts w:cs="Times New Roman"/>
          <w:bCs/>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（5）</w:t>
      </w:r>
      <w:r>
        <w:rPr>
          <w:rFonts w:cs="Times New Roman"/>
          <w:bCs/>
          <w:color w:val="000000" w:themeColor="text1"/>
          <w:highlight w:val="none"/>
          <w14:textFill>
            <w14:solidFill>
              <w14:schemeClr w14:val="tx1"/>
            </w14:solidFill>
          </w14:textFill>
        </w:rPr>
        <w:t>加强对水土流失的综合治理，严格按照水土保持方案做好水土保持工作。</w:t>
      </w:r>
    </w:p>
    <w:p>
      <w:pPr>
        <w:ind w:firstLine="480"/>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（6）在施工过程中及时将土石方回填、夯实，避免长时间堆放，同时尽量减少堆放坡度；</w:t>
      </w:r>
    </w:p>
    <w:p>
      <w:pPr>
        <w:ind w:firstLine="480"/>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（7）表土堆场采用编织袋装土压边作为临时拦挡。在表土堆场底端截排水沟交汇处设置临时沉沙池，场地内的雨水汇集后经沉沙池沉淀后排放。</w:t>
      </w:r>
    </w:p>
    <w:p>
      <w:pPr>
        <w:ind w:firstLine="480"/>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（8）挖方在边坡未修整前，如遇中到大雨或暴雨，应立即用花胶布覆盖边坡，以免被雨水浸泡和冲刷。开挖的土方在未进行填实和进行地表恢复前，在遇大风或大雨，应用篷布遮盖，以减少水蚀和风蚀量。</w:t>
      </w:r>
    </w:p>
    <w:p>
      <w:pPr>
        <w:ind w:firstLine="480"/>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（9）工程场地建设时，严格控制施工区域，严禁超挖。</w:t>
      </w:r>
    </w:p>
    <w:p>
      <w:pPr>
        <w:ind w:firstLine="480"/>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（10）在施工时应特别注意边坡坡度，边坡坡度应严格符合设计边坡坡度的要求，不得使挖方边坡陡于设计边坡坡度，否则边坡既不稳定，又增加了挖方量，容易造成余土。</w:t>
      </w:r>
    </w:p>
    <w:p>
      <w:pPr>
        <w:ind w:firstLine="480"/>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11）道路工程用条石护基，并修建排水沟，路面采用碎石铺垫，防止雨水冲刷。井场周围设置挡土、水墙，站场内设施基础采用水泥砼，其余地面均为碎石铺垫。井场内外设置排水、截水沟，减少雨水对施工场地冲刷，排水沟两侧及沟底均为水泥砂浆抹面。</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以上生态保护措施为川东北地区钻采工程常见措施，成熟可靠，能有效降低项目建设对区域生态环境的影响。</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本项目严格缴纳复垦保证金，根据《土地复垦条例实施办法》有关规定办理土地复垦费用预存手续</w:t>
      </w:r>
      <w:r>
        <w:rPr>
          <w:rFonts w:hint="eastAsia" w:cs="Times New Roman"/>
          <w:bCs/>
          <w:color w:val="000000" w:themeColor="text1"/>
          <w:highlight w:val="none"/>
          <w14:textFill>
            <w14:solidFill>
              <w14:schemeClr w14:val="tx1"/>
            </w14:solidFill>
          </w14:textFill>
        </w:rPr>
        <w:t>。并及时编制土地复垦方案，复垦方案需要求基本农田在用地手续到期后及时开展复垦，并要求恢复至不低于现有土壤环境质量现状。</w:t>
      </w:r>
    </w:p>
    <w:p>
      <w:pPr>
        <w:pStyle w:val="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临时占地复垦措施</w:t>
      </w:r>
    </w:p>
    <w:p>
      <w:pPr>
        <w:ind w:firstLine="480"/>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项目开工建设前需编制</w:t>
      </w:r>
      <w:r>
        <w:rPr>
          <w:color w:val="000000" w:themeColor="text1"/>
          <w:highlight w:val="none"/>
          <w14:textFill>
            <w14:solidFill>
              <w14:schemeClr w14:val="tx1"/>
            </w14:solidFill>
          </w14:textFill>
        </w:rPr>
        <w:t>临时用地土地复垦方案报告书</w:t>
      </w:r>
      <w:r>
        <w:rPr>
          <w:rFonts w:hint="eastAsia"/>
          <w:color w:val="000000" w:themeColor="text1"/>
          <w:highlight w:val="none"/>
          <w14:textFill>
            <w14:solidFill>
              <w14:schemeClr w14:val="tx1"/>
            </w14:solidFill>
          </w14:textFill>
        </w:rPr>
        <w:t>，并按照</w:t>
      </w:r>
      <w:r>
        <w:rPr>
          <w:color w:val="000000" w:themeColor="text1"/>
          <w:highlight w:val="none"/>
          <w14:textFill>
            <w14:solidFill>
              <w14:schemeClr w14:val="tx1"/>
            </w14:solidFill>
          </w14:textFill>
        </w:rPr>
        <w:t>复垦方案报告书</w:t>
      </w:r>
      <w:r>
        <w:rPr>
          <w:rFonts w:hint="eastAsia"/>
          <w:color w:val="000000" w:themeColor="text1"/>
          <w:highlight w:val="none"/>
          <w14:textFill>
            <w14:solidFill>
              <w14:schemeClr w14:val="tx1"/>
            </w14:solidFill>
          </w14:textFill>
        </w:rPr>
        <w:t>要求及时开展复垦，主要复垦流程如下：</w:t>
      </w:r>
    </w:p>
    <w:p>
      <w:pPr>
        <w:ind w:firstLine="480"/>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（1）</w:t>
      </w:r>
      <w:r>
        <w:rPr>
          <w:rFonts w:cs="Times New Roman"/>
          <w:bCs/>
          <w:color w:val="000000" w:themeColor="text1"/>
          <w:highlight w:val="none"/>
          <w14:textFill>
            <w14:solidFill>
              <w14:schemeClr w14:val="tx1"/>
            </w14:solidFill>
          </w14:textFill>
        </w:rPr>
        <w:t>表土剥离工程</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主体工程开始前一个月，根据项目区各临时用地地块实地勘测和土壤剖面观察，对项目范围内除表土堆放区的区域进行表土剥离，对水田剥离30cm，旱地剥离40cm，林地剥离30cm，其他地类表土达不到复耕表土要求，剥离意义不大，不进行剥离。将剥离的表土有序堆放至表土堆放区，对于放喷池表土层下层进行挖方，将挖方产生的土块、碎石有序堆放至表土堆放区，与剥离的表土进行分层堆放。最后要对表土堆放区撒播草籽和无纺布遮盖，并挖边沟以防止水土和土壤肥力流失</w:t>
      </w:r>
      <w:r>
        <w:rPr>
          <w:rFonts w:hint="eastAsia" w:cs="Times New Roman"/>
          <w:bCs/>
          <w:color w:val="000000" w:themeColor="text1"/>
          <w:highlight w:val="none"/>
          <w14:textFill>
            <w14:solidFill>
              <w14:schemeClr w14:val="tx1"/>
            </w14:solidFill>
          </w14:textFill>
        </w:rPr>
        <w:t>。</w:t>
      </w:r>
    </w:p>
    <w:p>
      <w:pPr>
        <w:ind w:firstLine="480"/>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（2）拆除工程</w:t>
      </w:r>
    </w:p>
    <w:p>
      <w:pPr>
        <w:ind w:firstLine="480"/>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工程建设完成后拆除无后续开发利用计划的场地内的建筑和构筑物，拆除后对场地废弃物进行清理，清理厚度取1</w:t>
      </w:r>
      <w:r>
        <w:rPr>
          <w:rFonts w:cs="Times New Roman"/>
          <w:bCs/>
          <w:color w:val="000000" w:themeColor="text1"/>
          <w:highlight w:val="none"/>
          <w14:textFill>
            <w14:solidFill>
              <w14:schemeClr w14:val="tx1"/>
            </w14:solidFill>
          </w14:textFill>
        </w:rPr>
        <w:t>0</w:t>
      </w:r>
      <w:r>
        <w:rPr>
          <w:rFonts w:hint="eastAsia" w:cs="Times New Roman"/>
          <w:bCs/>
          <w:color w:val="000000" w:themeColor="text1"/>
          <w:highlight w:val="none"/>
          <w14:textFill>
            <w14:solidFill>
              <w14:schemeClr w14:val="tx1"/>
            </w14:solidFill>
          </w14:textFill>
        </w:rPr>
        <w:t>cm。</w:t>
      </w:r>
    </w:p>
    <w:p>
      <w:pPr>
        <w:ind w:firstLine="480"/>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（3）土壤重构工程</w:t>
      </w:r>
    </w:p>
    <w:p>
      <w:pPr>
        <w:ind w:firstLine="480"/>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工程建设完成后，先将表土堆放区内由表土层下层挖方而产生的土块、碎石回填，再将表土堆放区的耕作土回填，表土堆放区复垦为旱地，其土壤耕作层厚度达到旱地耕作要求的最小土壤厚度时，项目区未回填的地块不用表土堆放区的表土进行回填，用外买表土回填。回填厚度设计为：复垦永久基本农田区域的水田回填60cm，旱地回填50cm；一般耕地的区域旱地回填40cm，林地回填30cm。</w:t>
      </w:r>
    </w:p>
    <w:p>
      <w:pPr>
        <w:ind w:firstLine="480"/>
        <w:rPr>
          <w:rFonts w:cs="Times New Roman"/>
          <w:color w:val="000000" w:themeColor="text1"/>
          <w:szCs w:val="24"/>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耕作层土壤覆土后采用平地机和人工平地相结合的方式进行土地平整，修建田埂并进行深翻和土壤改良。复垦区由于机械和人工作业的缘故，土壤一般比较紧实，可采用耙、深松翻等措施，提高土壤孔隙度，改良土壤结构。项目区内土地面积比较小，复垦单元之间有一定距离和坡度等差异，所以设计多个地块，分别通过清理、平整、覆土等工程措施，平整翻耕，并填平补齐地面，保证地面复垦为水田的土地坡度小于15°，旱地的土地坡度小于25°，将拟损毁的土地复垦为可供农业利用的土地。</w:t>
      </w:r>
    </w:p>
    <w:p>
      <w:pPr>
        <w:pStyle w:val="5"/>
        <w:spacing w:before="120"/>
        <w:ind w:firstLine="480"/>
        <w:rPr>
          <w:b/>
          <w:color w:val="000000" w:themeColor="text1"/>
          <w:highlight w:val="none"/>
          <w:lang w:eastAsia="zh-CN"/>
          <w14:textFill>
            <w14:solidFill>
              <w14:schemeClr w14:val="tx1"/>
            </w14:solidFill>
          </w14:textFill>
        </w:rPr>
      </w:pPr>
      <w:bookmarkStart w:id="375" w:name="_Toc120173211"/>
      <w:r>
        <w:rPr>
          <w:color w:val="000000" w:themeColor="text1"/>
          <w:highlight w:val="none"/>
          <w:lang w:eastAsia="zh-CN"/>
          <w14:textFill>
            <w14:solidFill>
              <w14:schemeClr w14:val="tx1"/>
            </w14:solidFill>
          </w14:textFill>
        </w:rPr>
        <w:t>施工期大气污染防治措施及可行性分析</w:t>
      </w:r>
      <w:bookmarkEnd w:id="375"/>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本项目为天然气试采</w:t>
      </w:r>
      <w:r>
        <w:rPr>
          <w:rFonts w:hint="eastAsia" w:cs="Times New Roman"/>
          <w:color w:val="000000" w:themeColor="text1"/>
          <w:szCs w:val="24"/>
          <w:highlight w:val="none"/>
          <w14:textFill>
            <w14:solidFill>
              <w14:schemeClr w14:val="tx1"/>
            </w14:solidFill>
          </w14:textFill>
        </w:rPr>
        <w:t>地面</w:t>
      </w:r>
      <w:r>
        <w:rPr>
          <w:rFonts w:cs="Times New Roman"/>
          <w:color w:val="000000" w:themeColor="text1"/>
          <w:szCs w:val="24"/>
          <w:highlight w:val="none"/>
          <w14:textFill>
            <w14:solidFill>
              <w14:schemeClr w14:val="tx1"/>
            </w14:solidFill>
          </w14:textFill>
        </w:rPr>
        <w:t>工程，因此，除燃油机械使用过程中产生的少量无组织挥发性有机物排放外，还有少量</w:t>
      </w:r>
      <w:r>
        <w:rPr>
          <w:rFonts w:hint="eastAsia" w:cs="Times New Roman"/>
          <w:color w:val="000000" w:themeColor="text1"/>
          <w:szCs w:val="24"/>
          <w:highlight w:val="none"/>
          <w14:textFill>
            <w14:solidFill>
              <w14:schemeClr w14:val="tx1"/>
            </w14:solidFill>
          </w14:textFill>
        </w:rPr>
        <w:t>试采站及管线</w:t>
      </w:r>
      <w:r>
        <w:rPr>
          <w:rFonts w:cs="Times New Roman"/>
          <w:color w:val="000000" w:themeColor="text1"/>
          <w:szCs w:val="24"/>
          <w:highlight w:val="none"/>
          <w14:textFill>
            <w14:solidFill>
              <w14:schemeClr w14:val="tx1"/>
            </w14:solidFill>
          </w14:textFill>
        </w:rPr>
        <w:t>施工过程中无组织排放源。因此，本项目无组织挥发性有机物排放量小，通过自然扩散可有效降低其影响，污染减缓措施可行。</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综上所述，本项目施工期各类废气处置措施在川东北地区钻采工程中已实施多年，具有较好的借鉴经验。</w:t>
      </w:r>
      <w:r>
        <w:rPr>
          <w:rFonts w:hint="eastAsia" w:cs="Times New Roman"/>
          <w:color w:val="000000" w:themeColor="text1"/>
          <w:szCs w:val="24"/>
          <w:highlight w:val="none"/>
          <w14:textFill>
            <w14:solidFill>
              <w14:schemeClr w14:val="tx1"/>
            </w14:solidFill>
          </w14:textFill>
        </w:rPr>
        <w:t>本项目周边</w:t>
      </w:r>
      <w:r>
        <w:rPr>
          <w:rFonts w:cs="Times New Roman"/>
          <w:color w:val="000000" w:themeColor="text1"/>
          <w:szCs w:val="24"/>
          <w:highlight w:val="none"/>
          <w14:textFill>
            <w14:solidFill>
              <w14:schemeClr w14:val="tx1"/>
            </w14:solidFill>
          </w14:textFill>
        </w:rPr>
        <w:t>中石化川东北地区</w:t>
      </w:r>
      <w:r>
        <w:rPr>
          <w:rFonts w:hint="eastAsia" w:cs="Times New Roman"/>
          <w:color w:val="000000" w:themeColor="text1"/>
          <w:szCs w:val="24"/>
          <w:highlight w:val="none"/>
          <w14:textFill>
            <w14:solidFill>
              <w14:schemeClr w14:val="tx1"/>
            </w14:solidFill>
          </w14:textFill>
        </w:rPr>
        <w:t>试采地面</w:t>
      </w:r>
      <w:r>
        <w:rPr>
          <w:rFonts w:cs="Times New Roman"/>
          <w:color w:val="000000" w:themeColor="text1"/>
          <w:szCs w:val="24"/>
          <w:highlight w:val="none"/>
          <w14:textFill>
            <w14:solidFill>
              <w14:schemeClr w14:val="tx1"/>
            </w14:solidFill>
          </w14:textFill>
        </w:rPr>
        <w:t>工程采用相同废气处理措施，到目前为止，中原油田普光分公司未收到废气污染的环保投诉。因此，本项目施工期废气治理措施从经济和环保角度分析是合理、可行的。</w:t>
      </w:r>
    </w:p>
    <w:p>
      <w:pPr>
        <w:pStyle w:val="5"/>
        <w:spacing w:before="120"/>
        <w:ind w:firstLine="480"/>
        <w:rPr>
          <w:b/>
          <w:color w:val="000000" w:themeColor="text1"/>
          <w:highlight w:val="none"/>
          <w:lang w:eastAsia="zh-CN"/>
          <w14:textFill>
            <w14:solidFill>
              <w14:schemeClr w14:val="tx1"/>
            </w14:solidFill>
          </w14:textFill>
        </w:rPr>
      </w:pPr>
      <w:bookmarkStart w:id="376" w:name="_Toc120173212"/>
      <w:r>
        <w:rPr>
          <w:color w:val="000000" w:themeColor="text1"/>
          <w:highlight w:val="none"/>
          <w:lang w:eastAsia="zh-CN"/>
          <w14:textFill>
            <w14:solidFill>
              <w14:schemeClr w14:val="tx1"/>
            </w14:solidFill>
          </w14:textFill>
        </w:rPr>
        <w:t>施工期废水污染防治措施及可行性分析</w:t>
      </w:r>
      <w:bookmarkEnd w:id="376"/>
    </w:p>
    <w:p>
      <w:pPr>
        <w:ind w:firstLine="480"/>
        <w:rPr>
          <w:bCs/>
          <w:color w:val="000000" w:themeColor="text1"/>
          <w:highlight w:val="none"/>
          <w14:textFill>
            <w14:solidFill>
              <w14:schemeClr w14:val="tx1"/>
            </w14:solidFill>
          </w14:textFill>
        </w:rPr>
      </w:pPr>
      <w:r>
        <w:rPr>
          <w:bCs/>
          <w:color w:val="000000" w:themeColor="text1"/>
          <w:szCs w:val="24"/>
          <w:highlight w:val="none"/>
          <w14:textFill>
            <w14:solidFill>
              <w14:schemeClr w14:val="tx1"/>
            </w14:solidFill>
          </w14:textFill>
        </w:rPr>
        <w:t>本项目</w:t>
      </w:r>
      <w:r>
        <w:rPr>
          <w:color w:val="000000" w:themeColor="text1"/>
          <w:szCs w:val="24"/>
          <w:highlight w:val="none"/>
          <w14:textFill>
            <w14:solidFill>
              <w14:schemeClr w14:val="tx1"/>
            </w14:solidFill>
          </w14:textFill>
        </w:rPr>
        <w:t>站场建设工程量小，施工时间短，少量生产废水在施工现场设置沉淀池，施工废水经隔油沉淀处理后回用于洒水降尘，不外排。措施可行。此外，</w:t>
      </w:r>
      <w:r>
        <w:rPr>
          <w:rFonts w:hint="eastAsia"/>
          <w:bCs/>
          <w:color w:val="000000" w:themeColor="text1"/>
          <w:szCs w:val="24"/>
          <w:highlight w:val="none"/>
          <w14:textFill>
            <w14:solidFill>
              <w14:schemeClr w14:val="tx1"/>
            </w14:solidFill>
          </w14:textFill>
        </w:rPr>
        <w:t>本项目站场施工队伍就近租住居民房屋，</w:t>
      </w:r>
      <w:r>
        <w:rPr>
          <w:color w:val="000000" w:themeColor="text1"/>
          <w:szCs w:val="24"/>
          <w:highlight w:val="none"/>
          <w14:textFill>
            <w14:solidFill>
              <w14:schemeClr w14:val="tx1"/>
            </w14:solidFill>
          </w14:textFill>
        </w:rPr>
        <w:t>本项目施工期</w:t>
      </w:r>
      <w:r>
        <w:rPr>
          <w:rFonts w:hint="eastAsia"/>
          <w:bCs/>
          <w:color w:val="000000" w:themeColor="text1"/>
          <w:szCs w:val="24"/>
          <w:highlight w:val="none"/>
          <w14:textFill>
            <w14:solidFill>
              <w14:schemeClr w14:val="tx1"/>
            </w14:solidFill>
          </w14:textFill>
        </w:rPr>
        <w:t>现场不单独设置施工营地，施工人员生活污水依托当地现有的生活污水处理系统</w:t>
      </w:r>
      <w:r>
        <w:rPr>
          <w:color w:val="000000" w:themeColor="text1"/>
          <w:szCs w:val="24"/>
          <w:highlight w:val="none"/>
          <w14:textFill>
            <w14:solidFill>
              <w14:schemeClr w14:val="tx1"/>
            </w14:solidFill>
          </w14:textFill>
        </w:rPr>
        <w:t>。</w:t>
      </w:r>
    </w:p>
    <w:p>
      <w:pPr>
        <w:ind w:firstLine="480"/>
        <w:rPr>
          <w:rFonts w:cs="Times New Roman"/>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综上所述，本项目施工期各类废水处置措施在川东北地区钻采工程中已实施多年，具有较好的借鉴经验。到目前为止，未收到废水乱排乱放的环保投诉。因此，本项目施工期废水治理措施从经济和环保角度分析是合理、可行的</w:t>
      </w:r>
      <w:r>
        <w:rPr>
          <w:rFonts w:cs="Times New Roman"/>
          <w:color w:val="000000" w:themeColor="text1"/>
          <w:szCs w:val="24"/>
          <w:highlight w:val="none"/>
          <w14:textFill>
            <w14:solidFill>
              <w14:schemeClr w14:val="tx1"/>
            </w14:solidFill>
          </w14:textFill>
        </w:rPr>
        <w:t>。</w:t>
      </w:r>
    </w:p>
    <w:p>
      <w:pPr>
        <w:pStyle w:val="5"/>
        <w:spacing w:before="120"/>
        <w:ind w:firstLine="480"/>
        <w:rPr>
          <w:b/>
          <w:color w:val="000000" w:themeColor="text1"/>
          <w:highlight w:val="none"/>
          <w:lang w:eastAsia="zh-CN"/>
          <w14:textFill>
            <w14:solidFill>
              <w14:schemeClr w14:val="tx1"/>
            </w14:solidFill>
          </w14:textFill>
        </w:rPr>
      </w:pPr>
      <w:bookmarkStart w:id="377" w:name="_Toc120173213"/>
      <w:r>
        <w:rPr>
          <w:color w:val="000000" w:themeColor="text1"/>
          <w:highlight w:val="none"/>
          <w:lang w:eastAsia="zh-CN"/>
          <w14:textFill>
            <w14:solidFill>
              <w14:schemeClr w14:val="tx1"/>
            </w14:solidFill>
          </w14:textFill>
        </w:rPr>
        <w:t>地下水防治措施及可行性分析</w:t>
      </w:r>
      <w:bookmarkEnd w:id="377"/>
    </w:p>
    <w:p>
      <w:pPr>
        <w:pStyle w:val="376"/>
        <w:adjustRightInd w:val="0"/>
        <w:snapToGrid w:val="0"/>
        <w:spacing w:line="360" w:lineRule="auto"/>
        <w:rPr>
          <w:rFonts w:ascii="Times New Roman" w:hAnsi="Times New Roman"/>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项目主要通过合理安排施工计划、施工程序，加强施工废水及生活污水的收集与处置，以减小本项目施工期对地下水环境的影响程度和影响范围。</w:t>
      </w:r>
    </w:p>
    <w:p>
      <w:pPr>
        <w:ind w:firstLine="480"/>
        <w:rPr>
          <w:rFonts w:cs="Times New Roman"/>
          <w:color w:val="000000" w:themeColor="text1"/>
          <w:szCs w:val="24"/>
          <w:highlight w:val="none"/>
          <w14:textFill>
            <w14:solidFill>
              <w14:schemeClr w14:val="tx1"/>
            </w14:solidFill>
          </w14:textFill>
        </w:rPr>
      </w:pPr>
      <w:r>
        <w:rPr>
          <w:color w:val="000000" w:themeColor="text1"/>
          <w:highlight w:val="none"/>
          <w14:textFill>
            <w14:solidFill>
              <w14:schemeClr w14:val="tx1"/>
            </w14:solidFill>
          </w14:textFill>
        </w:rPr>
        <w:t>项目施工期通过合理安排施工计划、施工程序，加强施工废水及生活污水的收集与处置，其施工期地下水防治措施可行</w:t>
      </w:r>
      <w:r>
        <w:rPr>
          <w:rFonts w:cs="Times New Roman"/>
          <w:color w:val="000000" w:themeColor="text1"/>
          <w:szCs w:val="24"/>
          <w:highlight w:val="none"/>
          <w14:textFill>
            <w14:solidFill>
              <w14:schemeClr w14:val="tx1"/>
            </w14:solidFill>
          </w14:textFill>
        </w:rPr>
        <w:t>。</w:t>
      </w:r>
    </w:p>
    <w:p>
      <w:pPr>
        <w:pStyle w:val="5"/>
        <w:spacing w:before="120"/>
        <w:ind w:firstLine="480"/>
        <w:rPr>
          <w:b/>
          <w:color w:val="000000" w:themeColor="text1"/>
          <w:highlight w:val="none"/>
          <w:lang w:eastAsia="zh-CN"/>
          <w14:textFill>
            <w14:solidFill>
              <w14:schemeClr w14:val="tx1"/>
            </w14:solidFill>
          </w14:textFill>
        </w:rPr>
      </w:pPr>
      <w:bookmarkStart w:id="378" w:name="6.1.3施工噪声防治措施及可行性分析"/>
      <w:bookmarkEnd w:id="378"/>
      <w:bookmarkStart w:id="379" w:name="_Toc120173214"/>
      <w:r>
        <w:rPr>
          <w:color w:val="000000" w:themeColor="text1"/>
          <w:highlight w:val="none"/>
          <w:lang w:eastAsia="zh-CN"/>
          <w14:textFill>
            <w14:solidFill>
              <w14:schemeClr w14:val="tx1"/>
            </w14:solidFill>
          </w14:textFill>
        </w:rPr>
        <w:t>施工噪声防治措施及可行性分析</w:t>
      </w:r>
      <w:bookmarkEnd w:id="379"/>
    </w:p>
    <w:p>
      <w:pPr>
        <w:pStyle w:val="376"/>
        <w:adjustRightInd w:val="0"/>
        <w:snapToGrid w:val="0"/>
        <w:spacing w:line="360" w:lineRule="auto"/>
        <w:rPr>
          <w:rFonts w:ascii="Times New Roman" w:hAnsi="Times New Roman"/>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施工期噪声源主要来自施工作业机械，如柴油机、挖掘机、电焊机等，其强度在85—100dB（A）。施工期拟采取如下噪声防治措施：</w:t>
      </w:r>
    </w:p>
    <w:p>
      <w:pPr>
        <w:pStyle w:val="376"/>
        <w:adjustRightInd w:val="0"/>
        <w:snapToGrid w:val="0"/>
        <w:spacing w:line="360" w:lineRule="auto"/>
        <w:rPr>
          <w:rFonts w:ascii="Times New Roman" w:hAnsi="Times New Roman"/>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1）合理安排施工时间，在制定施工计划时，尽可能避免大量高噪声设备同时施工及夜间施工。</w:t>
      </w:r>
    </w:p>
    <w:p>
      <w:pPr>
        <w:pStyle w:val="376"/>
        <w:adjustRightInd w:val="0"/>
        <w:snapToGrid w:val="0"/>
        <w:spacing w:line="360" w:lineRule="auto"/>
        <w:rPr>
          <w:rFonts w:ascii="Times New Roman" w:hAnsi="Times New Roman"/>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2）合理布局施工现场，避免在同一地点安排大量动力机械设备，以免局部声级过高。</w:t>
      </w:r>
    </w:p>
    <w:p>
      <w:pPr>
        <w:pStyle w:val="376"/>
        <w:adjustRightInd w:val="0"/>
        <w:snapToGrid w:val="0"/>
        <w:spacing w:line="360" w:lineRule="auto"/>
        <w:rPr>
          <w:rFonts w:ascii="Times New Roman" w:hAnsi="Times New Roman"/>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3）施工车辆路过村镇时，减速行驶，禁止鸣笛。</w:t>
      </w:r>
    </w:p>
    <w:p>
      <w:pPr>
        <w:ind w:firstLine="480"/>
        <w:rPr>
          <w:rFonts w:cs="Times New Roman"/>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根据工程分析，项目施工期拟采取措施，合理安排作业时间，加强管理，能最大限度地减少对环境的影响，避免施工噪声扰民而影响周围居民休息。因此其措施可行</w:t>
      </w:r>
      <w:r>
        <w:rPr>
          <w:rFonts w:cs="Times New Roman"/>
          <w:color w:val="000000" w:themeColor="text1"/>
          <w:szCs w:val="24"/>
          <w:highlight w:val="none"/>
          <w14:textFill>
            <w14:solidFill>
              <w14:schemeClr w14:val="tx1"/>
            </w14:solidFill>
          </w14:textFill>
        </w:rPr>
        <w:t>。</w:t>
      </w:r>
    </w:p>
    <w:p>
      <w:pPr>
        <w:pStyle w:val="5"/>
        <w:spacing w:before="120"/>
        <w:ind w:firstLine="480"/>
        <w:rPr>
          <w:b/>
          <w:color w:val="000000" w:themeColor="text1"/>
          <w:highlight w:val="none"/>
          <w:lang w:eastAsia="zh-CN"/>
          <w14:textFill>
            <w14:solidFill>
              <w14:schemeClr w14:val="tx1"/>
            </w14:solidFill>
          </w14:textFill>
        </w:rPr>
      </w:pPr>
      <w:bookmarkStart w:id="380" w:name="6.1.4固体废物污染防治措施"/>
      <w:bookmarkEnd w:id="380"/>
      <w:bookmarkStart w:id="381" w:name="_Toc120173215"/>
      <w:r>
        <w:rPr>
          <w:color w:val="000000" w:themeColor="text1"/>
          <w:highlight w:val="none"/>
          <w:lang w:eastAsia="zh-CN"/>
          <w14:textFill>
            <w14:solidFill>
              <w14:schemeClr w14:val="tx1"/>
            </w14:solidFill>
          </w14:textFill>
        </w:rPr>
        <w:t>施工期土壤环境污染防治措施</w:t>
      </w:r>
      <w:bookmarkEnd w:id="381"/>
    </w:p>
    <w:p>
      <w:pPr>
        <w:ind w:firstLine="480"/>
        <w:rPr>
          <w:rFonts w:eastAsia="黑体"/>
          <w:color w:val="000000" w:themeColor="text1"/>
          <w:highlight w:val="none"/>
          <w14:textFill>
            <w14:solidFill>
              <w14:schemeClr w14:val="tx1"/>
            </w14:solidFill>
          </w14:textFill>
        </w:rPr>
      </w:pPr>
      <w:r>
        <w:rPr>
          <w:rFonts w:eastAsia="黑体"/>
          <w:color w:val="000000" w:themeColor="text1"/>
          <w:highlight w:val="none"/>
          <w14:textFill>
            <w14:solidFill>
              <w14:schemeClr w14:val="tx1"/>
            </w14:solidFill>
          </w14:textFill>
        </w:rPr>
        <w:t>1、源头控制措施</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在工艺、管道、设备、给排水等方面尽可能地采取泄漏控制措施，从源头最大限度降低污染物质泄漏的可能性和泄漏量，使项目区污染物对土壤的影响降至最低，一旦出现泄漏等即可由区域内的各种配套措施进行收集、处置，同时经过防渗处理的地面有效阻止污染物的下渗。</w:t>
      </w:r>
    </w:p>
    <w:p>
      <w:pPr>
        <w:ind w:firstLine="480"/>
        <w:rPr>
          <w:rFonts w:eastAsia="黑体"/>
          <w:color w:val="000000" w:themeColor="text1"/>
          <w:highlight w:val="none"/>
          <w14:textFill>
            <w14:solidFill>
              <w14:schemeClr w14:val="tx1"/>
            </w14:solidFill>
          </w14:textFill>
        </w:rPr>
      </w:pPr>
      <w:r>
        <w:rPr>
          <w:rFonts w:eastAsia="黑体"/>
          <w:color w:val="000000" w:themeColor="text1"/>
          <w:highlight w:val="none"/>
          <w14:textFill>
            <w14:solidFill>
              <w14:schemeClr w14:val="tx1"/>
            </w14:solidFill>
          </w14:textFill>
        </w:rPr>
        <w:t>2、过程控制措施</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对站场进行分区防渗，见地下水污染防治措施章节。对站场设备、管道阀门宜采用密封性好、不易腐蚀的设备。</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总的来说，地下水和土壤污染防治措施应按照“源头控制、分区防控、污染监控、应急响应”相结合的原则，从污染物的产生、入渗、扩散、应急响应进行控制。这些措施</w:t>
      </w:r>
      <w:r>
        <w:rPr>
          <w:color w:val="000000" w:themeColor="text1"/>
          <w:szCs w:val="24"/>
          <w:highlight w:val="none"/>
          <w14:textFill>
            <w14:solidFill>
              <w14:schemeClr w14:val="tx1"/>
            </w14:solidFill>
          </w14:textFill>
        </w:rPr>
        <w:t>在川东北地区钻采工程中已实施多年，具有较好的借鉴经验。根据本井场已经完钻的原雷页1井场和其他中石化川东北地区钻采工程采用相同土壤污染防治措施，在加强管理和监控后，无土壤污染现象和投诉发生。因此，本项目施工期土壤污染防治措施从经济和环保角度分析是合理、可行的。</w:t>
      </w:r>
    </w:p>
    <w:p>
      <w:pPr>
        <w:pStyle w:val="5"/>
        <w:spacing w:before="120"/>
        <w:ind w:firstLine="480"/>
        <w:rPr>
          <w:b/>
          <w:color w:val="000000" w:themeColor="text1"/>
          <w:highlight w:val="none"/>
          <w:lang w:eastAsia="zh-CN"/>
          <w14:textFill>
            <w14:solidFill>
              <w14:schemeClr w14:val="tx1"/>
            </w14:solidFill>
          </w14:textFill>
        </w:rPr>
      </w:pPr>
      <w:bookmarkStart w:id="382" w:name="_Toc120173216"/>
      <w:r>
        <w:rPr>
          <w:color w:val="000000" w:themeColor="text1"/>
          <w:highlight w:val="none"/>
          <w:lang w:eastAsia="zh-CN"/>
          <w14:textFill>
            <w14:solidFill>
              <w14:schemeClr w14:val="tx1"/>
            </w14:solidFill>
          </w14:textFill>
        </w:rPr>
        <w:t>施工期固体废物污染防治措施</w:t>
      </w:r>
      <w:bookmarkEnd w:id="382"/>
    </w:p>
    <w:p>
      <w:pPr>
        <w:ind w:firstLine="480"/>
        <w:rPr>
          <w:rFonts w:eastAsia="黑体"/>
          <w:color w:val="000000" w:themeColor="text1"/>
          <w:highlight w:val="none"/>
          <w14:textFill>
            <w14:solidFill>
              <w14:schemeClr w14:val="tx1"/>
            </w14:solidFill>
          </w14:textFill>
        </w:rPr>
      </w:pPr>
      <w:r>
        <w:rPr>
          <w:rFonts w:eastAsia="黑体"/>
          <w:color w:val="000000" w:themeColor="text1"/>
          <w:highlight w:val="none"/>
          <w14:textFill>
            <w14:solidFill>
              <w14:schemeClr w14:val="tx1"/>
            </w14:solidFill>
          </w14:textFill>
        </w:rPr>
        <w:t>1、生活垃圾处置措施</w:t>
      </w:r>
    </w:p>
    <w:p>
      <w:pPr>
        <w:pStyle w:val="27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施工人员产生的生活垃圾储存于生活垃圾桶，交由当地环卫部门处理，措施可行。</w:t>
      </w:r>
    </w:p>
    <w:p>
      <w:pPr>
        <w:ind w:firstLine="480"/>
        <w:rPr>
          <w:rFonts w:eastAsia="黑体"/>
          <w:color w:val="000000" w:themeColor="text1"/>
          <w:highlight w:val="none"/>
          <w14:textFill>
            <w14:solidFill>
              <w14:schemeClr w14:val="tx1"/>
            </w14:solidFill>
          </w14:textFill>
        </w:rPr>
      </w:pPr>
      <w:r>
        <w:rPr>
          <w:rFonts w:eastAsia="黑体"/>
          <w:color w:val="000000" w:themeColor="text1"/>
          <w:highlight w:val="none"/>
          <w14:textFill>
            <w14:solidFill>
              <w14:schemeClr w14:val="tx1"/>
            </w14:solidFill>
          </w14:textFill>
        </w:rPr>
        <w:t>2、废包装材料处置措施</w:t>
      </w:r>
    </w:p>
    <w:p>
      <w:pPr>
        <w:pStyle w:val="19"/>
        <w:adjustRightInd w:val="0"/>
        <w:snapToGrid w:val="0"/>
        <w:spacing w:before="0" w:line="360" w:lineRule="auto"/>
        <w:ind w:left="0" w:firstLine="480" w:firstLineChars="20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施工期产生的废包装材料主要为各原辅材料的包装袋，为一般废物，集中收集后定期运至就近的废品采气回收站进行处理，措施可行。</w:t>
      </w:r>
    </w:p>
    <w:p>
      <w:pPr>
        <w:pStyle w:val="19"/>
        <w:adjustRightInd w:val="0"/>
        <w:snapToGrid w:val="0"/>
        <w:spacing w:before="0" w:line="360" w:lineRule="auto"/>
        <w:ind w:left="0" w:firstLine="480" w:firstLineChars="200"/>
        <w:jc w:val="both"/>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这些措施在川东北地区钻采工程中已实施多年，具有较好的借鉴经验。根据本井场已经完钻的原雷页1井场和其他中石化川东北地区钻采工程采用相同固废污染防治措施，在加强管理和及时转运后，无固废产生二次污染和投诉发生。</w:t>
      </w:r>
    </w:p>
    <w:p>
      <w:pPr>
        <w:ind w:firstLine="480"/>
        <w:rPr>
          <w:rFonts w:eastAsia="黑体"/>
          <w:color w:val="000000" w:themeColor="text1"/>
          <w:highlight w:val="none"/>
          <w14:textFill>
            <w14:solidFill>
              <w14:schemeClr w14:val="tx1"/>
            </w14:solidFill>
          </w14:textFill>
        </w:rPr>
      </w:pPr>
      <w:r>
        <w:rPr>
          <w:rFonts w:eastAsia="黑体"/>
          <w:color w:val="000000" w:themeColor="text1"/>
          <w:highlight w:val="none"/>
          <w14:textFill>
            <w14:solidFill>
              <w14:schemeClr w14:val="tx1"/>
            </w14:solidFill>
          </w14:textFill>
        </w:rPr>
        <w:t>3、建筑垃圾的处置措施</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在施工现场设置临时建筑垃圾堆放场，覆盖塑料布并做好地面防渗漏处理。建筑垃圾除部分回收利用以外，剩余部分堆放达一定量时应及时清运到当地政府指定的建筑垃圾场处理。运输应尽量避开交通高峰期，并选择对周围环境影响较小的运输路线，运输车辆出场时必须封闭，避免在运输过程中的抛洒现象。</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因此，本项目施工期固废污染防治措施从经济和环保角度分析是合理、可行的。</w:t>
      </w:r>
    </w:p>
    <w:p>
      <w:pPr>
        <w:pStyle w:val="5"/>
        <w:spacing w:before="120"/>
        <w:ind w:firstLine="480"/>
        <w:rPr>
          <w:color w:val="000000" w:themeColor="text1"/>
          <w:highlight w:val="none"/>
          <w:lang w:eastAsia="zh-CN"/>
          <w14:textFill>
            <w14:solidFill>
              <w14:schemeClr w14:val="tx1"/>
            </w14:solidFill>
          </w14:textFill>
        </w:rPr>
      </w:pPr>
      <w:bookmarkStart w:id="383" w:name="_Toc120173217"/>
      <w:r>
        <w:rPr>
          <w:color w:val="000000" w:themeColor="text1"/>
          <w:highlight w:val="none"/>
          <w:lang w:eastAsia="zh-CN"/>
          <w14:textFill>
            <w14:solidFill>
              <w14:schemeClr w14:val="tx1"/>
            </w14:solidFill>
          </w14:textFill>
        </w:rPr>
        <w:t>陆生生物及其生态系统保护措施</w:t>
      </w:r>
      <w:bookmarkEnd w:id="383"/>
    </w:p>
    <w:p>
      <w:pPr>
        <w:widowControl/>
        <w:ind w:firstLine="480"/>
        <w:jc w:val="left"/>
        <w:rPr>
          <w:rFonts w:cs="Times New Roman"/>
          <w:color w:val="000000" w:themeColor="text1"/>
          <w:highlight w:val="none"/>
          <w14:textFill>
            <w14:solidFill>
              <w14:schemeClr w14:val="tx1"/>
            </w14:solidFill>
          </w14:textFill>
        </w:rPr>
      </w:pPr>
      <w:r>
        <w:rPr>
          <w:rFonts w:cs="Times New Roman"/>
          <w:color w:val="000000" w:themeColor="text1"/>
          <w:szCs w:val="24"/>
          <w:highlight w:val="none"/>
          <w:lang w:bidi="ar"/>
          <w14:textFill>
            <w14:solidFill>
              <w14:schemeClr w14:val="tx1"/>
            </w14:solidFill>
          </w14:textFill>
        </w:rPr>
        <w:t>坚持尊重自然、顺应自然、保护自然的理念，采取自然的恢复措施或绿色修复工艺，避免生态保护措施自身的不利影响。</w:t>
      </w:r>
    </w:p>
    <w:p>
      <w:pPr>
        <w:ind w:firstLine="480"/>
        <w:rPr>
          <w:rFonts w:cs="Times New Roman"/>
          <w:color w:val="000000" w:themeColor="text1"/>
          <w:szCs w:val="24"/>
          <w:highlight w:val="none"/>
          <w:lang w:bidi="ar"/>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本</w:t>
      </w:r>
      <w:r>
        <w:rPr>
          <w:rFonts w:cs="Times New Roman"/>
          <w:color w:val="000000" w:themeColor="text1"/>
          <w:szCs w:val="24"/>
          <w:highlight w:val="none"/>
          <w14:textFill>
            <w14:solidFill>
              <w14:schemeClr w14:val="tx1"/>
            </w14:solidFill>
          </w14:textFill>
        </w:rPr>
        <w:t>工程建设过程中，将不可避免地对施工区的植被、动植物、景观和周围环境产生一定影响。有些影响是永久性的和不可逆的，如</w:t>
      </w:r>
      <w:r>
        <w:rPr>
          <w:rFonts w:hint="eastAsia" w:cs="Times New Roman"/>
          <w:color w:val="000000" w:themeColor="text1"/>
          <w:szCs w:val="24"/>
          <w:highlight w:val="none"/>
          <w14:textFill>
            <w14:solidFill>
              <w14:schemeClr w14:val="tx1"/>
            </w14:solidFill>
          </w14:textFill>
        </w:rPr>
        <w:t>井场</w:t>
      </w:r>
      <w:r>
        <w:rPr>
          <w:rFonts w:cs="Times New Roman"/>
          <w:color w:val="000000" w:themeColor="text1"/>
          <w:szCs w:val="24"/>
          <w:highlight w:val="none"/>
          <w14:textFill>
            <w14:solidFill>
              <w14:schemeClr w14:val="tx1"/>
            </w14:solidFill>
          </w14:textFill>
        </w:rPr>
        <w:t>的占地；有些影响是暂时性的，如</w:t>
      </w:r>
      <w:r>
        <w:rPr>
          <w:rFonts w:cs="Times New Roman"/>
          <w:color w:val="000000" w:themeColor="text1"/>
          <w:highlight w:val="none"/>
          <w14:textFill>
            <w14:solidFill>
              <w14:schemeClr w14:val="tx1"/>
            </w14:solidFill>
          </w14:textFill>
        </w:rPr>
        <w:t>弃土、表土堆放区</w:t>
      </w:r>
      <w:r>
        <w:rPr>
          <w:rFonts w:hint="eastAsia" w:cs="Times New Roman"/>
          <w:color w:val="000000" w:themeColor="text1"/>
          <w:highlight w:val="none"/>
          <w14:textFill>
            <w14:solidFill>
              <w14:schemeClr w14:val="tx1"/>
            </w14:solidFill>
          </w14:textFill>
        </w:rPr>
        <w:t>、</w:t>
      </w:r>
      <w:r>
        <w:rPr>
          <w:rFonts w:cs="Times New Roman"/>
          <w:color w:val="000000" w:themeColor="text1"/>
          <w:highlight w:val="none"/>
          <w14:textFill>
            <w14:solidFill>
              <w14:schemeClr w14:val="tx1"/>
            </w14:solidFill>
          </w14:textFill>
        </w:rPr>
        <w:t>清障</w:t>
      </w:r>
      <w:r>
        <w:rPr>
          <w:rFonts w:hint="eastAsia" w:cs="Times New Roman"/>
          <w:color w:val="000000" w:themeColor="text1"/>
          <w:highlight w:val="none"/>
          <w14:textFill>
            <w14:solidFill>
              <w14:schemeClr w14:val="tx1"/>
            </w14:solidFill>
          </w14:textFill>
        </w:rPr>
        <w:t>区</w:t>
      </w:r>
      <w:r>
        <w:rPr>
          <w:rFonts w:cs="Times New Roman"/>
          <w:color w:val="000000" w:themeColor="text1"/>
          <w:szCs w:val="24"/>
          <w:highlight w:val="none"/>
          <w14:textFill>
            <w14:solidFill>
              <w14:schemeClr w14:val="tx1"/>
            </w14:solidFill>
          </w14:textFill>
        </w:rPr>
        <w:t>。后者可通过采取自然或人工辅助措施的方法加以恢复，前者可通过采取人工措施的方法</w:t>
      </w:r>
      <w:r>
        <w:rPr>
          <w:rFonts w:hint="eastAsia" w:cs="Times New Roman"/>
          <w:color w:val="000000" w:themeColor="text1"/>
          <w:szCs w:val="24"/>
          <w:highlight w:val="none"/>
          <w14:textFill>
            <w14:solidFill>
              <w14:schemeClr w14:val="tx1"/>
            </w14:solidFill>
          </w14:textFill>
        </w:rPr>
        <w:t>提高</w:t>
      </w:r>
      <w:r>
        <w:rPr>
          <w:rFonts w:cs="Times New Roman"/>
          <w:color w:val="000000" w:themeColor="text1"/>
          <w:szCs w:val="24"/>
          <w:highlight w:val="none"/>
          <w14:textFill>
            <w14:solidFill>
              <w14:schemeClr w14:val="tx1"/>
            </w14:solidFill>
          </w14:textFill>
        </w:rPr>
        <w:t>地区植被覆盖率，使区域生态系统的结构和功能整体得到逐步改善，完全恢复，乃至更</w:t>
      </w:r>
      <w:r>
        <w:rPr>
          <w:rFonts w:cs="Times New Roman"/>
          <w:color w:val="000000" w:themeColor="text1"/>
          <w:szCs w:val="24"/>
          <w:highlight w:val="none"/>
          <w:lang w:bidi="ar"/>
          <w14:textFill>
            <w14:solidFill>
              <w14:schemeClr w14:val="tx1"/>
            </w14:solidFill>
          </w14:textFill>
        </w:rPr>
        <w:t>为高效。</w:t>
      </w:r>
    </w:p>
    <w:p>
      <w:pPr>
        <w:widowControl/>
        <w:ind w:firstLine="482"/>
        <w:jc w:val="left"/>
        <w:rPr>
          <w:rFonts w:cs="Times New Roman"/>
          <w:b/>
          <w:bCs/>
          <w:color w:val="000000" w:themeColor="text1"/>
          <w:szCs w:val="24"/>
          <w:highlight w:val="none"/>
          <w:lang w:bidi="ar"/>
          <w14:textFill>
            <w14:solidFill>
              <w14:schemeClr w14:val="tx1"/>
            </w14:solidFill>
          </w14:textFill>
        </w:rPr>
      </w:pPr>
      <w:r>
        <w:rPr>
          <w:rFonts w:hint="eastAsia" w:cs="Times New Roman"/>
          <w:b/>
          <w:bCs/>
          <w:color w:val="000000" w:themeColor="text1"/>
          <w:szCs w:val="24"/>
          <w:highlight w:val="none"/>
          <w:lang w:bidi="ar"/>
          <w14:textFill>
            <w14:solidFill>
              <w14:schemeClr w14:val="tx1"/>
            </w14:solidFill>
          </w14:textFill>
        </w:rPr>
        <w:t>1、</w:t>
      </w:r>
      <w:r>
        <w:rPr>
          <w:rFonts w:cs="Times New Roman"/>
          <w:b/>
          <w:bCs/>
          <w:color w:val="000000" w:themeColor="text1"/>
          <w:szCs w:val="24"/>
          <w:highlight w:val="none"/>
          <w:lang w:bidi="ar"/>
          <w14:textFill>
            <w14:solidFill>
              <w14:schemeClr w14:val="tx1"/>
            </w14:solidFill>
          </w14:textFill>
        </w:rPr>
        <w:t>生态保护的宣传</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建设单位在施工期需认真做好生态保护的宣传和监督工作，如印发宣传册、制作宣传栏、定期开展宣传活动等。绝不能超计划占用耕地、</w:t>
      </w:r>
      <w:r>
        <w:rPr>
          <w:rFonts w:hint="eastAsia" w:cs="Times New Roman"/>
          <w:color w:val="000000" w:themeColor="text1"/>
          <w:szCs w:val="24"/>
          <w:highlight w:val="none"/>
          <w14:textFill>
            <w14:solidFill>
              <w14:schemeClr w14:val="tx1"/>
            </w14:solidFill>
          </w14:textFill>
        </w:rPr>
        <w:t>林地</w:t>
      </w:r>
      <w:r>
        <w:rPr>
          <w:rFonts w:cs="Times New Roman"/>
          <w:color w:val="000000" w:themeColor="text1"/>
          <w:szCs w:val="24"/>
          <w:highlight w:val="none"/>
          <w14:textFill>
            <w14:solidFill>
              <w14:schemeClr w14:val="tx1"/>
            </w14:solidFill>
          </w14:textFill>
        </w:rPr>
        <w:t>、草地及其他用地；施工过程中，注意加强对施工人员的管理和宣传教育，提高他们保护环境、保护野生动物的意识和觉悟，严令禁止偷猎和捕杀野生动物，禁止乱砍滥伐，做到文明施工。施工期间若遇到野生动物，应注意对其即刻采取适当的保护措施，必要时进行临时人工饲养或上报上级部门处理，不使其受到捕杀和伤害等在内的各种威胁。</w:t>
      </w:r>
    </w:p>
    <w:p>
      <w:pPr>
        <w:widowControl/>
        <w:ind w:firstLine="482"/>
        <w:jc w:val="left"/>
        <w:rPr>
          <w:rFonts w:cs="Times New Roman"/>
          <w:b/>
          <w:bCs/>
          <w:color w:val="000000" w:themeColor="text1"/>
          <w:szCs w:val="24"/>
          <w:highlight w:val="none"/>
          <w:lang w:bidi="ar"/>
          <w14:textFill>
            <w14:solidFill>
              <w14:schemeClr w14:val="tx1"/>
            </w14:solidFill>
          </w14:textFill>
        </w:rPr>
      </w:pPr>
      <w:bookmarkStart w:id="384" w:name="_Toc5702"/>
      <w:bookmarkStart w:id="385" w:name="_Toc32366"/>
      <w:bookmarkStart w:id="386" w:name="_Toc27635"/>
      <w:bookmarkStart w:id="387" w:name="_Toc30854"/>
      <w:bookmarkStart w:id="388" w:name="_Toc8545"/>
      <w:bookmarkStart w:id="389" w:name="_Toc28205"/>
      <w:bookmarkStart w:id="390" w:name="_Toc1108"/>
      <w:bookmarkStart w:id="391" w:name="_Toc4301"/>
      <w:r>
        <w:rPr>
          <w:rFonts w:hint="eastAsia" w:cs="Times New Roman"/>
          <w:b/>
          <w:bCs/>
          <w:color w:val="000000" w:themeColor="text1"/>
          <w:szCs w:val="24"/>
          <w:highlight w:val="none"/>
          <w:lang w:bidi="ar"/>
          <w14:textFill>
            <w14:solidFill>
              <w14:schemeClr w14:val="tx1"/>
            </w14:solidFill>
          </w14:textFill>
        </w:rPr>
        <w:t>2、</w:t>
      </w:r>
      <w:r>
        <w:rPr>
          <w:rFonts w:cs="Times New Roman"/>
          <w:b/>
          <w:bCs/>
          <w:color w:val="000000" w:themeColor="text1"/>
          <w:szCs w:val="24"/>
          <w:highlight w:val="none"/>
          <w:lang w:bidi="ar"/>
          <w14:textFill>
            <w14:solidFill>
              <w14:schemeClr w14:val="tx1"/>
            </w14:solidFill>
          </w14:textFill>
        </w:rPr>
        <w:t>避让</w:t>
      </w:r>
      <w:r>
        <w:rPr>
          <w:rFonts w:hint="eastAsia" w:cs="Times New Roman"/>
          <w:b/>
          <w:bCs/>
          <w:color w:val="000000" w:themeColor="text1"/>
          <w:szCs w:val="24"/>
          <w:highlight w:val="none"/>
          <w:lang w:bidi="ar"/>
          <w14:textFill>
            <w14:solidFill>
              <w14:schemeClr w14:val="tx1"/>
            </w14:solidFill>
          </w14:textFill>
        </w:rPr>
        <w:t>、减缓</w:t>
      </w:r>
      <w:r>
        <w:rPr>
          <w:rFonts w:cs="Times New Roman"/>
          <w:b/>
          <w:bCs/>
          <w:color w:val="000000" w:themeColor="text1"/>
          <w:szCs w:val="24"/>
          <w:highlight w:val="none"/>
          <w:lang w:bidi="ar"/>
          <w14:textFill>
            <w14:solidFill>
              <w14:schemeClr w14:val="tx1"/>
            </w14:solidFill>
          </w14:textFill>
        </w:rPr>
        <w:t>措施</w:t>
      </w:r>
      <w:bookmarkEnd w:id="384"/>
      <w:bookmarkEnd w:id="385"/>
      <w:bookmarkEnd w:id="386"/>
      <w:bookmarkEnd w:id="387"/>
      <w:bookmarkEnd w:id="388"/>
      <w:bookmarkEnd w:id="389"/>
      <w:bookmarkEnd w:id="390"/>
      <w:bookmarkEnd w:id="391"/>
    </w:p>
    <w:p>
      <w:pPr>
        <w:widowControl/>
        <w:ind w:firstLine="482"/>
        <w:jc w:val="left"/>
        <w:rPr>
          <w:rFonts w:cs="Times New Roman"/>
          <w:b/>
          <w:bCs/>
          <w:color w:val="000000" w:themeColor="text1"/>
          <w:kern w:val="0"/>
          <w:szCs w:val="24"/>
          <w:highlight w:val="none"/>
          <w14:textFill>
            <w14:solidFill>
              <w14:schemeClr w14:val="tx1"/>
            </w14:solidFill>
          </w14:textFill>
        </w:rPr>
      </w:pPr>
      <w:r>
        <w:rPr>
          <w:rFonts w:cs="Times New Roman"/>
          <w:b/>
          <w:bCs/>
          <w:color w:val="000000" w:themeColor="text1"/>
          <w:kern w:val="0"/>
          <w:szCs w:val="24"/>
          <w:highlight w:val="none"/>
          <w14:textFill>
            <w14:solidFill>
              <w14:schemeClr w14:val="tx1"/>
            </w14:solidFill>
          </w14:textFill>
        </w:rPr>
        <w:t>（1）土地与植被保护措施</w:t>
      </w:r>
    </w:p>
    <w:p>
      <w:pPr>
        <w:widowControl/>
        <w:ind w:firstLine="480"/>
        <w:jc w:val="left"/>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施工期间为充分</w:t>
      </w:r>
      <w:r>
        <w:rPr>
          <w:rFonts w:hint="eastAsia" w:cs="Times New Roman"/>
          <w:color w:val="000000" w:themeColor="text1"/>
          <w:kern w:val="0"/>
          <w:szCs w:val="24"/>
          <w:highlight w:val="none"/>
          <w14:textFill>
            <w14:solidFill>
              <w14:schemeClr w14:val="tx1"/>
            </w14:solidFill>
          </w14:textFill>
        </w:rPr>
        <w:t>地</w:t>
      </w:r>
      <w:r>
        <w:rPr>
          <w:rFonts w:cs="Times New Roman"/>
          <w:color w:val="000000" w:themeColor="text1"/>
          <w:kern w:val="0"/>
          <w:szCs w:val="24"/>
          <w:highlight w:val="none"/>
          <w14:textFill>
            <w14:solidFill>
              <w14:schemeClr w14:val="tx1"/>
            </w14:solidFill>
          </w14:textFill>
        </w:rPr>
        <w:t>保护评价范围现有土地和植被，可采取如下保护措施：</w:t>
      </w:r>
    </w:p>
    <w:p>
      <w:pPr>
        <w:widowControl/>
        <w:ind w:firstLine="480"/>
        <w:jc w:val="left"/>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①</w:t>
      </w:r>
      <w:r>
        <w:rPr>
          <w:rFonts w:cs="Times New Roman"/>
          <w:color w:val="000000" w:themeColor="text1"/>
          <w:kern w:val="0"/>
          <w:szCs w:val="24"/>
          <w:highlight w:val="none"/>
          <w14:textFill>
            <w14:solidFill>
              <w14:schemeClr w14:val="tx1"/>
            </w14:solidFill>
          </w14:textFill>
        </w:rPr>
        <w:t>优先采用生态友好的工程建设技术、工艺及材料。</w:t>
      </w:r>
    </w:p>
    <w:p>
      <w:pPr>
        <w:widowControl/>
        <w:ind w:firstLine="480"/>
        <w:jc w:val="left"/>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②</w:t>
      </w:r>
      <w:r>
        <w:rPr>
          <w:rFonts w:cs="Times New Roman"/>
          <w:color w:val="000000" w:themeColor="text1"/>
          <w:kern w:val="0"/>
          <w:szCs w:val="24"/>
          <w:highlight w:val="none"/>
          <w14:textFill>
            <w14:solidFill>
              <w14:schemeClr w14:val="tx1"/>
            </w14:solidFill>
          </w14:textFill>
        </w:rPr>
        <w:t>根据施工总体平面布置，</w:t>
      </w:r>
      <w:r>
        <w:rPr>
          <w:rFonts w:hint="eastAsia" w:cs="Times New Roman"/>
          <w:color w:val="000000" w:themeColor="text1"/>
          <w:kern w:val="0"/>
          <w:szCs w:val="24"/>
          <w:highlight w:val="none"/>
          <w14:textFill>
            <w14:solidFill>
              <w14:schemeClr w14:val="tx1"/>
            </w14:solidFill>
          </w14:textFill>
        </w:rPr>
        <w:t>严格规范施工范围，</w:t>
      </w:r>
      <w:r>
        <w:rPr>
          <w:rFonts w:cs="Times New Roman"/>
          <w:color w:val="000000" w:themeColor="text1"/>
          <w:kern w:val="0"/>
          <w:szCs w:val="24"/>
          <w:highlight w:val="none"/>
          <w14:textFill>
            <w14:solidFill>
              <w14:schemeClr w14:val="tx1"/>
            </w14:solidFill>
          </w14:textFill>
        </w:rPr>
        <w:t>确定施工用地范围，进行标桩划界，禁止施工人员进入非施工占地区，严禁任意越界破坏周围植被。</w:t>
      </w:r>
    </w:p>
    <w:p>
      <w:pPr>
        <w:widowControl/>
        <w:ind w:firstLine="480"/>
        <w:jc w:val="left"/>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③</w:t>
      </w:r>
      <w:r>
        <w:rPr>
          <w:rFonts w:cs="Times New Roman"/>
          <w:color w:val="000000" w:themeColor="text1"/>
          <w:kern w:val="0"/>
          <w:szCs w:val="24"/>
          <w:highlight w:val="none"/>
          <w14:textFill>
            <w14:solidFill>
              <w14:schemeClr w14:val="tx1"/>
            </w14:solidFill>
          </w14:textFill>
        </w:rPr>
        <w:t>做好环卫工作，废弃物应合理堆放，及时处置，禁止乱丢垃圾和废弃物，严禁场内污水进入外环沟，确保周边环境不被污染。</w:t>
      </w:r>
    </w:p>
    <w:p>
      <w:pPr>
        <w:widowControl/>
        <w:ind w:firstLine="480"/>
        <w:jc w:val="left"/>
        <w:rPr>
          <w:rFonts w:cs="Times New Roman"/>
          <w:color w:val="000000" w:themeColor="text1"/>
          <w:kern w:val="0"/>
          <w:szCs w:val="24"/>
          <w:highlight w:val="none"/>
          <w14:textFill>
            <w14:solidFill>
              <w14:schemeClr w14:val="tx1"/>
            </w14:solidFill>
          </w14:textFill>
        </w:rPr>
      </w:pPr>
      <w:r>
        <w:rPr>
          <w:rFonts w:hint="eastAsia" w:ascii="宋体" w:hAnsi="宋体" w:cs="宋体"/>
          <w:color w:val="000000" w:themeColor="text1"/>
          <w:kern w:val="0"/>
          <w:szCs w:val="24"/>
          <w:highlight w:val="none"/>
          <w14:textFill>
            <w14:solidFill>
              <w14:schemeClr w14:val="tx1"/>
            </w14:solidFill>
          </w14:textFill>
        </w:rPr>
        <w:t>④</w:t>
      </w:r>
      <w:r>
        <w:rPr>
          <w:rFonts w:cs="Times New Roman"/>
          <w:color w:val="000000" w:themeColor="text1"/>
          <w:kern w:val="0"/>
          <w:szCs w:val="24"/>
          <w:highlight w:val="none"/>
          <w14:textFill>
            <w14:solidFill>
              <w14:schemeClr w14:val="tx1"/>
            </w14:solidFill>
          </w14:textFill>
        </w:rPr>
        <w:t>在项目建设过程中，</w:t>
      </w:r>
      <w:r>
        <w:rPr>
          <w:rFonts w:hint="eastAsia" w:cs="Times New Roman"/>
          <w:color w:val="000000" w:themeColor="text1"/>
          <w:kern w:val="0"/>
          <w:szCs w:val="24"/>
          <w:highlight w:val="none"/>
          <w14:textFill>
            <w14:solidFill>
              <w14:schemeClr w14:val="tx1"/>
            </w14:solidFill>
          </w14:textFill>
        </w:rPr>
        <w:t>强化临时占地的及时复耕复垦，</w:t>
      </w:r>
      <w:r>
        <w:rPr>
          <w:rFonts w:cs="Times New Roman"/>
          <w:color w:val="000000" w:themeColor="text1"/>
          <w:kern w:val="0"/>
          <w:szCs w:val="24"/>
          <w:highlight w:val="none"/>
          <w14:textFill>
            <w14:solidFill>
              <w14:schemeClr w14:val="tx1"/>
            </w14:solidFill>
          </w14:textFill>
        </w:rPr>
        <w:t>对可以恢复的临时占地及时进行植被恢复。</w:t>
      </w:r>
    </w:p>
    <w:p>
      <w:pPr>
        <w:widowControl/>
        <w:spacing w:before="35"/>
        <w:ind w:firstLine="482"/>
        <w:jc w:val="left"/>
        <w:rPr>
          <w:rFonts w:cs="Times New Roman"/>
          <w:b/>
          <w:bCs/>
          <w:color w:val="000000" w:themeColor="text1"/>
          <w:kern w:val="0"/>
          <w:szCs w:val="24"/>
          <w:highlight w:val="none"/>
          <w14:textFill>
            <w14:solidFill>
              <w14:schemeClr w14:val="tx1"/>
            </w14:solidFill>
          </w14:textFill>
        </w:rPr>
      </w:pPr>
      <w:r>
        <w:rPr>
          <w:rFonts w:cs="Times New Roman"/>
          <w:b/>
          <w:bCs/>
          <w:color w:val="000000" w:themeColor="text1"/>
          <w:kern w:val="0"/>
          <w:szCs w:val="24"/>
          <w:highlight w:val="none"/>
          <w14:textFill>
            <w14:solidFill>
              <w14:schemeClr w14:val="tx1"/>
            </w14:solidFill>
          </w14:textFill>
        </w:rPr>
        <w:t>（2）土壤侵蚀的防治对策措施</w:t>
      </w:r>
    </w:p>
    <w:p>
      <w:pPr>
        <w:widowControl/>
        <w:ind w:firstLine="480"/>
        <w:jc w:val="left"/>
        <w:rPr>
          <w:rFonts w:cs="Times New Roman"/>
          <w:color w:val="000000" w:themeColor="text1"/>
          <w:kern w:val="0"/>
          <w:szCs w:val="24"/>
          <w:highlight w:val="none"/>
          <w14:textFill>
            <w14:solidFill>
              <w14:schemeClr w14:val="tx1"/>
            </w14:solidFill>
          </w14:textFill>
        </w:rPr>
      </w:pPr>
      <w:r>
        <w:rPr>
          <w:rFonts w:hint="eastAsia" w:ascii="宋体" w:hAnsi="宋体" w:cs="宋体"/>
          <w:color w:val="000000" w:themeColor="text1"/>
          <w:kern w:val="0"/>
          <w:szCs w:val="24"/>
          <w:highlight w:val="none"/>
          <w14:textFill>
            <w14:solidFill>
              <w14:schemeClr w14:val="tx1"/>
            </w14:solidFill>
          </w14:textFill>
        </w:rPr>
        <w:t>①</w:t>
      </w:r>
      <w:r>
        <w:rPr>
          <w:rFonts w:cs="Times New Roman"/>
          <w:color w:val="000000" w:themeColor="text1"/>
          <w:kern w:val="0"/>
          <w:szCs w:val="24"/>
          <w:highlight w:val="none"/>
          <w14:textFill>
            <w14:solidFill>
              <w14:schemeClr w14:val="tx1"/>
            </w14:solidFill>
          </w14:textFill>
        </w:rPr>
        <w:t>在施工过程中合理安排施工进度，施工尽量避开雨天和大风天；分段施工，减少风蚀导致的水土流失。</w:t>
      </w:r>
    </w:p>
    <w:p>
      <w:pPr>
        <w:widowControl/>
        <w:ind w:firstLine="480"/>
        <w:jc w:val="left"/>
        <w:rPr>
          <w:rFonts w:cs="Times New Roman"/>
          <w:color w:val="000000" w:themeColor="text1"/>
          <w:kern w:val="0"/>
          <w:szCs w:val="24"/>
          <w:highlight w:val="none"/>
          <w14:textFill>
            <w14:solidFill>
              <w14:schemeClr w14:val="tx1"/>
            </w14:solidFill>
          </w14:textFill>
        </w:rPr>
      </w:pPr>
      <w:r>
        <w:rPr>
          <w:rFonts w:hint="eastAsia" w:ascii="宋体" w:hAnsi="宋体" w:cs="宋体"/>
          <w:color w:val="000000" w:themeColor="text1"/>
          <w:kern w:val="0"/>
          <w:szCs w:val="24"/>
          <w:highlight w:val="none"/>
          <w14:textFill>
            <w14:solidFill>
              <w14:schemeClr w14:val="tx1"/>
            </w14:solidFill>
          </w14:textFill>
        </w:rPr>
        <w:t>②</w:t>
      </w:r>
      <w:r>
        <w:rPr>
          <w:rFonts w:cs="Times New Roman"/>
          <w:color w:val="000000" w:themeColor="text1"/>
          <w:kern w:val="0"/>
          <w:szCs w:val="24"/>
          <w:highlight w:val="none"/>
          <w14:textFill>
            <w14:solidFill>
              <w14:schemeClr w14:val="tx1"/>
            </w14:solidFill>
          </w14:textFill>
        </w:rPr>
        <w:t>划定施工作业范围和路线，不得扩大施工作业范围，尽可能减少对土壤和植被的破坏以及由此引发的水土流失。</w:t>
      </w:r>
    </w:p>
    <w:p>
      <w:pPr>
        <w:widowControl/>
        <w:ind w:firstLine="480"/>
        <w:jc w:val="left"/>
        <w:rPr>
          <w:rFonts w:cs="Times New Roman"/>
          <w:color w:val="000000" w:themeColor="text1"/>
          <w:kern w:val="0"/>
          <w:szCs w:val="24"/>
          <w:highlight w:val="none"/>
          <w14:textFill>
            <w14:solidFill>
              <w14:schemeClr w14:val="tx1"/>
            </w14:solidFill>
          </w14:textFill>
        </w:rPr>
      </w:pPr>
      <w:r>
        <w:rPr>
          <w:rFonts w:hint="eastAsia" w:ascii="宋体" w:hAnsi="宋体" w:cs="宋体"/>
          <w:color w:val="000000" w:themeColor="text1"/>
          <w:kern w:val="0"/>
          <w:szCs w:val="24"/>
          <w:highlight w:val="none"/>
          <w14:textFill>
            <w14:solidFill>
              <w14:schemeClr w14:val="tx1"/>
            </w14:solidFill>
          </w14:textFill>
        </w:rPr>
        <w:t>③</w:t>
      </w:r>
      <w:r>
        <w:rPr>
          <w:rFonts w:cs="Times New Roman"/>
          <w:color w:val="000000" w:themeColor="text1"/>
          <w:kern w:val="0"/>
          <w:szCs w:val="24"/>
          <w:highlight w:val="none"/>
          <w14:textFill>
            <w14:solidFill>
              <w14:schemeClr w14:val="tx1"/>
            </w14:solidFill>
          </w14:textFill>
        </w:rPr>
        <w:t>在</w:t>
      </w:r>
      <w:r>
        <w:rPr>
          <w:rFonts w:hint="eastAsia" w:cs="Times New Roman"/>
          <w:color w:val="000000" w:themeColor="text1"/>
          <w:kern w:val="0"/>
          <w:szCs w:val="24"/>
          <w:highlight w:val="none"/>
          <w14:textFill>
            <w14:solidFill>
              <w14:schemeClr w14:val="tx1"/>
            </w14:solidFill>
          </w14:textFill>
        </w:rPr>
        <w:t>试采</w:t>
      </w:r>
      <w:r>
        <w:rPr>
          <w:rFonts w:cs="Times New Roman"/>
          <w:color w:val="000000" w:themeColor="text1"/>
          <w:kern w:val="0"/>
          <w:szCs w:val="24"/>
          <w:highlight w:val="none"/>
          <w14:textFill>
            <w14:solidFill>
              <w14:schemeClr w14:val="tx1"/>
            </w14:solidFill>
          </w14:textFill>
        </w:rPr>
        <w:t>站场施工，设置一定围挡，减少施工过程中水土流失量。</w:t>
      </w:r>
    </w:p>
    <w:p>
      <w:pPr>
        <w:widowControl/>
        <w:ind w:firstLine="480"/>
        <w:jc w:val="left"/>
        <w:rPr>
          <w:rFonts w:cs="Times New Roman"/>
          <w:color w:val="000000" w:themeColor="text1"/>
          <w:kern w:val="0"/>
          <w:szCs w:val="24"/>
          <w:highlight w:val="none"/>
          <w14:textFill>
            <w14:solidFill>
              <w14:schemeClr w14:val="tx1"/>
            </w14:solidFill>
          </w14:textFill>
        </w:rPr>
      </w:pPr>
      <w:r>
        <w:rPr>
          <w:rFonts w:hint="eastAsia" w:ascii="宋体" w:hAnsi="宋体" w:cs="宋体"/>
          <w:color w:val="000000" w:themeColor="text1"/>
          <w:kern w:val="0"/>
          <w:szCs w:val="24"/>
          <w:highlight w:val="none"/>
          <w14:textFill>
            <w14:solidFill>
              <w14:schemeClr w14:val="tx1"/>
            </w14:solidFill>
          </w14:textFill>
        </w:rPr>
        <w:t>④</w:t>
      </w:r>
      <w:r>
        <w:rPr>
          <w:rFonts w:cs="Times New Roman"/>
          <w:color w:val="000000" w:themeColor="text1"/>
          <w:kern w:val="0"/>
          <w:szCs w:val="24"/>
          <w:highlight w:val="none"/>
          <w14:textFill>
            <w14:solidFill>
              <w14:schemeClr w14:val="tx1"/>
            </w14:solidFill>
          </w14:textFill>
        </w:rPr>
        <w:t>在地面施工过程中，对于施工破坏区，施工完毕要及时平整土地及植被恢复，以防止发生新的土壤侵蚀。</w:t>
      </w:r>
    </w:p>
    <w:p>
      <w:pPr>
        <w:widowControl/>
        <w:ind w:firstLine="480"/>
        <w:jc w:val="left"/>
        <w:rPr>
          <w:rFonts w:cs="Times New Roman"/>
          <w:color w:val="000000" w:themeColor="text1"/>
          <w:kern w:val="0"/>
          <w:szCs w:val="24"/>
          <w:highlight w:val="none"/>
          <w14:textFill>
            <w14:solidFill>
              <w14:schemeClr w14:val="tx1"/>
            </w14:solidFill>
          </w14:textFill>
        </w:rPr>
      </w:pPr>
      <w:r>
        <w:rPr>
          <w:rFonts w:hint="eastAsia" w:ascii="宋体" w:hAnsi="宋体" w:cs="宋体"/>
          <w:color w:val="000000" w:themeColor="text1"/>
          <w:kern w:val="0"/>
          <w:szCs w:val="24"/>
          <w:highlight w:val="none"/>
          <w14:textFill>
            <w14:solidFill>
              <w14:schemeClr w14:val="tx1"/>
            </w14:solidFill>
          </w14:textFill>
        </w:rPr>
        <w:t>⑤</w:t>
      </w:r>
      <w:r>
        <w:rPr>
          <w:rFonts w:cs="Times New Roman"/>
          <w:color w:val="000000" w:themeColor="text1"/>
          <w:kern w:val="0"/>
          <w:szCs w:val="24"/>
          <w:highlight w:val="none"/>
          <w14:textFill>
            <w14:solidFill>
              <w14:schemeClr w14:val="tx1"/>
            </w14:solidFill>
          </w14:textFill>
        </w:rPr>
        <w:t>对于施工过程中产生的不能利用的废弃土石不得将任意裸露弃置，做到随挖随填，以免遇强降雨引起严重的水土流失。</w:t>
      </w:r>
    </w:p>
    <w:p>
      <w:pPr>
        <w:widowControl/>
        <w:spacing w:before="35"/>
        <w:ind w:firstLine="482"/>
        <w:jc w:val="left"/>
        <w:rPr>
          <w:rFonts w:cs="Times New Roman"/>
          <w:b/>
          <w:bCs/>
          <w:color w:val="000000" w:themeColor="text1"/>
          <w:kern w:val="0"/>
          <w:szCs w:val="24"/>
          <w:highlight w:val="none"/>
          <w14:textFill>
            <w14:solidFill>
              <w14:schemeClr w14:val="tx1"/>
            </w14:solidFill>
          </w14:textFill>
        </w:rPr>
      </w:pPr>
      <w:r>
        <w:rPr>
          <w:rFonts w:cs="Times New Roman"/>
          <w:b/>
          <w:bCs/>
          <w:color w:val="000000" w:themeColor="text1"/>
          <w:kern w:val="0"/>
          <w:szCs w:val="24"/>
          <w:highlight w:val="none"/>
          <w14:textFill>
            <w14:solidFill>
              <w14:schemeClr w14:val="tx1"/>
            </w14:solidFill>
          </w14:textFill>
        </w:rPr>
        <w:t>（</w:t>
      </w:r>
      <w:r>
        <w:rPr>
          <w:rFonts w:hint="eastAsia" w:cs="Times New Roman"/>
          <w:b/>
          <w:bCs/>
          <w:color w:val="000000" w:themeColor="text1"/>
          <w:kern w:val="0"/>
          <w:szCs w:val="24"/>
          <w:highlight w:val="none"/>
          <w14:textFill>
            <w14:solidFill>
              <w14:schemeClr w14:val="tx1"/>
            </w14:solidFill>
          </w14:textFill>
        </w:rPr>
        <w:t>3</w:t>
      </w:r>
      <w:r>
        <w:rPr>
          <w:rFonts w:cs="Times New Roman"/>
          <w:b/>
          <w:bCs/>
          <w:color w:val="000000" w:themeColor="text1"/>
          <w:kern w:val="0"/>
          <w:szCs w:val="24"/>
          <w:highlight w:val="none"/>
          <w14:textFill>
            <w14:solidFill>
              <w14:schemeClr w14:val="tx1"/>
            </w14:solidFill>
          </w14:textFill>
        </w:rPr>
        <w:t>）对陆生</w:t>
      </w:r>
      <w:r>
        <w:rPr>
          <w:rFonts w:hint="eastAsia" w:cs="Times New Roman"/>
          <w:b/>
          <w:bCs/>
          <w:color w:val="000000" w:themeColor="text1"/>
          <w:kern w:val="0"/>
          <w:szCs w:val="24"/>
          <w:highlight w:val="none"/>
          <w14:textFill>
            <w14:solidFill>
              <w14:schemeClr w14:val="tx1"/>
            </w14:solidFill>
          </w14:textFill>
        </w:rPr>
        <w:t>野生</w:t>
      </w:r>
      <w:r>
        <w:rPr>
          <w:rFonts w:cs="Times New Roman"/>
          <w:b/>
          <w:bCs/>
          <w:color w:val="000000" w:themeColor="text1"/>
          <w:kern w:val="0"/>
          <w:szCs w:val="24"/>
          <w:highlight w:val="none"/>
          <w14:textFill>
            <w14:solidFill>
              <w14:schemeClr w14:val="tx1"/>
            </w14:solidFill>
          </w14:textFill>
        </w:rPr>
        <w:t>动物保护措施</w:t>
      </w:r>
    </w:p>
    <w:p>
      <w:pPr>
        <w:widowControl/>
        <w:ind w:firstLine="480"/>
        <w:jc w:val="left"/>
        <w:rPr>
          <w:rFonts w:cs="Times New Roman"/>
          <w:color w:val="000000" w:themeColor="text1"/>
          <w:kern w:val="0"/>
          <w:szCs w:val="24"/>
          <w:highlight w:val="none"/>
          <w14:textFill>
            <w14:solidFill>
              <w14:schemeClr w14:val="tx1"/>
            </w14:solidFill>
          </w14:textFill>
        </w:rPr>
      </w:pPr>
      <w:r>
        <w:rPr>
          <w:rFonts w:hint="eastAsia" w:ascii="宋体" w:hAnsi="宋体" w:cs="宋体"/>
          <w:color w:val="000000" w:themeColor="text1"/>
          <w:kern w:val="0"/>
          <w:szCs w:val="24"/>
          <w:highlight w:val="none"/>
          <w14:textFill>
            <w14:solidFill>
              <w14:schemeClr w14:val="tx1"/>
            </w14:solidFill>
          </w14:textFill>
        </w:rPr>
        <w:t>①</w:t>
      </w:r>
      <w:r>
        <w:rPr>
          <w:rFonts w:cs="Times New Roman"/>
          <w:color w:val="000000" w:themeColor="text1"/>
          <w:kern w:val="0"/>
          <w:szCs w:val="24"/>
          <w:highlight w:val="none"/>
          <w14:textFill>
            <w14:solidFill>
              <w14:schemeClr w14:val="tx1"/>
            </w14:solidFill>
          </w14:textFill>
        </w:rPr>
        <w:t>加强宣传野生动物保护法规，打击捕杀野生动物的行为</w:t>
      </w:r>
    </w:p>
    <w:p>
      <w:pPr>
        <w:widowControl/>
        <w:ind w:firstLine="480"/>
        <w:jc w:val="left"/>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增强</w:t>
      </w:r>
      <w:r>
        <w:rPr>
          <w:rFonts w:cs="Times New Roman"/>
          <w:color w:val="000000" w:themeColor="text1"/>
          <w:kern w:val="0"/>
          <w:szCs w:val="24"/>
          <w:highlight w:val="none"/>
          <w14:textFill>
            <w14:solidFill>
              <w14:schemeClr w14:val="tx1"/>
            </w14:solidFill>
          </w14:textFill>
        </w:rPr>
        <w:t>施工人员的保护意识，施工人员必须遵守《中华人民共和国野生动物保护法》，严禁捕猎保护动物，特别是重点保护野生动物。</w:t>
      </w:r>
    </w:p>
    <w:p>
      <w:pPr>
        <w:widowControl/>
        <w:ind w:firstLine="480"/>
        <w:jc w:val="left"/>
        <w:rPr>
          <w:rFonts w:cs="Times New Roman"/>
          <w:color w:val="000000" w:themeColor="text1"/>
          <w:kern w:val="0"/>
          <w:szCs w:val="24"/>
          <w:highlight w:val="none"/>
          <w14:textFill>
            <w14:solidFill>
              <w14:schemeClr w14:val="tx1"/>
            </w14:solidFill>
          </w14:textFill>
        </w:rPr>
      </w:pPr>
      <w:r>
        <w:rPr>
          <w:rFonts w:hint="eastAsia" w:ascii="宋体" w:hAnsi="宋体" w:cs="宋体"/>
          <w:color w:val="000000" w:themeColor="text1"/>
          <w:kern w:val="0"/>
          <w:szCs w:val="24"/>
          <w:highlight w:val="none"/>
          <w14:textFill>
            <w14:solidFill>
              <w14:schemeClr w14:val="tx1"/>
            </w14:solidFill>
          </w14:textFill>
        </w:rPr>
        <w:t>②</w:t>
      </w:r>
      <w:r>
        <w:rPr>
          <w:rFonts w:cs="Times New Roman"/>
          <w:color w:val="000000" w:themeColor="text1"/>
          <w:kern w:val="0"/>
          <w:szCs w:val="24"/>
          <w:highlight w:val="none"/>
          <w14:textFill>
            <w14:solidFill>
              <w14:schemeClr w14:val="tx1"/>
            </w14:solidFill>
          </w14:textFill>
        </w:rPr>
        <w:t>防止动物生境污染</w:t>
      </w:r>
    </w:p>
    <w:p>
      <w:pPr>
        <w:widowControl/>
        <w:ind w:firstLine="480"/>
        <w:jc w:val="left"/>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人类活动的增加，会给环境污染带来新的隐患。从保护生态与环境的角度出发，建议本工程开工之前，尽量做好施工规划前期工作，做好工程完工后生态环境的恢复工作，以尽量减少植被破坏对动物栖息地的不利影响。</w:t>
      </w:r>
    </w:p>
    <w:p>
      <w:pPr>
        <w:widowControl/>
        <w:ind w:firstLine="480"/>
        <w:jc w:val="left"/>
        <w:rPr>
          <w:rFonts w:cs="Times New Roman"/>
          <w:color w:val="000000" w:themeColor="text1"/>
          <w:kern w:val="0"/>
          <w:szCs w:val="24"/>
          <w:highlight w:val="none"/>
          <w14:textFill>
            <w14:solidFill>
              <w14:schemeClr w14:val="tx1"/>
            </w14:solidFill>
          </w14:textFill>
        </w:rPr>
      </w:pPr>
      <w:r>
        <w:rPr>
          <w:rFonts w:hint="eastAsia" w:ascii="宋体" w:hAnsi="宋体" w:cs="宋体"/>
          <w:color w:val="000000" w:themeColor="text1"/>
          <w:kern w:val="0"/>
          <w:szCs w:val="24"/>
          <w:highlight w:val="none"/>
          <w14:textFill>
            <w14:solidFill>
              <w14:schemeClr w14:val="tx1"/>
            </w14:solidFill>
          </w14:textFill>
        </w:rPr>
        <w:t>③</w:t>
      </w:r>
      <w:r>
        <w:rPr>
          <w:rFonts w:cs="Times New Roman"/>
          <w:color w:val="000000" w:themeColor="text1"/>
          <w:kern w:val="0"/>
          <w:szCs w:val="24"/>
          <w:highlight w:val="none"/>
          <w14:textFill>
            <w14:solidFill>
              <w14:schemeClr w14:val="tx1"/>
            </w14:solidFill>
          </w14:textFill>
        </w:rPr>
        <w:t>杜绝夜间施工，以保证自然生态系统和野生动物栖息地的稳定。</w:t>
      </w:r>
    </w:p>
    <w:p>
      <w:pPr>
        <w:widowControl/>
        <w:ind w:firstLine="480"/>
        <w:jc w:val="left"/>
        <w:rPr>
          <w:rFonts w:cs="Times New Roman"/>
          <w:color w:val="000000" w:themeColor="text1"/>
          <w:kern w:val="0"/>
          <w:szCs w:val="24"/>
          <w:highlight w:val="none"/>
          <w14:textFill>
            <w14:solidFill>
              <w14:schemeClr w14:val="tx1"/>
            </w14:solidFill>
          </w14:textFill>
        </w:rPr>
      </w:pPr>
      <w:r>
        <w:rPr>
          <w:rFonts w:hint="eastAsia" w:ascii="宋体" w:hAnsi="宋体" w:cs="宋体"/>
          <w:color w:val="000000" w:themeColor="text1"/>
          <w:kern w:val="0"/>
          <w:szCs w:val="24"/>
          <w:highlight w:val="none"/>
          <w14:textFill>
            <w14:solidFill>
              <w14:schemeClr w14:val="tx1"/>
            </w14:solidFill>
          </w14:textFill>
        </w:rPr>
        <w:t>④</w:t>
      </w:r>
      <w:r>
        <w:rPr>
          <w:rFonts w:cs="Times New Roman"/>
          <w:color w:val="000000" w:themeColor="text1"/>
          <w:kern w:val="0"/>
          <w:szCs w:val="24"/>
          <w:highlight w:val="none"/>
          <w14:textFill>
            <w14:solidFill>
              <w14:schemeClr w14:val="tx1"/>
            </w14:solidFill>
          </w14:textFill>
        </w:rPr>
        <w:t>对野生动物具体保护方案</w:t>
      </w:r>
    </w:p>
    <w:p>
      <w:pPr>
        <w:widowControl/>
        <w:ind w:firstLine="480"/>
        <w:jc w:val="left"/>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鸟类：</w:t>
      </w:r>
      <w:r>
        <w:rPr>
          <w:rFonts w:hint="eastAsia" w:ascii="宋体" w:hAnsi="宋体" w:cs="宋体"/>
          <w:color w:val="000000" w:themeColor="text1"/>
          <w:kern w:val="0"/>
          <w:szCs w:val="24"/>
          <w:highlight w:val="none"/>
          <w14:textFill>
            <w14:solidFill>
              <w14:schemeClr w14:val="tx1"/>
            </w14:solidFill>
          </w14:textFill>
        </w:rPr>
        <w:t>①</w:t>
      </w:r>
      <w:r>
        <w:rPr>
          <w:rFonts w:cs="Times New Roman"/>
          <w:color w:val="000000" w:themeColor="text1"/>
          <w:kern w:val="0"/>
          <w:szCs w:val="24"/>
          <w:highlight w:val="none"/>
          <w14:textFill>
            <w14:solidFill>
              <w14:schemeClr w14:val="tx1"/>
            </w14:solidFill>
          </w14:textFill>
        </w:rPr>
        <w:t>尽量减少施工对植被的破坏，保证施工后植被的恢复。</w:t>
      </w:r>
      <w:r>
        <w:rPr>
          <w:rFonts w:hint="eastAsia" w:ascii="宋体" w:hAnsi="宋体" w:cs="宋体"/>
          <w:color w:val="000000" w:themeColor="text1"/>
          <w:kern w:val="0"/>
          <w:szCs w:val="24"/>
          <w:highlight w:val="none"/>
          <w14:textFill>
            <w14:solidFill>
              <w14:schemeClr w14:val="tx1"/>
            </w14:solidFill>
          </w14:textFill>
        </w:rPr>
        <w:t>②</w:t>
      </w:r>
      <w:r>
        <w:rPr>
          <w:rFonts w:cs="Times New Roman"/>
          <w:color w:val="000000" w:themeColor="text1"/>
          <w:kern w:val="0"/>
          <w:szCs w:val="24"/>
          <w:highlight w:val="none"/>
          <w14:textFill>
            <w14:solidFill>
              <w14:schemeClr w14:val="tx1"/>
            </w14:solidFill>
          </w14:textFill>
        </w:rPr>
        <w:t>增强人们的环境保护意识，加强对重点保护野生动物的保护，严禁非法猎捕保护鸟类及对人类有益的鸟类。</w:t>
      </w:r>
    </w:p>
    <w:p>
      <w:pPr>
        <w:widowControl/>
        <w:ind w:firstLine="480"/>
        <w:jc w:val="left"/>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兽类：保护好现有的植被，使兽类有一个稳定的栖息地。为将项目建设对兽类栖息地的影响减少到最低限度，应在所有可能的地区采用可能的方法恢复植被；对工程废物和施工人员的生活垃圾进行快速处理，尽量避免废物为鼠类等疫源性兽类提供生活环境，同时也可减少工程对动物栖息地的破坏。</w:t>
      </w:r>
    </w:p>
    <w:p>
      <w:pPr>
        <w:widowControl/>
        <w:spacing w:before="35"/>
        <w:ind w:firstLine="482"/>
        <w:jc w:val="left"/>
        <w:rPr>
          <w:rFonts w:cs="Times New Roman"/>
          <w:b/>
          <w:bCs/>
          <w:color w:val="000000" w:themeColor="text1"/>
          <w:kern w:val="0"/>
          <w:szCs w:val="24"/>
          <w:highlight w:val="none"/>
          <w14:textFill>
            <w14:solidFill>
              <w14:schemeClr w14:val="tx1"/>
            </w14:solidFill>
          </w14:textFill>
        </w:rPr>
      </w:pPr>
      <w:r>
        <w:rPr>
          <w:rFonts w:cs="Times New Roman"/>
          <w:b/>
          <w:bCs/>
          <w:color w:val="000000" w:themeColor="text1"/>
          <w:kern w:val="0"/>
          <w:szCs w:val="24"/>
          <w:highlight w:val="none"/>
          <w14:textFill>
            <w14:solidFill>
              <w14:schemeClr w14:val="tx1"/>
            </w14:solidFill>
          </w14:textFill>
        </w:rPr>
        <w:t>（</w:t>
      </w:r>
      <w:r>
        <w:rPr>
          <w:rFonts w:hint="eastAsia" w:cs="Times New Roman"/>
          <w:b/>
          <w:bCs/>
          <w:color w:val="000000" w:themeColor="text1"/>
          <w:kern w:val="0"/>
          <w:szCs w:val="24"/>
          <w:highlight w:val="none"/>
          <w14:textFill>
            <w14:solidFill>
              <w14:schemeClr w14:val="tx1"/>
            </w14:solidFill>
          </w14:textFill>
        </w:rPr>
        <w:t>4</w:t>
      </w:r>
      <w:r>
        <w:rPr>
          <w:rFonts w:cs="Times New Roman"/>
          <w:b/>
          <w:bCs/>
          <w:color w:val="000000" w:themeColor="text1"/>
          <w:kern w:val="0"/>
          <w:szCs w:val="24"/>
          <w:highlight w:val="none"/>
          <w14:textFill>
            <w14:solidFill>
              <w14:schemeClr w14:val="tx1"/>
            </w14:solidFill>
          </w14:textFill>
        </w:rPr>
        <w:t>）</w:t>
      </w:r>
      <w:r>
        <w:rPr>
          <w:rFonts w:hint="eastAsia" w:cs="Times New Roman"/>
          <w:b/>
          <w:bCs/>
          <w:color w:val="000000" w:themeColor="text1"/>
          <w:kern w:val="0"/>
          <w:szCs w:val="24"/>
          <w:highlight w:val="none"/>
          <w14:textFill>
            <w14:solidFill>
              <w14:schemeClr w14:val="tx1"/>
            </w14:solidFill>
          </w14:textFill>
        </w:rPr>
        <w:t>对重点保护野生动物保护措施</w:t>
      </w:r>
    </w:p>
    <w:p>
      <w:pPr>
        <w:widowControl/>
        <w:ind w:firstLine="480"/>
        <w:jc w:val="left"/>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评价区人类活动较为频繁，</w:t>
      </w:r>
      <w:r>
        <w:rPr>
          <w:rFonts w:hint="eastAsia" w:cs="Times New Roman"/>
          <w:color w:val="000000" w:themeColor="text1"/>
          <w:kern w:val="0"/>
          <w:szCs w:val="24"/>
          <w:highlight w:val="none"/>
          <w14:textFill>
            <w14:solidFill>
              <w14:schemeClr w14:val="tx1"/>
            </w14:solidFill>
          </w14:textFill>
        </w:rPr>
        <w:t>未分布</w:t>
      </w:r>
      <w:r>
        <w:rPr>
          <w:rFonts w:cs="Times New Roman"/>
          <w:color w:val="000000" w:themeColor="text1"/>
          <w:kern w:val="0"/>
          <w:szCs w:val="24"/>
          <w:highlight w:val="none"/>
          <w14:textFill>
            <w14:solidFill>
              <w14:schemeClr w14:val="tx1"/>
            </w14:solidFill>
          </w14:textFill>
        </w:rPr>
        <w:t>适宜的</w:t>
      </w:r>
      <w:r>
        <w:rPr>
          <w:rFonts w:hint="eastAsia" w:cs="Times New Roman"/>
          <w:color w:val="000000" w:themeColor="text1"/>
          <w:kern w:val="0"/>
          <w:szCs w:val="24"/>
          <w:highlight w:val="none"/>
          <w14:textFill>
            <w14:solidFill>
              <w14:schemeClr w14:val="tx1"/>
            </w14:solidFill>
          </w14:textFill>
        </w:rPr>
        <w:t>重点保护野生动物</w:t>
      </w:r>
      <w:r>
        <w:rPr>
          <w:rFonts w:cs="Times New Roman"/>
          <w:color w:val="000000" w:themeColor="text1"/>
          <w:kern w:val="0"/>
          <w:szCs w:val="24"/>
          <w:highlight w:val="none"/>
          <w14:textFill>
            <w14:solidFill>
              <w14:schemeClr w14:val="tx1"/>
            </w14:solidFill>
          </w14:textFill>
        </w:rPr>
        <w:t>雀鹰、画眉栖息地</w:t>
      </w:r>
      <w:r>
        <w:rPr>
          <w:rFonts w:hint="eastAsia" w:cs="Times New Roman"/>
          <w:color w:val="000000" w:themeColor="text1"/>
          <w:kern w:val="0"/>
          <w:szCs w:val="24"/>
          <w:highlight w:val="none"/>
          <w14:textFill>
            <w14:solidFill>
              <w14:schemeClr w14:val="tx1"/>
            </w14:solidFill>
          </w14:textFill>
        </w:rPr>
        <w:t>及生境</w:t>
      </w:r>
      <w:r>
        <w:rPr>
          <w:rFonts w:cs="Times New Roman"/>
          <w:color w:val="000000" w:themeColor="text1"/>
          <w:kern w:val="0"/>
          <w:szCs w:val="24"/>
          <w:highlight w:val="none"/>
          <w14:textFill>
            <w14:solidFill>
              <w14:schemeClr w14:val="tx1"/>
            </w14:solidFill>
          </w14:textFill>
        </w:rPr>
        <w:t>，</w:t>
      </w:r>
      <w:r>
        <w:rPr>
          <w:rFonts w:hint="eastAsia" w:cs="Times New Roman"/>
          <w:color w:val="000000" w:themeColor="text1"/>
          <w:kern w:val="0"/>
          <w:szCs w:val="24"/>
          <w:highlight w:val="none"/>
          <w14:textFill>
            <w14:solidFill>
              <w14:schemeClr w14:val="tx1"/>
            </w14:solidFill>
          </w14:textFill>
        </w:rPr>
        <w:t>其</w:t>
      </w:r>
      <w:r>
        <w:rPr>
          <w:rFonts w:cs="Times New Roman"/>
          <w:color w:val="000000" w:themeColor="text1"/>
          <w:kern w:val="0"/>
          <w:szCs w:val="24"/>
          <w:highlight w:val="none"/>
          <w14:textFill>
            <w14:solidFill>
              <w14:schemeClr w14:val="tx1"/>
            </w14:solidFill>
          </w14:textFill>
        </w:rPr>
        <w:t>主要为过境取食及活动。同时，雀鹰、画眉飞翔能力和自主迁徙能力较强，捕食范围很广，施工活动对其影响很小，在施工期，要加强在施工人员中的宣传教育，</w:t>
      </w:r>
      <w:r>
        <w:rPr>
          <w:rFonts w:hint="eastAsia" w:cs="Times New Roman"/>
          <w:color w:val="000000" w:themeColor="text1"/>
          <w:kern w:val="0"/>
          <w:szCs w:val="24"/>
          <w:highlight w:val="none"/>
          <w14:textFill>
            <w14:solidFill>
              <w14:schemeClr w14:val="tx1"/>
            </w14:solidFill>
          </w14:textFill>
        </w:rPr>
        <w:t>如发现上述保护动物过境，要加强保护，</w:t>
      </w:r>
      <w:r>
        <w:rPr>
          <w:rFonts w:cs="Times New Roman"/>
          <w:color w:val="000000" w:themeColor="text1"/>
          <w:kern w:val="0"/>
          <w:szCs w:val="24"/>
          <w:highlight w:val="none"/>
          <w14:textFill>
            <w14:solidFill>
              <w14:schemeClr w14:val="tx1"/>
            </w14:solidFill>
          </w14:textFill>
        </w:rPr>
        <w:t>严禁捕捉，同时，要文明施工，将人为影响降至最低。</w:t>
      </w:r>
    </w:p>
    <w:p>
      <w:pPr>
        <w:widowControl/>
        <w:ind w:firstLine="482"/>
        <w:jc w:val="left"/>
        <w:rPr>
          <w:rFonts w:cs="Times New Roman"/>
          <w:b/>
          <w:bCs/>
          <w:color w:val="000000" w:themeColor="text1"/>
          <w:kern w:val="0"/>
          <w:szCs w:val="24"/>
          <w:highlight w:val="none"/>
          <w14:textFill>
            <w14:solidFill>
              <w14:schemeClr w14:val="tx1"/>
            </w14:solidFill>
          </w14:textFill>
        </w:rPr>
      </w:pPr>
      <w:r>
        <w:rPr>
          <w:rFonts w:hint="eastAsia" w:cs="Times New Roman"/>
          <w:b/>
          <w:bCs/>
          <w:color w:val="000000" w:themeColor="text1"/>
          <w:kern w:val="0"/>
          <w:szCs w:val="24"/>
          <w:highlight w:val="none"/>
          <w14:textFill>
            <w14:solidFill>
              <w14:schemeClr w14:val="tx1"/>
            </w14:solidFill>
          </w14:textFill>
        </w:rPr>
        <w:t>（5）对生态公益林和天然林的避让和优化占用</w:t>
      </w:r>
    </w:p>
    <w:p>
      <w:pPr>
        <w:widowControl/>
        <w:ind w:firstLine="480"/>
        <w:jc w:val="left"/>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项目试采站施工占地不涉及公益林和天然林，外输管线通过比选，尽量避开公益林和天然林，减少对公益林和天然林的占用。项目施工期间，需要严格按照施工占地范围界限施工，严禁越界破坏公益林、天然林情况发生。</w:t>
      </w:r>
    </w:p>
    <w:p>
      <w:pPr>
        <w:ind w:firstLine="482"/>
        <w:rPr>
          <w:rFonts w:cs="Times New Roman"/>
          <w:b/>
          <w:bCs/>
          <w:color w:val="000000" w:themeColor="text1"/>
          <w:szCs w:val="24"/>
          <w:highlight w:val="none"/>
          <w14:textFill>
            <w14:solidFill>
              <w14:schemeClr w14:val="tx1"/>
            </w14:solidFill>
          </w14:textFill>
        </w:rPr>
      </w:pPr>
      <w:r>
        <w:rPr>
          <w:rFonts w:hint="eastAsia" w:cs="Times New Roman"/>
          <w:b/>
          <w:bCs/>
          <w:color w:val="000000" w:themeColor="text1"/>
          <w:szCs w:val="24"/>
          <w:highlight w:val="none"/>
          <w14:textFill>
            <w14:solidFill>
              <w14:schemeClr w14:val="tx1"/>
            </w14:solidFill>
          </w14:textFill>
        </w:rPr>
        <w:t>（6）</w:t>
      </w:r>
      <w:r>
        <w:rPr>
          <w:rFonts w:cs="Times New Roman"/>
          <w:b/>
          <w:bCs/>
          <w:color w:val="000000" w:themeColor="text1"/>
          <w:szCs w:val="24"/>
          <w:highlight w:val="none"/>
          <w14:textFill>
            <w14:solidFill>
              <w14:schemeClr w14:val="tx1"/>
            </w14:solidFill>
          </w14:textFill>
        </w:rPr>
        <w:t>外来入侵植物防范措施</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目前防止外来物种入侵的方法主要有植物检疫、人工方法防治、化学方法防治、生物防治等。结合工程特点，要求加大宣传力度，对外来物种的危害以及传播途径向施工人员进行宣传；对现有的外来种，利用工程施工的机会，对有种子的植物要现场烧毁，以防种子扩散，在临时占地的地方要及时绿化等。</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在施工占地区或裸地绿化应采取相应的防范措施，在选择绿化树种和水土保持植物中不使用外来入侵植物，尽可能使用乡土树种。</w:t>
      </w:r>
    </w:p>
    <w:p>
      <w:pPr>
        <w:widowControl/>
        <w:ind w:firstLine="482"/>
        <w:jc w:val="left"/>
        <w:rPr>
          <w:rFonts w:cs="Times New Roman"/>
          <w:b/>
          <w:color w:val="000000" w:themeColor="text1"/>
          <w:kern w:val="0"/>
          <w:szCs w:val="20"/>
          <w:highlight w:val="none"/>
          <w14:textFill>
            <w14:solidFill>
              <w14:schemeClr w14:val="tx1"/>
            </w14:solidFill>
          </w14:textFill>
        </w:rPr>
      </w:pPr>
      <w:r>
        <w:rPr>
          <w:rFonts w:hint="eastAsia" w:cs="Times New Roman"/>
          <w:b/>
          <w:color w:val="000000" w:themeColor="text1"/>
          <w:kern w:val="0"/>
          <w:szCs w:val="20"/>
          <w:highlight w:val="none"/>
          <w14:textFill>
            <w14:solidFill>
              <w14:schemeClr w14:val="tx1"/>
            </w14:solidFill>
          </w14:textFill>
        </w:rPr>
        <w:t>3、</w:t>
      </w:r>
      <w:r>
        <w:rPr>
          <w:rFonts w:cs="Times New Roman"/>
          <w:b/>
          <w:color w:val="000000" w:themeColor="text1"/>
          <w:kern w:val="0"/>
          <w:szCs w:val="20"/>
          <w:highlight w:val="none"/>
          <w14:textFill>
            <w14:solidFill>
              <w14:schemeClr w14:val="tx1"/>
            </w14:solidFill>
          </w14:textFill>
        </w:rPr>
        <w:t>恢复和补偿措施</w:t>
      </w:r>
    </w:p>
    <w:p>
      <w:pPr>
        <w:widowControl/>
        <w:ind w:firstLine="480"/>
        <w:jc w:val="left"/>
        <w:rPr>
          <w:rFonts w:cs="Times New Roman"/>
          <w:color w:val="000000" w:themeColor="text1"/>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陆生植物</w:t>
      </w:r>
      <w:r>
        <w:rPr>
          <w:rFonts w:hint="eastAsia" w:cs="Times New Roman"/>
          <w:color w:val="000000" w:themeColor="text1"/>
          <w:szCs w:val="24"/>
          <w:highlight w:val="none"/>
          <w:lang w:bidi="ar"/>
          <w14:textFill>
            <w14:solidFill>
              <w14:schemeClr w14:val="tx1"/>
            </w14:solidFill>
          </w14:textFill>
        </w:rPr>
        <w:t>恢复原则是</w:t>
      </w:r>
      <w:r>
        <w:rPr>
          <w:rFonts w:cs="Times New Roman"/>
          <w:color w:val="000000" w:themeColor="text1"/>
          <w:szCs w:val="24"/>
          <w:highlight w:val="none"/>
          <w:lang w:bidi="ar"/>
          <w14:textFill>
            <w14:solidFill>
              <w14:schemeClr w14:val="tx1"/>
            </w14:solidFill>
          </w14:textFill>
        </w:rPr>
        <w:t>优先使用原生表土和选用乡土物种，防止外来生物入侵，构建与周边生态环境相协调的植物群落，最终形成可自我维持的生态系统。生态修复的目标主要包括：恢复植被和土壤，保证一定的植被覆盖度和土壤肥力；维持物种种类和组成，保护生物多样性；实现生物群落的恢复，提高生态系统的生产力和自我维持力；维持生境的连通性等。</w:t>
      </w:r>
    </w:p>
    <w:p>
      <w:pPr>
        <w:ind w:firstLine="482"/>
        <w:rPr>
          <w:rFonts w:cs="Times New Roman"/>
          <w:b/>
          <w:bCs/>
          <w:color w:val="000000" w:themeColor="text1"/>
          <w:szCs w:val="24"/>
          <w:highlight w:val="none"/>
          <w14:textFill>
            <w14:solidFill>
              <w14:schemeClr w14:val="tx1"/>
            </w14:solidFill>
          </w14:textFill>
        </w:rPr>
      </w:pPr>
      <w:r>
        <w:rPr>
          <w:rFonts w:hint="eastAsia" w:cs="Times New Roman"/>
          <w:b/>
          <w:bCs/>
          <w:color w:val="000000" w:themeColor="text1"/>
          <w:szCs w:val="24"/>
          <w:highlight w:val="none"/>
          <w14:textFill>
            <w14:solidFill>
              <w14:schemeClr w14:val="tx1"/>
            </w14:solidFill>
          </w14:textFill>
        </w:rPr>
        <w:t>（1）</w:t>
      </w:r>
      <w:r>
        <w:rPr>
          <w:rFonts w:cs="Times New Roman"/>
          <w:b/>
          <w:bCs/>
          <w:color w:val="000000" w:themeColor="text1"/>
          <w:szCs w:val="24"/>
          <w:highlight w:val="none"/>
          <w14:textFill>
            <w14:solidFill>
              <w14:schemeClr w14:val="tx1"/>
            </w14:solidFill>
          </w14:textFill>
        </w:rPr>
        <w:t>表土剥离及堆存</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工程建设过程伴随着土石方开挖、回填活动，不可避免地对林地和草地造成破坏，毁坏地表植被、挖损和埋压土地、破坏地表土壤等，不仅降低了土壤抗蚀能力，加剧了评价区水土流失。根据区域环境的特点，需针对性地开展表土剥离和堆存，尽可能</w:t>
      </w:r>
      <w:r>
        <w:rPr>
          <w:rFonts w:hint="eastAsia" w:cs="Times New Roman"/>
          <w:color w:val="000000" w:themeColor="text1"/>
          <w:szCs w:val="24"/>
          <w:highlight w:val="none"/>
          <w14:textFill>
            <w14:solidFill>
              <w14:schemeClr w14:val="tx1"/>
            </w14:solidFill>
          </w14:textFill>
        </w:rPr>
        <w:t>地</w:t>
      </w:r>
      <w:r>
        <w:rPr>
          <w:rFonts w:cs="Times New Roman"/>
          <w:color w:val="000000" w:themeColor="text1"/>
          <w:szCs w:val="24"/>
          <w:highlight w:val="none"/>
          <w14:textFill>
            <w14:solidFill>
              <w14:schemeClr w14:val="tx1"/>
            </w14:solidFill>
          </w14:textFill>
        </w:rPr>
        <w:t>减少水土流失。</w:t>
      </w:r>
    </w:p>
    <w:p>
      <w:pPr>
        <w:ind w:firstLine="480"/>
        <w:rPr>
          <w:rFonts w:cs="Times New Roman"/>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①</w:t>
      </w:r>
      <w:r>
        <w:rPr>
          <w:rFonts w:cs="Times New Roman"/>
          <w:color w:val="000000" w:themeColor="text1"/>
          <w:szCs w:val="24"/>
          <w:highlight w:val="none"/>
          <w14:textFill>
            <w14:solidFill>
              <w14:schemeClr w14:val="tx1"/>
            </w14:solidFill>
          </w14:textFill>
        </w:rPr>
        <w:t>剥离区域</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施工结束后需要复绿的区域都应列为表土剥离区域，但在实际设计中应根据具体情况分析确定，如根据施工区域土层厚度、肥沃程度及后续植物措施搭配等确定。</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在</w:t>
      </w:r>
      <w:r>
        <w:rPr>
          <w:rFonts w:hint="eastAsia" w:cs="Times New Roman"/>
          <w:color w:val="000000" w:themeColor="text1"/>
          <w:szCs w:val="24"/>
          <w:highlight w:val="none"/>
          <w14:textFill>
            <w14:solidFill>
              <w14:schemeClr w14:val="tx1"/>
            </w14:solidFill>
          </w14:textFill>
        </w:rPr>
        <w:t>开工</w:t>
      </w:r>
      <w:r>
        <w:rPr>
          <w:rFonts w:cs="Times New Roman"/>
          <w:color w:val="000000" w:themeColor="text1"/>
          <w:szCs w:val="24"/>
          <w:highlight w:val="none"/>
          <w14:textFill>
            <w14:solidFill>
              <w14:schemeClr w14:val="tx1"/>
            </w14:solidFill>
          </w14:textFill>
        </w:rPr>
        <w:t>前，应首先剥离表层土，将其暂时堆放在表土堆存场，用塑料薄膜或草席覆盖，以防止雨水冲刷和风扬，作为</w:t>
      </w:r>
      <w:r>
        <w:rPr>
          <w:rFonts w:hint="eastAsia" w:cs="Times New Roman"/>
          <w:color w:val="000000" w:themeColor="text1"/>
          <w:szCs w:val="24"/>
          <w:highlight w:val="none"/>
          <w14:textFill>
            <w14:solidFill>
              <w14:schemeClr w14:val="tx1"/>
            </w14:solidFill>
          </w14:textFill>
        </w:rPr>
        <w:t>项目完工后</w:t>
      </w:r>
      <w:r>
        <w:rPr>
          <w:rFonts w:cs="Times New Roman"/>
          <w:color w:val="000000" w:themeColor="text1"/>
          <w:szCs w:val="24"/>
          <w:highlight w:val="none"/>
          <w14:textFill>
            <w14:solidFill>
              <w14:schemeClr w14:val="tx1"/>
            </w14:solidFill>
          </w14:textFill>
        </w:rPr>
        <w:t>覆土造地或绿化的回填表土之用。</w:t>
      </w:r>
    </w:p>
    <w:p>
      <w:pPr>
        <w:ind w:firstLine="480"/>
        <w:rPr>
          <w:rFonts w:cs="Times New Roman"/>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②</w:t>
      </w:r>
      <w:r>
        <w:rPr>
          <w:rFonts w:cs="Times New Roman"/>
          <w:color w:val="000000" w:themeColor="text1"/>
          <w:szCs w:val="24"/>
          <w:highlight w:val="none"/>
          <w14:textFill>
            <w14:solidFill>
              <w14:schemeClr w14:val="tx1"/>
            </w14:solidFill>
          </w14:textFill>
        </w:rPr>
        <w:t>剥离厚度</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表层土的厚度平均为20cm，厚的可达30cm，但在具体的设计中应根据剥离区域土壤耕植层厚度及后期复绿所需回填量来确定剥离厚度。由于区域内表土厚度存在差异，对土层深厚、肥沃的地方可适当深剥，对土层较薄、肥力不高的地方可适当浅剥，在总量控制</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用多少剥多少</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的前提下应尽量将剥离区域内最肥沃的部分土壤剥离出来。</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林地、草地表土差异较大，厚度一般在30cm以内，表土剥离中应控制剥离厚度，剥离厚度过大，否则给保存带来不便，下部生土如混进表土，致使土地生产力下降。</w:t>
      </w:r>
    </w:p>
    <w:p>
      <w:pPr>
        <w:ind w:firstLine="480"/>
        <w:rPr>
          <w:rFonts w:cs="Times New Roman"/>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③</w:t>
      </w:r>
      <w:r>
        <w:rPr>
          <w:rFonts w:cs="Times New Roman"/>
          <w:color w:val="000000" w:themeColor="text1"/>
          <w:szCs w:val="24"/>
          <w:highlight w:val="none"/>
          <w14:textFill>
            <w14:solidFill>
              <w14:schemeClr w14:val="tx1"/>
            </w14:solidFill>
          </w14:textFill>
        </w:rPr>
        <w:t>保存及保护</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a</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表土临时堆存应尽量占用场内空闲地</w:t>
      </w:r>
      <w:r>
        <w:rPr>
          <w:rFonts w:hint="eastAsia" w:cs="Times New Roman"/>
          <w:color w:val="000000" w:themeColor="text1"/>
          <w:szCs w:val="24"/>
          <w:highlight w:val="none"/>
          <w14:textFill>
            <w14:solidFill>
              <w14:schemeClr w14:val="tx1"/>
            </w14:solidFill>
          </w14:textFill>
        </w:rPr>
        <w:t>和管线两侧施工作业带内</w:t>
      </w:r>
      <w:r>
        <w:rPr>
          <w:rFonts w:cs="Times New Roman"/>
          <w:color w:val="000000" w:themeColor="text1"/>
          <w:szCs w:val="24"/>
          <w:highlight w:val="none"/>
          <w14:textFill>
            <w14:solidFill>
              <w14:schemeClr w14:val="tx1"/>
            </w14:solidFill>
          </w14:textFill>
        </w:rPr>
        <w:t>，如场内无适合堆处则应另行征地，表土保存过程中应设有临时防护措施。</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b</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根据剥离量和堆放条件，先用塑料彩条布或薄膜覆盖即可，四周用编</w:t>
      </w:r>
      <w:r>
        <w:rPr>
          <w:rFonts w:hint="eastAsia" w:cs="Times New Roman"/>
          <w:color w:val="000000" w:themeColor="text1"/>
          <w:szCs w:val="24"/>
          <w:highlight w:val="none"/>
          <w14:textFill>
            <w14:solidFill>
              <w14:schemeClr w14:val="tx1"/>
            </w14:solidFill>
          </w14:textFill>
        </w:rPr>
        <w:t>织</w:t>
      </w:r>
      <w:r>
        <w:rPr>
          <w:rFonts w:cs="Times New Roman"/>
          <w:color w:val="000000" w:themeColor="text1"/>
          <w:szCs w:val="24"/>
          <w:highlight w:val="none"/>
          <w14:textFill>
            <w14:solidFill>
              <w14:schemeClr w14:val="tx1"/>
            </w14:solidFill>
          </w14:textFill>
        </w:rPr>
        <w:t>土袋临时挡护，编织袋外0.5m</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1.0m处设临时排水沟，堆积形成后可利用铲车或推土机对顶部和边坡稍作压实，顶部应向外侧做成一定坡度，便于排水。</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c</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如保存期较长，超过1个生长季，可撒播草籽临时绿化，草种应该选择有培肥地力的</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豆科</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牧草。如堆放在渣场，一般应集中堆放在渣场下游或者两侧地势平缓处，避开低洼及水流汇集处。</w:t>
      </w:r>
    </w:p>
    <w:p>
      <w:pPr>
        <w:ind w:firstLine="480"/>
        <w:rPr>
          <w:rFonts w:cs="Times New Roman"/>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④</w:t>
      </w:r>
      <w:r>
        <w:rPr>
          <w:rFonts w:cs="Times New Roman"/>
          <w:color w:val="000000" w:themeColor="text1"/>
          <w:szCs w:val="24"/>
          <w:highlight w:val="none"/>
          <w14:textFill>
            <w14:solidFill>
              <w14:schemeClr w14:val="tx1"/>
            </w14:solidFill>
          </w14:textFill>
        </w:rPr>
        <w:t>回填利用</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a</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为提高草皮成活率，植草皮前应先覆土，覆土应控制厚度，一般为3cm</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5cm，覆土时应适当压实，增加与边坡粘合力，避免剥落或因含水量增加与草皮一起顺坡向下滑移，如采用框格植草护坡，也应在框格内覆土。</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b</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表土回填及整地过程中应地面与周边地形相协调，应避免出现中间低四周高，以避免雨天造成洼地积水。</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c</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临时占地利用完毕后应先铲除地表泥结石层，然后回填表土进行全面整地，全面整地后地面高度应与周边相一致，以利于复绿。</w:t>
      </w:r>
    </w:p>
    <w:p>
      <w:pPr>
        <w:ind w:firstLine="482"/>
        <w:rPr>
          <w:rFonts w:cs="Times New Roman"/>
          <w:b/>
          <w:bCs/>
          <w:color w:val="000000" w:themeColor="text1"/>
          <w:szCs w:val="24"/>
          <w:highlight w:val="none"/>
          <w14:textFill>
            <w14:solidFill>
              <w14:schemeClr w14:val="tx1"/>
            </w14:solidFill>
          </w14:textFill>
        </w:rPr>
      </w:pPr>
      <w:r>
        <w:rPr>
          <w:rFonts w:hint="eastAsia" w:cs="Times New Roman"/>
          <w:b/>
          <w:bCs/>
          <w:color w:val="000000" w:themeColor="text1"/>
          <w:szCs w:val="24"/>
          <w:highlight w:val="none"/>
          <w14:textFill>
            <w14:solidFill>
              <w14:schemeClr w14:val="tx1"/>
            </w14:solidFill>
          </w14:textFill>
        </w:rPr>
        <w:t>（2）</w:t>
      </w:r>
      <w:r>
        <w:rPr>
          <w:rFonts w:cs="Times New Roman"/>
          <w:b/>
          <w:bCs/>
          <w:color w:val="000000" w:themeColor="text1"/>
          <w:szCs w:val="24"/>
          <w:highlight w:val="none"/>
          <w14:textFill>
            <w14:solidFill>
              <w14:schemeClr w14:val="tx1"/>
            </w14:solidFill>
          </w14:textFill>
        </w:rPr>
        <w:t>恢复措施与技术</w:t>
      </w:r>
    </w:p>
    <w:p>
      <w:pPr>
        <w:ind w:firstLine="480"/>
        <w:rPr>
          <w:rFonts w:cs="Times New Roman"/>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①</w:t>
      </w:r>
      <w:r>
        <w:rPr>
          <w:rFonts w:cs="Times New Roman"/>
          <w:color w:val="000000" w:themeColor="text1"/>
          <w:szCs w:val="24"/>
          <w:highlight w:val="none"/>
          <w14:textFill>
            <w14:solidFill>
              <w14:schemeClr w14:val="tx1"/>
            </w14:solidFill>
          </w14:textFill>
        </w:rPr>
        <w:t>植被恢复措施与技术</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a</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对因施工期间破坏的各种植被和生境、临时占用的植被及各种施工迹地，工程结束后应该尽量通过实施生态恢复措施使其逐步得到恢复。</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b</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在植被恢复或其他生态恢复活动中，应该依照适地适树、原生性、特有性、实用性的基本科学原则，种植当地生态系统中原有的重要的各种植物种类，乔、灌、草植物有机搭配。</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c</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在采集种子或繁殖体时，要根据不同树种和植物，注意选择具有生长正常、健壮、结实率高等优良性状的种源。</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d</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不能营造单一树种的单优群落，要营造为混交林，以最大限度保证群落丰富及生物多样性。</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e</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尽量利用自然更新的方式恢复植被，并且注意恢复过程中的环境保护，同时加强管护，要通过围栏等措施防止人、畜破坏。</w:t>
      </w:r>
    </w:p>
    <w:p>
      <w:pPr>
        <w:ind w:firstLine="480"/>
        <w:rPr>
          <w:rFonts w:cs="Times New Roman"/>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②</w:t>
      </w:r>
      <w:r>
        <w:rPr>
          <w:rFonts w:cs="Times New Roman"/>
          <w:color w:val="000000" w:themeColor="text1"/>
          <w:szCs w:val="24"/>
          <w:highlight w:val="none"/>
          <w14:textFill>
            <w14:solidFill>
              <w14:schemeClr w14:val="tx1"/>
            </w14:solidFill>
          </w14:textFill>
        </w:rPr>
        <w:t>植物资源恢复措施及技术</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a</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对各施工区</w:t>
      </w:r>
      <w:r>
        <w:rPr>
          <w:rFonts w:hint="eastAsia" w:cs="Times New Roman"/>
          <w:color w:val="000000" w:themeColor="text1"/>
          <w:szCs w:val="24"/>
          <w:highlight w:val="none"/>
          <w14:textFill>
            <w14:solidFill>
              <w14:schemeClr w14:val="tx1"/>
            </w14:solidFill>
          </w14:textFill>
        </w:rPr>
        <w:t>发现的</w:t>
      </w:r>
      <w:r>
        <w:rPr>
          <w:rFonts w:cs="Times New Roman"/>
          <w:color w:val="000000" w:themeColor="text1"/>
          <w:szCs w:val="24"/>
          <w:highlight w:val="none"/>
          <w14:textFill>
            <w14:solidFill>
              <w14:schemeClr w14:val="tx1"/>
            </w14:solidFill>
          </w14:textFill>
        </w:rPr>
        <w:t>重要植物要认真清查登记、备案。以便在今后植物资源的恢复中作为选择植物种类的依据。</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b</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种植原生种，杜绝外来种。在植被恢复或其他生态恢复活动中，避免外来种可能对当地的生态系统造成无可挽回的破坏。</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c</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多种植当地的特有植物。</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d</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注意采种时间、种源选择，以及造林时间。造林时，严格执行苗木检验，做好苗木保护，提高造林质量，保证成活率。加强抚育管理和管护，使植被尽快恢复。</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e</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植物种类选择</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在进行植被恢复时，根据适地适树、原生性、特有性、观赏性等原则，应该采用有</w:t>
      </w:r>
      <w:r>
        <w:rPr>
          <w:rFonts w:hint="eastAsia" w:cs="Times New Roman"/>
          <w:color w:val="000000" w:themeColor="text1"/>
          <w:szCs w:val="24"/>
          <w:highlight w:val="none"/>
          <w14:textFill>
            <w14:solidFill>
              <w14:schemeClr w14:val="tx1"/>
            </w14:solidFill>
          </w14:textFill>
        </w:rPr>
        <w:t>生态</w:t>
      </w:r>
      <w:r>
        <w:rPr>
          <w:rFonts w:cs="Times New Roman"/>
          <w:color w:val="000000" w:themeColor="text1"/>
          <w:szCs w:val="24"/>
          <w:highlight w:val="none"/>
          <w14:textFill>
            <w14:solidFill>
              <w14:schemeClr w14:val="tx1"/>
            </w14:solidFill>
          </w14:textFill>
        </w:rPr>
        <w:t>价值</w:t>
      </w:r>
      <w:r>
        <w:rPr>
          <w:rFonts w:hint="eastAsia" w:cs="Times New Roman"/>
          <w:color w:val="000000" w:themeColor="text1"/>
          <w:szCs w:val="24"/>
          <w:highlight w:val="none"/>
          <w14:textFill>
            <w14:solidFill>
              <w14:schemeClr w14:val="tx1"/>
            </w14:solidFill>
          </w14:textFill>
        </w:rPr>
        <w:t>或</w:t>
      </w:r>
      <w:r>
        <w:rPr>
          <w:rFonts w:cs="Times New Roman"/>
          <w:color w:val="000000" w:themeColor="text1"/>
          <w:szCs w:val="24"/>
          <w:highlight w:val="none"/>
          <w14:textFill>
            <w14:solidFill>
              <w14:schemeClr w14:val="tx1"/>
            </w14:solidFill>
          </w14:textFill>
        </w:rPr>
        <w:t>经济价值的当地特有的原生植物，尤其是那些被项目建设破坏的重要物种。第一，可以恢复和增加当地植物多样性；第二，可以使植被恢复和绿化具有地方特色；第三，就地取材，可以降低绿化成本；第四，选择有一定经济价值的原生种类，可以增加一定的经济收入。</w:t>
      </w:r>
    </w:p>
    <w:p>
      <w:pPr>
        <w:widowControl/>
        <w:ind w:firstLine="482"/>
        <w:jc w:val="left"/>
        <w:rPr>
          <w:rFonts w:cs="Times New Roman"/>
          <w:b/>
          <w:bCs/>
          <w:color w:val="000000" w:themeColor="text1"/>
          <w:kern w:val="0"/>
          <w:szCs w:val="24"/>
          <w:highlight w:val="none"/>
          <w14:textFill>
            <w14:solidFill>
              <w14:schemeClr w14:val="tx1"/>
            </w14:solidFill>
          </w14:textFill>
        </w:rPr>
      </w:pPr>
      <w:r>
        <w:rPr>
          <w:rFonts w:hint="eastAsia" w:cs="Times New Roman"/>
          <w:b/>
          <w:bCs/>
          <w:color w:val="000000" w:themeColor="text1"/>
          <w:kern w:val="0"/>
          <w:szCs w:val="24"/>
          <w:highlight w:val="none"/>
          <w14:textFill>
            <w14:solidFill>
              <w14:schemeClr w14:val="tx1"/>
            </w14:solidFill>
          </w14:textFill>
        </w:rPr>
        <w:t>（3）资金</w:t>
      </w:r>
      <w:r>
        <w:rPr>
          <w:rFonts w:cs="Times New Roman"/>
          <w:b/>
          <w:bCs/>
          <w:color w:val="000000" w:themeColor="text1"/>
          <w:kern w:val="0"/>
          <w:szCs w:val="24"/>
          <w:highlight w:val="none"/>
          <w14:textFill>
            <w14:solidFill>
              <w14:schemeClr w14:val="tx1"/>
            </w14:solidFill>
          </w14:textFill>
        </w:rPr>
        <w:t>保障</w:t>
      </w:r>
    </w:p>
    <w:p>
      <w:pPr>
        <w:widowControl/>
        <w:ind w:firstLine="480"/>
        <w:jc w:val="left"/>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设立生态补偿专项经费，将野生动植物的保护和监测费用、工程地形地貌恢复费用纳入生态补偿费，确保生态恢复资金足额到位。</w:t>
      </w:r>
    </w:p>
    <w:p>
      <w:pPr>
        <w:pStyle w:val="4"/>
        <w:spacing w:before="120"/>
        <w:rPr>
          <w:color w:val="000000" w:themeColor="text1"/>
          <w:highlight w:val="none"/>
          <w:lang w:eastAsia="zh-CN"/>
          <w14:textFill>
            <w14:solidFill>
              <w14:schemeClr w14:val="tx1"/>
            </w14:solidFill>
          </w14:textFill>
        </w:rPr>
      </w:pPr>
      <w:bookmarkStart w:id="392" w:name="_bookmark33"/>
      <w:bookmarkEnd w:id="392"/>
      <w:bookmarkStart w:id="393" w:name="6.1.5生态环境保护措施"/>
      <w:bookmarkEnd w:id="393"/>
      <w:bookmarkStart w:id="394" w:name="6.2运营期环境保护措施及可行性分析"/>
      <w:bookmarkEnd w:id="394"/>
      <w:bookmarkStart w:id="395" w:name="_Toc14057"/>
      <w:r>
        <w:rPr>
          <w:color w:val="000000" w:themeColor="text1"/>
          <w:highlight w:val="none"/>
          <w:lang w:eastAsia="zh-CN"/>
          <w14:textFill>
            <w14:solidFill>
              <w14:schemeClr w14:val="tx1"/>
            </w14:solidFill>
          </w14:textFill>
        </w:rPr>
        <w:t>试采期环境保护措施及可行性分析</w:t>
      </w:r>
      <w:bookmarkEnd w:id="395"/>
      <w:bookmarkStart w:id="396" w:name="6.2.1废水污染物防治措施"/>
      <w:bookmarkEnd w:id="396"/>
    </w:p>
    <w:p>
      <w:pPr>
        <w:pStyle w:val="5"/>
        <w:spacing w:before="120"/>
        <w:ind w:firstLine="480"/>
        <w:rPr>
          <w:b/>
          <w:color w:val="000000" w:themeColor="text1"/>
          <w:highlight w:val="none"/>
          <w:lang w:eastAsia="zh-CN"/>
          <w14:textFill>
            <w14:solidFill>
              <w14:schemeClr w14:val="tx1"/>
            </w14:solidFill>
          </w14:textFill>
        </w:rPr>
      </w:pPr>
      <w:bookmarkStart w:id="397" w:name="_Toc120173219"/>
      <w:r>
        <w:rPr>
          <w:color w:val="000000" w:themeColor="text1"/>
          <w:highlight w:val="none"/>
          <w:lang w:eastAsia="zh-CN"/>
          <w14:textFill>
            <w14:solidFill>
              <w14:schemeClr w14:val="tx1"/>
            </w14:solidFill>
          </w14:textFill>
        </w:rPr>
        <w:t>试采期大气环境污染防治措施可行性分析</w:t>
      </w:r>
      <w:bookmarkEnd w:id="397"/>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1、水套</w:t>
      </w:r>
      <w:r>
        <w:rPr>
          <w:rFonts w:hint="eastAsia" w:cs="Times New Roman"/>
          <w:color w:val="000000" w:themeColor="text1"/>
          <w:highlight w:val="none"/>
          <w14:textFill>
            <w14:solidFill>
              <w14:schemeClr w14:val="tx1"/>
            </w14:solidFill>
          </w14:textFill>
        </w:rPr>
        <w:t>加热炉燃烧废气</w:t>
      </w:r>
      <w:r>
        <w:rPr>
          <w:rFonts w:cs="Times New Roman"/>
          <w:color w:val="000000" w:themeColor="text1"/>
          <w:highlight w:val="none"/>
          <w14:textFill>
            <w14:solidFill>
              <w14:schemeClr w14:val="tx1"/>
            </w14:solidFill>
          </w14:textFill>
        </w:rPr>
        <w:t>治理措施</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本项目水套加热炉所用的燃料气为</w:t>
      </w:r>
      <w:r>
        <w:rPr>
          <w:rFonts w:hint="eastAsia" w:cs="Times New Roman"/>
          <w:bCs/>
          <w:color w:val="000000" w:themeColor="text1"/>
          <w:highlight w:val="none"/>
          <w14:textFill>
            <w14:solidFill>
              <w14:schemeClr w14:val="tx1"/>
            </w14:solidFill>
          </w14:textFill>
        </w:rPr>
        <w:t>不含硫</w:t>
      </w:r>
      <w:r>
        <w:rPr>
          <w:rFonts w:cs="Times New Roman"/>
          <w:bCs/>
          <w:color w:val="000000" w:themeColor="text1"/>
          <w:highlight w:val="none"/>
          <w14:textFill>
            <w14:solidFill>
              <w14:schemeClr w14:val="tx1"/>
            </w14:solidFill>
          </w14:textFill>
        </w:rPr>
        <w:t>天然气，废气产生量较小，且通过自带的8m高排气筒排放，同时加强水套加热炉的保养维护，在采取上述措施后水套</w:t>
      </w:r>
      <w:r>
        <w:rPr>
          <w:rFonts w:hint="eastAsia" w:cs="Times New Roman"/>
          <w:bCs/>
          <w:color w:val="000000" w:themeColor="text1"/>
          <w:highlight w:val="none"/>
          <w14:textFill>
            <w14:solidFill>
              <w14:schemeClr w14:val="tx1"/>
            </w14:solidFill>
          </w14:textFill>
        </w:rPr>
        <w:t>加热炉燃烧废气</w:t>
      </w:r>
      <w:r>
        <w:rPr>
          <w:rFonts w:cs="Times New Roman"/>
          <w:bCs/>
          <w:color w:val="000000" w:themeColor="text1"/>
          <w:highlight w:val="none"/>
          <w14:textFill>
            <w14:solidFill>
              <w14:schemeClr w14:val="tx1"/>
            </w14:solidFill>
          </w14:textFill>
        </w:rPr>
        <w:t>治理措施有效可行。</w:t>
      </w:r>
    </w:p>
    <w:p>
      <w:pPr>
        <w:ind w:firstLine="480"/>
        <w:rPr>
          <w:rFonts w:eastAsia="黑体" w:cs="Times New Roman"/>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2、设备检修或系统超压时排放少量</w:t>
      </w:r>
      <w:r>
        <w:rPr>
          <w:rFonts w:hint="eastAsia" w:cs="Times New Roman"/>
          <w:bCs/>
          <w:color w:val="000000" w:themeColor="text1"/>
          <w:highlight w:val="none"/>
          <w14:textFill>
            <w14:solidFill>
              <w14:schemeClr w14:val="tx1"/>
            </w14:solidFill>
          </w14:textFill>
        </w:rPr>
        <w:t>燃烧废</w:t>
      </w:r>
      <w:r>
        <w:rPr>
          <w:rFonts w:cs="Times New Roman"/>
          <w:bCs/>
          <w:color w:val="000000" w:themeColor="text1"/>
          <w:highlight w:val="none"/>
          <w14:textFill>
            <w14:solidFill>
              <w14:schemeClr w14:val="tx1"/>
            </w14:solidFill>
          </w14:textFill>
        </w:rPr>
        <w:t>气</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项目设备检修排放的</w:t>
      </w:r>
      <w:r>
        <w:rPr>
          <w:rFonts w:hint="eastAsia" w:cs="Times New Roman"/>
          <w:bCs/>
          <w:color w:val="000000" w:themeColor="text1"/>
          <w:highlight w:val="none"/>
          <w14:textFill>
            <w14:solidFill>
              <w14:schemeClr w14:val="tx1"/>
            </w14:solidFill>
          </w14:textFill>
        </w:rPr>
        <w:t>燃烧废</w:t>
      </w:r>
      <w:r>
        <w:rPr>
          <w:rFonts w:cs="Times New Roman"/>
          <w:bCs/>
          <w:color w:val="000000" w:themeColor="text1"/>
          <w:highlight w:val="none"/>
          <w14:textFill>
            <w14:solidFill>
              <w14:schemeClr w14:val="tx1"/>
            </w14:solidFill>
          </w14:textFill>
        </w:rPr>
        <w:t>气，属间歇排放，通过放空</w:t>
      </w:r>
      <w:r>
        <w:rPr>
          <w:rFonts w:hint="eastAsia" w:cs="Times New Roman"/>
          <w:bCs/>
          <w:color w:val="000000" w:themeColor="text1"/>
          <w:highlight w:val="none"/>
          <w14:textFill>
            <w14:solidFill>
              <w14:schemeClr w14:val="tx1"/>
            </w14:solidFill>
          </w14:textFill>
        </w:rPr>
        <w:t>管</w:t>
      </w:r>
      <w:r>
        <w:rPr>
          <w:rFonts w:cs="Times New Roman"/>
          <w:bCs/>
          <w:color w:val="000000" w:themeColor="text1"/>
          <w:highlight w:val="none"/>
          <w14:textFill>
            <w14:solidFill>
              <w14:schemeClr w14:val="tx1"/>
            </w14:solidFill>
          </w14:textFill>
        </w:rPr>
        <w:t>点火燃烧</w:t>
      </w:r>
      <w:r>
        <w:rPr>
          <w:rFonts w:cs="Times New Roman"/>
          <w:color w:val="000000" w:themeColor="text1"/>
          <w:highlight w:val="none"/>
          <w14:textFill>
            <w14:solidFill>
              <w14:schemeClr w14:val="tx1"/>
            </w14:solidFill>
          </w14:textFill>
        </w:rPr>
        <w:t>，根据同行业经验和《石油天然气开采业污染防治技术政策》要求，本项目检测期间排放的天然气量远远低于油气集输损耗率0.5%。根据《陆上石油天然气开采工业大气污染物排放标准》（GB39728-2020）相关要求，</w:t>
      </w:r>
      <w:r>
        <w:rPr>
          <w:rFonts w:ascii="宋体" w:hAnsi="宋体" w:cs="Times New Roman"/>
          <w:color w:val="000000" w:themeColor="text1"/>
          <w:highlight w:val="none"/>
          <w14:textFill>
            <w14:solidFill>
              <w14:schemeClr w14:val="tx1"/>
            </w14:solidFill>
          </w14:textFill>
        </w:rPr>
        <w:t>“</w:t>
      </w:r>
      <w:r>
        <w:rPr>
          <w:rFonts w:cs="Times New Roman"/>
          <w:color w:val="000000" w:themeColor="text1"/>
          <w:highlight w:val="none"/>
          <w14:textFill>
            <w14:solidFill>
              <w14:schemeClr w14:val="tx1"/>
            </w14:solidFill>
          </w14:textFill>
        </w:rPr>
        <w:t>对油气田放空天然气应予以回收，不能回收或难以回收的，应经燃烧后放空；不能燃烧直接放空的，应报生态环境主管部门备案</w:t>
      </w:r>
      <w:r>
        <w:rPr>
          <w:rFonts w:ascii="宋体" w:hAnsi="宋体" w:cs="Times New Roman"/>
          <w:color w:val="000000" w:themeColor="text1"/>
          <w:highlight w:val="none"/>
          <w14:textFill>
            <w14:solidFill>
              <w14:schemeClr w14:val="tx1"/>
            </w14:solidFill>
          </w14:textFill>
        </w:rPr>
        <w:t>”</w:t>
      </w:r>
      <w:r>
        <w:rPr>
          <w:rFonts w:cs="Times New Roman"/>
          <w:color w:val="000000" w:themeColor="text1"/>
          <w:highlight w:val="none"/>
          <w14:textFill>
            <w14:solidFill>
              <w14:schemeClr w14:val="tx1"/>
            </w14:solidFill>
          </w14:textFill>
        </w:rPr>
        <w:t>，本项目放空天然气通过放空</w:t>
      </w:r>
      <w:r>
        <w:rPr>
          <w:rFonts w:hint="eastAsia" w:cs="Times New Roman"/>
          <w:color w:val="000000" w:themeColor="text1"/>
          <w:highlight w:val="none"/>
          <w14:textFill>
            <w14:solidFill>
              <w14:schemeClr w14:val="tx1"/>
            </w14:solidFill>
          </w14:textFill>
        </w:rPr>
        <w:t>管</w:t>
      </w:r>
      <w:r>
        <w:rPr>
          <w:rFonts w:cs="Times New Roman"/>
          <w:color w:val="000000" w:themeColor="text1"/>
          <w:highlight w:val="none"/>
          <w14:textFill>
            <w14:solidFill>
              <w14:schemeClr w14:val="tx1"/>
            </w14:solidFill>
          </w14:textFill>
        </w:rPr>
        <w:t>点火燃烧，满足要求</w:t>
      </w:r>
      <w:r>
        <w:rPr>
          <w:rFonts w:cs="Times New Roman"/>
          <w:bCs/>
          <w:color w:val="000000" w:themeColor="text1"/>
          <w:highlight w:val="none"/>
          <w14:textFill>
            <w14:solidFill>
              <w14:schemeClr w14:val="tx1"/>
            </w14:solidFill>
          </w14:textFill>
        </w:rPr>
        <w:t>，</w:t>
      </w:r>
      <w:r>
        <w:rPr>
          <w:rFonts w:cs="Times New Roman"/>
          <w:color w:val="000000" w:themeColor="text1"/>
          <w:highlight w:val="none"/>
          <w14:textFill>
            <w14:solidFill>
              <w14:schemeClr w14:val="tx1"/>
            </w14:solidFill>
          </w14:textFill>
        </w:rPr>
        <w:t>因此本项目对检修期间天然气采取放空</w:t>
      </w:r>
      <w:r>
        <w:rPr>
          <w:rFonts w:hint="eastAsia" w:cs="Times New Roman"/>
          <w:color w:val="000000" w:themeColor="text1"/>
          <w:highlight w:val="none"/>
          <w14:textFill>
            <w14:solidFill>
              <w14:schemeClr w14:val="tx1"/>
            </w14:solidFill>
          </w14:textFill>
        </w:rPr>
        <w:t>管</w:t>
      </w:r>
      <w:r>
        <w:rPr>
          <w:rFonts w:cs="Times New Roman"/>
          <w:color w:val="000000" w:themeColor="text1"/>
          <w:highlight w:val="none"/>
          <w14:textFill>
            <w14:solidFill>
              <w14:schemeClr w14:val="tx1"/>
            </w14:solidFill>
          </w14:textFill>
        </w:rPr>
        <w:t>点火燃烧是可行的。</w:t>
      </w:r>
    </w:p>
    <w:p>
      <w:pPr>
        <w:ind w:firstLine="480"/>
        <w:rPr>
          <w:bCs/>
          <w:color w:val="000000" w:themeColor="text1"/>
          <w:highlight w:val="none"/>
          <w14:textFill>
            <w14:solidFill>
              <w14:schemeClr w14:val="tx1"/>
            </w14:solidFill>
          </w14:textFill>
        </w:rPr>
      </w:pPr>
      <w:bookmarkStart w:id="398" w:name="_Hlk88248100"/>
      <w:r>
        <w:rPr>
          <w:bCs/>
          <w:color w:val="000000" w:themeColor="text1"/>
          <w:highlight w:val="none"/>
          <w14:textFill>
            <w14:solidFill>
              <w14:schemeClr w14:val="tx1"/>
            </w14:solidFill>
          </w14:textFill>
        </w:rPr>
        <w:t>本项目试采</w:t>
      </w:r>
      <w:r>
        <w:rPr>
          <w:rFonts w:hint="eastAsia"/>
          <w:bCs/>
          <w:color w:val="000000" w:themeColor="text1"/>
          <w:highlight w:val="none"/>
          <w14:textFill>
            <w14:solidFill>
              <w14:schemeClr w14:val="tx1"/>
            </w14:solidFill>
          </w14:textFill>
        </w:rPr>
        <w:t>站场</w:t>
      </w:r>
      <w:r>
        <w:rPr>
          <w:bCs/>
          <w:color w:val="000000" w:themeColor="text1"/>
          <w:highlight w:val="none"/>
          <w14:textFill>
            <w14:solidFill>
              <w14:schemeClr w14:val="tx1"/>
            </w14:solidFill>
          </w14:textFill>
        </w:rPr>
        <w:t>废气采用的处理措施均为天然气开发项目处理过程中常用的处置措施，已在建设单位同类型天然气试采</w:t>
      </w:r>
      <w:r>
        <w:rPr>
          <w:rFonts w:hint="eastAsia"/>
          <w:bCs/>
          <w:color w:val="000000" w:themeColor="text1"/>
          <w:highlight w:val="none"/>
          <w14:textFill>
            <w14:solidFill>
              <w14:schemeClr w14:val="tx1"/>
            </w14:solidFill>
          </w14:textFill>
        </w:rPr>
        <w:t>站场</w:t>
      </w:r>
      <w:r>
        <w:rPr>
          <w:bCs/>
          <w:color w:val="000000" w:themeColor="text1"/>
          <w:highlight w:val="none"/>
          <w14:textFill>
            <w14:solidFill>
              <w14:schemeClr w14:val="tx1"/>
            </w14:solidFill>
          </w14:textFill>
        </w:rPr>
        <w:t>工程项目中广泛应用，各节点废气均能做到达标排放，不会改变区域环境功能，废气处理措施合理、可行。</w:t>
      </w:r>
      <w:bookmarkEnd w:id="398"/>
    </w:p>
    <w:p>
      <w:pPr>
        <w:pStyle w:val="5"/>
        <w:spacing w:before="120"/>
        <w:ind w:firstLine="480"/>
        <w:rPr>
          <w:b/>
          <w:color w:val="000000" w:themeColor="text1"/>
          <w:highlight w:val="none"/>
          <w:lang w:eastAsia="zh-CN"/>
          <w14:textFill>
            <w14:solidFill>
              <w14:schemeClr w14:val="tx1"/>
            </w14:solidFill>
          </w14:textFill>
        </w:rPr>
      </w:pPr>
      <w:bookmarkStart w:id="399" w:name="_Toc120173220"/>
      <w:r>
        <w:rPr>
          <w:color w:val="000000" w:themeColor="text1"/>
          <w:highlight w:val="none"/>
          <w:lang w:eastAsia="zh-CN"/>
          <w14:textFill>
            <w14:solidFill>
              <w14:schemeClr w14:val="tx1"/>
            </w14:solidFill>
          </w14:textFill>
        </w:rPr>
        <w:t>废水污染物防治措施</w:t>
      </w:r>
      <w:bookmarkEnd w:id="399"/>
    </w:p>
    <w:p>
      <w:pPr>
        <w:ind w:firstLine="480"/>
        <w:rPr>
          <w:rFonts w:eastAsia="黑体" w:cs="Times New Roman"/>
          <w:color w:val="000000" w:themeColor="text1"/>
          <w:highlight w:val="none"/>
          <w14:textFill>
            <w14:solidFill>
              <w14:schemeClr w14:val="tx1"/>
            </w14:solidFill>
          </w14:textFill>
        </w:rPr>
      </w:pPr>
      <w:r>
        <w:rPr>
          <w:rFonts w:eastAsia="黑体" w:cs="Times New Roman"/>
          <w:color w:val="000000" w:themeColor="text1"/>
          <w:highlight w:val="none"/>
          <w14:textFill>
            <w14:solidFill>
              <w14:schemeClr w14:val="tx1"/>
            </w14:solidFill>
          </w14:textFill>
        </w:rPr>
        <w:t>1、治理措施</w:t>
      </w:r>
    </w:p>
    <w:p>
      <w:pPr>
        <w:ind w:firstLine="482"/>
        <w:rPr>
          <w:rFonts w:cs="Times New Roman"/>
          <w:b/>
          <w:color w:val="000000" w:themeColor="text1"/>
          <w:highlight w:val="none"/>
          <w14:textFill>
            <w14:solidFill>
              <w14:schemeClr w14:val="tx1"/>
            </w14:solidFill>
          </w14:textFill>
        </w:rPr>
      </w:pPr>
      <w:r>
        <w:rPr>
          <w:rFonts w:cs="Times New Roman"/>
          <w:b/>
          <w:color w:val="000000" w:themeColor="text1"/>
          <w:highlight w:val="none"/>
          <w14:textFill>
            <w14:solidFill>
              <w14:schemeClr w14:val="tx1"/>
            </w14:solidFill>
          </w14:textFill>
        </w:rPr>
        <w:t>（1）生活污水</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本项目</w:t>
      </w:r>
      <w:r>
        <w:rPr>
          <w:rFonts w:cs="Times New Roman"/>
          <w:color w:val="000000" w:themeColor="text1"/>
          <w:szCs w:val="24"/>
          <w:highlight w:val="none"/>
          <w14:textFill>
            <w14:solidFill>
              <w14:schemeClr w14:val="tx1"/>
            </w14:solidFill>
          </w14:textFill>
        </w:rPr>
        <w:t>试采期</w:t>
      </w:r>
      <w:r>
        <w:rPr>
          <w:rFonts w:hint="eastAsia" w:cs="Times New Roman"/>
          <w:color w:val="000000" w:themeColor="text1"/>
          <w:szCs w:val="24"/>
          <w:highlight w:val="none"/>
          <w14:textFill>
            <w14:solidFill>
              <w14:schemeClr w14:val="tx1"/>
            </w14:solidFill>
          </w14:textFill>
        </w:rPr>
        <w:t>本项目运营期有人值守，劳动定员10人，值守人员生活污水经生态厕所收集后定期由密闭罐车拉运至周边生活污水处理厂处理，本项目所在地周边有较多的生活污水处理厂，本项目生活污水产生量较小，所产生的少量生活污水用密闭罐车拉运至周边有富余处理能力的生活污水处理厂处理有效可行</w:t>
      </w:r>
      <w:r>
        <w:rPr>
          <w:rFonts w:cs="Times New Roman"/>
          <w:bCs/>
          <w:color w:val="000000" w:themeColor="text1"/>
          <w:highlight w:val="none"/>
          <w14:textFill>
            <w14:solidFill>
              <w14:schemeClr w14:val="tx1"/>
            </w14:solidFill>
          </w14:textFill>
        </w:rPr>
        <w:t>。</w:t>
      </w:r>
    </w:p>
    <w:p>
      <w:pPr>
        <w:ind w:firstLine="482"/>
        <w:rPr>
          <w:rFonts w:cs="Times New Roman"/>
          <w:b/>
          <w:color w:val="000000" w:themeColor="text1"/>
          <w:highlight w:val="none"/>
          <w14:textFill>
            <w14:solidFill>
              <w14:schemeClr w14:val="tx1"/>
            </w14:solidFill>
          </w14:textFill>
        </w:rPr>
      </w:pPr>
      <w:r>
        <w:rPr>
          <w:rFonts w:cs="Times New Roman"/>
          <w:b/>
          <w:color w:val="000000" w:themeColor="text1"/>
          <w:highlight w:val="none"/>
          <w14:textFill>
            <w14:solidFill>
              <w14:schemeClr w14:val="tx1"/>
            </w14:solidFill>
          </w14:textFill>
        </w:rPr>
        <w:t>（2）采气废水</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本项目试采期地层水产生量预计最大为20m</w:t>
      </w:r>
      <w:r>
        <w:rPr>
          <w:rFonts w:cs="Times New Roman"/>
          <w:bCs/>
          <w:color w:val="000000" w:themeColor="text1"/>
          <w:highlight w:val="none"/>
          <w:vertAlign w:val="superscript"/>
          <w14:textFill>
            <w14:solidFill>
              <w14:schemeClr w14:val="tx1"/>
            </w14:solidFill>
          </w14:textFill>
        </w:rPr>
        <w:t>3</w:t>
      </w:r>
      <w:r>
        <w:rPr>
          <w:rFonts w:cs="Times New Roman"/>
          <w:bCs/>
          <w:color w:val="000000" w:themeColor="text1"/>
          <w:highlight w:val="none"/>
          <w14:textFill>
            <w14:solidFill>
              <w14:schemeClr w14:val="tx1"/>
            </w14:solidFill>
          </w14:textFill>
        </w:rPr>
        <w:t>/d，</w:t>
      </w:r>
      <w:r>
        <w:rPr>
          <w:rFonts w:hint="eastAsia" w:cs="Times New Roman"/>
          <w:bCs/>
          <w:color w:val="000000" w:themeColor="text1"/>
          <w:highlight w:val="none"/>
          <w14:textFill>
            <w14:solidFill>
              <w14:schemeClr w14:val="tx1"/>
            </w14:solidFill>
          </w14:textFill>
        </w:rPr>
        <w:t>站内新建</w:t>
      </w:r>
      <w:r>
        <w:rPr>
          <w:rFonts w:cs="Times New Roman"/>
          <w:bCs/>
          <w:color w:val="000000" w:themeColor="text1"/>
          <w:highlight w:val="none"/>
          <w14:textFill>
            <w14:solidFill>
              <w14:schemeClr w14:val="tx1"/>
            </w14:solidFill>
          </w14:textFill>
        </w:rPr>
        <w:t>1个50m</w:t>
      </w:r>
      <w:r>
        <w:rPr>
          <w:rFonts w:cs="Times New Roman"/>
          <w:bCs/>
          <w:color w:val="000000" w:themeColor="text1"/>
          <w:highlight w:val="none"/>
          <w:vertAlign w:val="superscript"/>
          <w14:textFill>
            <w14:solidFill>
              <w14:schemeClr w14:val="tx1"/>
            </w14:solidFill>
          </w14:textFill>
        </w:rPr>
        <w:t>3</w:t>
      </w:r>
      <w:r>
        <w:rPr>
          <w:rFonts w:hint="eastAsia" w:cs="Times New Roman"/>
          <w:bCs/>
          <w:color w:val="000000" w:themeColor="text1"/>
          <w:highlight w:val="none"/>
          <w14:textFill>
            <w14:solidFill>
              <w14:schemeClr w14:val="tx1"/>
            </w14:solidFill>
          </w14:textFill>
        </w:rPr>
        <w:t>污水</w:t>
      </w:r>
      <w:r>
        <w:rPr>
          <w:rFonts w:cs="Times New Roman"/>
          <w:bCs/>
          <w:color w:val="000000" w:themeColor="text1"/>
          <w:highlight w:val="none"/>
          <w14:textFill>
            <w14:solidFill>
              <w14:schemeClr w14:val="tx1"/>
            </w14:solidFill>
          </w14:textFill>
        </w:rPr>
        <w:t>罐进行收集，定期拉运能保证</w:t>
      </w:r>
      <w:r>
        <w:rPr>
          <w:rFonts w:hint="eastAsia" w:cs="Times New Roman"/>
          <w:bCs/>
          <w:color w:val="000000" w:themeColor="text1"/>
          <w:highlight w:val="none"/>
          <w14:textFill>
            <w14:solidFill>
              <w14:schemeClr w14:val="tx1"/>
            </w14:solidFill>
          </w14:textFill>
        </w:rPr>
        <w:t>站场</w:t>
      </w:r>
      <w:r>
        <w:rPr>
          <w:rFonts w:cs="Times New Roman"/>
          <w:bCs/>
          <w:color w:val="000000" w:themeColor="text1"/>
          <w:highlight w:val="none"/>
          <w14:textFill>
            <w14:solidFill>
              <w14:schemeClr w14:val="tx1"/>
            </w14:solidFill>
          </w14:textFill>
        </w:rPr>
        <w:t>污水罐对项目废水的收纳。</w:t>
      </w:r>
      <w:r>
        <w:rPr>
          <w:rFonts w:hint="eastAsia" w:cs="Times New Roman"/>
          <w:bCs/>
          <w:color w:val="000000" w:themeColor="text1"/>
          <w:highlight w:val="none"/>
          <w14:textFill>
            <w14:solidFill>
              <w14:schemeClr w14:val="tx1"/>
            </w14:solidFill>
          </w14:textFill>
        </w:rPr>
        <w:t>站场</w:t>
      </w:r>
      <w:r>
        <w:rPr>
          <w:rFonts w:cs="Times New Roman"/>
          <w:bCs/>
          <w:color w:val="000000" w:themeColor="text1"/>
          <w:highlight w:val="none"/>
          <w14:textFill>
            <w14:solidFill>
              <w14:schemeClr w14:val="tx1"/>
            </w14:solidFill>
          </w14:textFill>
        </w:rPr>
        <w:t>设置</w:t>
      </w:r>
      <w:r>
        <w:rPr>
          <w:rFonts w:hint="eastAsia" w:cs="Times New Roman"/>
          <w:bCs/>
          <w:color w:val="000000" w:themeColor="text1"/>
          <w:highlight w:val="none"/>
          <w14:textFill>
            <w14:solidFill>
              <w14:schemeClr w14:val="tx1"/>
            </w14:solidFill>
          </w14:textFill>
        </w:rPr>
        <w:t>污水罐位</w:t>
      </w:r>
      <w:r>
        <w:rPr>
          <w:rFonts w:cs="Times New Roman"/>
          <w:bCs/>
          <w:color w:val="000000" w:themeColor="text1"/>
          <w:highlight w:val="none"/>
          <w14:textFill>
            <w14:solidFill>
              <w14:schemeClr w14:val="tx1"/>
            </w14:solidFill>
          </w14:textFill>
        </w:rPr>
        <w:t>于防渗区，做好</w:t>
      </w:r>
      <w:r>
        <w:rPr>
          <w:rFonts w:hint="eastAsia" w:cs="Times New Roman"/>
          <w:bCs/>
          <w:color w:val="000000" w:themeColor="text1"/>
          <w:highlight w:val="none"/>
          <w14:textFill>
            <w14:solidFill>
              <w14:schemeClr w14:val="tx1"/>
            </w14:solidFill>
          </w14:textFill>
        </w:rPr>
        <w:t>污水</w:t>
      </w:r>
      <w:r>
        <w:rPr>
          <w:rFonts w:cs="Times New Roman"/>
          <w:bCs/>
          <w:color w:val="000000" w:themeColor="text1"/>
          <w:highlight w:val="none"/>
          <w14:textFill>
            <w14:solidFill>
              <w14:schemeClr w14:val="tx1"/>
            </w14:solidFill>
          </w14:textFill>
        </w:rPr>
        <w:t>罐的保养检查，杜绝</w:t>
      </w:r>
      <w:r>
        <w:rPr>
          <w:rFonts w:hint="eastAsia" w:cs="Times New Roman"/>
          <w:bCs/>
          <w:color w:val="000000" w:themeColor="text1"/>
          <w:highlight w:val="none"/>
          <w14:textFill>
            <w14:solidFill>
              <w14:schemeClr w14:val="tx1"/>
            </w14:solidFill>
          </w14:textFill>
        </w:rPr>
        <w:t>污水泄漏</w:t>
      </w:r>
      <w:r>
        <w:rPr>
          <w:rFonts w:cs="Times New Roman"/>
          <w:bCs/>
          <w:color w:val="000000" w:themeColor="text1"/>
          <w:highlight w:val="none"/>
          <w14:textFill>
            <w14:solidFill>
              <w14:schemeClr w14:val="tx1"/>
            </w14:solidFill>
          </w14:textFill>
        </w:rPr>
        <w:t>；本项目</w:t>
      </w:r>
      <w:r>
        <w:rPr>
          <w:rFonts w:cs="Times New Roman"/>
          <w:color w:val="000000" w:themeColor="text1"/>
          <w:highlight w:val="none"/>
          <w14:textFill>
            <w14:solidFill>
              <w14:schemeClr w14:val="tx1"/>
            </w14:solidFill>
          </w14:textFill>
        </w:rPr>
        <w:t>采气废水</w:t>
      </w:r>
      <w:r>
        <w:rPr>
          <w:rFonts w:hint="eastAsia" w:cs="Times New Roman"/>
          <w:color w:val="000000" w:themeColor="text1"/>
          <w:szCs w:val="24"/>
          <w:highlight w:val="none"/>
          <w14:textFill>
            <w14:solidFill>
              <w14:schemeClr w14:val="tx1"/>
            </w14:solidFill>
          </w14:textFill>
        </w:rPr>
        <w:t>通过密闭罐车拉运至赵家坝污水处理站达到《气田水回注方法》（SY/T 6596-2016）中注入水基本要求后管输至普光3井回注站回注处理，不外排</w:t>
      </w:r>
      <w:r>
        <w:rPr>
          <w:rFonts w:cs="Times New Roman"/>
          <w:bCs/>
          <w:color w:val="000000" w:themeColor="text1"/>
          <w:highlight w:val="none"/>
          <w14:textFill>
            <w14:solidFill>
              <w14:schemeClr w14:val="tx1"/>
            </w14:solidFill>
          </w14:textFill>
        </w:rPr>
        <w:t>，应做好采气废水转运计划，及时转运采气废水，确保废水得到有效处置。</w:t>
      </w:r>
    </w:p>
    <w:p>
      <w:pPr>
        <w:ind w:firstLine="480"/>
        <w:rPr>
          <w:rFonts w:eastAsia="黑体" w:cs="Times New Roman"/>
          <w:color w:val="000000" w:themeColor="text1"/>
          <w:highlight w:val="none"/>
          <w14:textFill>
            <w14:solidFill>
              <w14:schemeClr w14:val="tx1"/>
            </w14:solidFill>
          </w14:textFill>
        </w:rPr>
      </w:pPr>
      <w:r>
        <w:rPr>
          <w:rFonts w:eastAsia="黑体" w:cs="Times New Roman"/>
          <w:color w:val="000000" w:themeColor="text1"/>
          <w:highlight w:val="none"/>
          <w14:textFill>
            <w14:solidFill>
              <w14:schemeClr w14:val="tx1"/>
            </w14:solidFill>
          </w14:textFill>
        </w:rPr>
        <w:t>2、采气废水依托措施的可行性分析</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本项目采气废水</w:t>
      </w:r>
      <w:r>
        <w:rPr>
          <w:rFonts w:hint="eastAsia" w:cs="Times New Roman"/>
          <w:color w:val="000000" w:themeColor="text1"/>
          <w:szCs w:val="24"/>
          <w:highlight w:val="none"/>
          <w14:textFill>
            <w14:solidFill>
              <w14:schemeClr w14:val="tx1"/>
            </w14:solidFill>
          </w14:textFill>
        </w:rPr>
        <w:t>通过密闭罐车拉运至赵家坝污水处理站达到《气田水回注方法》（SY/T 6596-2016）中注入水基本要求后管输至普光3井回注站回注处理，不外排</w:t>
      </w:r>
      <w:r>
        <w:rPr>
          <w:rFonts w:cs="Times New Roman"/>
          <w:color w:val="000000" w:themeColor="text1"/>
          <w:szCs w:val="24"/>
          <w:highlight w:val="none"/>
          <w14:textFill>
            <w14:solidFill>
              <w14:schemeClr w14:val="tx1"/>
            </w14:solidFill>
          </w14:textFill>
        </w:rPr>
        <w:t>，</w:t>
      </w:r>
      <w:r>
        <w:rPr>
          <w:rFonts w:cs="Times New Roman"/>
          <w:color w:val="000000" w:themeColor="text1"/>
          <w:highlight w:val="none"/>
          <w14:textFill>
            <w14:solidFill>
              <w14:schemeClr w14:val="tx1"/>
            </w14:solidFill>
          </w14:textFill>
        </w:rPr>
        <w:t>回注量小，根据前文分析，</w:t>
      </w:r>
      <w:r>
        <w:rPr>
          <w:rFonts w:hint="eastAsia" w:cs="Times New Roman"/>
          <w:color w:val="000000" w:themeColor="text1"/>
          <w:highlight w:val="none"/>
          <w14:textFill>
            <w14:solidFill>
              <w14:schemeClr w14:val="tx1"/>
            </w14:solidFill>
          </w14:textFill>
        </w:rPr>
        <w:t>赵家坝污水处理站</w:t>
      </w:r>
      <w:r>
        <w:rPr>
          <w:rFonts w:cs="Times New Roman"/>
          <w:color w:val="000000" w:themeColor="text1"/>
          <w:highlight w:val="none"/>
          <w14:textFill>
            <w14:solidFill>
              <w14:schemeClr w14:val="tx1"/>
            </w14:solidFill>
          </w14:textFill>
        </w:rPr>
        <w:t>和</w:t>
      </w:r>
      <w:r>
        <w:rPr>
          <w:rFonts w:hint="eastAsia" w:cs="Times New Roman"/>
          <w:color w:val="000000" w:themeColor="text1"/>
          <w:highlight w:val="none"/>
          <w14:textFill>
            <w14:solidFill>
              <w14:schemeClr w14:val="tx1"/>
            </w14:solidFill>
          </w14:textFill>
        </w:rPr>
        <w:t>普光3井</w:t>
      </w:r>
      <w:r>
        <w:rPr>
          <w:rFonts w:cs="Times New Roman"/>
          <w:color w:val="000000" w:themeColor="text1"/>
          <w:highlight w:val="none"/>
          <w14:textFill>
            <w14:solidFill>
              <w14:schemeClr w14:val="tx1"/>
            </w14:solidFill>
          </w14:textFill>
        </w:rPr>
        <w:t>回注站接收处理能力满足试采期采气废水处理要求。</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本项目试采</w:t>
      </w:r>
      <w:r>
        <w:rPr>
          <w:rFonts w:hint="eastAsia" w:cs="Times New Roman"/>
          <w:bCs/>
          <w:color w:val="000000" w:themeColor="text1"/>
          <w:szCs w:val="24"/>
          <w:highlight w:val="none"/>
          <w14:textFill>
            <w14:solidFill>
              <w14:schemeClr w14:val="tx1"/>
            </w14:solidFill>
          </w14:textFill>
        </w:rPr>
        <w:t>站场</w:t>
      </w:r>
      <w:r>
        <w:rPr>
          <w:rFonts w:cs="Times New Roman"/>
          <w:bCs/>
          <w:color w:val="000000" w:themeColor="text1"/>
          <w:szCs w:val="24"/>
          <w:highlight w:val="none"/>
          <w14:textFill>
            <w14:solidFill>
              <w14:schemeClr w14:val="tx1"/>
            </w14:solidFill>
          </w14:textFill>
        </w:rPr>
        <w:t>废水采用的处理措施为中石化在川东北地区常用的处置措施，已在建设单位同类型天然气试采</w:t>
      </w:r>
      <w:r>
        <w:rPr>
          <w:rFonts w:hint="eastAsia" w:cs="Times New Roman"/>
          <w:bCs/>
          <w:color w:val="000000" w:themeColor="text1"/>
          <w:szCs w:val="24"/>
          <w:highlight w:val="none"/>
          <w14:textFill>
            <w14:solidFill>
              <w14:schemeClr w14:val="tx1"/>
            </w14:solidFill>
          </w14:textFill>
        </w:rPr>
        <w:t>站场</w:t>
      </w:r>
      <w:r>
        <w:rPr>
          <w:rFonts w:cs="Times New Roman"/>
          <w:bCs/>
          <w:color w:val="000000" w:themeColor="text1"/>
          <w:szCs w:val="24"/>
          <w:highlight w:val="none"/>
          <w14:textFill>
            <w14:solidFill>
              <w14:schemeClr w14:val="tx1"/>
            </w14:solidFill>
          </w14:textFill>
        </w:rPr>
        <w:t>工程项目中广泛应用，依托污水处理站专门为中石化钻采项目服务，运行稳定可靠，废水均能做到达标排放或有效回注，因此，废水处理措施合理、可行。</w:t>
      </w:r>
    </w:p>
    <w:p>
      <w:pPr>
        <w:pStyle w:val="5"/>
        <w:spacing w:before="120"/>
        <w:ind w:firstLine="480"/>
        <w:rPr>
          <w:b/>
          <w:color w:val="000000" w:themeColor="text1"/>
          <w:highlight w:val="none"/>
          <w:lang w:eastAsia="zh-CN"/>
          <w14:textFill>
            <w14:solidFill>
              <w14:schemeClr w14:val="tx1"/>
            </w14:solidFill>
          </w14:textFill>
        </w:rPr>
      </w:pPr>
      <w:bookmarkStart w:id="400" w:name="6.2.2地下水防治措施可行性分析"/>
      <w:bookmarkEnd w:id="400"/>
      <w:bookmarkStart w:id="401" w:name="_Toc120173221"/>
      <w:r>
        <w:rPr>
          <w:color w:val="000000" w:themeColor="text1"/>
          <w:highlight w:val="none"/>
          <w:lang w:eastAsia="zh-CN"/>
          <w14:textFill>
            <w14:solidFill>
              <w14:schemeClr w14:val="tx1"/>
            </w14:solidFill>
          </w14:textFill>
        </w:rPr>
        <w:t>地下水和土壤环境防治措施可行性分析</w:t>
      </w:r>
      <w:bookmarkEnd w:id="401"/>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项目实施对地下水及土壤可能造成的影响主要发生在施工期间。试采期</w:t>
      </w:r>
      <w:r>
        <w:rPr>
          <w:rFonts w:hint="eastAsia" w:cs="Times New Roman"/>
          <w:bCs/>
          <w:color w:val="000000" w:themeColor="text1"/>
          <w:szCs w:val="24"/>
          <w:highlight w:val="none"/>
          <w14:textFill>
            <w14:solidFill>
              <w14:schemeClr w14:val="tx1"/>
            </w14:solidFill>
          </w14:textFill>
        </w:rPr>
        <w:t>站场</w:t>
      </w:r>
      <w:r>
        <w:rPr>
          <w:rFonts w:cs="Times New Roman"/>
          <w:bCs/>
          <w:color w:val="000000" w:themeColor="text1"/>
          <w:szCs w:val="24"/>
          <w:highlight w:val="none"/>
          <w14:textFill>
            <w14:solidFill>
              <w14:schemeClr w14:val="tx1"/>
            </w14:solidFill>
          </w14:textFill>
        </w:rPr>
        <w:t>暂存废水等污染物较少，</w:t>
      </w:r>
      <w:r>
        <w:rPr>
          <w:rFonts w:hint="eastAsia" w:cs="Times New Roman"/>
          <w:bCs/>
          <w:color w:val="000000" w:themeColor="text1"/>
          <w:highlight w:val="none"/>
          <w14:textFill>
            <w14:solidFill>
              <w14:schemeClr w14:val="tx1"/>
            </w14:solidFill>
          </w14:textFill>
        </w:rPr>
        <w:t>污水</w:t>
      </w:r>
      <w:r>
        <w:rPr>
          <w:rFonts w:cs="Times New Roman"/>
          <w:bCs/>
          <w:color w:val="000000" w:themeColor="text1"/>
          <w:highlight w:val="none"/>
          <w14:textFill>
            <w14:solidFill>
              <w14:schemeClr w14:val="tx1"/>
            </w14:solidFill>
          </w14:textFill>
        </w:rPr>
        <w:t>罐</w:t>
      </w:r>
      <w:r>
        <w:rPr>
          <w:rFonts w:cs="Times New Roman"/>
          <w:bCs/>
          <w:color w:val="000000" w:themeColor="text1"/>
          <w:szCs w:val="24"/>
          <w:highlight w:val="none"/>
          <w14:textFill>
            <w14:solidFill>
              <w14:schemeClr w14:val="tx1"/>
            </w14:solidFill>
          </w14:textFill>
        </w:rPr>
        <w:t>区进行了防渗和设置围堰，废水难以泄露，有完善的防漏洒措施，难以对地下水和土壤环境造成影响。</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地下水和土壤污染防治措施坚持“源头控制、末端防治、污染监控、应急响应相结合”的原则，即采取主动控制和被动控制相结合的措施。本项目试采期</w:t>
      </w:r>
      <w:r>
        <w:rPr>
          <w:rFonts w:hint="eastAsia"/>
          <w:bCs/>
          <w:color w:val="000000" w:themeColor="text1"/>
          <w:highlight w:val="none"/>
          <w14:textFill>
            <w14:solidFill>
              <w14:schemeClr w14:val="tx1"/>
            </w14:solidFill>
          </w14:textFill>
        </w:rPr>
        <w:t>污水罐</w:t>
      </w:r>
      <w:r>
        <w:rPr>
          <w:bCs/>
          <w:color w:val="000000" w:themeColor="text1"/>
          <w:highlight w:val="none"/>
          <w14:textFill>
            <w14:solidFill>
              <w14:schemeClr w14:val="tx1"/>
            </w14:solidFill>
          </w14:textFill>
        </w:rPr>
        <w:t>区和流程区进行了分区分级防渗清污分流等措施，同时对</w:t>
      </w:r>
      <w:r>
        <w:rPr>
          <w:rFonts w:hint="eastAsia"/>
          <w:bCs/>
          <w:color w:val="000000" w:themeColor="text1"/>
          <w:highlight w:val="none"/>
          <w14:textFill>
            <w14:solidFill>
              <w14:schemeClr w14:val="tx1"/>
            </w14:solidFill>
          </w14:textFill>
        </w:rPr>
        <w:t>站场</w:t>
      </w:r>
      <w:r>
        <w:rPr>
          <w:bCs/>
          <w:color w:val="000000" w:themeColor="text1"/>
          <w:highlight w:val="none"/>
          <w14:textFill>
            <w14:solidFill>
              <w14:schemeClr w14:val="tx1"/>
            </w14:solidFill>
          </w14:textFill>
        </w:rPr>
        <w:t>外临时占地进行了生态恢复，进行监测合格后复耕复植，</w:t>
      </w:r>
      <w:r>
        <w:rPr>
          <w:rFonts w:hint="eastAsia"/>
          <w:bCs/>
          <w:color w:val="000000" w:themeColor="text1"/>
          <w:highlight w:val="none"/>
          <w14:textFill>
            <w14:solidFill>
              <w14:schemeClr w14:val="tx1"/>
            </w14:solidFill>
          </w14:textFill>
        </w:rPr>
        <w:t>站场</w:t>
      </w:r>
      <w:r>
        <w:rPr>
          <w:bCs/>
          <w:color w:val="000000" w:themeColor="text1"/>
          <w:highlight w:val="none"/>
          <w14:textFill>
            <w14:solidFill>
              <w14:schemeClr w14:val="tx1"/>
            </w14:solidFill>
          </w14:textFill>
        </w:rPr>
        <w:t>内空地采取硬化，</w:t>
      </w:r>
      <w:r>
        <w:rPr>
          <w:rFonts w:hint="eastAsia"/>
          <w:bCs/>
          <w:color w:val="000000" w:themeColor="text1"/>
          <w:highlight w:val="none"/>
          <w14:textFill>
            <w14:solidFill>
              <w14:schemeClr w14:val="tx1"/>
            </w14:solidFill>
          </w14:textFill>
        </w:rPr>
        <w:t>站场</w:t>
      </w:r>
      <w:r>
        <w:rPr>
          <w:bCs/>
          <w:color w:val="000000" w:themeColor="text1"/>
          <w:highlight w:val="none"/>
          <w14:textFill>
            <w14:solidFill>
              <w14:schemeClr w14:val="tx1"/>
            </w14:solidFill>
          </w14:textFill>
        </w:rPr>
        <w:t>内清污分流，能有效避免项目对地下水和土壤环境造成影响。在</w:t>
      </w:r>
      <w:r>
        <w:rPr>
          <w:rFonts w:hint="eastAsia"/>
          <w:bCs/>
          <w:color w:val="000000" w:themeColor="text1"/>
          <w:highlight w:val="none"/>
          <w14:textFill>
            <w14:solidFill>
              <w14:schemeClr w14:val="tx1"/>
            </w14:solidFill>
          </w14:textFill>
        </w:rPr>
        <w:t>污水</w:t>
      </w:r>
      <w:r>
        <w:rPr>
          <w:bCs/>
          <w:color w:val="000000" w:themeColor="text1"/>
          <w:highlight w:val="none"/>
          <w14:textFill>
            <w14:solidFill>
              <w14:schemeClr w14:val="tx1"/>
            </w14:solidFill>
          </w14:textFill>
        </w:rPr>
        <w:t>罐泄漏，防渗失效等极端情况下，及时将泄漏的污水转移至罐车转运处理，同时对事故进行处理恢复，降低污染范围和影响。</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根据《环境影响评价技术导则地下水环境》（HJ610-2016）中分区防控措施和《石油化工工程防渗技术规范》（GB/T50934）中的有关要求，本项目</w:t>
      </w:r>
      <w:r>
        <w:rPr>
          <w:rFonts w:hint="eastAsia" w:cs="Times New Roman"/>
          <w:bCs/>
          <w:color w:val="000000" w:themeColor="text1"/>
          <w:highlight w:val="none"/>
          <w14:textFill>
            <w14:solidFill>
              <w14:schemeClr w14:val="tx1"/>
            </w14:solidFill>
          </w14:textFill>
        </w:rPr>
        <w:t>污水</w:t>
      </w:r>
      <w:r>
        <w:rPr>
          <w:rFonts w:cs="Times New Roman"/>
          <w:bCs/>
          <w:color w:val="000000" w:themeColor="text1"/>
          <w:highlight w:val="none"/>
          <w14:textFill>
            <w14:solidFill>
              <w14:schemeClr w14:val="tx1"/>
            </w14:solidFill>
          </w14:textFill>
        </w:rPr>
        <w:t>罐区修建围堰，围堰内容积要足够储存</w:t>
      </w:r>
      <w:r>
        <w:rPr>
          <w:rFonts w:hint="eastAsia" w:cs="Times New Roman"/>
          <w:bCs/>
          <w:color w:val="000000" w:themeColor="text1"/>
          <w:highlight w:val="none"/>
          <w14:textFill>
            <w14:solidFill>
              <w14:schemeClr w14:val="tx1"/>
            </w14:solidFill>
          </w14:textFill>
        </w:rPr>
        <w:t>污水</w:t>
      </w:r>
      <w:r>
        <w:rPr>
          <w:rFonts w:cs="Times New Roman"/>
          <w:bCs/>
          <w:color w:val="000000" w:themeColor="text1"/>
          <w:highlight w:val="none"/>
          <w14:textFill>
            <w14:solidFill>
              <w14:schemeClr w14:val="tx1"/>
            </w14:solidFill>
          </w14:textFill>
        </w:rPr>
        <w:t>罐</w:t>
      </w:r>
      <w:r>
        <w:rPr>
          <w:rFonts w:hint="eastAsia" w:cs="Times New Roman"/>
          <w:bCs/>
          <w:color w:val="000000" w:themeColor="text1"/>
          <w:highlight w:val="none"/>
          <w14:textFill>
            <w14:solidFill>
              <w14:schemeClr w14:val="tx1"/>
            </w14:solidFill>
          </w14:textFill>
        </w:rPr>
        <w:t>泄漏</w:t>
      </w:r>
      <w:r>
        <w:rPr>
          <w:rFonts w:cs="Times New Roman"/>
          <w:bCs/>
          <w:color w:val="000000" w:themeColor="text1"/>
          <w:highlight w:val="none"/>
          <w14:textFill>
            <w14:solidFill>
              <w14:schemeClr w14:val="tx1"/>
            </w14:solidFill>
          </w14:textFill>
        </w:rPr>
        <w:t>的污水。因此</w:t>
      </w:r>
      <w:r>
        <w:rPr>
          <w:rFonts w:hint="eastAsia" w:cs="Times New Roman"/>
          <w:bCs/>
          <w:color w:val="000000" w:themeColor="text1"/>
          <w:highlight w:val="none"/>
          <w14:textFill>
            <w14:solidFill>
              <w14:schemeClr w14:val="tx1"/>
            </w14:solidFill>
          </w14:textFill>
        </w:rPr>
        <w:t>污水</w:t>
      </w:r>
      <w:r>
        <w:rPr>
          <w:rFonts w:cs="Times New Roman"/>
          <w:bCs/>
          <w:color w:val="000000" w:themeColor="text1"/>
          <w:highlight w:val="none"/>
          <w14:textFill>
            <w14:solidFill>
              <w14:schemeClr w14:val="tx1"/>
            </w14:solidFill>
          </w14:textFill>
        </w:rPr>
        <w:t>罐的建设</w:t>
      </w:r>
      <w:r>
        <w:rPr>
          <w:rFonts w:hint="eastAsia" w:cs="Times New Roman"/>
          <w:bCs/>
          <w:color w:val="000000" w:themeColor="text1"/>
          <w:highlight w:val="none"/>
          <w14:textFill>
            <w14:solidFill>
              <w14:schemeClr w14:val="tx1"/>
            </w14:solidFill>
          </w14:textFill>
        </w:rPr>
        <w:t>是</w:t>
      </w:r>
      <w:r>
        <w:rPr>
          <w:rFonts w:cs="Times New Roman"/>
          <w:bCs/>
          <w:color w:val="000000" w:themeColor="text1"/>
          <w:highlight w:val="none"/>
          <w14:textFill>
            <w14:solidFill>
              <w14:schemeClr w14:val="tx1"/>
            </w14:solidFill>
          </w14:textFill>
        </w:rPr>
        <w:t>可行有效的。</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本项目试采</w:t>
      </w:r>
      <w:r>
        <w:rPr>
          <w:rFonts w:hint="eastAsia" w:cs="Times New Roman"/>
          <w:bCs/>
          <w:color w:val="000000" w:themeColor="text1"/>
          <w:szCs w:val="24"/>
          <w:highlight w:val="none"/>
          <w14:textFill>
            <w14:solidFill>
              <w14:schemeClr w14:val="tx1"/>
            </w14:solidFill>
          </w14:textFill>
        </w:rPr>
        <w:t>站场</w:t>
      </w:r>
      <w:r>
        <w:rPr>
          <w:rFonts w:cs="Times New Roman"/>
          <w:bCs/>
          <w:color w:val="000000" w:themeColor="text1"/>
          <w:szCs w:val="24"/>
          <w:highlight w:val="none"/>
          <w14:textFill>
            <w14:solidFill>
              <w14:schemeClr w14:val="tx1"/>
            </w14:solidFill>
          </w14:textFill>
        </w:rPr>
        <w:t>地下水土壤污染防治措施为中石化在川东北地区常用的处置措施，已在建设单位同类型天然气试采</w:t>
      </w:r>
      <w:r>
        <w:rPr>
          <w:rFonts w:hint="eastAsia" w:cs="Times New Roman"/>
          <w:bCs/>
          <w:color w:val="000000" w:themeColor="text1"/>
          <w:szCs w:val="24"/>
          <w:highlight w:val="none"/>
          <w14:textFill>
            <w14:solidFill>
              <w14:schemeClr w14:val="tx1"/>
            </w14:solidFill>
          </w14:textFill>
        </w:rPr>
        <w:t>站场</w:t>
      </w:r>
      <w:r>
        <w:rPr>
          <w:rFonts w:cs="Times New Roman"/>
          <w:bCs/>
          <w:color w:val="000000" w:themeColor="text1"/>
          <w:szCs w:val="24"/>
          <w:highlight w:val="none"/>
          <w14:textFill>
            <w14:solidFill>
              <w14:schemeClr w14:val="tx1"/>
            </w14:solidFill>
          </w14:textFill>
        </w:rPr>
        <w:t>工程项目中广泛应用，采气试采未发生过地下水和土壤污染事故，因此，地下水和土壤防治处理措施合理、可行。</w:t>
      </w:r>
    </w:p>
    <w:p>
      <w:pPr>
        <w:pStyle w:val="5"/>
        <w:spacing w:before="120"/>
        <w:ind w:firstLine="480"/>
        <w:rPr>
          <w:b/>
          <w:color w:val="000000" w:themeColor="text1"/>
          <w:highlight w:val="none"/>
          <w:lang w:eastAsia="zh-CN"/>
          <w14:textFill>
            <w14:solidFill>
              <w14:schemeClr w14:val="tx1"/>
            </w14:solidFill>
          </w14:textFill>
        </w:rPr>
      </w:pPr>
      <w:bookmarkStart w:id="402" w:name="6.2.3噪声防治措施"/>
      <w:bookmarkEnd w:id="402"/>
      <w:bookmarkStart w:id="403" w:name="_Toc120173222"/>
      <w:r>
        <w:rPr>
          <w:color w:val="000000" w:themeColor="text1"/>
          <w:highlight w:val="none"/>
          <w:lang w:eastAsia="zh-CN"/>
          <w14:textFill>
            <w14:solidFill>
              <w14:schemeClr w14:val="tx1"/>
            </w14:solidFill>
          </w14:textFill>
        </w:rPr>
        <w:t>噪声防治措施</w:t>
      </w:r>
      <w:bookmarkEnd w:id="403"/>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根据泵的噪声频谱特性，采取的噪声控制措施为隔声、减震等，具体措施为：</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（1）平面布置时进行合理布局，控制气流速度，减少站场工艺管线的弯头、三通等管件，降低</w:t>
      </w:r>
      <w:r>
        <w:rPr>
          <w:rFonts w:hint="eastAsia" w:cs="Times New Roman"/>
          <w:bCs/>
          <w:color w:val="000000" w:themeColor="text1"/>
          <w:szCs w:val="24"/>
          <w:highlight w:val="none"/>
          <w14:textFill>
            <w14:solidFill>
              <w14:schemeClr w14:val="tx1"/>
            </w14:solidFill>
          </w14:textFill>
        </w:rPr>
        <w:t>试采</w:t>
      </w:r>
      <w:r>
        <w:rPr>
          <w:rFonts w:cs="Times New Roman"/>
          <w:bCs/>
          <w:color w:val="000000" w:themeColor="text1"/>
          <w:szCs w:val="24"/>
          <w:highlight w:val="none"/>
          <w14:textFill>
            <w14:solidFill>
              <w14:schemeClr w14:val="tx1"/>
            </w14:solidFill>
          </w14:textFill>
        </w:rPr>
        <w:t>站内噪声。</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（2）选用高效低噪声的水套加热炉、分离器</w:t>
      </w:r>
      <w:r>
        <w:rPr>
          <w:rFonts w:hint="eastAsia" w:cs="Times New Roman"/>
          <w:bCs/>
          <w:color w:val="000000" w:themeColor="text1"/>
          <w:szCs w:val="24"/>
          <w:highlight w:val="none"/>
          <w14:textFill>
            <w14:solidFill>
              <w14:schemeClr w14:val="tx1"/>
            </w14:solidFill>
          </w14:textFill>
        </w:rPr>
        <w:t>、卸车泵</w:t>
      </w:r>
      <w:r>
        <w:rPr>
          <w:rFonts w:cs="Times New Roman"/>
          <w:bCs/>
          <w:color w:val="000000" w:themeColor="text1"/>
          <w:szCs w:val="24"/>
          <w:highlight w:val="none"/>
          <w14:textFill>
            <w14:solidFill>
              <w14:schemeClr w14:val="tx1"/>
            </w14:solidFill>
          </w14:textFill>
        </w:rPr>
        <w:t>和调压设备。</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（3）种植绿化隔声。</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试采期采取以上措施为中石化在川东北地区常用的处置措施，类比已在建设单位同类型天然气试采</w:t>
      </w:r>
      <w:r>
        <w:rPr>
          <w:rFonts w:hint="eastAsia" w:cs="Times New Roman"/>
          <w:bCs/>
          <w:color w:val="000000" w:themeColor="text1"/>
          <w:szCs w:val="24"/>
          <w:highlight w:val="none"/>
          <w14:textFill>
            <w14:solidFill>
              <w14:schemeClr w14:val="tx1"/>
            </w14:solidFill>
          </w14:textFill>
        </w:rPr>
        <w:t>站场</w:t>
      </w:r>
      <w:r>
        <w:rPr>
          <w:rFonts w:cs="Times New Roman"/>
          <w:bCs/>
          <w:color w:val="000000" w:themeColor="text1"/>
          <w:szCs w:val="24"/>
          <w:highlight w:val="none"/>
          <w14:textFill>
            <w14:solidFill>
              <w14:schemeClr w14:val="tx1"/>
            </w14:solidFill>
          </w14:textFill>
        </w:rPr>
        <w:t>工程，项目试采期不会对声环境和敏感点（农户）造成噪声污染影响，因此，试采期噪声污染防治措施合理、可行。</w:t>
      </w:r>
    </w:p>
    <w:p>
      <w:pPr>
        <w:pStyle w:val="5"/>
        <w:spacing w:before="120"/>
        <w:ind w:firstLine="480"/>
        <w:rPr>
          <w:b/>
          <w:color w:val="000000" w:themeColor="text1"/>
          <w:highlight w:val="none"/>
          <w:lang w:eastAsia="zh-CN"/>
          <w14:textFill>
            <w14:solidFill>
              <w14:schemeClr w14:val="tx1"/>
            </w14:solidFill>
          </w14:textFill>
        </w:rPr>
      </w:pPr>
      <w:bookmarkStart w:id="404" w:name="6.2.4固体废弃物处置措施"/>
      <w:bookmarkEnd w:id="404"/>
      <w:bookmarkStart w:id="405" w:name="_Toc120173223"/>
      <w:r>
        <w:rPr>
          <w:color w:val="000000" w:themeColor="text1"/>
          <w:highlight w:val="none"/>
          <w:lang w:eastAsia="zh-CN"/>
          <w14:textFill>
            <w14:solidFill>
              <w14:schemeClr w14:val="tx1"/>
            </w14:solidFill>
          </w14:textFill>
        </w:rPr>
        <w:t>固体废弃物处置措施</w:t>
      </w:r>
      <w:bookmarkEnd w:id="405"/>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本项目试采期固体废弃物</w:t>
      </w:r>
      <w:r>
        <w:rPr>
          <w:rFonts w:hint="eastAsia" w:cs="Times New Roman"/>
          <w:bCs/>
          <w:color w:val="000000" w:themeColor="text1"/>
          <w:highlight w:val="none"/>
          <w14:textFill>
            <w14:solidFill>
              <w14:schemeClr w14:val="tx1"/>
            </w14:solidFill>
          </w14:textFill>
        </w:rPr>
        <w:t>主要为分离器废渣、清管废渣、废分子筛和生活垃圾，分离器废渣和清管废渣统一收集后定期交由当地具备处理工业废物能力的单位处置</w:t>
      </w:r>
      <w:r>
        <w:rPr>
          <w:rFonts w:cs="Times New Roman"/>
          <w:bCs/>
          <w:color w:val="000000" w:themeColor="text1"/>
          <w:highlight w:val="none"/>
          <w14:textFill>
            <w14:solidFill>
              <w14:schemeClr w14:val="tx1"/>
            </w14:solidFill>
          </w14:textFill>
        </w:rPr>
        <w:t>，</w:t>
      </w:r>
      <w:r>
        <w:rPr>
          <w:rFonts w:hint="eastAsia" w:cs="Times New Roman"/>
          <w:bCs/>
          <w:color w:val="000000" w:themeColor="text1"/>
          <w:highlight w:val="none"/>
          <w14:textFill>
            <w14:solidFill>
              <w14:schemeClr w14:val="tx1"/>
            </w14:solidFill>
          </w14:textFill>
        </w:rPr>
        <w:t>废分子筛收集后定期交由当地具备处理工业废物能力的单位处置或交由厂家回收，</w:t>
      </w:r>
      <w:r>
        <w:rPr>
          <w:rFonts w:cs="Times New Roman"/>
          <w:bCs/>
          <w:color w:val="000000" w:themeColor="text1"/>
          <w:highlight w:val="none"/>
          <w14:textFill>
            <w14:solidFill>
              <w14:schemeClr w14:val="tx1"/>
            </w14:solidFill>
          </w14:textFill>
        </w:rPr>
        <w:t>生活垃圾交由</w:t>
      </w:r>
      <w:r>
        <w:rPr>
          <w:rFonts w:hint="eastAsia" w:cs="Times New Roman"/>
          <w:bCs/>
          <w:color w:val="000000" w:themeColor="text1"/>
          <w:highlight w:val="none"/>
          <w14:textFill>
            <w14:solidFill>
              <w14:schemeClr w14:val="tx1"/>
            </w14:solidFill>
          </w14:textFill>
        </w:rPr>
        <w:t>当地</w:t>
      </w:r>
      <w:r>
        <w:rPr>
          <w:rFonts w:cs="Times New Roman"/>
          <w:bCs/>
          <w:color w:val="000000" w:themeColor="text1"/>
          <w:highlight w:val="none"/>
          <w14:textFill>
            <w14:solidFill>
              <w14:schemeClr w14:val="tx1"/>
            </w14:solidFill>
          </w14:textFill>
        </w:rPr>
        <w:t>环卫部门处置。</w:t>
      </w:r>
    </w:p>
    <w:p>
      <w:pPr>
        <w:pStyle w:val="5"/>
        <w:spacing w:before="120"/>
        <w:ind w:firstLine="480"/>
        <w:rPr>
          <w:b/>
          <w:color w:val="000000" w:themeColor="text1"/>
          <w:highlight w:val="none"/>
          <w:lang w:eastAsia="zh-CN"/>
          <w14:textFill>
            <w14:solidFill>
              <w14:schemeClr w14:val="tx1"/>
            </w14:solidFill>
          </w14:textFill>
        </w:rPr>
      </w:pPr>
      <w:bookmarkStart w:id="406" w:name="_Toc120173224"/>
      <w:r>
        <w:rPr>
          <w:color w:val="000000" w:themeColor="text1"/>
          <w:highlight w:val="none"/>
          <w:lang w:eastAsia="zh-CN"/>
          <w14:textFill>
            <w14:solidFill>
              <w14:schemeClr w14:val="tx1"/>
            </w14:solidFill>
          </w14:textFill>
        </w:rPr>
        <w:t>陆生生物及其生态系统保护措施</w:t>
      </w:r>
      <w:bookmarkEnd w:id="406"/>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试采期不涉及新增占地，无新增固废和新增生活污水产生，因此试采期需管护好项目区植被恢复成效，防止新的水土流失情况发生。</w:t>
      </w:r>
    </w:p>
    <w:p>
      <w:pPr>
        <w:pStyle w:val="4"/>
        <w:spacing w:before="120"/>
        <w:rPr>
          <w:color w:val="000000" w:themeColor="text1"/>
          <w:highlight w:val="none"/>
          <w:lang w:eastAsia="zh-CN"/>
          <w14:textFill>
            <w14:solidFill>
              <w14:schemeClr w14:val="tx1"/>
            </w14:solidFill>
          </w14:textFill>
        </w:rPr>
      </w:pPr>
      <w:bookmarkStart w:id="407" w:name="_Toc13569"/>
      <w:r>
        <w:rPr>
          <w:rFonts w:hint="eastAsia"/>
          <w:color w:val="000000" w:themeColor="text1"/>
          <w:highlight w:val="none"/>
          <w:lang w:eastAsia="zh-CN"/>
          <w14:textFill>
            <w14:solidFill>
              <w14:schemeClr w14:val="tx1"/>
            </w14:solidFill>
          </w14:textFill>
        </w:rPr>
        <w:t>项目完工及试采结束</w:t>
      </w:r>
      <w:r>
        <w:rPr>
          <w:color w:val="000000" w:themeColor="text1"/>
          <w:highlight w:val="none"/>
          <w:lang w:eastAsia="zh-CN"/>
          <w14:textFill>
            <w14:solidFill>
              <w14:schemeClr w14:val="tx1"/>
            </w14:solidFill>
          </w14:textFill>
        </w:rPr>
        <w:t>后环境保护措施及可行性分析</w:t>
      </w:r>
      <w:bookmarkEnd w:id="407"/>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（1）对拆除地面设施过程中产生的垃圾及时外运，送至指定的垃圾填埋场处理。</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（2）保留各类绿化、生态保护设施，以保持评价区生态环境功能不变。</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评价认为，在采取了上述污染防治措施后，可减缓</w:t>
      </w:r>
      <w:r>
        <w:rPr>
          <w:rFonts w:hint="eastAsia" w:cs="Times New Roman"/>
          <w:color w:val="000000" w:themeColor="text1"/>
          <w:highlight w:val="none"/>
          <w14:textFill>
            <w14:solidFill>
              <w14:schemeClr w14:val="tx1"/>
            </w14:solidFill>
          </w14:textFill>
        </w:rPr>
        <w:t>项目完工及试采结束</w:t>
      </w:r>
      <w:r>
        <w:rPr>
          <w:rFonts w:cs="Times New Roman"/>
          <w:color w:val="000000" w:themeColor="text1"/>
          <w:highlight w:val="none"/>
          <w14:textFill>
            <w14:solidFill>
              <w14:schemeClr w14:val="tx1"/>
            </w14:solidFill>
          </w14:textFill>
        </w:rPr>
        <w:t>后</w:t>
      </w:r>
      <w:r>
        <w:rPr>
          <w:rFonts w:cs="Times New Roman"/>
          <w:bCs/>
          <w:color w:val="000000" w:themeColor="text1"/>
          <w:highlight w:val="none"/>
          <w14:textFill>
            <w14:solidFill>
              <w14:schemeClr w14:val="tx1"/>
            </w14:solidFill>
          </w14:textFill>
        </w:rPr>
        <w:t>对环境的影响，措施可行。</w:t>
      </w:r>
    </w:p>
    <w:p>
      <w:pPr>
        <w:pStyle w:val="3"/>
        <w:spacing w:before="480" w:beforeLines="200" w:after="0" w:line="480" w:lineRule="auto"/>
        <w:ind w:firstLine="560"/>
        <w:rPr>
          <w:b/>
          <w:color w:val="000000" w:themeColor="text1"/>
          <w:szCs w:val="28"/>
          <w:highlight w:val="none"/>
          <w:lang w:eastAsia="zh-CN"/>
          <w14:textFill>
            <w14:solidFill>
              <w14:schemeClr w14:val="tx1"/>
            </w14:solidFill>
          </w14:textFill>
        </w:rPr>
        <w:sectPr>
          <w:pgSz w:w="11910" w:h="16840"/>
          <w:pgMar w:top="1440" w:right="1800" w:bottom="1440" w:left="1800" w:header="964" w:footer="964" w:gutter="0"/>
          <w:cols w:space="720" w:num="1"/>
          <w:docGrid w:linePitch="326" w:charSpace="0"/>
        </w:sectPr>
      </w:pPr>
      <w:bookmarkStart w:id="408" w:name="_bookmark34"/>
      <w:bookmarkEnd w:id="408"/>
      <w:bookmarkStart w:id="409" w:name="第七章_环境影响经济损益分析"/>
      <w:bookmarkEnd w:id="409"/>
    </w:p>
    <w:p>
      <w:pPr>
        <w:pStyle w:val="3"/>
        <w:rPr>
          <w:b/>
          <w:color w:val="000000" w:themeColor="text1"/>
          <w:highlight w:val="none"/>
          <w:lang w:eastAsia="zh-CN"/>
          <w14:textFill>
            <w14:solidFill>
              <w14:schemeClr w14:val="tx1"/>
            </w14:solidFill>
          </w14:textFill>
        </w:rPr>
      </w:pPr>
      <w:bookmarkStart w:id="410" w:name="_Toc27457"/>
      <w:r>
        <w:rPr>
          <w:color w:val="000000" w:themeColor="text1"/>
          <w:highlight w:val="none"/>
          <w:lang w:eastAsia="zh-CN"/>
          <w14:textFill>
            <w14:solidFill>
              <w14:schemeClr w14:val="tx1"/>
            </w14:solidFill>
          </w14:textFill>
        </w:rPr>
        <w:t>环境影响经济损益分析</w:t>
      </w:r>
      <w:bookmarkEnd w:id="410"/>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环境经济损益分析主要任务是衡量建设项目要投入的环保投资所能收到的环境保护效果，本评价环境经济损益分析主要研究工程环境经济损益情况，除需计算用于控制污染所需投资和费用外，还同时核算可能收到的环境与经济效益。</w:t>
      </w:r>
    </w:p>
    <w:p>
      <w:pPr>
        <w:pStyle w:val="4"/>
        <w:spacing w:before="120"/>
        <w:rPr>
          <w:color w:val="000000" w:themeColor="text1"/>
          <w:highlight w:val="none"/>
          <w:lang w:eastAsia="zh-CN"/>
          <w14:textFill>
            <w14:solidFill>
              <w14:schemeClr w14:val="tx1"/>
            </w14:solidFill>
          </w14:textFill>
        </w:rPr>
      </w:pPr>
      <w:bookmarkStart w:id="411" w:name="7.1环保投资估算"/>
      <w:bookmarkEnd w:id="411"/>
      <w:bookmarkStart w:id="412" w:name="_bookmark35"/>
      <w:bookmarkEnd w:id="412"/>
      <w:bookmarkStart w:id="413" w:name="_Toc32213"/>
      <w:r>
        <w:rPr>
          <w:color w:val="000000" w:themeColor="text1"/>
          <w:highlight w:val="none"/>
          <w:lang w:eastAsia="zh-CN"/>
          <w14:textFill>
            <w14:solidFill>
              <w14:schemeClr w14:val="tx1"/>
            </w14:solidFill>
          </w14:textFill>
        </w:rPr>
        <w:t>环保投资估算</w:t>
      </w:r>
      <w:bookmarkEnd w:id="413"/>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本项目总投资</w:t>
      </w:r>
      <w:r>
        <w:rPr>
          <w:rFonts w:hint="eastAsia" w:cs="Times New Roman"/>
          <w:color w:val="000000" w:themeColor="text1"/>
          <w:szCs w:val="24"/>
          <w:highlight w:val="none"/>
          <w:lang w:eastAsia="zh-CN"/>
          <w14:textFill>
            <w14:solidFill>
              <w14:schemeClr w14:val="tx1"/>
            </w14:solidFill>
          </w14:textFill>
        </w:rPr>
        <w:t>**</w:t>
      </w:r>
      <w:r>
        <w:rPr>
          <w:rFonts w:cs="Times New Roman"/>
          <w:color w:val="000000" w:themeColor="text1"/>
          <w:szCs w:val="24"/>
          <w:highlight w:val="none"/>
          <w14:textFill>
            <w14:solidFill>
              <w14:schemeClr w14:val="tx1"/>
            </w14:solidFill>
          </w14:textFill>
        </w:rPr>
        <w:t>万元</w:t>
      </w:r>
      <w:r>
        <w:rPr>
          <w:rFonts w:cs="Times New Roman"/>
          <w:bCs/>
          <w:color w:val="000000" w:themeColor="text1"/>
          <w:szCs w:val="24"/>
          <w:highlight w:val="none"/>
          <w14:textFill>
            <w14:solidFill>
              <w14:schemeClr w14:val="tx1"/>
            </w14:solidFill>
          </w14:textFill>
        </w:rPr>
        <w:t>，</w:t>
      </w:r>
      <w:bookmarkStart w:id="414" w:name="_Hlk156337410"/>
      <w:r>
        <w:rPr>
          <w:rFonts w:cs="Times New Roman"/>
          <w:bCs/>
          <w:color w:val="000000" w:themeColor="text1"/>
          <w:szCs w:val="24"/>
          <w:highlight w:val="none"/>
          <w14:textFill>
            <w14:solidFill>
              <w14:schemeClr w14:val="tx1"/>
            </w14:solidFill>
          </w14:textFill>
        </w:rPr>
        <w:t>环保投资</w:t>
      </w:r>
      <w:r>
        <w:rPr>
          <w:rFonts w:hint="eastAsia" w:cs="Times New Roman"/>
          <w:bCs/>
          <w:color w:val="000000" w:themeColor="text1"/>
          <w:szCs w:val="24"/>
          <w:highlight w:val="none"/>
          <w:lang w:eastAsia="zh-CN"/>
          <w14:textFill>
            <w14:solidFill>
              <w14:schemeClr w14:val="tx1"/>
            </w14:solidFill>
          </w14:textFill>
        </w:rPr>
        <w:t>**</w:t>
      </w:r>
      <w:r>
        <w:rPr>
          <w:rFonts w:cs="Times New Roman"/>
          <w:bCs/>
          <w:color w:val="000000" w:themeColor="text1"/>
          <w:szCs w:val="24"/>
          <w:highlight w:val="none"/>
          <w14:textFill>
            <w14:solidFill>
              <w14:schemeClr w14:val="tx1"/>
            </w14:solidFill>
          </w14:textFill>
        </w:rPr>
        <w:t>万元，占总投</w:t>
      </w:r>
      <w:r>
        <w:rPr>
          <w:rFonts w:hint="eastAsia" w:cs="Times New Roman"/>
          <w:bCs/>
          <w:color w:val="000000" w:themeColor="text1"/>
          <w:szCs w:val="24"/>
          <w:highlight w:val="none"/>
          <w14:textFill>
            <w14:solidFill>
              <w14:schemeClr w14:val="tx1"/>
            </w14:solidFill>
          </w14:textFill>
        </w:rPr>
        <w:t xml:space="preserve"> </w:t>
      </w:r>
      <w:r>
        <w:rPr>
          <w:rFonts w:cs="Times New Roman"/>
          <w:bCs/>
          <w:color w:val="000000" w:themeColor="text1"/>
          <w:szCs w:val="24"/>
          <w:highlight w:val="none"/>
          <w14:textFill>
            <w14:solidFill>
              <w14:schemeClr w14:val="tx1"/>
            </w14:solidFill>
          </w14:textFill>
        </w:rPr>
        <w:t>资的3.0%</w:t>
      </w:r>
      <w:bookmarkEnd w:id="414"/>
      <w:r>
        <w:rPr>
          <w:rFonts w:cs="Times New Roman"/>
          <w:bCs/>
          <w:color w:val="000000" w:themeColor="text1"/>
          <w:szCs w:val="24"/>
          <w:highlight w:val="none"/>
          <w14:textFill>
            <w14:solidFill>
              <w14:schemeClr w14:val="tx1"/>
            </w14:solidFill>
          </w14:textFill>
        </w:rPr>
        <w:t>。环保投资主要用于废水治理、固体废物处理、噪声污染防治，以及施工迹地生态恢复等，符合该项目的实际特点。具体情况见</w:t>
      </w:r>
      <w:r>
        <w:rPr>
          <w:rFonts w:cs="Times New Roman"/>
          <w:bCs/>
          <w:color w:val="000000" w:themeColor="text1"/>
          <w:szCs w:val="24"/>
          <w:highlight w:val="none"/>
          <w14:textFill>
            <w14:solidFill>
              <w14:schemeClr w14:val="tx1"/>
            </w14:solidFill>
          </w14:textFill>
        </w:rPr>
        <w:fldChar w:fldCharType="begin"/>
      </w:r>
      <w:r>
        <w:rPr>
          <w:rFonts w:cs="Times New Roman"/>
          <w:bCs/>
          <w:color w:val="000000" w:themeColor="text1"/>
          <w:szCs w:val="24"/>
          <w:highlight w:val="none"/>
          <w14:textFill>
            <w14:solidFill>
              <w14:schemeClr w14:val="tx1"/>
            </w14:solidFill>
          </w14:textFill>
        </w:rPr>
        <w:instrText xml:space="preserve"> REF _Ref142859751 \h  \* MERGEFORMAT </w:instrText>
      </w:r>
      <w:r>
        <w:rPr>
          <w:rFonts w:cs="Times New Roman"/>
          <w:bCs/>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8.1</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w:t>
      </w:r>
      <w:r>
        <w:rPr>
          <w:rFonts w:cs="Times New Roman"/>
          <w:bCs/>
          <w:color w:val="000000" w:themeColor="text1"/>
          <w:szCs w:val="24"/>
          <w:highlight w:val="none"/>
          <w14:textFill>
            <w14:solidFill>
              <w14:schemeClr w14:val="tx1"/>
            </w14:solidFill>
          </w14:textFill>
        </w:rPr>
        <w:fldChar w:fldCharType="end"/>
      </w:r>
      <w:r>
        <w:rPr>
          <w:rFonts w:cs="Times New Roman"/>
          <w:bCs/>
          <w:color w:val="000000" w:themeColor="text1"/>
          <w:szCs w:val="24"/>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bookmarkStart w:id="415" w:name="_Ref142859751"/>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8.1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bookmarkEnd w:id="415"/>
      <w:r>
        <w:rPr>
          <w:rFonts w:hint="eastAsia"/>
          <w:color w:val="000000" w:themeColor="text1"/>
          <w:highlight w:val="none"/>
          <w14:textFill>
            <w14:solidFill>
              <w14:schemeClr w14:val="tx1"/>
            </w14:solidFill>
          </w14:textFill>
        </w:rPr>
        <w:t>本项目环保措施及投资估算一览表</w:t>
      </w:r>
    </w:p>
    <w:tbl>
      <w:tblPr>
        <w:tblStyle w:val="41"/>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980"/>
        <w:gridCol w:w="5819"/>
        <w:gridCol w:w="14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项目</w:t>
            </w:r>
          </w:p>
        </w:tc>
        <w:tc>
          <w:tcPr>
            <w:tcW w:w="581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内容</w:t>
            </w:r>
          </w:p>
        </w:tc>
        <w:tc>
          <w:tcPr>
            <w:tcW w:w="142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投资（万元）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废气治理</w:t>
            </w:r>
          </w:p>
        </w:tc>
        <w:tc>
          <w:tcPr>
            <w:tcW w:w="581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w:t>
            </w:r>
            <w:r>
              <w:rPr>
                <w:rFonts w:hint="eastAsia"/>
                <w:color w:val="000000" w:themeColor="text1"/>
                <w:highlight w:val="none"/>
                <w14:textFill>
                  <w14:solidFill>
                    <w14:schemeClr w14:val="tx1"/>
                  </w14:solidFill>
                </w14:textFill>
              </w:rPr>
              <w:t>施工区围挡封闭；运输车辆密闭；开挖土方进行遮挡；人工洒水降尘；加强设备车辆保养维护；定期冲洗施工机械和车辆</w:t>
            </w:r>
          </w:p>
        </w:tc>
        <w:tc>
          <w:tcPr>
            <w:tcW w:w="1423" w:type="dxa"/>
            <w:vAlign w:val="center"/>
          </w:tcPr>
          <w:p>
            <w:pPr>
              <w:ind w:firstLine="480" w:firstLineChars="200"/>
              <w:rPr>
                <w:color w:val="000000" w:themeColor="text1"/>
                <w:highlight w:val="none"/>
                <w14:textFill>
                  <w14:solidFill>
                    <w14:schemeClr w14:val="tx1"/>
                  </w14:solidFill>
                </w14:textFill>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Merge w:val="continue"/>
            <w:vAlign w:val="center"/>
          </w:tcPr>
          <w:p>
            <w:pPr>
              <w:pStyle w:val="118"/>
              <w:rPr>
                <w:color w:val="000000" w:themeColor="text1"/>
                <w:highlight w:val="none"/>
                <w14:textFill>
                  <w14:solidFill>
                    <w14:schemeClr w14:val="tx1"/>
                  </w14:solidFill>
                </w14:textFill>
              </w:rPr>
            </w:pPr>
          </w:p>
        </w:tc>
        <w:tc>
          <w:tcPr>
            <w:tcW w:w="581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试采期：水套加热炉、放空</w:t>
            </w:r>
            <w:r>
              <w:rPr>
                <w:rFonts w:hint="eastAsia"/>
                <w:color w:val="000000" w:themeColor="text1"/>
                <w:highlight w:val="none"/>
                <w14:textFill>
                  <w14:solidFill>
                    <w14:schemeClr w14:val="tx1"/>
                  </w14:solidFill>
                </w14:textFill>
              </w:rPr>
              <w:t>管</w:t>
            </w:r>
            <w:r>
              <w:rPr>
                <w:color w:val="000000" w:themeColor="text1"/>
                <w:highlight w:val="none"/>
                <w14:textFill>
                  <w14:solidFill>
                    <w14:schemeClr w14:val="tx1"/>
                  </w14:solidFill>
                </w14:textFill>
              </w:rPr>
              <w:t>保养维护</w:t>
            </w:r>
          </w:p>
        </w:tc>
        <w:tc>
          <w:tcPr>
            <w:tcW w:w="1423" w:type="dxa"/>
            <w:vAlign w:val="center"/>
          </w:tcPr>
          <w:p>
            <w:pPr>
              <w:ind w:firstLine="480" w:firstLineChars="200"/>
              <w:rPr>
                <w:color w:val="000000" w:themeColor="text1"/>
                <w:highlight w:val="none"/>
                <w14:textFill>
                  <w14:solidFill>
                    <w14:schemeClr w14:val="tx1"/>
                  </w14:solidFill>
                </w14:textFill>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废水治理</w:t>
            </w:r>
          </w:p>
        </w:tc>
        <w:tc>
          <w:tcPr>
            <w:tcW w:w="581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w:t>
            </w:r>
            <w:r>
              <w:rPr>
                <w:rFonts w:hint="eastAsia"/>
                <w:color w:val="000000" w:themeColor="text1"/>
                <w:highlight w:val="none"/>
                <w14:textFill>
                  <w14:solidFill>
                    <w14:schemeClr w14:val="tx1"/>
                  </w14:solidFill>
                </w14:textFill>
              </w:rPr>
              <w:t>在施工场地内选择适宜位置修建隔油沉砂池，并采取重点防渗措施；修建沉淀池、泥浆池，进行一般防渗措施。</w:t>
            </w:r>
          </w:p>
        </w:tc>
        <w:tc>
          <w:tcPr>
            <w:tcW w:w="1423" w:type="dxa"/>
            <w:vAlign w:val="center"/>
          </w:tcPr>
          <w:p>
            <w:pPr>
              <w:ind w:firstLine="480" w:firstLineChars="200"/>
              <w:rPr>
                <w:color w:val="000000" w:themeColor="text1"/>
                <w:highlight w:val="none"/>
                <w14:textFill>
                  <w14:solidFill>
                    <w14:schemeClr w14:val="tx1"/>
                  </w14:solidFill>
                </w14:textFill>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Merge w:val="continue"/>
            <w:vAlign w:val="center"/>
          </w:tcPr>
          <w:p>
            <w:pPr>
              <w:pStyle w:val="118"/>
              <w:rPr>
                <w:color w:val="000000" w:themeColor="text1"/>
                <w:highlight w:val="none"/>
                <w14:textFill>
                  <w14:solidFill>
                    <w14:schemeClr w14:val="tx1"/>
                  </w14:solidFill>
                </w14:textFill>
              </w:rPr>
            </w:pPr>
          </w:p>
        </w:tc>
        <w:tc>
          <w:tcPr>
            <w:tcW w:w="581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试采期：</w:t>
            </w:r>
            <w:r>
              <w:rPr>
                <w:rFonts w:hint="eastAsia"/>
                <w:color w:val="000000" w:themeColor="text1"/>
                <w:highlight w:val="none"/>
                <w14:textFill>
                  <w14:solidFill>
                    <w14:schemeClr w14:val="tx1"/>
                  </w14:solidFill>
                </w14:textFill>
              </w:rPr>
              <w:t>新建1个污水罐，并采取相应防渗措施</w:t>
            </w:r>
          </w:p>
        </w:tc>
        <w:tc>
          <w:tcPr>
            <w:tcW w:w="1423" w:type="dxa"/>
            <w:vAlign w:val="center"/>
          </w:tcPr>
          <w:p>
            <w:pPr>
              <w:ind w:firstLine="480" w:firstLineChars="200"/>
              <w:rPr>
                <w:color w:val="000000" w:themeColor="text1"/>
                <w:highlight w:val="none"/>
                <w14:textFill>
                  <w14:solidFill>
                    <w14:schemeClr w14:val="tx1"/>
                  </w14:solidFill>
                </w14:textFill>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噪声治理</w:t>
            </w:r>
          </w:p>
        </w:tc>
        <w:tc>
          <w:tcPr>
            <w:tcW w:w="581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w:t>
            </w:r>
            <w:r>
              <w:rPr>
                <w:rFonts w:hint="eastAsia"/>
                <w:color w:val="000000" w:themeColor="text1"/>
                <w:highlight w:val="none"/>
                <w14:textFill>
                  <w14:solidFill>
                    <w14:schemeClr w14:val="tx1"/>
                  </w14:solidFill>
                </w14:textFill>
              </w:rPr>
              <w:t>合理布局、合理安排作业时间、加强员工培训减少人为噪声、合理安排车辆运输路线，经过敏感区时限速禁鸣笛</w:t>
            </w:r>
          </w:p>
        </w:tc>
        <w:tc>
          <w:tcPr>
            <w:tcW w:w="1423" w:type="dxa"/>
            <w:vAlign w:val="center"/>
          </w:tcPr>
          <w:p>
            <w:pPr>
              <w:ind w:firstLine="480" w:firstLineChars="200"/>
              <w:rPr>
                <w:color w:val="000000" w:themeColor="text1"/>
                <w:highlight w:val="none"/>
                <w14:textFill>
                  <w14:solidFill>
                    <w14:schemeClr w14:val="tx1"/>
                  </w14:solidFill>
                </w14:textFill>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Merge w:val="continue"/>
            <w:vAlign w:val="center"/>
          </w:tcPr>
          <w:p>
            <w:pPr>
              <w:pStyle w:val="118"/>
              <w:rPr>
                <w:color w:val="000000" w:themeColor="text1"/>
                <w:highlight w:val="none"/>
                <w14:textFill>
                  <w14:solidFill>
                    <w14:schemeClr w14:val="tx1"/>
                  </w14:solidFill>
                </w14:textFill>
              </w:rPr>
            </w:pPr>
          </w:p>
        </w:tc>
        <w:tc>
          <w:tcPr>
            <w:tcW w:w="581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试采期：合理布局，基础减振等</w:t>
            </w:r>
          </w:p>
        </w:tc>
        <w:tc>
          <w:tcPr>
            <w:tcW w:w="1423" w:type="dxa"/>
            <w:vAlign w:val="center"/>
          </w:tcPr>
          <w:p>
            <w:pPr>
              <w:ind w:firstLine="480" w:firstLineChars="200"/>
              <w:rPr>
                <w:color w:val="000000" w:themeColor="text1"/>
                <w:highlight w:val="none"/>
                <w14:textFill>
                  <w14:solidFill>
                    <w14:schemeClr w14:val="tx1"/>
                  </w14:solidFill>
                </w14:textFill>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固废治理</w:t>
            </w:r>
          </w:p>
        </w:tc>
        <w:tc>
          <w:tcPr>
            <w:tcW w:w="581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施工期：土石方回填；生活垃圾交市政环卫部门统一处理；施工废料由施工方回收利用或统一清运 </w:t>
            </w:r>
          </w:p>
        </w:tc>
        <w:tc>
          <w:tcPr>
            <w:tcW w:w="1423" w:type="dxa"/>
            <w:vAlign w:val="center"/>
          </w:tcPr>
          <w:p>
            <w:pPr>
              <w:ind w:firstLine="480" w:firstLineChars="200"/>
              <w:rPr>
                <w:color w:val="000000" w:themeColor="text1"/>
                <w:highlight w:val="none"/>
                <w14:textFill>
                  <w14:solidFill>
                    <w14:schemeClr w14:val="tx1"/>
                  </w14:solidFill>
                </w14:textFill>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Merge w:val="continue"/>
            <w:vAlign w:val="center"/>
          </w:tcPr>
          <w:p>
            <w:pPr>
              <w:pStyle w:val="118"/>
              <w:rPr>
                <w:color w:val="000000" w:themeColor="text1"/>
                <w:highlight w:val="none"/>
                <w14:textFill>
                  <w14:solidFill>
                    <w14:schemeClr w14:val="tx1"/>
                  </w14:solidFill>
                </w14:textFill>
              </w:rPr>
            </w:pPr>
          </w:p>
        </w:tc>
        <w:tc>
          <w:tcPr>
            <w:tcW w:w="581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试采期：生活垃圾交当地环卫部门处置，</w:t>
            </w:r>
            <w:r>
              <w:rPr>
                <w:rFonts w:hint="eastAsia"/>
                <w:color w:val="000000" w:themeColor="text1"/>
                <w:highlight w:val="none"/>
                <w14:textFill>
                  <w14:solidFill>
                    <w14:schemeClr w14:val="tx1"/>
                  </w14:solidFill>
                </w14:textFill>
              </w:rPr>
              <w:t>分离器废渣、</w:t>
            </w:r>
            <w:r>
              <w:rPr>
                <w:color w:val="000000" w:themeColor="text1"/>
                <w:highlight w:val="none"/>
                <w14:textFill>
                  <w14:solidFill>
                    <w14:schemeClr w14:val="tx1"/>
                  </w14:solidFill>
                </w14:textFill>
              </w:rPr>
              <w:t>清管废渣</w:t>
            </w:r>
            <w:r>
              <w:rPr>
                <w:rFonts w:hint="eastAsia"/>
                <w:color w:val="000000" w:themeColor="text1"/>
                <w:highlight w:val="none"/>
                <w14:textFill>
                  <w14:solidFill>
                    <w14:schemeClr w14:val="tx1"/>
                  </w14:solidFill>
                </w14:textFill>
              </w:rPr>
              <w:t>、废分子筛</w:t>
            </w:r>
            <w:r>
              <w:rPr>
                <w:color w:val="000000" w:themeColor="text1"/>
                <w:highlight w:val="none"/>
                <w14:textFill>
                  <w14:solidFill>
                    <w14:schemeClr w14:val="tx1"/>
                  </w14:solidFill>
                </w14:textFill>
              </w:rPr>
              <w:t>清运集中</w:t>
            </w:r>
            <w:r>
              <w:rPr>
                <w:rFonts w:hint="eastAsia"/>
                <w:color w:val="000000" w:themeColor="text1"/>
                <w:highlight w:val="none"/>
                <w14:textFill>
                  <w14:solidFill>
                    <w14:schemeClr w14:val="tx1"/>
                  </w14:solidFill>
                </w14:textFill>
              </w:rPr>
              <w:t>处置</w:t>
            </w:r>
          </w:p>
        </w:tc>
        <w:tc>
          <w:tcPr>
            <w:tcW w:w="1423" w:type="dxa"/>
            <w:vAlign w:val="center"/>
          </w:tcPr>
          <w:p>
            <w:pPr>
              <w:ind w:firstLine="480" w:firstLineChars="200"/>
              <w:rPr>
                <w:color w:val="000000" w:themeColor="text1"/>
                <w:highlight w:val="none"/>
                <w14:textFill>
                  <w14:solidFill>
                    <w14:schemeClr w14:val="tx1"/>
                  </w14:solidFill>
                </w14:textFill>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地下水及土壤防治措施</w:t>
            </w:r>
          </w:p>
        </w:tc>
        <w:tc>
          <w:tcPr>
            <w:tcW w:w="581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w:t>
            </w:r>
            <w:r>
              <w:rPr>
                <w:rFonts w:hint="eastAsia"/>
                <w:color w:val="000000" w:themeColor="text1"/>
                <w:highlight w:val="none"/>
                <w14:textFill>
                  <w14:solidFill>
                    <w14:schemeClr w14:val="tx1"/>
                  </w14:solidFill>
                </w14:textFill>
              </w:rPr>
              <w:t>依托周围民房已有设施收集处理生活污水，施工废水经废水池收集处理后回用不外排</w:t>
            </w:r>
          </w:p>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试采期：</w:t>
            </w:r>
            <w:r>
              <w:rPr>
                <w:rFonts w:hint="eastAsia"/>
                <w:color w:val="000000" w:themeColor="text1"/>
                <w:highlight w:val="none"/>
                <w14:textFill>
                  <w14:solidFill>
                    <w14:schemeClr w14:val="tx1"/>
                  </w14:solidFill>
                </w14:textFill>
              </w:rPr>
              <w:t>采取分区防渗措施。重点防渗区（新建）：污水罐区。一般防渗区：工艺区、生态厕所、集输管线。简单防渗区：道路及其他区域。</w:t>
            </w:r>
          </w:p>
        </w:tc>
        <w:tc>
          <w:tcPr>
            <w:tcW w:w="1423" w:type="dxa"/>
            <w:vAlign w:val="center"/>
          </w:tcPr>
          <w:p>
            <w:pPr>
              <w:ind w:firstLine="480" w:firstLineChars="200"/>
              <w:rPr>
                <w:color w:val="000000" w:themeColor="text1"/>
                <w:highlight w:val="none"/>
                <w14:textFill>
                  <w14:solidFill>
                    <w14:schemeClr w14:val="tx1"/>
                  </w14:solidFill>
                </w14:textFill>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生态恢复</w:t>
            </w:r>
          </w:p>
        </w:tc>
        <w:tc>
          <w:tcPr>
            <w:tcW w:w="581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青苗（林木）赔偿，临时占地施工迹地地表恢复等</w:t>
            </w:r>
          </w:p>
        </w:tc>
        <w:tc>
          <w:tcPr>
            <w:tcW w:w="1423" w:type="dxa"/>
            <w:vAlign w:val="center"/>
          </w:tcPr>
          <w:p>
            <w:pPr>
              <w:ind w:firstLine="480" w:firstLineChars="200"/>
              <w:rPr>
                <w:color w:val="000000" w:themeColor="text1"/>
                <w:highlight w:val="none"/>
                <w14:textFill>
                  <w14:solidFill>
                    <w14:schemeClr w14:val="tx1"/>
                  </w14:solidFill>
                </w14:textFill>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污染监控</w:t>
            </w:r>
          </w:p>
        </w:tc>
        <w:tc>
          <w:tcPr>
            <w:tcW w:w="581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施工期环境监测，正常时例行监测，污染发生时加密监测</w:t>
            </w:r>
          </w:p>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试采期环境监测，正常时例行监测，污染发生时加密监测</w:t>
            </w:r>
          </w:p>
        </w:tc>
        <w:tc>
          <w:tcPr>
            <w:tcW w:w="1423" w:type="dxa"/>
            <w:vAlign w:val="center"/>
          </w:tcPr>
          <w:p>
            <w:pPr>
              <w:ind w:firstLine="480" w:firstLineChars="200"/>
              <w:rPr>
                <w:color w:val="000000" w:themeColor="text1"/>
                <w:highlight w:val="none"/>
                <w14:textFill>
                  <w14:solidFill>
                    <w14:schemeClr w14:val="tx1"/>
                  </w14:solidFill>
                </w14:textFill>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风险防控措施</w:t>
            </w:r>
          </w:p>
        </w:tc>
        <w:tc>
          <w:tcPr>
            <w:tcW w:w="581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试采期：</w:t>
            </w:r>
            <w:r>
              <w:rPr>
                <w:rFonts w:hint="eastAsia"/>
                <w:color w:val="000000" w:themeColor="text1"/>
                <w:highlight w:val="none"/>
                <w14:textFill>
                  <w14:solidFill>
                    <w14:schemeClr w14:val="tx1"/>
                  </w14:solidFill>
                </w14:textFill>
              </w:rPr>
              <w:t>灭火器材等应急物资、报警系统、可燃气体检测器等</w:t>
            </w:r>
          </w:p>
        </w:tc>
        <w:tc>
          <w:tcPr>
            <w:tcW w:w="1423" w:type="dxa"/>
            <w:vAlign w:val="center"/>
          </w:tcPr>
          <w:p>
            <w:pPr>
              <w:ind w:firstLine="480" w:firstLineChars="200"/>
              <w:rPr>
                <w:color w:val="000000" w:themeColor="text1"/>
                <w:highlight w:val="none"/>
                <w14:textFill>
                  <w14:solidFill>
                    <w14:schemeClr w14:val="tx1"/>
                  </w14:solidFill>
                </w14:textFill>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Merge w:val="continue"/>
            <w:vAlign w:val="center"/>
          </w:tcPr>
          <w:p>
            <w:pPr>
              <w:pStyle w:val="118"/>
              <w:rPr>
                <w:color w:val="000000" w:themeColor="text1"/>
                <w:highlight w:val="none"/>
                <w14:textFill>
                  <w14:solidFill>
                    <w14:schemeClr w14:val="tx1"/>
                  </w14:solidFill>
                </w14:textFill>
              </w:rPr>
            </w:pPr>
          </w:p>
        </w:tc>
        <w:tc>
          <w:tcPr>
            <w:tcW w:w="5819"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增设标识标牌，制定应急预案，并定期演练，加强对周围群众的风险宣传</w:t>
            </w:r>
          </w:p>
        </w:tc>
        <w:tc>
          <w:tcPr>
            <w:tcW w:w="1423" w:type="dxa"/>
            <w:vAlign w:val="center"/>
          </w:tcPr>
          <w:p>
            <w:pPr>
              <w:ind w:firstLine="480" w:firstLineChars="200"/>
              <w:rPr>
                <w:color w:val="000000" w:themeColor="text1"/>
                <w:highlight w:val="none"/>
                <w14:textFill>
                  <w14:solidFill>
                    <w14:schemeClr w14:val="tx1"/>
                  </w14:solidFill>
                </w14:textFill>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退役环保措施</w:t>
            </w:r>
          </w:p>
        </w:tc>
        <w:tc>
          <w:tcPr>
            <w:tcW w:w="581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对设备、建筑进行拆除</w:t>
            </w:r>
            <w:r>
              <w:rPr>
                <w:rFonts w:hint="eastAsia"/>
                <w:color w:val="000000" w:themeColor="text1"/>
                <w:highlight w:val="none"/>
                <w14:textFill>
                  <w14:solidFill>
                    <w14:schemeClr w14:val="tx1"/>
                  </w14:solidFill>
                </w14:textFill>
              </w:rPr>
              <w:t>，清理场地，对试采站进行复垦</w:t>
            </w:r>
            <w:r>
              <w:rPr>
                <w:color w:val="000000" w:themeColor="text1"/>
                <w:highlight w:val="none"/>
                <w14:textFill>
                  <w14:solidFill>
                    <w14:schemeClr w14:val="tx1"/>
                  </w14:solidFill>
                </w14:textFill>
              </w:rPr>
              <w:t>。</w:t>
            </w:r>
          </w:p>
        </w:tc>
        <w:tc>
          <w:tcPr>
            <w:tcW w:w="1423" w:type="dxa"/>
            <w:vAlign w:val="center"/>
          </w:tcPr>
          <w:p>
            <w:pPr>
              <w:ind w:firstLine="480" w:firstLineChars="200"/>
              <w:rPr>
                <w:color w:val="000000" w:themeColor="text1"/>
                <w:highlight w:val="none"/>
                <w14:textFill>
                  <w14:solidFill>
                    <w14:schemeClr w14:val="tx1"/>
                  </w14:solidFill>
                </w14:textFill>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6799"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合计</w:t>
            </w:r>
          </w:p>
        </w:tc>
        <w:tc>
          <w:tcPr>
            <w:tcW w:w="1423" w:type="dxa"/>
            <w:vAlign w:val="center"/>
          </w:tcPr>
          <w:p>
            <w:pPr>
              <w:pStyle w:val="11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w:t>
            </w:r>
          </w:p>
        </w:tc>
      </w:tr>
    </w:tbl>
    <w:p>
      <w:pPr>
        <w:pStyle w:val="4"/>
        <w:spacing w:before="120"/>
        <w:rPr>
          <w:color w:val="000000" w:themeColor="text1"/>
          <w:highlight w:val="none"/>
          <w:lang w:eastAsia="zh-CN"/>
          <w14:textFill>
            <w14:solidFill>
              <w14:schemeClr w14:val="tx1"/>
            </w14:solidFill>
          </w14:textFill>
        </w:rPr>
      </w:pPr>
      <w:bookmarkStart w:id="416" w:name="7.2“三效益”分析"/>
      <w:bookmarkEnd w:id="416"/>
      <w:bookmarkStart w:id="417" w:name="_bookmark36"/>
      <w:bookmarkEnd w:id="417"/>
      <w:bookmarkStart w:id="418" w:name="_Toc24032"/>
      <w:r>
        <w:rPr>
          <w:color w:val="000000" w:themeColor="text1"/>
          <w:highlight w:val="none"/>
          <w:lang w:eastAsia="zh-CN"/>
          <w14:textFill>
            <w14:solidFill>
              <w14:schemeClr w14:val="tx1"/>
            </w14:solidFill>
          </w14:textFill>
        </w:rPr>
        <w:t>“三效益”分析</w:t>
      </w:r>
      <w:bookmarkEnd w:id="418"/>
    </w:p>
    <w:p>
      <w:pPr>
        <w:pStyle w:val="5"/>
        <w:spacing w:before="120"/>
        <w:ind w:firstLine="480"/>
        <w:rPr>
          <w:b/>
          <w:color w:val="000000" w:themeColor="text1"/>
          <w:highlight w:val="none"/>
          <w:lang w:eastAsia="zh-CN"/>
          <w14:textFill>
            <w14:solidFill>
              <w14:schemeClr w14:val="tx1"/>
            </w14:solidFill>
          </w14:textFill>
        </w:rPr>
      </w:pPr>
      <w:bookmarkStart w:id="419" w:name="7.2.1经济效益"/>
      <w:bookmarkEnd w:id="419"/>
      <w:bookmarkStart w:id="420" w:name="_Toc120173229"/>
      <w:r>
        <w:rPr>
          <w:color w:val="000000" w:themeColor="text1"/>
          <w:highlight w:val="none"/>
          <w:lang w:eastAsia="zh-CN"/>
          <w14:textFill>
            <w14:solidFill>
              <w14:schemeClr w14:val="tx1"/>
            </w14:solidFill>
          </w14:textFill>
        </w:rPr>
        <w:t>经济效益</w:t>
      </w:r>
      <w:bookmarkEnd w:id="420"/>
    </w:p>
    <w:p>
      <w:pPr>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外部效果：根据有关资料，每万立方天然气用于工业，平均可创产值2.650万元；每万立方天然气用于城市民用可节约城市供煤运费补贴640元。因此本项目实施可为社会创造工业产值和节约运煤补贴。</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从内部经济效益和外部经济效益来看，该工程的投产将普光气田内天然气资源的优势转化为经济优势，可大大增加地方利税收入，企业也将获得巨大的利润，为该地区带来巨大的天然气化工等方面经济效益。</w:t>
      </w:r>
    </w:p>
    <w:p>
      <w:pPr>
        <w:pStyle w:val="5"/>
        <w:spacing w:before="120"/>
        <w:ind w:firstLine="480"/>
        <w:rPr>
          <w:b/>
          <w:color w:val="000000" w:themeColor="text1"/>
          <w:highlight w:val="none"/>
          <w:lang w:eastAsia="zh-CN"/>
          <w14:textFill>
            <w14:solidFill>
              <w14:schemeClr w14:val="tx1"/>
            </w14:solidFill>
          </w14:textFill>
        </w:rPr>
      </w:pPr>
      <w:bookmarkStart w:id="421" w:name="7.2.2社会效益"/>
      <w:bookmarkEnd w:id="421"/>
      <w:bookmarkStart w:id="422" w:name="_Toc120173230"/>
      <w:r>
        <w:rPr>
          <w:color w:val="000000" w:themeColor="text1"/>
          <w:highlight w:val="none"/>
          <w:lang w:eastAsia="zh-CN"/>
          <w14:textFill>
            <w14:solidFill>
              <w14:schemeClr w14:val="tx1"/>
            </w14:solidFill>
          </w14:textFill>
        </w:rPr>
        <w:t>社会效益</w:t>
      </w:r>
      <w:bookmarkEnd w:id="422"/>
    </w:p>
    <w:p>
      <w:pPr>
        <w:adjustRightInd/>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w:t>
      </w:r>
    </w:p>
    <w:p>
      <w:pPr>
        <w:adjustRightInd/>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天然气属于清洁能源，对大气中的氮氧化物、二氧化硫、颗粒物影响较小，同时，天然气的利用可以很大程度上降低污染物处理费用，减少相应的环保措施。据统计，处理SO</w:t>
      </w:r>
      <w:r>
        <w:rPr>
          <w:color w:val="000000" w:themeColor="text1"/>
          <w:highlight w:val="none"/>
          <w:vertAlign w:val="subscript"/>
          <w14:textFill>
            <w14:solidFill>
              <w14:schemeClr w14:val="tx1"/>
            </w14:solidFill>
          </w14:textFill>
        </w:rPr>
        <w:t>2</w:t>
      </w:r>
      <w:r>
        <w:rPr>
          <w:color w:val="000000" w:themeColor="text1"/>
          <w:highlight w:val="none"/>
          <w14:textFill>
            <w14:solidFill>
              <w14:schemeClr w14:val="tx1"/>
            </w14:solidFill>
          </w14:textFill>
        </w:rPr>
        <w:t>所需费用为1.0元/kg，工程建设后，可减少SO</w:t>
      </w:r>
      <w:r>
        <w:rPr>
          <w:color w:val="000000" w:themeColor="text1"/>
          <w:highlight w:val="none"/>
          <w:vertAlign w:val="subscript"/>
          <w14:textFill>
            <w14:solidFill>
              <w14:schemeClr w14:val="tx1"/>
            </w14:solidFill>
          </w14:textFill>
        </w:rPr>
        <w:t>2</w:t>
      </w:r>
      <w:r>
        <w:rPr>
          <w:color w:val="000000" w:themeColor="text1"/>
          <w:highlight w:val="none"/>
          <w14:textFill>
            <w14:solidFill>
              <w14:schemeClr w14:val="tx1"/>
            </w14:solidFill>
          </w14:textFill>
        </w:rPr>
        <w:t>排放</w:t>
      </w:r>
      <w:r>
        <w:rPr>
          <w:rFonts w:hint="eastAsia"/>
          <w:color w:val="000000" w:themeColor="text1"/>
          <w:highlight w:val="none"/>
          <w14:textFill>
            <w14:solidFill>
              <w14:schemeClr w14:val="tx1"/>
            </w14:solidFill>
          </w14:textFill>
        </w:rPr>
        <w:t>176.66</w:t>
      </w:r>
      <w:r>
        <w:rPr>
          <w:color w:val="000000" w:themeColor="text1"/>
          <w:highlight w:val="none"/>
          <w14:textFill>
            <w14:solidFill>
              <w14:schemeClr w14:val="tx1"/>
            </w14:solidFill>
          </w14:textFill>
        </w:rPr>
        <w:t>t/a，每年可节约SO</w:t>
      </w:r>
      <w:r>
        <w:rPr>
          <w:color w:val="000000" w:themeColor="text1"/>
          <w:highlight w:val="none"/>
          <w:vertAlign w:val="subscript"/>
          <w14:textFill>
            <w14:solidFill>
              <w14:schemeClr w14:val="tx1"/>
            </w14:solidFill>
          </w14:textFill>
        </w:rPr>
        <w:t>2</w:t>
      </w:r>
      <w:r>
        <w:rPr>
          <w:color w:val="000000" w:themeColor="text1"/>
          <w:highlight w:val="none"/>
          <w14:textFill>
            <w14:solidFill>
              <w14:schemeClr w14:val="tx1"/>
            </w14:solidFill>
          </w14:textFill>
        </w:rPr>
        <w:t>治理费约为</w:t>
      </w:r>
      <w:r>
        <w:rPr>
          <w:rFonts w:hint="eastAsia"/>
          <w:color w:val="000000" w:themeColor="text1"/>
          <w:highlight w:val="none"/>
          <w14:textFill>
            <w14:solidFill>
              <w14:schemeClr w14:val="tx1"/>
            </w14:solidFill>
          </w14:textFill>
        </w:rPr>
        <w:t>17.667</w:t>
      </w:r>
      <w:r>
        <w:rPr>
          <w:color w:val="000000" w:themeColor="text1"/>
          <w:highlight w:val="none"/>
          <w14:textFill>
            <w14:solidFill>
              <w14:schemeClr w14:val="tx1"/>
            </w14:solidFill>
          </w14:textFill>
        </w:rPr>
        <w:t>万元。</w:t>
      </w:r>
    </w:p>
    <w:p>
      <w:pPr>
        <w:ind w:firstLine="480"/>
        <w:rPr>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因此，本项目的建设具有巨大的社会效益</w:t>
      </w:r>
      <w:r>
        <w:rPr>
          <w:bCs/>
          <w:color w:val="000000" w:themeColor="text1"/>
          <w:highlight w:val="none"/>
          <w14:textFill>
            <w14:solidFill>
              <w14:schemeClr w14:val="tx1"/>
            </w14:solidFill>
          </w14:textFill>
        </w:rPr>
        <w:t>。</w:t>
      </w:r>
    </w:p>
    <w:p>
      <w:pPr>
        <w:pStyle w:val="5"/>
        <w:spacing w:before="120"/>
        <w:ind w:firstLine="480"/>
        <w:rPr>
          <w:b/>
          <w:color w:val="000000" w:themeColor="text1"/>
          <w:highlight w:val="none"/>
          <w:lang w:eastAsia="zh-CN"/>
          <w14:textFill>
            <w14:solidFill>
              <w14:schemeClr w14:val="tx1"/>
            </w14:solidFill>
          </w14:textFill>
        </w:rPr>
      </w:pPr>
      <w:bookmarkStart w:id="423" w:name="7.2.3环境效益"/>
      <w:bookmarkEnd w:id="423"/>
      <w:bookmarkStart w:id="424" w:name="_Toc120173231"/>
      <w:r>
        <w:rPr>
          <w:color w:val="000000" w:themeColor="text1"/>
          <w:highlight w:val="none"/>
          <w:lang w:eastAsia="zh-CN"/>
          <w14:textFill>
            <w14:solidFill>
              <w14:schemeClr w14:val="tx1"/>
            </w14:solidFill>
          </w14:textFill>
        </w:rPr>
        <w:t>环境效益</w:t>
      </w:r>
      <w:bookmarkEnd w:id="424"/>
    </w:p>
    <w:p>
      <w:pPr>
        <w:adjustRightInd/>
        <w:ind w:firstLine="480"/>
        <w:rPr>
          <w:color w:val="000000" w:themeColor="text1"/>
          <w:highlight w:val="none"/>
          <w14:textFill>
            <w14:solidFill>
              <w14:schemeClr w14:val="tx1"/>
            </w14:solidFill>
          </w14:textFill>
        </w:rPr>
      </w:pPr>
      <w:bookmarkStart w:id="425" w:name="_Toc10063"/>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改善环境空气质量</w:t>
      </w:r>
      <w:bookmarkEnd w:id="425"/>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天然气利用可以减少环境空气污染物的排放量，改善环境空气质量。本项目在减轻大气环境影响方面效益显著，与燃油和燃煤相比具有更高的环境效益。</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我国的能源结构以煤炭为主，以煤为主的能源结构是造成大气污染的主要原因。根据世界各国污染治理的经验，减轻大气污染措施之一就是用无污染或低污染的优质能源替代煤炭。燃烧天然气排放的CO、NO</w:t>
      </w:r>
      <w:r>
        <w:rPr>
          <w:bCs/>
          <w:color w:val="000000" w:themeColor="text1"/>
          <w:highlight w:val="none"/>
          <w:vertAlign w:val="subscript"/>
          <w14:textFill>
            <w14:solidFill>
              <w14:schemeClr w14:val="tx1"/>
            </w14:solidFill>
          </w14:textFill>
        </w:rPr>
        <w:t>2</w:t>
      </w:r>
      <w:r>
        <w:rPr>
          <w:bCs/>
          <w:color w:val="000000" w:themeColor="text1"/>
          <w:highlight w:val="none"/>
          <w14:textFill>
            <w14:solidFill>
              <w14:schemeClr w14:val="tx1"/>
            </w14:solidFill>
          </w14:textFill>
        </w:rPr>
        <w:t>、SO</w:t>
      </w:r>
      <w:r>
        <w:rPr>
          <w:bCs/>
          <w:color w:val="000000" w:themeColor="text1"/>
          <w:highlight w:val="none"/>
          <w:vertAlign w:val="subscript"/>
          <w14:textFill>
            <w14:solidFill>
              <w14:schemeClr w14:val="tx1"/>
            </w14:solidFill>
          </w14:textFill>
        </w:rPr>
        <w:t>2</w:t>
      </w:r>
      <w:r>
        <w:rPr>
          <w:bCs/>
          <w:color w:val="000000" w:themeColor="text1"/>
          <w:highlight w:val="none"/>
          <w14:textFill>
            <w14:solidFill>
              <w14:schemeClr w14:val="tx1"/>
            </w14:solidFill>
          </w14:textFill>
        </w:rPr>
        <w:t>、灰分大大低于煤和原油的排放量。天然气燃烧可以节省NO</w:t>
      </w:r>
      <w:r>
        <w:rPr>
          <w:bCs/>
          <w:color w:val="000000" w:themeColor="text1"/>
          <w:highlight w:val="none"/>
          <w:vertAlign w:val="subscript"/>
          <w14:textFill>
            <w14:solidFill>
              <w14:schemeClr w14:val="tx1"/>
            </w14:solidFill>
          </w14:textFill>
        </w:rPr>
        <w:t>2</w:t>
      </w:r>
      <w:r>
        <w:rPr>
          <w:bCs/>
          <w:color w:val="000000" w:themeColor="text1"/>
          <w:highlight w:val="none"/>
          <w14:textFill>
            <w14:solidFill>
              <w14:schemeClr w14:val="tx1"/>
            </w14:solidFill>
          </w14:textFill>
        </w:rPr>
        <w:t>、SO</w:t>
      </w:r>
      <w:r>
        <w:rPr>
          <w:bCs/>
          <w:color w:val="000000" w:themeColor="text1"/>
          <w:highlight w:val="none"/>
          <w:vertAlign w:val="subscript"/>
          <w14:textFill>
            <w14:solidFill>
              <w14:schemeClr w14:val="tx1"/>
            </w14:solidFill>
          </w14:textFill>
        </w:rPr>
        <w:t>2</w:t>
      </w:r>
      <w:r>
        <w:rPr>
          <w:bCs/>
          <w:color w:val="000000" w:themeColor="text1"/>
          <w:highlight w:val="none"/>
          <w14:textFill>
            <w14:solidFill>
              <w14:schemeClr w14:val="tx1"/>
            </w14:solidFill>
          </w14:textFill>
        </w:rPr>
        <w:t>、烟尘、固体废物等处理费用，减少燃煤灰渣引起的土地占用。因此本项目的建设将很大程度上减少了燃煤等对环境的污染影响，带来较好的环境效益。</w:t>
      </w:r>
    </w:p>
    <w:p>
      <w:pPr>
        <w:adjustRightInd/>
        <w:snapToGrid/>
        <w:ind w:firstLine="480"/>
        <w:textAlignment w:val="baseline"/>
        <w:rPr>
          <w:rFonts w:eastAsia="Calibri" w:cs="Times New Roman"/>
          <w:color w:val="000000" w:themeColor="text1"/>
          <w:kern w:val="0"/>
          <w:szCs w:val="20"/>
          <w:highlight w:val="none"/>
          <w14:textFill>
            <w14:solidFill>
              <w14:schemeClr w14:val="tx1"/>
            </w14:solidFill>
          </w14:textFill>
        </w:rPr>
      </w:pPr>
      <w:bookmarkStart w:id="426" w:name="_Toc32625"/>
      <w:r>
        <w:rPr>
          <w:rFonts w:hint="eastAsia" w:cs="Times New Roman"/>
          <w:color w:val="000000" w:themeColor="text1"/>
          <w:kern w:val="0"/>
          <w:szCs w:val="20"/>
          <w:highlight w:val="none"/>
          <w14:textFill>
            <w14:solidFill>
              <w14:schemeClr w14:val="tx1"/>
            </w14:solidFill>
          </w14:textFill>
        </w:rPr>
        <w:t>2、</w:t>
      </w:r>
      <w:r>
        <w:rPr>
          <w:rFonts w:hint="eastAsia" w:ascii="宋体" w:hAnsi="宋体" w:cs="宋体"/>
          <w:color w:val="000000" w:themeColor="text1"/>
          <w:kern w:val="0"/>
          <w:szCs w:val="20"/>
          <w:highlight w:val="none"/>
          <w14:textFill>
            <w14:solidFill>
              <w14:schemeClr w14:val="tx1"/>
            </w14:solidFill>
          </w14:textFill>
        </w:rPr>
        <w:t>降低由环境空气污染引起的疾病</w:t>
      </w:r>
      <w:bookmarkEnd w:id="426"/>
    </w:p>
    <w:p>
      <w:pPr>
        <w:ind w:firstLine="480"/>
        <w:rPr>
          <w:bCs/>
          <w:color w:val="000000" w:themeColor="text1"/>
          <w:highlight w:val="none"/>
          <w14:textFill>
            <w14:solidFill>
              <w14:schemeClr w14:val="tx1"/>
            </w14:solidFill>
          </w14:textFill>
        </w:rPr>
      </w:pPr>
      <w:r>
        <w:rPr>
          <w:rFonts w:hint="eastAsia" w:ascii="宋体" w:hAnsi="宋体" w:cs="宋体"/>
          <w:color w:val="000000" w:themeColor="text1"/>
          <w:kern w:val="0"/>
          <w:szCs w:val="20"/>
          <w:highlight w:val="none"/>
          <w14:textFill>
            <w14:solidFill>
              <w14:schemeClr w14:val="tx1"/>
            </w14:solidFill>
          </w14:textFill>
        </w:rPr>
        <w:t>根</w:t>
      </w:r>
      <w:r>
        <w:rPr>
          <w:rFonts w:eastAsia="Calibri" w:cs="Times New Roman"/>
          <w:color w:val="000000" w:themeColor="text1"/>
          <w:kern w:val="0"/>
          <w:szCs w:val="20"/>
          <w:highlight w:val="none"/>
          <w14:textFill>
            <w14:solidFill>
              <w14:schemeClr w14:val="tx1"/>
            </w14:solidFill>
          </w14:textFill>
        </w:rPr>
        <w:t>据国内外统计资料介绍，环境空气污染可导致的疾病主要有慢性气管炎、哮喘、肺癌等。污染区（按二氧化硫超过国家二级标准计）比清洁区慢性气管炎发病率高9.4‰，肺心病发病率高11‰</w:t>
      </w:r>
      <w:r>
        <w:rPr>
          <w:rFonts w:hint="eastAsia" w:ascii="宋体" w:hAnsi="宋体" w:cs="宋体"/>
          <w:color w:val="000000" w:themeColor="text1"/>
          <w:kern w:val="0"/>
          <w:szCs w:val="20"/>
          <w:highlight w:val="none"/>
          <w14:textFill>
            <w14:solidFill>
              <w14:schemeClr w14:val="tx1"/>
            </w14:solidFill>
          </w14:textFill>
        </w:rPr>
        <w:t>。</w:t>
      </w:r>
    </w:p>
    <w:p>
      <w:pPr>
        <w:pStyle w:val="4"/>
        <w:spacing w:before="120"/>
        <w:rPr>
          <w:color w:val="000000" w:themeColor="text1"/>
          <w:highlight w:val="none"/>
          <w:lang w:eastAsia="zh-CN"/>
          <w14:textFill>
            <w14:solidFill>
              <w14:schemeClr w14:val="tx1"/>
            </w14:solidFill>
          </w14:textFill>
        </w:rPr>
      </w:pPr>
      <w:bookmarkStart w:id="427" w:name="_bookmark37"/>
      <w:bookmarkEnd w:id="427"/>
      <w:bookmarkStart w:id="428" w:name="7.3环境经济损益分析结论"/>
      <w:bookmarkEnd w:id="428"/>
      <w:bookmarkStart w:id="429" w:name="_Toc1047"/>
      <w:r>
        <w:rPr>
          <w:color w:val="000000" w:themeColor="text1"/>
          <w:highlight w:val="none"/>
          <w:lang w:eastAsia="zh-CN"/>
          <w14:textFill>
            <w14:solidFill>
              <w14:schemeClr w14:val="tx1"/>
            </w14:solidFill>
          </w14:textFill>
        </w:rPr>
        <w:t>环境经济损益分析结论</w:t>
      </w:r>
      <w:bookmarkEnd w:id="429"/>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本项目经济效益显著，项目建设符合社会效益、经济效益和环境效益统一的原则，环保投资小，由此可见，工程可衡量的环境损失远远小于工程带来的经济效益、环境效益和社会效益，工程的建设实现了经济效益、环境效益和社会效益的统一。</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本项目的实施，可以改善用气地区能源结构，天然气替代煤炭燃烧，减少因燃煤造成的环境污染，改善大气环境质量，本项目对环境的影响，从长远角度考虑，有利于环境质量改善，正面影响大于负面影响；天然气的应用，对提高人民生活质量、加快国民经济的发展产生积极作用，同时会为社会上缴大量税金，社会效益明显。本项目建设是可行的，符合社会、经济与环境协调发展的原则。</w:t>
      </w:r>
    </w:p>
    <w:p>
      <w:pPr>
        <w:pStyle w:val="3"/>
        <w:spacing w:before="480" w:beforeLines="200" w:after="0" w:line="480" w:lineRule="auto"/>
        <w:ind w:firstLine="560"/>
        <w:rPr>
          <w:b/>
          <w:color w:val="000000" w:themeColor="text1"/>
          <w:szCs w:val="28"/>
          <w:highlight w:val="none"/>
          <w:lang w:eastAsia="zh-CN"/>
          <w14:textFill>
            <w14:solidFill>
              <w14:schemeClr w14:val="tx1"/>
            </w14:solidFill>
          </w14:textFill>
        </w:rPr>
        <w:sectPr>
          <w:pgSz w:w="11910" w:h="16840"/>
          <w:pgMar w:top="1440" w:right="1800" w:bottom="1440" w:left="1800" w:header="964" w:footer="964" w:gutter="0"/>
          <w:cols w:space="720" w:num="1"/>
          <w:docGrid w:linePitch="326" w:charSpace="0"/>
        </w:sectPr>
      </w:pPr>
    </w:p>
    <w:p>
      <w:pPr>
        <w:pStyle w:val="3"/>
        <w:rPr>
          <w:b/>
          <w:color w:val="000000" w:themeColor="text1"/>
          <w:highlight w:val="none"/>
          <w:lang w:eastAsia="zh-CN"/>
          <w14:textFill>
            <w14:solidFill>
              <w14:schemeClr w14:val="tx1"/>
            </w14:solidFill>
          </w14:textFill>
        </w:rPr>
      </w:pPr>
      <w:bookmarkStart w:id="430" w:name="_Toc4374"/>
      <w:r>
        <w:rPr>
          <w:color w:val="000000" w:themeColor="text1"/>
          <w:highlight w:val="none"/>
          <w:lang w:eastAsia="zh-CN"/>
          <w14:textFill>
            <w14:solidFill>
              <w14:schemeClr w14:val="tx1"/>
            </w14:solidFill>
          </w14:textFill>
        </w:rPr>
        <w:t>清洁生产与总量控制</w:t>
      </w:r>
      <w:bookmarkEnd w:id="430"/>
    </w:p>
    <w:p>
      <w:pPr>
        <w:pStyle w:val="4"/>
        <w:spacing w:before="120"/>
        <w:rPr>
          <w:color w:val="000000" w:themeColor="text1"/>
          <w:highlight w:val="none"/>
          <w:lang w:eastAsia="zh-CN"/>
          <w14:textFill>
            <w14:solidFill>
              <w14:schemeClr w14:val="tx1"/>
            </w14:solidFill>
          </w14:textFill>
        </w:rPr>
      </w:pPr>
      <w:bookmarkStart w:id="431" w:name="_Toc7625"/>
      <w:r>
        <w:rPr>
          <w:color w:val="000000" w:themeColor="text1"/>
          <w:highlight w:val="none"/>
          <w:lang w:eastAsia="zh-CN"/>
          <w14:textFill>
            <w14:solidFill>
              <w14:schemeClr w14:val="tx1"/>
            </w14:solidFill>
          </w14:textFill>
        </w:rPr>
        <w:t>清洁生产分析</w:t>
      </w:r>
      <w:bookmarkEnd w:id="431"/>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目前，天然气开采业建设项目未被纳入</w:t>
      </w:r>
      <w:r>
        <w:rPr>
          <w:rFonts w:hint="eastAsia"/>
          <w:color w:val="000000" w:themeColor="text1"/>
          <w:highlight w:val="none"/>
          <w14:textFill>
            <w14:solidFill>
              <w14:schemeClr w14:val="tx1"/>
            </w14:solidFill>
          </w14:textFill>
        </w:rPr>
        <w:t>生态环境部</w:t>
      </w:r>
      <w:r>
        <w:rPr>
          <w:color w:val="000000" w:themeColor="text1"/>
          <w:highlight w:val="none"/>
          <w14:textFill>
            <w14:solidFill>
              <w14:schemeClr w14:val="tx1"/>
            </w14:solidFill>
          </w14:textFill>
        </w:rPr>
        <w:t>颁布的重点行业清洁生产标准目录中，根据对清洁生产评价评标体系查询，未发现针对天然气开采的清洁生产评价体系，故本评价从天然气开采建设的各个环节出发，对本项目的产品、原材料、工艺技术的清洁性以及三废治理工艺的先进性进行分析比较，并提出清洁生产措施和建议等。</w:t>
      </w:r>
    </w:p>
    <w:p>
      <w:pPr>
        <w:pStyle w:val="5"/>
        <w:spacing w:before="120"/>
        <w:ind w:firstLine="480"/>
        <w:rPr>
          <w:color w:val="000000" w:themeColor="text1"/>
          <w:highlight w:val="none"/>
          <w:lang w:eastAsia="zh-CN"/>
          <w14:textFill>
            <w14:solidFill>
              <w14:schemeClr w14:val="tx1"/>
            </w14:solidFill>
          </w14:textFill>
        </w:rPr>
      </w:pPr>
      <w:bookmarkStart w:id="432" w:name="_Toc120173235"/>
      <w:r>
        <w:rPr>
          <w:color w:val="000000" w:themeColor="text1"/>
          <w:highlight w:val="none"/>
          <w:lang w:eastAsia="zh-CN"/>
          <w14:textFill>
            <w14:solidFill>
              <w14:schemeClr w14:val="tx1"/>
            </w14:solidFill>
          </w14:textFill>
        </w:rPr>
        <w:t>工艺技术选择合理性分析</w:t>
      </w:r>
      <w:bookmarkEnd w:id="432"/>
    </w:p>
    <w:p>
      <w:pPr>
        <w:pStyle w:val="19"/>
        <w:adjustRightInd w:val="0"/>
        <w:snapToGrid w:val="0"/>
        <w:spacing w:line="360" w:lineRule="auto"/>
        <w:ind w:firstLine="480" w:firstLineChars="20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本项目以雷页1井自产的不含硫天然气作为能源进行</w:t>
      </w:r>
      <w:r>
        <w:rPr>
          <w:rFonts w:hint="eastAsia" w:ascii="Times New Roman" w:hAnsi="Times New Roman"/>
          <w:bCs/>
          <w:color w:val="000000" w:themeColor="text1"/>
          <w:kern w:val="2"/>
          <w:highlight w:val="none"/>
          <w:lang w:eastAsia="zh-CN"/>
          <w14:textFill>
            <w14:solidFill>
              <w14:schemeClr w14:val="tx1"/>
            </w14:solidFill>
          </w14:textFill>
        </w:rPr>
        <w:t>试采</w:t>
      </w:r>
      <w:r>
        <w:rPr>
          <w:rFonts w:ascii="Times New Roman" w:hAnsi="Times New Roman"/>
          <w:bCs/>
          <w:color w:val="000000" w:themeColor="text1"/>
          <w:kern w:val="2"/>
          <w:highlight w:val="none"/>
          <w:lang w:eastAsia="zh-CN"/>
          <w14:textFill>
            <w14:solidFill>
              <w14:schemeClr w14:val="tx1"/>
            </w14:solidFill>
          </w14:textFill>
        </w:rPr>
        <w:t>生产，</w:t>
      </w:r>
      <w:r>
        <w:rPr>
          <w:rFonts w:hint="eastAsia" w:ascii="Times New Roman" w:hAnsi="Times New Roman"/>
          <w:bCs/>
          <w:color w:val="000000" w:themeColor="text1"/>
          <w:kern w:val="2"/>
          <w:highlight w:val="none"/>
          <w:lang w:eastAsia="zh-CN"/>
          <w14:textFill>
            <w14:solidFill>
              <w14:schemeClr w14:val="tx1"/>
            </w14:solidFill>
          </w14:textFill>
        </w:rPr>
        <w:t>不设置</w:t>
      </w:r>
      <w:r>
        <w:rPr>
          <w:rFonts w:ascii="Times New Roman" w:hAnsi="Times New Roman"/>
          <w:bCs/>
          <w:color w:val="000000" w:themeColor="text1"/>
          <w:kern w:val="2"/>
          <w:highlight w:val="none"/>
          <w:lang w:eastAsia="zh-CN"/>
          <w14:textFill>
            <w14:solidFill>
              <w14:schemeClr w14:val="tx1"/>
            </w14:solidFill>
          </w14:textFill>
        </w:rPr>
        <w:t>燃气发电机组</w:t>
      </w:r>
      <w:r>
        <w:rPr>
          <w:rFonts w:hint="eastAsia" w:ascii="Times New Roman" w:hAnsi="Times New Roman"/>
          <w:bCs/>
          <w:color w:val="000000" w:themeColor="text1"/>
          <w:kern w:val="2"/>
          <w:highlight w:val="none"/>
          <w:lang w:eastAsia="zh-CN"/>
          <w14:textFill>
            <w14:solidFill>
              <w14:schemeClr w14:val="tx1"/>
            </w14:solidFill>
          </w14:textFill>
        </w:rPr>
        <w:t>，</w:t>
      </w:r>
      <w:r>
        <w:rPr>
          <w:rFonts w:ascii="Times New Roman" w:hAnsi="Times New Roman"/>
          <w:color w:val="000000" w:themeColor="text1"/>
          <w:highlight w:val="none"/>
          <w:lang w:eastAsia="zh-CN"/>
          <w14:textFill>
            <w14:solidFill>
              <w14:schemeClr w14:val="tx1"/>
            </w14:solidFill>
          </w14:textFill>
        </w:rPr>
        <w:t>减少</w:t>
      </w:r>
      <w:r>
        <w:rPr>
          <w:rFonts w:hint="eastAsia" w:ascii="Times New Roman" w:hAnsi="Times New Roman"/>
          <w:color w:val="000000" w:themeColor="text1"/>
          <w:highlight w:val="none"/>
          <w:lang w:eastAsia="zh-CN"/>
          <w14:textFill>
            <w14:solidFill>
              <w14:schemeClr w14:val="tx1"/>
            </w14:solidFill>
          </w14:textFill>
        </w:rPr>
        <w:t>了</w:t>
      </w:r>
      <w:r>
        <w:rPr>
          <w:rFonts w:ascii="Times New Roman" w:hAnsi="Times New Roman"/>
          <w:color w:val="000000" w:themeColor="text1"/>
          <w:highlight w:val="none"/>
          <w:lang w:eastAsia="zh-CN"/>
          <w14:textFill>
            <w14:solidFill>
              <w14:schemeClr w14:val="tx1"/>
            </w14:solidFill>
          </w14:textFill>
        </w:rPr>
        <w:t>NOx产生，同时所采用的天然气不含硫化氢，无SO</w:t>
      </w:r>
      <w:r>
        <w:rPr>
          <w:rFonts w:ascii="Times New Roman" w:hAnsi="Times New Roman"/>
          <w:color w:val="000000" w:themeColor="text1"/>
          <w:highlight w:val="none"/>
          <w:vertAlign w:val="subscript"/>
          <w:lang w:eastAsia="zh-CN"/>
          <w14:textFill>
            <w14:solidFill>
              <w14:schemeClr w14:val="tx1"/>
            </w14:solidFill>
          </w14:textFill>
        </w:rPr>
        <w:t>2</w:t>
      </w:r>
      <w:r>
        <w:rPr>
          <w:rFonts w:ascii="Times New Roman" w:hAnsi="Times New Roman"/>
          <w:color w:val="000000" w:themeColor="text1"/>
          <w:highlight w:val="none"/>
          <w:lang w:eastAsia="zh-CN"/>
          <w14:textFill>
            <w14:solidFill>
              <w14:schemeClr w14:val="tx1"/>
            </w14:solidFill>
          </w14:textFill>
        </w:rPr>
        <w:t>产生</w:t>
      </w:r>
      <w:r>
        <w:rPr>
          <w:rFonts w:ascii="Times New Roman" w:hAnsi="Times New Roman"/>
          <w:bCs/>
          <w:color w:val="000000" w:themeColor="text1"/>
          <w:kern w:val="2"/>
          <w:highlight w:val="none"/>
          <w:lang w:eastAsia="zh-CN"/>
          <w14:textFill>
            <w14:solidFill>
              <w14:schemeClr w14:val="tx1"/>
            </w14:solidFill>
          </w14:textFill>
        </w:rPr>
        <w:t>。符合清洁生产的要求。</w:t>
      </w:r>
    </w:p>
    <w:p>
      <w:pPr>
        <w:pStyle w:val="5"/>
        <w:spacing w:before="120"/>
        <w:ind w:firstLine="480"/>
        <w:rPr>
          <w:color w:val="000000" w:themeColor="text1"/>
          <w:highlight w:val="none"/>
          <w:lang w:eastAsia="zh-CN"/>
          <w14:textFill>
            <w14:solidFill>
              <w14:schemeClr w14:val="tx1"/>
            </w14:solidFill>
          </w14:textFill>
        </w:rPr>
      </w:pPr>
      <w:bookmarkStart w:id="433" w:name="_Toc120173236"/>
      <w:r>
        <w:rPr>
          <w:color w:val="000000" w:themeColor="text1"/>
          <w:highlight w:val="none"/>
          <w:lang w:eastAsia="zh-CN"/>
          <w14:textFill>
            <w14:solidFill>
              <w14:schemeClr w14:val="tx1"/>
            </w14:solidFill>
          </w14:textFill>
        </w:rPr>
        <w:t>产品的清洁性分析</w:t>
      </w:r>
      <w:bookmarkEnd w:id="433"/>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项目产品为天然气，属清洁、优质、具有竞争力的能源和化工原料。天然气单位热量所产生的温室气体CO</w:t>
      </w:r>
      <w:r>
        <w:rPr>
          <w:color w:val="000000" w:themeColor="text1"/>
          <w:highlight w:val="none"/>
          <w:vertAlign w:val="subscript"/>
          <w14:textFill>
            <w14:solidFill>
              <w14:schemeClr w14:val="tx1"/>
            </w14:solidFill>
          </w14:textFill>
        </w:rPr>
        <w:t>2</w:t>
      </w:r>
      <w:r>
        <w:rPr>
          <w:color w:val="000000" w:themeColor="text1"/>
          <w:highlight w:val="none"/>
          <w14:textFill>
            <w14:solidFill>
              <w14:schemeClr w14:val="tx1"/>
            </w14:solidFill>
          </w14:textFill>
        </w:rPr>
        <w:t>只是煤炭的一半左右，比石油少三分之一，天然气与电力比较，在燃料费用上的节省是显著的，但投资费用较大；与焦炭、原煤比较，虽无价格优势，但环保性和产品质量优势明显；与汽油、液化气相比，其价格和环境性能也有明显优势，天然气替代工业用油和液化石油气，有直接的经济效益，容易被用户接受，同时技改的投资少，属清洁产品。</w:t>
      </w:r>
    </w:p>
    <w:p>
      <w:pPr>
        <w:pStyle w:val="5"/>
        <w:spacing w:before="120"/>
        <w:ind w:firstLine="480"/>
        <w:rPr>
          <w:b/>
          <w:color w:val="000000" w:themeColor="text1"/>
          <w:highlight w:val="none"/>
          <w:lang w:eastAsia="zh-CN"/>
          <w14:textFill>
            <w14:solidFill>
              <w14:schemeClr w14:val="tx1"/>
            </w14:solidFill>
          </w14:textFill>
        </w:rPr>
      </w:pPr>
      <w:bookmarkStart w:id="434" w:name="_Toc120173237"/>
      <w:r>
        <w:rPr>
          <w:color w:val="000000" w:themeColor="text1"/>
          <w:highlight w:val="none"/>
          <w:lang w:eastAsia="zh-CN"/>
          <w14:textFill>
            <w14:solidFill>
              <w14:schemeClr w14:val="tx1"/>
            </w14:solidFill>
          </w14:textFill>
        </w:rPr>
        <w:t>清洁生产措施</w:t>
      </w:r>
      <w:bookmarkEnd w:id="434"/>
    </w:p>
    <w:p>
      <w:pPr>
        <w:ind w:firstLine="482"/>
        <w:rPr>
          <w:b/>
          <w:color w:val="000000" w:themeColor="text1"/>
          <w:highlight w:val="none"/>
          <w14:textFill>
            <w14:solidFill>
              <w14:schemeClr w14:val="tx1"/>
            </w14:solidFill>
          </w14:textFill>
        </w:rPr>
      </w:pPr>
      <w:r>
        <w:rPr>
          <w:b/>
          <w:color w:val="000000" w:themeColor="text1"/>
          <w:highlight w:val="none"/>
          <w14:textFill>
            <w14:solidFill>
              <w14:schemeClr w14:val="tx1"/>
            </w14:solidFill>
          </w14:textFill>
        </w:rPr>
        <w:t>（1）废水处理措施</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w:t>
      </w:r>
      <w:r>
        <w:rPr>
          <w:rFonts w:hint="eastAsia"/>
          <w:color w:val="000000" w:themeColor="text1"/>
          <w:highlight w:val="none"/>
          <w14:textFill>
            <w14:solidFill>
              <w14:schemeClr w14:val="tx1"/>
            </w14:solidFill>
          </w14:textFill>
        </w:rPr>
        <w:t>气田水通过密闭罐车拉运至赵家坝污水处理站达到《气田水回注方法》（SY/T 6596-2016）中注入水基本要求后管输至普光3井回注站回注处理，不外排</w:t>
      </w:r>
      <w:r>
        <w:rPr>
          <w:color w:val="000000" w:themeColor="text1"/>
          <w:highlight w:val="none"/>
          <w14:textFill>
            <w14:solidFill>
              <w14:schemeClr w14:val="tx1"/>
            </w14:solidFill>
          </w14:textFill>
        </w:rPr>
        <w:t>，对地表水和浅层地下水无影响。</w:t>
      </w:r>
    </w:p>
    <w:p>
      <w:pPr>
        <w:ind w:firstLine="482"/>
        <w:rPr>
          <w:b/>
          <w:color w:val="000000" w:themeColor="text1"/>
          <w:highlight w:val="none"/>
          <w14:textFill>
            <w14:solidFill>
              <w14:schemeClr w14:val="tx1"/>
            </w14:solidFill>
          </w14:textFill>
        </w:rPr>
      </w:pPr>
      <w:r>
        <w:rPr>
          <w:b/>
          <w:color w:val="000000" w:themeColor="text1"/>
          <w:highlight w:val="none"/>
          <w14:textFill>
            <w14:solidFill>
              <w14:schemeClr w14:val="tx1"/>
            </w14:solidFill>
          </w14:textFill>
        </w:rPr>
        <w:t>（2）</w:t>
      </w:r>
      <w:r>
        <w:rPr>
          <w:rFonts w:hint="eastAsia"/>
          <w:b/>
          <w:color w:val="000000" w:themeColor="text1"/>
          <w:highlight w:val="none"/>
          <w14:textFill>
            <w14:solidFill>
              <w14:schemeClr w14:val="tx1"/>
            </w14:solidFill>
          </w14:textFill>
        </w:rPr>
        <w:t>试采</w:t>
      </w:r>
      <w:r>
        <w:rPr>
          <w:b/>
          <w:color w:val="000000" w:themeColor="text1"/>
          <w:highlight w:val="none"/>
          <w14:textFill>
            <w14:solidFill>
              <w14:schemeClr w14:val="tx1"/>
            </w14:solidFill>
          </w14:textFill>
        </w:rPr>
        <w:t>期生产生活污水</w:t>
      </w:r>
    </w:p>
    <w:p>
      <w:pPr>
        <w:ind w:firstLine="480"/>
        <w:rPr>
          <w:bCs/>
          <w:color w:val="000000" w:themeColor="text1"/>
          <w:highlight w:val="none"/>
          <w14:textFill>
            <w14:solidFill>
              <w14:schemeClr w14:val="tx1"/>
            </w14:solidFill>
          </w14:textFill>
        </w:rPr>
      </w:pPr>
      <w:r>
        <w:rPr>
          <w:rFonts w:hint="eastAsia"/>
          <w:bCs/>
          <w:color w:val="000000" w:themeColor="text1"/>
          <w:highlight w:val="none"/>
          <w14:textFill>
            <w14:solidFill>
              <w14:schemeClr w14:val="tx1"/>
            </w14:solidFill>
          </w14:textFill>
        </w:rPr>
        <w:t>本项目试采期</w:t>
      </w:r>
      <w:r>
        <w:rPr>
          <w:bCs/>
          <w:color w:val="000000" w:themeColor="text1"/>
          <w:highlight w:val="none"/>
          <w14:textFill>
            <w14:solidFill>
              <w14:schemeClr w14:val="tx1"/>
            </w14:solidFill>
          </w14:textFill>
        </w:rPr>
        <w:t>生活污水</w:t>
      </w:r>
      <w:r>
        <w:rPr>
          <w:color w:val="000000" w:themeColor="text1"/>
          <w:highlight w:val="none"/>
          <w14:textFill>
            <w14:solidFill>
              <w14:schemeClr w14:val="tx1"/>
            </w14:solidFill>
          </w14:textFill>
        </w:rPr>
        <w:t>经生态厕所收集后定期由密闭罐车拉运至周边生活污水处理厂处理</w:t>
      </w:r>
      <w:r>
        <w:rPr>
          <w:bCs/>
          <w:color w:val="000000" w:themeColor="text1"/>
          <w:highlight w:val="none"/>
          <w14:textFill>
            <w14:solidFill>
              <w14:schemeClr w14:val="tx1"/>
            </w14:solidFill>
          </w14:textFill>
        </w:rPr>
        <w:t>。</w:t>
      </w:r>
    </w:p>
    <w:p>
      <w:pPr>
        <w:ind w:firstLine="482"/>
        <w:rPr>
          <w:b/>
          <w:color w:val="000000" w:themeColor="text1"/>
          <w:highlight w:val="none"/>
          <w14:textFill>
            <w14:solidFill>
              <w14:schemeClr w14:val="tx1"/>
            </w14:solidFill>
          </w14:textFill>
        </w:rPr>
      </w:pPr>
      <w:r>
        <w:rPr>
          <w:b/>
          <w:color w:val="000000" w:themeColor="text1"/>
          <w:highlight w:val="none"/>
          <w14:textFill>
            <w14:solidFill>
              <w14:schemeClr w14:val="tx1"/>
            </w14:solidFill>
          </w14:textFill>
        </w:rPr>
        <w:t>（3）废气处置措施</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本项目正常工况下均采取带压采输气，无废气外排，</w:t>
      </w:r>
      <w:bookmarkStart w:id="435" w:name="_Hlk91002276"/>
      <w:r>
        <w:rPr>
          <w:color w:val="000000" w:themeColor="text1"/>
          <w:highlight w:val="none"/>
          <w14:textFill>
            <w14:solidFill>
              <w14:schemeClr w14:val="tx1"/>
            </w14:solidFill>
          </w14:textFill>
        </w:rPr>
        <w:t>紧急情况下的外排废气采用引至20m高的放空</w:t>
      </w:r>
      <w:r>
        <w:rPr>
          <w:rFonts w:hint="eastAsia"/>
          <w:color w:val="000000" w:themeColor="text1"/>
          <w:highlight w:val="none"/>
          <w14:textFill>
            <w14:solidFill>
              <w14:schemeClr w14:val="tx1"/>
            </w14:solidFill>
          </w14:textFill>
        </w:rPr>
        <w:t>罐</w:t>
      </w:r>
      <w:r>
        <w:rPr>
          <w:color w:val="000000" w:themeColor="text1"/>
          <w:highlight w:val="none"/>
          <w14:textFill>
            <w14:solidFill>
              <w14:schemeClr w14:val="tx1"/>
            </w14:solidFill>
          </w14:textFill>
        </w:rPr>
        <w:t>点火燃烧方式燃烧后排放。</w:t>
      </w:r>
      <w:bookmarkEnd w:id="435"/>
    </w:p>
    <w:p>
      <w:pPr>
        <w:ind w:firstLine="482"/>
        <w:rPr>
          <w:b/>
          <w:color w:val="000000" w:themeColor="text1"/>
          <w:highlight w:val="none"/>
          <w14:textFill>
            <w14:solidFill>
              <w14:schemeClr w14:val="tx1"/>
            </w14:solidFill>
          </w14:textFill>
        </w:rPr>
      </w:pPr>
      <w:r>
        <w:rPr>
          <w:b/>
          <w:color w:val="000000" w:themeColor="text1"/>
          <w:highlight w:val="none"/>
          <w14:textFill>
            <w14:solidFill>
              <w14:schemeClr w14:val="tx1"/>
            </w14:solidFill>
          </w14:textFill>
        </w:rPr>
        <w:t>（4）固体废物处理措施</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本项目废渣及废分子筛均为一般工业废物，收集后定期交由当地具备处理工业废物能力的单位处置（其中废分子筛若厂家可回收则交由厂家回收）。值守人员生活垃圾交由环卫部门处置</w:t>
      </w:r>
      <w:r>
        <w:rPr>
          <w:color w:val="000000" w:themeColor="text1"/>
          <w:highlight w:val="none"/>
          <w14:textFill>
            <w14:solidFill>
              <w14:schemeClr w14:val="tx1"/>
            </w14:solidFill>
          </w14:textFill>
        </w:rPr>
        <w:t>。</w:t>
      </w:r>
    </w:p>
    <w:p>
      <w:pPr>
        <w:pStyle w:val="5"/>
        <w:spacing w:before="120"/>
        <w:ind w:firstLine="480"/>
        <w:rPr>
          <w:b/>
          <w:color w:val="000000" w:themeColor="text1"/>
          <w:highlight w:val="none"/>
          <w:lang w:eastAsia="zh-CN"/>
          <w14:textFill>
            <w14:solidFill>
              <w14:schemeClr w14:val="tx1"/>
            </w14:solidFill>
          </w14:textFill>
        </w:rPr>
      </w:pPr>
      <w:bookmarkStart w:id="436" w:name="_Toc120173238"/>
      <w:r>
        <w:rPr>
          <w:color w:val="000000" w:themeColor="text1"/>
          <w:highlight w:val="none"/>
          <w:lang w:eastAsia="zh-CN"/>
          <w14:textFill>
            <w14:solidFill>
              <w14:schemeClr w14:val="tx1"/>
            </w14:solidFill>
          </w14:textFill>
        </w:rPr>
        <w:t>清洁生产结论</w:t>
      </w:r>
      <w:bookmarkEnd w:id="436"/>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贯彻了清洁生产原则，符合清洁生产的要求及国家目前有关节能减排要求。为保持良好的清洁生产水平，本评价建议主要是加强管理，减少生产中的跑、冒、滴、漏现象，同时做好现场的应急措施。加强人员培训，增强职工清洁生产意识，尽可能地避免环境风险事故的发生，将本项目清洁生产维持在国内先进水平</w:t>
      </w:r>
      <w:r>
        <w:rPr>
          <w:color w:val="000000" w:themeColor="text1"/>
          <w:highlight w:val="none"/>
          <w14:textFill>
            <w14:solidFill>
              <w14:schemeClr w14:val="tx1"/>
            </w14:solidFill>
          </w14:textFill>
        </w:rPr>
        <w:t>。</w:t>
      </w:r>
    </w:p>
    <w:p>
      <w:pPr>
        <w:pStyle w:val="4"/>
        <w:spacing w:before="120"/>
        <w:rPr>
          <w:color w:val="000000" w:themeColor="text1"/>
          <w:highlight w:val="none"/>
          <w:lang w:eastAsia="zh-CN"/>
          <w14:textFill>
            <w14:solidFill>
              <w14:schemeClr w14:val="tx1"/>
            </w14:solidFill>
          </w14:textFill>
        </w:rPr>
      </w:pPr>
      <w:bookmarkStart w:id="437" w:name="_Toc3226"/>
      <w:r>
        <w:rPr>
          <w:color w:val="000000" w:themeColor="text1"/>
          <w:highlight w:val="none"/>
          <w:lang w:eastAsia="zh-CN"/>
          <w14:textFill>
            <w14:solidFill>
              <w14:schemeClr w14:val="tx1"/>
            </w14:solidFill>
          </w14:textFill>
        </w:rPr>
        <w:t>总量控制</w:t>
      </w:r>
      <w:bookmarkEnd w:id="437"/>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本项目为天然气</w:t>
      </w:r>
      <w:r>
        <w:rPr>
          <w:rFonts w:hint="eastAsia" w:cs="Times New Roman"/>
          <w:bCs/>
          <w:color w:val="000000" w:themeColor="text1"/>
          <w:szCs w:val="24"/>
          <w:highlight w:val="none"/>
          <w14:textFill>
            <w14:solidFill>
              <w14:schemeClr w14:val="tx1"/>
            </w14:solidFill>
          </w14:textFill>
        </w:rPr>
        <w:t>试采</w:t>
      </w:r>
      <w:r>
        <w:rPr>
          <w:rFonts w:cs="Times New Roman"/>
          <w:bCs/>
          <w:color w:val="000000" w:themeColor="text1"/>
          <w:szCs w:val="24"/>
          <w:highlight w:val="none"/>
          <w14:textFill>
            <w14:solidFill>
              <w14:schemeClr w14:val="tx1"/>
            </w14:solidFill>
          </w14:textFill>
        </w:rPr>
        <w:t>项目，根据《关于做好固定污染源排污许可清理整顿和2020年排污许可发证登记工作的通知》（环办环评函〔2019〕939号）和《固定污染源排污许可分类管理名录》（2019年版），本项目实行登记管理。中国石油化工股份有限公司中原油田普光分公司在达州地区各个集气站场均无总量控制指标要求，水套加热炉、放</w:t>
      </w:r>
      <w:r>
        <w:rPr>
          <w:rFonts w:hint="eastAsia" w:cs="Times New Roman"/>
          <w:bCs/>
          <w:color w:val="000000" w:themeColor="text1"/>
          <w:szCs w:val="24"/>
          <w:highlight w:val="none"/>
          <w14:textFill>
            <w14:solidFill>
              <w14:schemeClr w14:val="tx1"/>
            </w14:solidFill>
          </w14:textFill>
        </w:rPr>
        <w:t>空</w:t>
      </w:r>
      <w:r>
        <w:rPr>
          <w:rFonts w:cs="Times New Roman"/>
          <w:bCs/>
          <w:color w:val="000000" w:themeColor="text1"/>
          <w:szCs w:val="24"/>
          <w:highlight w:val="none"/>
          <w14:textFill>
            <w14:solidFill>
              <w14:schemeClr w14:val="tx1"/>
            </w14:solidFill>
          </w14:textFill>
        </w:rPr>
        <w:t>系统按要求缴纳环保税，因此本评价建议本项目不核定大气总量指标。</w:t>
      </w:r>
    </w:p>
    <w:p>
      <w:pPr>
        <w:ind w:firstLine="480"/>
        <w:rPr>
          <w:rFonts w:cs="Times New Roman"/>
          <w:bCs/>
          <w:color w:val="000000" w:themeColor="text1"/>
          <w:highlight w:val="none"/>
          <w14:textFill>
            <w14:solidFill>
              <w14:schemeClr w14:val="tx1"/>
            </w14:solidFill>
          </w14:textFill>
        </w:rPr>
      </w:pPr>
      <w:bookmarkStart w:id="438" w:name="_bookmark38"/>
      <w:bookmarkEnd w:id="438"/>
      <w:bookmarkStart w:id="439" w:name="第八章_环境管理与环境监测"/>
      <w:bookmarkEnd w:id="439"/>
      <w:r>
        <w:rPr>
          <w:rFonts w:cs="Times New Roman"/>
          <w:bCs/>
          <w:color w:val="000000" w:themeColor="text1"/>
          <w:szCs w:val="24"/>
          <w:highlight w:val="none"/>
          <w14:textFill>
            <w14:solidFill>
              <w14:schemeClr w14:val="tx1"/>
            </w14:solidFill>
          </w14:textFill>
        </w:rPr>
        <w:t>项目采气废水</w:t>
      </w:r>
      <w:r>
        <w:rPr>
          <w:rFonts w:hint="eastAsia" w:cs="Times New Roman"/>
          <w:bCs/>
          <w:color w:val="000000" w:themeColor="text1"/>
          <w:szCs w:val="24"/>
          <w:highlight w:val="none"/>
          <w14:textFill>
            <w14:solidFill>
              <w14:schemeClr w14:val="tx1"/>
            </w14:solidFill>
          </w14:textFill>
        </w:rPr>
        <w:t>通过密闭罐车拉运至赵家坝污水处理站达到《气田水回注方法》（SY/T 6596-2016）中注入水基本要求后管输至普光3井回注站回注处理，不外排</w:t>
      </w:r>
      <w:r>
        <w:rPr>
          <w:rFonts w:cs="Times New Roman"/>
          <w:bCs/>
          <w:color w:val="000000" w:themeColor="text1"/>
          <w:szCs w:val="24"/>
          <w:highlight w:val="none"/>
          <w14:textFill>
            <w14:solidFill>
              <w14:schemeClr w14:val="tx1"/>
            </w14:solidFill>
          </w14:textFill>
        </w:rPr>
        <w:t>。本项目处理后回注的废水不计算总量，处理后外排的废水的总量纳入依托的废水处理设施总量指标。</w:t>
      </w:r>
    </w:p>
    <w:p>
      <w:pPr>
        <w:ind w:firstLine="480"/>
        <w:rPr>
          <w:rFonts w:cs="Times New Roman"/>
          <w:color w:val="000000" w:themeColor="text1"/>
          <w:szCs w:val="24"/>
          <w:highlight w:val="none"/>
          <w14:textFill>
            <w14:solidFill>
              <w14:schemeClr w14:val="tx1"/>
            </w14:solidFill>
          </w14:textFill>
        </w:rPr>
        <w:sectPr>
          <w:pgSz w:w="11910" w:h="16840"/>
          <w:pgMar w:top="1440" w:right="1800" w:bottom="1440" w:left="1800" w:header="964" w:footer="964" w:gutter="0"/>
          <w:cols w:space="720" w:num="1"/>
          <w:docGrid w:linePitch="326" w:charSpace="0"/>
        </w:sectPr>
      </w:pPr>
    </w:p>
    <w:p>
      <w:pPr>
        <w:pStyle w:val="3"/>
        <w:rPr>
          <w:b/>
          <w:color w:val="000000" w:themeColor="text1"/>
          <w:highlight w:val="none"/>
          <w:lang w:eastAsia="zh-CN"/>
          <w14:textFill>
            <w14:solidFill>
              <w14:schemeClr w14:val="tx1"/>
            </w14:solidFill>
          </w14:textFill>
        </w:rPr>
      </w:pPr>
      <w:bookmarkStart w:id="440" w:name="_Toc17247"/>
      <w:r>
        <w:rPr>
          <w:color w:val="000000" w:themeColor="text1"/>
          <w:highlight w:val="none"/>
          <w:lang w:eastAsia="zh-CN"/>
          <w14:textFill>
            <w14:solidFill>
              <w14:schemeClr w14:val="tx1"/>
            </w14:solidFill>
          </w14:textFill>
        </w:rPr>
        <w:t>环境管理与环境监测</w:t>
      </w:r>
      <w:bookmarkEnd w:id="440"/>
    </w:p>
    <w:p>
      <w:pPr>
        <w:pStyle w:val="4"/>
        <w:spacing w:before="120"/>
        <w:rPr>
          <w:color w:val="000000" w:themeColor="text1"/>
          <w:highlight w:val="none"/>
          <w:lang w:eastAsia="zh-CN"/>
          <w14:textFill>
            <w14:solidFill>
              <w14:schemeClr w14:val="tx1"/>
            </w14:solidFill>
          </w14:textFill>
        </w:rPr>
      </w:pPr>
      <w:bookmarkStart w:id="441" w:name="8.1环境管理"/>
      <w:bookmarkEnd w:id="441"/>
      <w:bookmarkStart w:id="442" w:name="_bookmark39"/>
      <w:bookmarkEnd w:id="442"/>
      <w:bookmarkStart w:id="443" w:name="_Toc3988"/>
      <w:r>
        <w:rPr>
          <w:color w:val="000000" w:themeColor="text1"/>
          <w:highlight w:val="none"/>
          <w:lang w:eastAsia="zh-CN"/>
          <w14:textFill>
            <w14:solidFill>
              <w14:schemeClr w14:val="tx1"/>
            </w14:solidFill>
          </w14:textFill>
        </w:rPr>
        <w:t>环境管理</w:t>
      </w:r>
      <w:bookmarkEnd w:id="443"/>
    </w:p>
    <w:p>
      <w:pPr>
        <w:pStyle w:val="5"/>
        <w:spacing w:before="120"/>
        <w:ind w:firstLine="480"/>
        <w:rPr>
          <w:b/>
          <w:color w:val="000000" w:themeColor="text1"/>
          <w:highlight w:val="none"/>
          <w:lang w:eastAsia="zh-CN"/>
          <w14:textFill>
            <w14:solidFill>
              <w14:schemeClr w14:val="tx1"/>
            </w14:solidFill>
          </w14:textFill>
        </w:rPr>
      </w:pPr>
      <w:bookmarkStart w:id="444" w:name="8.1.1环境管理的目的和意义"/>
      <w:bookmarkEnd w:id="444"/>
      <w:bookmarkStart w:id="445" w:name="_Toc120173242"/>
      <w:r>
        <w:rPr>
          <w:color w:val="000000" w:themeColor="text1"/>
          <w:highlight w:val="none"/>
          <w:lang w:eastAsia="zh-CN"/>
          <w14:textFill>
            <w14:solidFill>
              <w14:schemeClr w14:val="tx1"/>
            </w14:solidFill>
          </w14:textFill>
        </w:rPr>
        <w:t>环境管理的目的和意义</w:t>
      </w:r>
      <w:bookmarkEnd w:id="445"/>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管理是协调经济、社会、环境有序发展的重要手段。环境管理就是以环境科学理论为基础，运用经济、法律、技术、行政、教育等手段去约束人类的社会经济活动，达到不超出环境容量的极限，又能满足人类日益增长的物质生活需要，并使经济发展与生态环境维持在相互可以接受的水平。实践证明，要解决好建设项目的环境问题，首先必须强化其环境管理。</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项目建成后应加强环境管理工作，按照国家的环保政策，建立环境管理制度，治理污染源，减少污染物的排放，最大限度地减少项目施工期和试采期对周围环境的不利影响，实现经济效益、社会效益和环境效益的统一。</w:t>
      </w:r>
    </w:p>
    <w:p>
      <w:pPr>
        <w:pStyle w:val="5"/>
        <w:spacing w:before="120"/>
        <w:ind w:firstLine="480"/>
        <w:rPr>
          <w:b/>
          <w:color w:val="000000" w:themeColor="text1"/>
          <w:highlight w:val="none"/>
          <w:lang w:eastAsia="zh-CN"/>
          <w14:textFill>
            <w14:solidFill>
              <w14:schemeClr w14:val="tx1"/>
            </w14:solidFill>
          </w14:textFill>
        </w:rPr>
      </w:pPr>
      <w:bookmarkStart w:id="446" w:name="8.1.2环境管理机构及职责"/>
      <w:bookmarkEnd w:id="446"/>
      <w:bookmarkStart w:id="447" w:name="_Toc120173243"/>
      <w:r>
        <w:rPr>
          <w:color w:val="000000" w:themeColor="text1"/>
          <w:highlight w:val="none"/>
          <w:lang w:eastAsia="zh-CN"/>
          <w14:textFill>
            <w14:solidFill>
              <w14:schemeClr w14:val="tx1"/>
            </w14:solidFill>
          </w14:textFill>
        </w:rPr>
        <w:t>施工期环境管理</w:t>
      </w:r>
      <w:bookmarkEnd w:id="447"/>
    </w:p>
    <w:p>
      <w:pPr>
        <w:ind w:firstLine="482"/>
        <w:rPr>
          <w:b/>
          <w:bCs/>
          <w:color w:val="000000" w:themeColor="text1"/>
          <w:highlight w:val="none"/>
          <w14:textFill>
            <w14:solidFill>
              <w14:schemeClr w14:val="tx1"/>
            </w14:solidFill>
          </w14:textFill>
        </w:rPr>
      </w:pPr>
      <w:bookmarkStart w:id="448" w:name="8.1.4运营期环境管理"/>
      <w:bookmarkEnd w:id="448"/>
      <w:r>
        <w:rPr>
          <w:b/>
          <w:bCs/>
          <w:color w:val="000000" w:themeColor="text1"/>
          <w:highlight w:val="none"/>
          <w14:textFill>
            <w14:solidFill>
              <w14:schemeClr w14:val="tx1"/>
            </w14:solidFill>
          </w14:textFill>
        </w:rPr>
        <w:t>1、建立有效的环保措施落实监督检查机制</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单位应设专人负责监督不同施工单位在各自实施阶段过程中的环境保护工作，同时监督施工单位落实环境保护措施。在施工承包合同中，应该包括有关环境保护条款，如生态保护措施，水土保持措施，施工设备排放的废气、噪声控制措施和环境保护目标，环境监控措施，环保专项资金的落实等。</w:t>
      </w:r>
    </w:p>
    <w:p>
      <w:pPr>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2、建立有效的环境管理机构</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方应设专人负责各作业单元HSE管理制度的贯彻执行，主要职责在于监督承包商履行承包合同，监督作业进程。制定作业环境保护规定。根据施工作业合同中有关环保要求和各作业特点，分别制定各项环保措施。如在施工过程中，要求在保证安全和顺利施工的情况下，减少对土地的征用及植被、作物的人为破坏，禁止猎杀野生动物；在车辆运输中，要事先确定路线，防止车辆油料及物料装运泄漏等。</w:t>
      </w:r>
    </w:p>
    <w:p>
      <w:pPr>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3、建立完善的环保工作计划</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1）在施工前制定环境保护规划</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收集施工地区现有的自然生态环境、社会环境状况以及当地政府有关环境保护的法规等，作为制定规划的依据。重点考虑生态、野生动物、植物等。</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2）进行环境保护培训</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在施工前需对全体员工进行环境保护知识和环保意识培训，并结合施工计划提出具体的环保措施。</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3）紧急情况处理计划</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计划中要考虑施工中可能出现的紧急情况，并明确处理紧急情况的协调及提交相关的恢复措施报告。</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4）施工结束后的恢复计划</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施工前必须制定恢复计划，主要包括：收集所有的施工材料废弃物和生活废弃物、填实污水坑并用土压实，尽量恢复工区内的自然排水通道，营地</w:t>
      </w:r>
      <w:r>
        <w:rPr>
          <w:rFonts w:hint="eastAsia"/>
          <w:color w:val="000000" w:themeColor="text1"/>
          <w:highlight w:val="none"/>
          <w14:textFill>
            <w14:solidFill>
              <w14:schemeClr w14:val="tx1"/>
            </w14:solidFill>
          </w14:textFill>
        </w:rPr>
        <w:t>拆除</w:t>
      </w:r>
      <w:r>
        <w:rPr>
          <w:color w:val="000000" w:themeColor="text1"/>
          <w:highlight w:val="none"/>
          <w14:textFill>
            <w14:solidFill>
              <w14:schemeClr w14:val="tx1"/>
            </w14:solidFill>
          </w14:textFill>
        </w:rPr>
        <w:t>后不留废弃物品，并对现场作业环境和营地环境恢复情况进行回访等。</w:t>
      </w:r>
    </w:p>
    <w:p>
      <w:pPr>
        <w:pStyle w:val="5"/>
        <w:spacing w:before="120"/>
        <w:ind w:firstLine="480"/>
        <w:rPr>
          <w:b/>
          <w:color w:val="000000" w:themeColor="text1"/>
          <w:highlight w:val="none"/>
          <w:lang w:eastAsia="zh-CN"/>
          <w14:textFill>
            <w14:solidFill>
              <w14:schemeClr w14:val="tx1"/>
            </w14:solidFill>
          </w14:textFill>
        </w:rPr>
      </w:pPr>
      <w:bookmarkStart w:id="449" w:name="_Toc120173244"/>
      <w:r>
        <w:rPr>
          <w:color w:val="000000" w:themeColor="text1"/>
          <w:highlight w:val="none"/>
          <w:lang w:eastAsia="zh-CN"/>
          <w14:textFill>
            <w14:solidFill>
              <w14:schemeClr w14:val="tx1"/>
            </w14:solidFill>
          </w14:textFill>
        </w:rPr>
        <w:t>试采期环境管理</w:t>
      </w:r>
      <w:bookmarkEnd w:id="449"/>
    </w:p>
    <w:p>
      <w:pPr>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1、加强环保设备的管理</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建立环保</w:t>
      </w:r>
      <w:r>
        <w:rPr>
          <w:rFonts w:hint="eastAsia"/>
          <w:color w:val="000000" w:themeColor="text1"/>
          <w:highlight w:val="none"/>
          <w14:textFill>
            <w14:solidFill>
              <w14:schemeClr w14:val="tx1"/>
            </w14:solidFill>
          </w14:textFill>
        </w:rPr>
        <w:t>设备台账</w:t>
      </w:r>
      <w:r>
        <w:rPr>
          <w:color w:val="000000" w:themeColor="text1"/>
          <w:highlight w:val="none"/>
          <w14:textFill>
            <w14:solidFill>
              <w14:schemeClr w14:val="tx1"/>
            </w14:solidFill>
          </w14:textFill>
        </w:rPr>
        <w:t>，制定主要环保设备的操作规程及安排专门操作人员，建立重点处理设备的“环保运行记录”等。</w:t>
      </w:r>
    </w:p>
    <w:p>
      <w:pPr>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2、落实管理制度</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除加强环保设备的基础管理外，尚需狠抓制度的落实，制定环保经济责任制考核制度，以提高各部门对环境保护的责任感。</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在项目试采期，环境管理除做好监督与检查站场各项环保设施的运行和维护等工作外，工作重点应针对工艺装置或管线破裂后天然气泄漏着火爆炸、着火爆炸等重大事故的预防和处理上。重大环境污染事故不同于一般的环境污染，它没有固定的排放方式和排放途径，具有发生突然、危害严重、污染影响长远且难于完全消除等特点。为此，必须制定相应的事故预防措施、事故应急措施以及恢复补偿措施等。</w:t>
      </w:r>
    </w:p>
    <w:p>
      <w:pPr>
        <w:pStyle w:val="4"/>
        <w:spacing w:before="120"/>
        <w:rPr>
          <w:color w:val="000000" w:themeColor="text1"/>
          <w:highlight w:val="none"/>
          <w:lang w:eastAsia="zh-CN"/>
          <w14:textFill>
            <w14:solidFill>
              <w14:schemeClr w14:val="tx1"/>
            </w14:solidFill>
          </w14:textFill>
        </w:rPr>
      </w:pPr>
      <w:bookmarkStart w:id="450" w:name="_Toc10966"/>
      <w:r>
        <w:rPr>
          <w:color w:val="000000" w:themeColor="text1"/>
          <w:highlight w:val="none"/>
          <w:lang w:eastAsia="zh-CN"/>
          <w14:textFill>
            <w14:solidFill>
              <w14:schemeClr w14:val="tx1"/>
            </w14:solidFill>
          </w14:textFill>
        </w:rPr>
        <w:t>污染物排放清单</w:t>
      </w:r>
      <w:bookmarkEnd w:id="450"/>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根据《建设项目环境影</w:t>
      </w:r>
      <w:r>
        <w:rPr>
          <w:color w:val="000000" w:themeColor="text1"/>
          <w:highlight w:val="none"/>
          <w14:textFill>
            <w14:solidFill>
              <w14:schemeClr w14:val="tx1"/>
            </w14:solidFill>
          </w14:textFill>
        </w:rPr>
        <w:t>响评价技术导则总纲》（HJ2.1-2016）相关要求，</w:t>
      </w:r>
      <w:r>
        <w:rPr>
          <w:rFonts w:hint="eastAsia"/>
          <w:color w:val="000000" w:themeColor="text1"/>
          <w:highlight w:val="none"/>
          <w14:textFill>
            <w14:solidFill>
              <w14:schemeClr w14:val="tx1"/>
            </w14:solidFill>
          </w14:textFill>
        </w:rPr>
        <w:t>建设项目</w:t>
      </w:r>
      <w:r>
        <w:rPr>
          <w:color w:val="000000" w:themeColor="text1"/>
          <w:highlight w:val="none"/>
          <w14:textFill>
            <w14:solidFill>
              <w14:schemeClr w14:val="tx1"/>
            </w14:solidFill>
          </w14:textFill>
        </w:rPr>
        <w:t>应给出污染物排放清单，明确污染物排放的管理要求。包括工程组成及原辅材料组分要求，建设项</w:t>
      </w:r>
      <w:r>
        <w:rPr>
          <w:bCs/>
          <w:color w:val="000000" w:themeColor="text1"/>
          <w:highlight w:val="none"/>
          <w14:textFill>
            <w14:solidFill>
              <w14:schemeClr w14:val="tx1"/>
            </w14:solidFill>
          </w14:textFill>
        </w:rPr>
        <w:t>目拟采取的环境保护措施及主要运行参数，排放的污染物种类、放浓度和总量指标，污染物排放的分时段要求，排污口信息，执行的环境标准，环境风险防范措施以及环境监测等。提出应向社会公开的信息内容。本项目污染物排放具体见</w:t>
      </w:r>
      <w:r>
        <w:rPr>
          <w:bCs/>
          <w:color w:val="000000" w:themeColor="text1"/>
          <w:highlight w:val="none"/>
          <w14:textFill>
            <w14:solidFill>
              <w14:schemeClr w14:val="tx1"/>
            </w14:solidFill>
          </w14:textFill>
        </w:rPr>
        <w:fldChar w:fldCharType="begin"/>
      </w:r>
      <w:r>
        <w:rPr>
          <w:bCs/>
          <w:color w:val="000000" w:themeColor="text1"/>
          <w:highlight w:val="none"/>
          <w14:textFill>
            <w14:solidFill>
              <w14:schemeClr w14:val="tx1"/>
            </w14:solidFill>
          </w14:textFill>
        </w:rPr>
        <w:instrText xml:space="preserve"> REF _Ref142859786 \h  \* MERGEFORMAT </w:instrText>
      </w:r>
      <w:r>
        <w:rPr>
          <w:bCs/>
          <w:color w:val="000000" w:themeColor="text1"/>
          <w:highlight w:val="none"/>
          <w14:textFill>
            <w14:solidFill>
              <w14:schemeClr w14:val="tx1"/>
            </w14:solidFill>
          </w14:textFill>
        </w:rPr>
        <w:fldChar w:fldCharType="separate"/>
      </w:r>
      <w:r>
        <w:rPr>
          <w:rFonts w:hint="eastAsia"/>
          <w:bCs/>
          <w:color w:val="000000" w:themeColor="text1"/>
          <w:highlight w:val="none"/>
          <w14:textFill>
            <w14:solidFill>
              <w14:schemeClr w14:val="tx1"/>
            </w14:solidFill>
          </w14:textFill>
        </w:rPr>
        <w:t>表</w:t>
      </w:r>
      <w:r>
        <w:rPr>
          <w:bCs/>
          <w:color w:val="000000" w:themeColor="text1"/>
          <w:highlight w:val="none"/>
          <w14:textFill>
            <w14:solidFill>
              <w14:schemeClr w14:val="tx1"/>
            </w14:solidFill>
          </w14:textFill>
        </w:rPr>
        <w:t>10.2</w:t>
      </w:r>
      <w:r>
        <w:rPr>
          <w:bCs/>
          <w:color w:val="000000" w:themeColor="text1"/>
          <w:highlight w:val="none"/>
          <w14:textFill>
            <w14:solidFill>
              <w14:schemeClr w14:val="tx1"/>
            </w14:solidFill>
          </w14:textFill>
        </w:rPr>
        <w:noBreakHyphen/>
      </w:r>
      <w:r>
        <w:rPr>
          <w:bCs/>
          <w:color w:val="000000" w:themeColor="text1"/>
          <w:highlight w:val="none"/>
          <w14:textFill>
            <w14:solidFill>
              <w14:schemeClr w14:val="tx1"/>
            </w14:solidFill>
          </w14:textFill>
        </w:rPr>
        <w:t>1</w:t>
      </w:r>
      <w:r>
        <w:rPr>
          <w:bCs/>
          <w:color w:val="000000" w:themeColor="text1"/>
          <w:highlight w:val="none"/>
          <w14:textFill>
            <w14:solidFill>
              <w14:schemeClr w14:val="tx1"/>
            </w14:solidFill>
          </w14:textFill>
        </w:rPr>
        <w:fldChar w:fldCharType="end"/>
      </w:r>
      <w:r>
        <w:rPr>
          <w:bCs/>
          <w:color w:val="000000" w:themeColor="text1"/>
          <w:highlight w:val="none"/>
          <w14:textFill>
            <w14:solidFill>
              <w14:schemeClr w14:val="tx1"/>
            </w14:solidFill>
          </w14:textFill>
        </w:rPr>
        <w:t>。</w:t>
      </w:r>
    </w:p>
    <w:p>
      <w:pPr>
        <w:ind w:firstLine="480"/>
        <w:rPr>
          <w:bCs/>
          <w:color w:val="000000" w:themeColor="text1"/>
          <w:highlight w:val="none"/>
          <w14:textFill>
            <w14:solidFill>
              <w14:schemeClr w14:val="tx1"/>
            </w14:solidFill>
          </w14:textFill>
        </w:rPr>
        <w:sectPr>
          <w:pgSz w:w="11910" w:h="16840"/>
          <w:pgMar w:top="1440" w:right="1800" w:bottom="1440" w:left="1800" w:header="964" w:footer="964" w:gutter="0"/>
          <w:cols w:space="720" w:num="1"/>
          <w:docGrid w:linePitch="326" w:charSpace="0"/>
        </w:sectPr>
      </w:pPr>
    </w:p>
    <w:p>
      <w:pPr>
        <w:pStyle w:val="96"/>
        <w:spacing w:before="120"/>
        <w:rPr>
          <w:color w:val="000000" w:themeColor="text1"/>
          <w:highlight w:val="none"/>
          <w14:textFill>
            <w14:solidFill>
              <w14:schemeClr w14:val="tx1"/>
            </w14:solidFill>
          </w14:textFill>
        </w:rPr>
      </w:pPr>
      <w:bookmarkStart w:id="451" w:name="_Ref142859786"/>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10.2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bookmarkEnd w:id="451"/>
      <w:r>
        <w:rPr>
          <w:rFonts w:hint="eastAsia"/>
          <w:color w:val="000000" w:themeColor="text1"/>
          <w:highlight w:val="none"/>
          <w14:textFill>
            <w14:solidFill>
              <w14:schemeClr w14:val="tx1"/>
            </w14:solidFill>
          </w14:textFill>
        </w:rPr>
        <w:t>本项目污染物排放清单一览表</w:t>
      </w:r>
    </w:p>
    <w:tbl>
      <w:tblPr>
        <w:tblStyle w:val="41"/>
        <w:tblW w:w="133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62"/>
        <w:gridCol w:w="1418"/>
        <w:gridCol w:w="1276"/>
        <w:gridCol w:w="881"/>
        <w:gridCol w:w="801"/>
        <w:gridCol w:w="869"/>
        <w:gridCol w:w="3827"/>
        <w:gridCol w:w="851"/>
        <w:gridCol w:w="2268"/>
        <w:gridCol w:w="5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Header/>
          <w:jc w:val="center"/>
        </w:trPr>
        <w:tc>
          <w:tcPr>
            <w:tcW w:w="562"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w:t>
            </w:r>
            <w:r>
              <w:rPr>
                <w:b/>
                <w:bCs/>
                <w:color w:val="000000" w:themeColor="text1"/>
                <w:w w:val="99"/>
                <w:highlight w:val="none"/>
                <w14:textFill>
                  <w14:solidFill>
                    <w14:schemeClr w14:val="tx1"/>
                  </w14:solidFill>
                </w14:textFill>
              </w:rPr>
              <w:t>物</w:t>
            </w:r>
          </w:p>
        </w:tc>
        <w:tc>
          <w:tcPr>
            <w:tcW w:w="2694" w:type="dxa"/>
            <w:gridSpan w:val="2"/>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污染物种类</w:t>
            </w:r>
          </w:p>
        </w:tc>
        <w:tc>
          <w:tcPr>
            <w:tcW w:w="881"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排放浓度mg/m</w:t>
            </w:r>
            <w:r>
              <w:rPr>
                <w:b/>
                <w:bCs/>
                <w:color w:val="000000" w:themeColor="text1"/>
                <w:highlight w:val="none"/>
                <w:vertAlign w:val="superscript"/>
                <w14:textFill>
                  <w14:solidFill>
                    <w14:schemeClr w14:val="tx1"/>
                  </w14:solidFill>
                </w14:textFill>
              </w:rPr>
              <w:t>3</w:t>
            </w:r>
          </w:p>
        </w:tc>
        <w:tc>
          <w:tcPr>
            <w:tcW w:w="801"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排放速率kg/h</w:t>
            </w:r>
          </w:p>
        </w:tc>
        <w:tc>
          <w:tcPr>
            <w:tcW w:w="869"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排放量t/a</w:t>
            </w:r>
          </w:p>
        </w:tc>
        <w:tc>
          <w:tcPr>
            <w:tcW w:w="3827"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环保措施</w:t>
            </w:r>
          </w:p>
        </w:tc>
        <w:tc>
          <w:tcPr>
            <w:tcW w:w="851"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运行参数</w:t>
            </w:r>
          </w:p>
        </w:tc>
        <w:tc>
          <w:tcPr>
            <w:tcW w:w="2268"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处理效果、执行标准或拟达要求</w:t>
            </w:r>
          </w:p>
        </w:tc>
        <w:tc>
          <w:tcPr>
            <w:tcW w:w="572"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总量控制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大气污染物</w:t>
            </w:r>
          </w:p>
        </w:tc>
        <w:tc>
          <w:tcPr>
            <w:tcW w:w="141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施工扬尘</w:t>
            </w:r>
          </w:p>
        </w:tc>
        <w:tc>
          <w:tcPr>
            <w:tcW w:w="1276"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TSP</w:t>
            </w:r>
          </w:p>
        </w:tc>
        <w:tc>
          <w:tcPr>
            <w:tcW w:w="881" w:type="dxa"/>
            <w:vAlign w:val="center"/>
          </w:tcPr>
          <w:p>
            <w:pPr>
              <w:pStyle w:val="118"/>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801" w:type="dxa"/>
            <w:vAlign w:val="center"/>
          </w:tcPr>
          <w:p>
            <w:pPr>
              <w:pStyle w:val="118"/>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86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少量</w:t>
            </w:r>
          </w:p>
        </w:tc>
        <w:tc>
          <w:tcPr>
            <w:tcW w:w="3827"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洒水降尘、设置围挡、土石方遮盖、车辆加盖篷布等</w:t>
            </w:r>
          </w:p>
        </w:tc>
        <w:tc>
          <w:tcPr>
            <w:tcW w:w="85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施工期，白天</w:t>
            </w:r>
          </w:p>
        </w:tc>
        <w:tc>
          <w:tcPr>
            <w:tcW w:w="226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对周围环境影响很小</w:t>
            </w:r>
          </w:p>
        </w:tc>
        <w:tc>
          <w:tcPr>
            <w:tcW w:w="57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118"/>
              <w:rPr>
                <w:color w:val="000000" w:themeColor="text1"/>
                <w:highlight w:val="none"/>
                <w14:textFill>
                  <w14:solidFill>
                    <w14:schemeClr w14:val="tx1"/>
                  </w14:solidFill>
                </w14:textFill>
              </w:rPr>
            </w:pPr>
          </w:p>
        </w:tc>
        <w:tc>
          <w:tcPr>
            <w:tcW w:w="141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施工机械、车辆尾气</w:t>
            </w:r>
          </w:p>
        </w:tc>
        <w:tc>
          <w:tcPr>
            <w:tcW w:w="1276"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CO、NOx等</w:t>
            </w:r>
          </w:p>
        </w:tc>
        <w:tc>
          <w:tcPr>
            <w:tcW w:w="881" w:type="dxa"/>
            <w:vAlign w:val="center"/>
          </w:tcPr>
          <w:p>
            <w:pPr>
              <w:pStyle w:val="118"/>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801" w:type="dxa"/>
            <w:vAlign w:val="center"/>
          </w:tcPr>
          <w:p>
            <w:pPr>
              <w:pStyle w:val="118"/>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86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少量</w:t>
            </w:r>
          </w:p>
        </w:tc>
        <w:tc>
          <w:tcPr>
            <w:tcW w:w="3827" w:type="dxa"/>
            <w:tcBorders>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加强设备车辆维护管理，选用清洁燃料</w:t>
            </w:r>
          </w:p>
        </w:tc>
        <w:tc>
          <w:tcPr>
            <w:tcW w:w="851"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施工期，白天</w:t>
            </w:r>
          </w:p>
        </w:tc>
        <w:tc>
          <w:tcPr>
            <w:tcW w:w="2268" w:type="dxa"/>
            <w:tcBorders>
              <w:top w:val="single" w:color="auto" w:sz="4" w:space="0"/>
              <w:left w:val="single" w:color="auto" w:sz="4" w:space="0"/>
              <w:bottom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对周围环境影响很小</w:t>
            </w:r>
          </w:p>
        </w:tc>
        <w:tc>
          <w:tcPr>
            <w:tcW w:w="572" w:type="dxa"/>
            <w:tcBorders>
              <w:lef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118"/>
              <w:rPr>
                <w:color w:val="000000" w:themeColor="text1"/>
                <w:highlight w:val="none"/>
                <w14:textFill>
                  <w14:solidFill>
                    <w14:schemeClr w14:val="tx1"/>
                  </w14:solidFill>
                </w14:textFill>
              </w:rPr>
            </w:pPr>
          </w:p>
        </w:tc>
        <w:tc>
          <w:tcPr>
            <w:tcW w:w="141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焊接烟尘</w:t>
            </w:r>
          </w:p>
        </w:tc>
        <w:tc>
          <w:tcPr>
            <w:tcW w:w="1276"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无组织挥发性有机物</w:t>
            </w:r>
          </w:p>
        </w:tc>
        <w:tc>
          <w:tcPr>
            <w:tcW w:w="881" w:type="dxa"/>
            <w:vAlign w:val="center"/>
          </w:tcPr>
          <w:p>
            <w:pPr>
              <w:pStyle w:val="118"/>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801" w:type="dxa"/>
            <w:vAlign w:val="center"/>
          </w:tcPr>
          <w:p>
            <w:pPr>
              <w:pStyle w:val="118"/>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86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123.2kg</w:t>
            </w:r>
          </w:p>
        </w:tc>
        <w:tc>
          <w:tcPr>
            <w:tcW w:w="3827" w:type="dxa"/>
            <w:tcBorders>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851" w:type="dxa"/>
            <w:tcBorders>
              <w:top w:val="single" w:color="auto" w:sz="4" w:space="0"/>
              <w:left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施工期，白天</w:t>
            </w:r>
          </w:p>
        </w:tc>
        <w:tc>
          <w:tcPr>
            <w:tcW w:w="2268" w:type="dxa"/>
            <w:tcBorders>
              <w:top w:val="single" w:color="auto" w:sz="4" w:space="0"/>
              <w:left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对周围环境影响很小</w:t>
            </w:r>
          </w:p>
        </w:tc>
        <w:tc>
          <w:tcPr>
            <w:tcW w:w="572" w:type="dxa"/>
            <w:tcBorders>
              <w:lef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118"/>
              <w:rPr>
                <w:color w:val="000000" w:themeColor="text1"/>
                <w:highlight w:val="none"/>
                <w14:textFill>
                  <w14:solidFill>
                    <w14:schemeClr w14:val="tx1"/>
                  </w14:solidFill>
                </w14:textFill>
              </w:rPr>
            </w:pPr>
          </w:p>
        </w:tc>
        <w:tc>
          <w:tcPr>
            <w:tcW w:w="141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清管、扫水、置换氮气</w:t>
            </w:r>
          </w:p>
        </w:tc>
        <w:tc>
          <w:tcPr>
            <w:tcW w:w="1276"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NOx</w:t>
            </w:r>
          </w:p>
        </w:tc>
        <w:tc>
          <w:tcPr>
            <w:tcW w:w="88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150</w:t>
            </w:r>
          </w:p>
        </w:tc>
        <w:tc>
          <w:tcPr>
            <w:tcW w:w="80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1.17</w:t>
            </w:r>
          </w:p>
        </w:tc>
        <w:tc>
          <w:tcPr>
            <w:tcW w:w="86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1350m</w:t>
            </w:r>
            <w:r>
              <w:rPr>
                <w:color w:val="000000" w:themeColor="text1"/>
                <w:highlight w:val="none"/>
                <w:vertAlign w:val="superscript"/>
                <w14:textFill>
                  <w14:solidFill>
                    <w14:schemeClr w14:val="tx1"/>
                  </w14:solidFill>
                </w14:textFill>
              </w:rPr>
              <w:t>3</w:t>
            </w:r>
          </w:p>
        </w:tc>
        <w:tc>
          <w:tcPr>
            <w:tcW w:w="3827" w:type="dxa"/>
            <w:tcBorders>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851" w:type="dxa"/>
            <w:tcBorders>
              <w:left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偶尔</w:t>
            </w:r>
          </w:p>
        </w:tc>
        <w:tc>
          <w:tcPr>
            <w:tcW w:w="2268" w:type="dxa"/>
            <w:tcBorders>
              <w:left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对周围环境影响很小</w:t>
            </w:r>
          </w:p>
        </w:tc>
        <w:tc>
          <w:tcPr>
            <w:tcW w:w="572" w:type="dxa"/>
            <w:tcBorders>
              <w:lef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59" w:hRule="atLeast"/>
          <w:jc w:val="center"/>
        </w:trPr>
        <w:tc>
          <w:tcPr>
            <w:tcW w:w="562" w:type="dxa"/>
            <w:vMerge w:val="continue"/>
            <w:vAlign w:val="center"/>
          </w:tcPr>
          <w:p>
            <w:pPr>
              <w:pStyle w:val="118"/>
              <w:rPr>
                <w:color w:val="000000" w:themeColor="text1"/>
                <w:highlight w:val="none"/>
                <w14:textFill>
                  <w14:solidFill>
                    <w14:schemeClr w14:val="tx1"/>
                  </w14:solidFill>
                </w14:textFill>
              </w:rPr>
            </w:pPr>
          </w:p>
        </w:tc>
        <w:tc>
          <w:tcPr>
            <w:tcW w:w="1418" w:type="dxa"/>
            <w:vMerge w:val="restar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水套</w:t>
            </w:r>
            <w:r>
              <w:rPr>
                <w:color w:val="000000" w:themeColor="text1"/>
                <w:highlight w:val="none"/>
                <w14:textFill>
                  <w14:solidFill>
                    <w14:schemeClr w14:val="tx1"/>
                  </w14:solidFill>
                </w14:textFill>
              </w:rPr>
              <w:t>加热炉等燃烧产生的烟气</w:t>
            </w:r>
          </w:p>
        </w:tc>
        <w:tc>
          <w:tcPr>
            <w:tcW w:w="127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颗粒物</w:t>
            </w:r>
          </w:p>
        </w:tc>
        <w:tc>
          <w:tcPr>
            <w:tcW w:w="881" w:type="dxa"/>
            <w:vAlign w:val="center"/>
          </w:tcPr>
          <w:p>
            <w:pPr>
              <w:pStyle w:val="118"/>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801" w:type="dxa"/>
            <w:vAlign w:val="center"/>
          </w:tcPr>
          <w:p>
            <w:pPr>
              <w:pStyle w:val="118"/>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86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r>
              <w:rPr>
                <w:rFonts w:hint="eastAsia"/>
                <w:color w:val="000000" w:themeColor="text1"/>
                <w:highlight w:val="none"/>
                <w14:textFill>
                  <w14:solidFill>
                    <w14:schemeClr w14:val="tx1"/>
                  </w14:solidFill>
                </w14:textFill>
              </w:rPr>
              <w:t>027</w:t>
            </w:r>
            <w:r>
              <w:rPr>
                <w:color w:val="000000" w:themeColor="text1"/>
                <w:highlight w:val="none"/>
                <w14:textFill>
                  <w14:solidFill>
                    <w14:schemeClr w14:val="tx1"/>
                  </w14:solidFill>
                </w14:textFill>
              </w:rPr>
              <w:t>t/a</w:t>
            </w:r>
          </w:p>
        </w:tc>
        <w:tc>
          <w:tcPr>
            <w:tcW w:w="3827" w:type="dxa"/>
            <w:vMerge w:val="restart"/>
            <w:tcBorders>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水套加热炉燃烧废气通过自带8m高排气筒排放</w:t>
            </w:r>
          </w:p>
        </w:tc>
        <w:tc>
          <w:tcPr>
            <w:tcW w:w="851" w:type="dxa"/>
            <w:vMerge w:val="restart"/>
            <w:tcBorders>
              <w:left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全年</w:t>
            </w:r>
          </w:p>
        </w:tc>
        <w:tc>
          <w:tcPr>
            <w:tcW w:w="2268" w:type="dxa"/>
            <w:vMerge w:val="restart"/>
            <w:tcBorders>
              <w:left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《锅炉大气污染物排放标准》（GB13271-2014）与《大气污染物综合排放标准》（GB16297-1996）</w:t>
            </w:r>
          </w:p>
        </w:tc>
        <w:tc>
          <w:tcPr>
            <w:tcW w:w="572" w:type="dxa"/>
            <w:vMerge w:val="restart"/>
            <w:tcBorders>
              <w:lef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5" w:hRule="atLeast"/>
          <w:jc w:val="center"/>
        </w:trPr>
        <w:tc>
          <w:tcPr>
            <w:tcW w:w="562" w:type="dxa"/>
            <w:vMerge w:val="continue"/>
            <w:vAlign w:val="center"/>
          </w:tcPr>
          <w:p>
            <w:pPr>
              <w:pStyle w:val="118"/>
              <w:rPr>
                <w:color w:val="000000" w:themeColor="text1"/>
                <w:highlight w:val="none"/>
                <w14:textFill>
                  <w14:solidFill>
                    <w14:schemeClr w14:val="tx1"/>
                  </w14:solidFill>
                </w14:textFill>
              </w:rPr>
            </w:pPr>
          </w:p>
        </w:tc>
        <w:tc>
          <w:tcPr>
            <w:tcW w:w="1418" w:type="dxa"/>
            <w:vMerge w:val="continue"/>
            <w:vAlign w:val="center"/>
          </w:tcPr>
          <w:p>
            <w:pPr>
              <w:pStyle w:val="118"/>
              <w:rPr>
                <w:color w:val="000000" w:themeColor="text1"/>
                <w:highlight w:val="none"/>
                <w14:textFill>
                  <w14:solidFill>
                    <w14:schemeClr w14:val="tx1"/>
                  </w14:solidFill>
                </w14:textFill>
              </w:rPr>
            </w:pPr>
          </w:p>
        </w:tc>
        <w:tc>
          <w:tcPr>
            <w:tcW w:w="1276"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NOx</w:t>
            </w:r>
          </w:p>
        </w:tc>
        <w:tc>
          <w:tcPr>
            <w:tcW w:w="881" w:type="dxa"/>
            <w:vAlign w:val="center"/>
          </w:tcPr>
          <w:p>
            <w:pPr>
              <w:pStyle w:val="118"/>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801" w:type="dxa"/>
            <w:vAlign w:val="center"/>
          </w:tcPr>
          <w:p>
            <w:pPr>
              <w:pStyle w:val="118"/>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86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r>
              <w:rPr>
                <w:rFonts w:hint="eastAsia"/>
                <w:color w:val="000000" w:themeColor="text1"/>
                <w:highlight w:val="none"/>
                <w14:textFill>
                  <w14:solidFill>
                    <w14:schemeClr w14:val="tx1"/>
                  </w14:solidFill>
                </w14:textFill>
              </w:rPr>
              <w:t>174</w:t>
            </w:r>
            <w:r>
              <w:rPr>
                <w:color w:val="000000" w:themeColor="text1"/>
                <w:highlight w:val="none"/>
                <w14:textFill>
                  <w14:solidFill>
                    <w14:schemeClr w14:val="tx1"/>
                  </w14:solidFill>
                </w14:textFill>
              </w:rPr>
              <w:t>t/a</w:t>
            </w:r>
          </w:p>
        </w:tc>
        <w:tc>
          <w:tcPr>
            <w:tcW w:w="3827" w:type="dxa"/>
            <w:vMerge w:val="continue"/>
            <w:tcBorders>
              <w:right w:val="single" w:color="auto" w:sz="4" w:space="0"/>
            </w:tcBorders>
            <w:vAlign w:val="center"/>
          </w:tcPr>
          <w:p>
            <w:pPr>
              <w:pStyle w:val="118"/>
              <w:rPr>
                <w:color w:val="000000" w:themeColor="text1"/>
                <w:highlight w:val="none"/>
                <w14:textFill>
                  <w14:solidFill>
                    <w14:schemeClr w14:val="tx1"/>
                  </w14:solidFill>
                </w14:textFill>
              </w:rPr>
            </w:pPr>
          </w:p>
        </w:tc>
        <w:tc>
          <w:tcPr>
            <w:tcW w:w="851" w:type="dxa"/>
            <w:vMerge w:val="continue"/>
            <w:tcBorders>
              <w:left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p>
        </w:tc>
        <w:tc>
          <w:tcPr>
            <w:tcW w:w="2268" w:type="dxa"/>
            <w:vMerge w:val="continue"/>
            <w:tcBorders>
              <w:left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p>
        </w:tc>
        <w:tc>
          <w:tcPr>
            <w:tcW w:w="572" w:type="dxa"/>
            <w:vMerge w:val="continue"/>
            <w:tcBorders>
              <w:left w:val="single" w:color="auto" w:sz="4" w:space="0"/>
            </w:tcBorders>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118"/>
              <w:rPr>
                <w:color w:val="000000" w:themeColor="text1"/>
                <w:highlight w:val="none"/>
                <w14:textFill>
                  <w14:solidFill>
                    <w14:schemeClr w14:val="tx1"/>
                  </w14:solidFill>
                </w14:textFill>
              </w:rPr>
            </w:pPr>
          </w:p>
        </w:tc>
        <w:tc>
          <w:tcPr>
            <w:tcW w:w="141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无组织泄漏烃类气体</w:t>
            </w:r>
          </w:p>
        </w:tc>
        <w:tc>
          <w:tcPr>
            <w:tcW w:w="1276"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烃类气体</w:t>
            </w:r>
          </w:p>
        </w:tc>
        <w:tc>
          <w:tcPr>
            <w:tcW w:w="88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80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86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827" w:type="dxa"/>
            <w:tcBorders>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无组织排放</w:t>
            </w:r>
          </w:p>
        </w:tc>
        <w:tc>
          <w:tcPr>
            <w:tcW w:w="851" w:type="dxa"/>
            <w:tcBorders>
              <w:left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偶尔</w:t>
            </w:r>
          </w:p>
        </w:tc>
        <w:tc>
          <w:tcPr>
            <w:tcW w:w="2268" w:type="dxa"/>
            <w:tcBorders>
              <w:left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对周围环境影响很小</w:t>
            </w:r>
          </w:p>
        </w:tc>
        <w:tc>
          <w:tcPr>
            <w:tcW w:w="572" w:type="dxa"/>
            <w:tcBorders>
              <w:lef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118"/>
              <w:rPr>
                <w:color w:val="000000" w:themeColor="text1"/>
                <w:highlight w:val="none"/>
                <w14:textFill>
                  <w14:solidFill>
                    <w14:schemeClr w14:val="tx1"/>
                  </w14:solidFill>
                </w14:textFill>
              </w:rPr>
            </w:pPr>
          </w:p>
        </w:tc>
        <w:tc>
          <w:tcPr>
            <w:tcW w:w="141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设备检修或系统超压时排放少量</w:t>
            </w:r>
            <w:r>
              <w:rPr>
                <w:rFonts w:hint="eastAsia"/>
                <w:color w:val="000000" w:themeColor="text1"/>
                <w:highlight w:val="none"/>
                <w14:textFill>
                  <w14:solidFill>
                    <w14:schemeClr w14:val="tx1"/>
                  </w14:solidFill>
                </w14:textFill>
              </w:rPr>
              <w:t>燃烧废</w:t>
            </w:r>
            <w:r>
              <w:rPr>
                <w:color w:val="000000" w:themeColor="text1"/>
                <w:highlight w:val="none"/>
                <w14:textFill>
                  <w14:solidFill>
                    <w14:schemeClr w14:val="tx1"/>
                  </w14:solidFill>
                </w14:textFill>
              </w:rPr>
              <w:t>气</w:t>
            </w:r>
          </w:p>
        </w:tc>
        <w:tc>
          <w:tcPr>
            <w:tcW w:w="1276"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NOx</w:t>
            </w:r>
            <w:r>
              <w:rPr>
                <w:rFonts w:hint="eastAsia"/>
                <w:color w:val="000000" w:themeColor="text1"/>
                <w:highlight w:val="none"/>
                <w14:textFill>
                  <w14:solidFill>
                    <w14:schemeClr w14:val="tx1"/>
                  </w14:solidFill>
                </w14:textFill>
              </w:rPr>
              <w:t>、颗粒物</w:t>
            </w:r>
          </w:p>
        </w:tc>
        <w:tc>
          <w:tcPr>
            <w:tcW w:w="881" w:type="dxa"/>
            <w:vAlign w:val="center"/>
          </w:tcPr>
          <w:p>
            <w:pPr>
              <w:pStyle w:val="118"/>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80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86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3827" w:type="dxa"/>
            <w:tcBorders>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经</w:t>
            </w:r>
            <w:r>
              <w:rPr>
                <w:rFonts w:hint="eastAsia"/>
                <w:color w:val="000000" w:themeColor="text1"/>
                <w:highlight w:val="none"/>
                <w14:textFill>
                  <w14:solidFill>
                    <w14:schemeClr w14:val="tx1"/>
                  </w14:solidFill>
                </w14:textFill>
              </w:rPr>
              <w:t>20</w:t>
            </w:r>
            <w:r>
              <w:rPr>
                <w:color w:val="000000" w:themeColor="text1"/>
                <w:highlight w:val="none"/>
                <w14:textFill>
                  <w14:solidFill>
                    <w14:schemeClr w14:val="tx1"/>
                  </w14:solidFill>
                </w14:textFill>
              </w:rPr>
              <w:t>m高放空</w:t>
            </w:r>
            <w:r>
              <w:rPr>
                <w:rFonts w:hint="eastAsia"/>
                <w:color w:val="000000" w:themeColor="text1"/>
                <w:highlight w:val="none"/>
                <w14:textFill>
                  <w14:solidFill>
                    <w14:schemeClr w14:val="tx1"/>
                  </w14:solidFill>
                </w14:textFill>
              </w:rPr>
              <w:t>管</w:t>
            </w:r>
            <w:r>
              <w:rPr>
                <w:color w:val="000000" w:themeColor="text1"/>
                <w:highlight w:val="none"/>
                <w14:textFill>
                  <w14:solidFill>
                    <w14:schemeClr w14:val="tx1"/>
                  </w14:solidFill>
                </w14:textFill>
              </w:rPr>
              <w:t>燃烧后排放</w:t>
            </w:r>
          </w:p>
        </w:tc>
        <w:tc>
          <w:tcPr>
            <w:tcW w:w="851" w:type="dxa"/>
            <w:tcBorders>
              <w:left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偶尔</w:t>
            </w:r>
          </w:p>
        </w:tc>
        <w:tc>
          <w:tcPr>
            <w:tcW w:w="2268" w:type="dxa"/>
            <w:tcBorders>
              <w:left w:val="single" w:color="auto" w:sz="4" w:space="0"/>
              <w:righ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对周围环境影响较小</w:t>
            </w:r>
          </w:p>
        </w:tc>
        <w:tc>
          <w:tcPr>
            <w:tcW w:w="572" w:type="dxa"/>
            <w:tcBorders>
              <w:left w:val="single" w:color="auto" w:sz="4" w:space="0"/>
            </w:tcBorders>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水污染物</w:t>
            </w:r>
          </w:p>
        </w:tc>
        <w:tc>
          <w:tcPr>
            <w:tcW w:w="141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生活污水</w:t>
            </w:r>
          </w:p>
        </w:tc>
        <w:tc>
          <w:tcPr>
            <w:tcW w:w="1276"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COD、BOD</w:t>
            </w:r>
            <w:r>
              <w:rPr>
                <w:color w:val="000000" w:themeColor="text1"/>
                <w:highlight w:val="none"/>
                <w:vertAlign w:val="subscript"/>
                <w14:textFill>
                  <w14:solidFill>
                    <w14:schemeClr w14:val="tx1"/>
                  </w14:solidFill>
                </w14:textFill>
              </w:rPr>
              <w:t>5</w:t>
            </w:r>
            <w:r>
              <w:rPr>
                <w:color w:val="000000" w:themeColor="text1"/>
                <w:highlight w:val="none"/>
                <w14:textFill>
                  <w14:solidFill>
                    <w14:schemeClr w14:val="tx1"/>
                  </w14:solidFill>
                </w14:textFill>
              </w:rPr>
              <w:t>、氨氮、SS</w:t>
            </w:r>
          </w:p>
        </w:tc>
        <w:tc>
          <w:tcPr>
            <w:tcW w:w="881" w:type="dxa"/>
            <w:vAlign w:val="center"/>
          </w:tcPr>
          <w:p>
            <w:pPr>
              <w:pStyle w:val="118"/>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801" w:type="dxa"/>
            <w:vAlign w:val="center"/>
          </w:tcPr>
          <w:p>
            <w:pPr>
              <w:pStyle w:val="118"/>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86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1.44m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w:t>
            </w:r>
          </w:p>
        </w:tc>
        <w:tc>
          <w:tcPr>
            <w:tcW w:w="3827"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依托租住房屋已有生活污水处理系统处置</w:t>
            </w:r>
          </w:p>
        </w:tc>
        <w:tc>
          <w:tcPr>
            <w:tcW w:w="851" w:type="dxa"/>
            <w:vMerge w:val="restart"/>
            <w:vAlign w:val="center"/>
          </w:tcPr>
          <w:p>
            <w:pPr>
              <w:pStyle w:val="118"/>
              <w:rPr>
                <w:color w:val="000000" w:themeColor="text1"/>
                <w:w w:val="99"/>
                <w:highlight w:val="none"/>
                <w14:textFill>
                  <w14:solidFill>
                    <w14:schemeClr w14:val="tx1"/>
                  </w14:solidFill>
                </w14:textFill>
              </w:rPr>
            </w:pPr>
            <w:r>
              <w:rPr>
                <w:color w:val="000000" w:themeColor="text1"/>
                <w:highlight w:val="none"/>
                <w14:textFill>
                  <w14:solidFill>
                    <w14:schemeClr w14:val="tx1"/>
                  </w14:solidFill>
                </w14:textFill>
              </w:rPr>
              <w:t>施工期</w:t>
            </w:r>
          </w:p>
        </w:tc>
        <w:tc>
          <w:tcPr>
            <w:tcW w:w="2268"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有效收集处理，无乱排</w:t>
            </w:r>
          </w:p>
        </w:tc>
        <w:tc>
          <w:tcPr>
            <w:tcW w:w="57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118"/>
              <w:rPr>
                <w:color w:val="000000" w:themeColor="text1"/>
                <w:highlight w:val="none"/>
                <w14:textFill>
                  <w14:solidFill>
                    <w14:schemeClr w14:val="tx1"/>
                  </w14:solidFill>
                </w14:textFill>
              </w:rPr>
            </w:pPr>
          </w:p>
        </w:tc>
        <w:tc>
          <w:tcPr>
            <w:tcW w:w="141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管线试压废水</w:t>
            </w:r>
          </w:p>
        </w:tc>
        <w:tc>
          <w:tcPr>
            <w:tcW w:w="1276"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SS</w:t>
            </w:r>
          </w:p>
        </w:tc>
        <w:tc>
          <w:tcPr>
            <w:tcW w:w="881" w:type="dxa"/>
            <w:vAlign w:val="center"/>
          </w:tcPr>
          <w:p>
            <w:pPr>
              <w:pStyle w:val="118"/>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801" w:type="dxa"/>
            <w:vAlign w:val="center"/>
          </w:tcPr>
          <w:p>
            <w:pPr>
              <w:pStyle w:val="118"/>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86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445</w:t>
            </w:r>
            <w:r>
              <w:rPr>
                <w:rFonts w:eastAsia="Calibri"/>
                <w:color w:val="000000" w:themeColor="text1"/>
                <w:highlight w:val="none"/>
                <w14:textFill>
                  <w14:solidFill>
                    <w14:schemeClr w14:val="tx1"/>
                  </w14:solidFill>
                </w14:textFill>
              </w:rPr>
              <w:t>m</w:t>
            </w:r>
            <w:r>
              <w:rPr>
                <w:rFonts w:eastAsia="Calibri"/>
                <w:color w:val="000000" w:themeColor="text1"/>
                <w:highlight w:val="none"/>
                <w:vertAlign w:val="superscript"/>
                <w14:textFill>
                  <w14:solidFill>
                    <w14:schemeClr w14:val="tx1"/>
                  </w14:solidFill>
                </w14:textFill>
              </w:rPr>
              <w:t>3</w:t>
            </w:r>
          </w:p>
        </w:tc>
        <w:tc>
          <w:tcPr>
            <w:tcW w:w="3827"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沉淀池收集沉淀后回用于施工区域洒水降尘、设备车辆冲洗</w:t>
            </w:r>
          </w:p>
        </w:tc>
        <w:tc>
          <w:tcPr>
            <w:tcW w:w="851" w:type="dxa"/>
            <w:vMerge w:val="continue"/>
            <w:vAlign w:val="center"/>
          </w:tcPr>
          <w:p>
            <w:pPr>
              <w:pStyle w:val="118"/>
              <w:rPr>
                <w:color w:val="000000" w:themeColor="text1"/>
                <w:w w:val="99"/>
                <w:highlight w:val="none"/>
                <w14:textFill>
                  <w14:solidFill>
                    <w14:schemeClr w14:val="tx1"/>
                  </w14:solidFill>
                </w14:textFill>
              </w:rPr>
            </w:pPr>
          </w:p>
        </w:tc>
        <w:tc>
          <w:tcPr>
            <w:tcW w:w="2268" w:type="dxa"/>
            <w:vMerge w:val="continue"/>
            <w:vAlign w:val="center"/>
          </w:tcPr>
          <w:p>
            <w:pPr>
              <w:pStyle w:val="118"/>
              <w:rPr>
                <w:color w:val="000000" w:themeColor="text1"/>
                <w:highlight w:val="none"/>
                <w14:textFill>
                  <w14:solidFill>
                    <w14:schemeClr w14:val="tx1"/>
                  </w14:solidFill>
                </w14:textFill>
              </w:rPr>
            </w:pPr>
          </w:p>
        </w:tc>
        <w:tc>
          <w:tcPr>
            <w:tcW w:w="57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118"/>
              <w:rPr>
                <w:color w:val="000000" w:themeColor="text1"/>
                <w:highlight w:val="none"/>
                <w14:textFill>
                  <w14:solidFill>
                    <w14:schemeClr w14:val="tx1"/>
                  </w14:solidFill>
                </w14:textFill>
              </w:rPr>
            </w:pPr>
          </w:p>
        </w:tc>
        <w:tc>
          <w:tcPr>
            <w:tcW w:w="141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施工机械、车辆冲洗废水</w:t>
            </w:r>
          </w:p>
        </w:tc>
        <w:tc>
          <w:tcPr>
            <w:tcW w:w="1276"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SS、石油类</w:t>
            </w:r>
          </w:p>
        </w:tc>
        <w:tc>
          <w:tcPr>
            <w:tcW w:w="881" w:type="dxa"/>
            <w:vAlign w:val="center"/>
          </w:tcPr>
          <w:p>
            <w:pPr>
              <w:pStyle w:val="118"/>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801" w:type="dxa"/>
            <w:vAlign w:val="center"/>
          </w:tcPr>
          <w:p>
            <w:pPr>
              <w:pStyle w:val="118"/>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86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1.25m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w:t>
            </w:r>
          </w:p>
        </w:tc>
        <w:tc>
          <w:tcPr>
            <w:tcW w:w="3827"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隔油沉砂池收集处理后，回用于施工区域洒水降尘、设备车辆冲洗</w:t>
            </w:r>
          </w:p>
        </w:tc>
        <w:tc>
          <w:tcPr>
            <w:tcW w:w="851" w:type="dxa"/>
            <w:vMerge w:val="continue"/>
            <w:vAlign w:val="center"/>
          </w:tcPr>
          <w:p>
            <w:pPr>
              <w:pStyle w:val="118"/>
              <w:rPr>
                <w:color w:val="000000" w:themeColor="text1"/>
                <w:highlight w:val="none"/>
                <w14:textFill>
                  <w14:solidFill>
                    <w14:schemeClr w14:val="tx1"/>
                  </w14:solidFill>
                </w14:textFill>
              </w:rPr>
            </w:pPr>
          </w:p>
        </w:tc>
        <w:tc>
          <w:tcPr>
            <w:tcW w:w="2268" w:type="dxa"/>
            <w:vMerge w:val="continue"/>
            <w:vAlign w:val="center"/>
          </w:tcPr>
          <w:p>
            <w:pPr>
              <w:pStyle w:val="118"/>
              <w:rPr>
                <w:color w:val="000000" w:themeColor="text1"/>
                <w:highlight w:val="none"/>
                <w14:textFill>
                  <w14:solidFill>
                    <w14:schemeClr w14:val="tx1"/>
                  </w14:solidFill>
                </w14:textFill>
              </w:rPr>
            </w:pPr>
          </w:p>
        </w:tc>
        <w:tc>
          <w:tcPr>
            <w:tcW w:w="57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118"/>
              <w:rPr>
                <w:color w:val="000000" w:themeColor="text1"/>
                <w:highlight w:val="none"/>
                <w14:textFill>
                  <w14:solidFill>
                    <w14:schemeClr w14:val="tx1"/>
                  </w14:solidFill>
                </w14:textFill>
              </w:rPr>
            </w:pPr>
          </w:p>
        </w:tc>
        <w:tc>
          <w:tcPr>
            <w:tcW w:w="141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沟渠穿越含泥浆废水</w:t>
            </w:r>
          </w:p>
        </w:tc>
        <w:tc>
          <w:tcPr>
            <w:tcW w:w="1276"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SS</w:t>
            </w:r>
          </w:p>
        </w:tc>
        <w:tc>
          <w:tcPr>
            <w:tcW w:w="881" w:type="dxa"/>
            <w:vAlign w:val="center"/>
          </w:tcPr>
          <w:p>
            <w:pPr>
              <w:pStyle w:val="118"/>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801" w:type="dxa"/>
            <w:vAlign w:val="center"/>
          </w:tcPr>
          <w:p>
            <w:pPr>
              <w:pStyle w:val="118"/>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869"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少量</w:t>
            </w:r>
          </w:p>
        </w:tc>
        <w:tc>
          <w:tcPr>
            <w:tcW w:w="3827"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泥浆池收集沉淀后回用于施工区域洒水降尘、设备车辆冲洗</w:t>
            </w:r>
          </w:p>
        </w:tc>
        <w:tc>
          <w:tcPr>
            <w:tcW w:w="851" w:type="dxa"/>
            <w:vMerge w:val="continue"/>
            <w:vAlign w:val="center"/>
          </w:tcPr>
          <w:p>
            <w:pPr>
              <w:pStyle w:val="118"/>
              <w:rPr>
                <w:color w:val="000000" w:themeColor="text1"/>
                <w:highlight w:val="none"/>
                <w14:textFill>
                  <w14:solidFill>
                    <w14:schemeClr w14:val="tx1"/>
                  </w14:solidFill>
                </w14:textFill>
              </w:rPr>
            </w:pPr>
          </w:p>
        </w:tc>
        <w:tc>
          <w:tcPr>
            <w:tcW w:w="226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污水全部回注</w:t>
            </w:r>
          </w:p>
        </w:tc>
        <w:tc>
          <w:tcPr>
            <w:tcW w:w="57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118"/>
              <w:rPr>
                <w:color w:val="000000" w:themeColor="text1"/>
                <w:highlight w:val="none"/>
                <w14:textFill>
                  <w14:solidFill>
                    <w14:schemeClr w14:val="tx1"/>
                  </w14:solidFill>
                </w14:textFill>
              </w:rPr>
            </w:pPr>
          </w:p>
        </w:tc>
        <w:tc>
          <w:tcPr>
            <w:tcW w:w="141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采气废水</w:t>
            </w:r>
          </w:p>
        </w:tc>
        <w:tc>
          <w:tcPr>
            <w:tcW w:w="1276"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石油类、悬浮物、COD及氯化物等</w:t>
            </w:r>
          </w:p>
        </w:tc>
        <w:tc>
          <w:tcPr>
            <w:tcW w:w="881" w:type="dxa"/>
            <w:vAlign w:val="center"/>
          </w:tcPr>
          <w:p>
            <w:pPr>
              <w:pStyle w:val="118"/>
              <w:rPr>
                <w:color w:val="000000" w:themeColor="text1"/>
                <w:w w:val="99"/>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801" w:type="dxa"/>
            <w:vAlign w:val="center"/>
          </w:tcPr>
          <w:p>
            <w:pPr>
              <w:pStyle w:val="118"/>
              <w:rPr>
                <w:color w:val="000000" w:themeColor="text1"/>
                <w:w w:val="99"/>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869"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0m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w:t>
            </w:r>
          </w:p>
        </w:tc>
        <w:tc>
          <w:tcPr>
            <w:tcW w:w="3827"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通过密闭罐车拉运至赵家坝污水处理站达到《气田水回注方法》（SY/T 6596-2016）中注入水基本要求后管输至普光3井回注站回注处理，不外排</w:t>
            </w:r>
          </w:p>
        </w:tc>
        <w:tc>
          <w:tcPr>
            <w:tcW w:w="851" w:type="dxa"/>
            <w:vMerge w:val="restar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试采期</w:t>
            </w:r>
          </w:p>
        </w:tc>
        <w:tc>
          <w:tcPr>
            <w:tcW w:w="2268"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达</w:t>
            </w:r>
            <w:r>
              <w:rPr>
                <w:color w:val="000000" w:themeColor="text1"/>
                <w:highlight w:val="none"/>
                <w14:textFill>
                  <w14:solidFill>
                    <w14:schemeClr w14:val="tx1"/>
                  </w14:solidFill>
                </w14:textFill>
              </w:rPr>
              <w:t>《气田水回注方法》（SY/T6596-2016）中注入水基本要求后</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经</w:t>
            </w:r>
            <w:r>
              <w:rPr>
                <w:rFonts w:hint="eastAsia"/>
                <w:color w:val="000000" w:themeColor="text1"/>
                <w:highlight w:val="none"/>
                <w14:textFill>
                  <w14:solidFill>
                    <w14:schemeClr w14:val="tx1"/>
                  </w14:solidFill>
                </w14:textFill>
              </w:rPr>
              <w:t>普光3井</w:t>
            </w:r>
            <w:r>
              <w:rPr>
                <w:color w:val="000000" w:themeColor="text1"/>
                <w:highlight w:val="none"/>
                <w14:textFill>
                  <w14:solidFill>
                    <w14:schemeClr w14:val="tx1"/>
                  </w14:solidFill>
                </w14:textFill>
              </w:rPr>
              <w:t>回注站回注</w:t>
            </w:r>
          </w:p>
        </w:tc>
        <w:tc>
          <w:tcPr>
            <w:tcW w:w="57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118"/>
              <w:rPr>
                <w:color w:val="000000" w:themeColor="text1"/>
                <w:highlight w:val="none"/>
                <w14:textFill>
                  <w14:solidFill>
                    <w14:schemeClr w14:val="tx1"/>
                  </w14:solidFill>
                </w14:textFill>
              </w:rPr>
            </w:pPr>
          </w:p>
        </w:tc>
        <w:tc>
          <w:tcPr>
            <w:tcW w:w="141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生活污水</w:t>
            </w:r>
          </w:p>
        </w:tc>
        <w:tc>
          <w:tcPr>
            <w:tcW w:w="1276"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COD、BOD</w:t>
            </w:r>
            <w:r>
              <w:rPr>
                <w:color w:val="000000" w:themeColor="text1"/>
                <w:highlight w:val="none"/>
                <w:vertAlign w:val="subscript"/>
                <w14:textFill>
                  <w14:solidFill>
                    <w14:schemeClr w14:val="tx1"/>
                  </w14:solidFill>
                </w14:textFill>
              </w:rPr>
              <w:t>5</w:t>
            </w:r>
            <w:r>
              <w:rPr>
                <w:color w:val="000000" w:themeColor="text1"/>
                <w:highlight w:val="none"/>
                <w14:textFill>
                  <w14:solidFill>
                    <w14:schemeClr w14:val="tx1"/>
                  </w14:solidFill>
                </w14:textFill>
              </w:rPr>
              <w:t>等</w:t>
            </w:r>
          </w:p>
        </w:tc>
        <w:tc>
          <w:tcPr>
            <w:tcW w:w="881" w:type="dxa"/>
            <w:vAlign w:val="center"/>
          </w:tcPr>
          <w:p>
            <w:pPr>
              <w:pStyle w:val="118"/>
              <w:rPr>
                <w:color w:val="000000" w:themeColor="text1"/>
                <w:w w:val="99"/>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801" w:type="dxa"/>
            <w:vAlign w:val="center"/>
          </w:tcPr>
          <w:p>
            <w:pPr>
              <w:pStyle w:val="118"/>
              <w:rPr>
                <w:color w:val="000000" w:themeColor="text1"/>
                <w:w w:val="99"/>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869"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1.17</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w:t>
            </w:r>
          </w:p>
        </w:tc>
        <w:tc>
          <w:tcPr>
            <w:tcW w:w="3827"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本项目新增值班人员1</w:t>
            </w:r>
            <w:r>
              <w:rPr>
                <w:color w:val="000000" w:themeColor="text1"/>
                <w:highlight w:val="none"/>
                <w14:textFill>
                  <w14:solidFill>
                    <w14:schemeClr w14:val="tx1"/>
                  </w14:solidFill>
                </w14:textFill>
              </w:rPr>
              <w:t>0</w:t>
            </w:r>
            <w:r>
              <w:rPr>
                <w:rFonts w:hint="eastAsia"/>
                <w:color w:val="000000" w:themeColor="text1"/>
                <w:highlight w:val="none"/>
                <w14:textFill>
                  <w14:solidFill>
                    <w14:schemeClr w14:val="tx1"/>
                  </w14:solidFill>
                </w14:textFill>
              </w:rPr>
              <w:t>人，</w:t>
            </w:r>
            <w:r>
              <w:rPr>
                <w:color w:val="000000" w:themeColor="text1"/>
                <w:highlight w:val="none"/>
                <w14:textFill>
                  <w14:solidFill>
                    <w14:schemeClr w14:val="tx1"/>
                  </w14:solidFill>
                </w14:textFill>
              </w:rPr>
              <w:t>值守人员生活污水经站场化粪池处理后定期由密闭罐车拉运至周边生活污水处理厂处理</w:t>
            </w:r>
          </w:p>
        </w:tc>
        <w:tc>
          <w:tcPr>
            <w:tcW w:w="851" w:type="dxa"/>
            <w:vMerge w:val="continue"/>
            <w:vAlign w:val="center"/>
          </w:tcPr>
          <w:p>
            <w:pPr>
              <w:pStyle w:val="118"/>
              <w:rPr>
                <w:color w:val="000000" w:themeColor="text1"/>
                <w:highlight w:val="none"/>
                <w14:textFill>
                  <w14:solidFill>
                    <w14:schemeClr w14:val="tx1"/>
                  </w14:solidFill>
                </w14:textFill>
              </w:rPr>
            </w:pPr>
          </w:p>
        </w:tc>
        <w:tc>
          <w:tcPr>
            <w:tcW w:w="226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由密闭罐车拉运至周边生活污水处理厂处理</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有效收集处理，无乱排</w:t>
            </w:r>
          </w:p>
        </w:tc>
        <w:tc>
          <w:tcPr>
            <w:tcW w:w="57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噪声污染物</w:t>
            </w:r>
          </w:p>
        </w:tc>
        <w:tc>
          <w:tcPr>
            <w:tcW w:w="141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施工期设备噪声</w:t>
            </w:r>
          </w:p>
        </w:tc>
        <w:tc>
          <w:tcPr>
            <w:tcW w:w="1276"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噪声</w:t>
            </w:r>
          </w:p>
        </w:tc>
        <w:tc>
          <w:tcPr>
            <w:tcW w:w="881" w:type="dxa"/>
            <w:vAlign w:val="center"/>
          </w:tcPr>
          <w:p>
            <w:pPr>
              <w:pStyle w:val="118"/>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1670" w:type="dxa"/>
            <w:gridSpan w:val="2"/>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85</w:t>
            </w:r>
            <w:r>
              <w:rPr>
                <w:color w:val="000000" w:themeColor="text1"/>
                <w:highlight w:val="none"/>
                <w14:textFill>
                  <w14:solidFill>
                    <w14:schemeClr w14:val="tx1"/>
                  </w14:solidFill>
                </w14:textFill>
              </w:rPr>
              <w:t>～10</w:t>
            </w:r>
            <w:r>
              <w:rPr>
                <w:rFonts w:hint="eastAsia"/>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t>dB（A）</w:t>
            </w:r>
          </w:p>
        </w:tc>
        <w:tc>
          <w:tcPr>
            <w:tcW w:w="3827"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降低车速、禁止鸣笛、昼间施工、合理布局</w:t>
            </w:r>
          </w:p>
        </w:tc>
        <w:tc>
          <w:tcPr>
            <w:tcW w:w="85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连续/间断</w:t>
            </w:r>
          </w:p>
        </w:tc>
        <w:tc>
          <w:tcPr>
            <w:tcW w:w="226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不扰民</w:t>
            </w:r>
          </w:p>
        </w:tc>
        <w:tc>
          <w:tcPr>
            <w:tcW w:w="57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118"/>
              <w:rPr>
                <w:color w:val="000000" w:themeColor="text1"/>
                <w:highlight w:val="none"/>
                <w14:textFill>
                  <w14:solidFill>
                    <w14:schemeClr w14:val="tx1"/>
                  </w14:solidFill>
                </w14:textFill>
              </w:rPr>
            </w:pPr>
          </w:p>
        </w:tc>
        <w:tc>
          <w:tcPr>
            <w:tcW w:w="141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试采期噪声</w:t>
            </w:r>
          </w:p>
        </w:tc>
        <w:tc>
          <w:tcPr>
            <w:tcW w:w="1276"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噪声</w:t>
            </w:r>
          </w:p>
        </w:tc>
        <w:tc>
          <w:tcPr>
            <w:tcW w:w="881" w:type="dxa"/>
            <w:vAlign w:val="center"/>
          </w:tcPr>
          <w:p>
            <w:pPr>
              <w:pStyle w:val="118"/>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1670"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＜55dB（A）</w:t>
            </w:r>
          </w:p>
        </w:tc>
        <w:tc>
          <w:tcPr>
            <w:tcW w:w="3827"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设备选型时选择低噪声设备，设置减震基础；站内工艺管道的设计考虑合理的流速，减少气流噪声；站内设备合理布局</w:t>
            </w:r>
          </w:p>
        </w:tc>
        <w:tc>
          <w:tcPr>
            <w:tcW w:w="85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连续</w:t>
            </w:r>
          </w:p>
        </w:tc>
        <w:tc>
          <w:tcPr>
            <w:tcW w:w="226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《工业企业厂界环境噪声排放标准》（GB12348-2008）2类标准</w:t>
            </w:r>
          </w:p>
        </w:tc>
        <w:tc>
          <w:tcPr>
            <w:tcW w:w="572"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5" w:hRule="atLeast"/>
          <w:jc w:val="center"/>
        </w:trPr>
        <w:tc>
          <w:tcPr>
            <w:tcW w:w="562"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固体废物</w:t>
            </w:r>
          </w:p>
        </w:tc>
        <w:tc>
          <w:tcPr>
            <w:tcW w:w="1418"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施工期固废</w:t>
            </w:r>
          </w:p>
        </w:tc>
        <w:tc>
          <w:tcPr>
            <w:tcW w:w="1276"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开挖土石方</w:t>
            </w:r>
          </w:p>
        </w:tc>
        <w:tc>
          <w:tcPr>
            <w:tcW w:w="2551"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87347m</w:t>
            </w:r>
            <w:r>
              <w:rPr>
                <w:color w:val="000000" w:themeColor="text1"/>
                <w:highlight w:val="none"/>
                <w:vertAlign w:val="superscript"/>
                <w14:textFill>
                  <w14:solidFill>
                    <w14:schemeClr w14:val="tx1"/>
                  </w14:solidFill>
                </w14:textFill>
              </w:rPr>
              <w:t>3</w:t>
            </w:r>
          </w:p>
        </w:tc>
        <w:tc>
          <w:tcPr>
            <w:tcW w:w="3827"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回填</w:t>
            </w:r>
          </w:p>
        </w:tc>
        <w:tc>
          <w:tcPr>
            <w:tcW w:w="851"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w:t>
            </w:r>
          </w:p>
        </w:tc>
        <w:tc>
          <w:tcPr>
            <w:tcW w:w="2840" w:type="dxa"/>
            <w:gridSpan w:val="2"/>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妥善处置，不会对环境造成二次污染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3" w:hRule="atLeast"/>
          <w:jc w:val="center"/>
        </w:trPr>
        <w:tc>
          <w:tcPr>
            <w:tcW w:w="562" w:type="dxa"/>
            <w:vMerge w:val="continue"/>
            <w:vAlign w:val="center"/>
          </w:tcPr>
          <w:p>
            <w:pPr>
              <w:pStyle w:val="118"/>
              <w:rPr>
                <w:color w:val="000000" w:themeColor="text1"/>
                <w:highlight w:val="none"/>
                <w14:textFill>
                  <w14:solidFill>
                    <w14:schemeClr w14:val="tx1"/>
                  </w14:solidFill>
                </w14:textFill>
              </w:rPr>
            </w:pPr>
          </w:p>
        </w:tc>
        <w:tc>
          <w:tcPr>
            <w:tcW w:w="1418" w:type="dxa"/>
            <w:vMerge w:val="continue"/>
            <w:vAlign w:val="center"/>
          </w:tcPr>
          <w:p>
            <w:pPr>
              <w:pStyle w:val="118"/>
              <w:rPr>
                <w:color w:val="000000" w:themeColor="text1"/>
                <w:highlight w:val="none"/>
                <w14:textFill>
                  <w14:solidFill>
                    <w14:schemeClr w14:val="tx1"/>
                  </w14:solidFill>
                </w14:textFill>
              </w:rPr>
            </w:pPr>
          </w:p>
        </w:tc>
        <w:tc>
          <w:tcPr>
            <w:tcW w:w="127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鱼塘淤泥</w:t>
            </w:r>
          </w:p>
        </w:tc>
        <w:tc>
          <w:tcPr>
            <w:tcW w:w="2551" w:type="dxa"/>
            <w:gridSpan w:val="3"/>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100m</w:t>
            </w:r>
            <w:r>
              <w:rPr>
                <w:rFonts w:hint="eastAsia"/>
                <w:color w:val="000000" w:themeColor="text1"/>
                <w:highlight w:val="none"/>
                <w:vertAlign w:val="superscript"/>
                <w14:textFill>
                  <w14:solidFill>
                    <w14:schemeClr w14:val="tx1"/>
                  </w14:solidFill>
                </w14:textFill>
              </w:rPr>
              <w:t>3</w:t>
            </w:r>
          </w:p>
        </w:tc>
        <w:tc>
          <w:tcPr>
            <w:tcW w:w="3827"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晾干处理后用于土壤改良或绿化</w:t>
            </w:r>
          </w:p>
        </w:tc>
        <w:tc>
          <w:tcPr>
            <w:tcW w:w="851" w:type="dxa"/>
            <w:vMerge w:val="continue"/>
            <w:vAlign w:val="center"/>
          </w:tcPr>
          <w:p>
            <w:pPr>
              <w:pStyle w:val="118"/>
              <w:rPr>
                <w:color w:val="000000" w:themeColor="text1"/>
                <w:highlight w:val="none"/>
                <w14:textFill>
                  <w14:solidFill>
                    <w14:schemeClr w14:val="tx1"/>
                  </w14:solidFill>
                </w14:textFill>
              </w:rPr>
            </w:pPr>
          </w:p>
        </w:tc>
        <w:tc>
          <w:tcPr>
            <w:tcW w:w="2840" w:type="dxa"/>
            <w:gridSpan w:val="2"/>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7" w:hRule="atLeast"/>
          <w:jc w:val="center"/>
        </w:trPr>
        <w:tc>
          <w:tcPr>
            <w:tcW w:w="562" w:type="dxa"/>
            <w:vMerge w:val="continue"/>
            <w:vAlign w:val="center"/>
          </w:tcPr>
          <w:p>
            <w:pPr>
              <w:pStyle w:val="118"/>
              <w:rPr>
                <w:color w:val="000000" w:themeColor="text1"/>
                <w:highlight w:val="none"/>
                <w14:textFill>
                  <w14:solidFill>
                    <w14:schemeClr w14:val="tx1"/>
                  </w14:solidFill>
                </w14:textFill>
              </w:rPr>
            </w:pPr>
          </w:p>
        </w:tc>
        <w:tc>
          <w:tcPr>
            <w:tcW w:w="1418" w:type="dxa"/>
            <w:vMerge w:val="continue"/>
            <w:vAlign w:val="center"/>
          </w:tcPr>
          <w:p>
            <w:pPr>
              <w:pStyle w:val="118"/>
              <w:rPr>
                <w:color w:val="000000" w:themeColor="text1"/>
                <w:highlight w:val="none"/>
                <w14:textFill>
                  <w14:solidFill>
                    <w14:schemeClr w14:val="tx1"/>
                  </w14:solidFill>
                </w14:textFill>
              </w:rPr>
            </w:pPr>
          </w:p>
        </w:tc>
        <w:tc>
          <w:tcPr>
            <w:tcW w:w="1276"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施工废料</w:t>
            </w:r>
          </w:p>
        </w:tc>
        <w:tc>
          <w:tcPr>
            <w:tcW w:w="2551"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2.5kg</w:t>
            </w:r>
          </w:p>
        </w:tc>
        <w:tc>
          <w:tcPr>
            <w:tcW w:w="3827"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优先回收利用，不能回收利用的由环卫部门清运</w:t>
            </w:r>
          </w:p>
        </w:tc>
        <w:tc>
          <w:tcPr>
            <w:tcW w:w="851" w:type="dxa"/>
            <w:vMerge w:val="continue"/>
            <w:vAlign w:val="center"/>
          </w:tcPr>
          <w:p>
            <w:pPr>
              <w:pStyle w:val="118"/>
              <w:rPr>
                <w:color w:val="000000" w:themeColor="text1"/>
                <w:highlight w:val="none"/>
                <w14:textFill>
                  <w14:solidFill>
                    <w14:schemeClr w14:val="tx1"/>
                  </w14:solidFill>
                </w14:textFill>
              </w:rPr>
            </w:pPr>
          </w:p>
        </w:tc>
        <w:tc>
          <w:tcPr>
            <w:tcW w:w="2840" w:type="dxa"/>
            <w:gridSpan w:val="2"/>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7" w:hRule="atLeast"/>
          <w:jc w:val="center"/>
        </w:trPr>
        <w:tc>
          <w:tcPr>
            <w:tcW w:w="562" w:type="dxa"/>
            <w:vMerge w:val="continue"/>
            <w:vAlign w:val="center"/>
          </w:tcPr>
          <w:p>
            <w:pPr>
              <w:pStyle w:val="118"/>
              <w:rPr>
                <w:color w:val="000000" w:themeColor="text1"/>
                <w:highlight w:val="none"/>
                <w14:textFill>
                  <w14:solidFill>
                    <w14:schemeClr w14:val="tx1"/>
                  </w14:solidFill>
                </w14:textFill>
              </w:rPr>
            </w:pPr>
          </w:p>
        </w:tc>
        <w:tc>
          <w:tcPr>
            <w:tcW w:w="1418" w:type="dxa"/>
            <w:vMerge w:val="continue"/>
            <w:vAlign w:val="center"/>
          </w:tcPr>
          <w:p>
            <w:pPr>
              <w:pStyle w:val="118"/>
              <w:rPr>
                <w:color w:val="000000" w:themeColor="text1"/>
                <w:highlight w:val="none"/>
                <w14:textFill>
                  <w14:solidFill>
                    <w14:schemeClr w14:val="tx1"/>
                  </w14:solidFill>
                </w14:textFill>
              </w:rPr>
            </w:pPr>
          </w:p>
        </w:tc>
        <w:tc>
          <w:tcPr>
            <w:tcW w:w="1276"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施工废料</w:t>
            </w:r>
          </w:p>
        </w:tc>
        <w:tc>
          <w:tcPr>
            <w:tcW w:w="2551"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295kg</w:t>
            </w:r>
          </w:p>
        </w:tc>
        <w:tc>
          <w:tcPr>
            <w:tcW w:w="3827"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优先回收利用，不能回收利用的由环卫部门清运</w:t>
            </w:r>
          </w:p>
        </w:tc>
        <w:tc>
          <w:tcPr>
            <w:tcW w:w="851" w:type="dxa"/>
            <w:vMerge w:val="continue"/>
            <w:vAlign w:val="center"/>
          </w:tcPr>
          <w:p>
            <w:pPr>
              <w:pStyle w:val="118"/>
              <w:rPr>
                <w:color w:val="000000" w:themeColor="text1"/>
                <w:highlight w:val="none"/>
                <w14:textFill>
                  <w14:solidFill>
                    <w14:schemeClr w14:val="tx1"/>
                  </w14:solidFill>
                </w14:textFill>
              </w:rPr>
            </w:pPr>
          </w:p>
        </w:tc>
        <w:tc>
          <w:tcPr>
            <w:tcW w:w="2840" w:type="dxa"/>
            <w:gridSpan w:val="2"/>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4" w:hRule="atLeast"/>
          <w:jc w:val="center"/>
        </w:trPr>
        <w:tc>
          <w:tcPr>
            <w:tcW w:w="562" w:type="dxa"/>
            <w:vMerge w:val="continue"/>
            <w:vAlign w:val="center"/>
          </w:tcPr>
          <w:p>
            <w:pPr>
              <w:pStyle w:val="118"/>
              <w:rPr>
                <w:color w:val="000000" w:themeColor="text1"/>
                <w:highlight w:val="none"/>
                <w14:textFill>
                  <w14:solidFill>
                    <w14:schemeClr w14:val="tx1"/>
                  </w14:solidFill>
                </w14:textFill>
              </w:rPr>
            </w:pPr>
          </w:p>
        </w:tc>
        <w:tc>
          <w:tcPr>
            <w:tcW w:w="1418" w:type="dxa"/>
            <w:vMerge w:val="continue"/>
            <w:vAlign w:val="center"/>
          </w:tcPr>
          <w:p>
            <w:pPr>
              <w:pStyle w:val="118"/>
              <w:rPr>
                <w:color w:val="000000" w:themeColor="text1"/>
                <w:highlight w:val="none"/>
                <w14:textFill>
                  <w14:solidFill>
                    <w14:schemeClr w14:val="tx1"/>
                  </w14:solidFill>
                </w14:textFill>
              </w:rPr>
            </w:pPr>
          </w:p>
        </w:tc>
        <w:tc>
          <w:tcPr>
            <w:tcW w:w="1276"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废泥浆</w:t>
            </w:r>
          </w:p>
        </w:tc>
        <w:tc>
          <w:tcPr>
            <w:tcW w:w="2551"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少量</w:t>
            </w:r>
          </w:p>
        </w:tc>
        <w:tc>
          <w:tcPr>
            <w:tcW w:w="3827"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晾干后就近用于地方乡村道路建设填料或道路护坡防护</w:t>
            </w:r>
          </w:p>
        </w:tc>
        <w:tc>
          <w:tcPr>
            <w:tcW w:w="851" w:type="dxa"/>
            <w:vMerge w:val="continue"/>
            <w:vAlign w:val="center"/>
          </w:tcPr>
          <w:p>
            <w:pPr>
              <w:pStyle w:val="118"/>
              <w:rPr>
                <w:color w:val="000000" w:themeColor="text1"/>
                <w:highlight w:val="none"/>
                <w14:textFill>
                  <w14:solidFill>
                    <w14:schemeClr w14:val="tx1"/>
                  </w14:solidFill>
                </w14:textFill>
              </w:rPr>
            </w:pPr>
          </w:p>
        </w:tc>
        <w:tc>
          <w:tcPr>
            <w:tcW w:w="2840" w:type="dxa"/>
            <w:gridSpan w:val="2"/>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118"/>
              <w:rPr>
                <w:color w:val="000000" w:themeColor="text1"/>
                <w:highlight w:val="none"/>
                <w14:textFill>
                  <w14:solidFill>
                    <w14:schemeClr w14:val="tx1"/>
                  </w14:solidFill>
                </w14:textFill>
              </w:rPr>
            </w:pPr>
          </w:p>
        </w:tc>
        <w:tc>
          <w:tcPr>
            <w:tcW w:w="1418" w:type="dxa"/>
            <w:vMerge w:val="continue"/>
            <w:vAlign w:val="center"/>
          </w:tcPr>
          <w:p>
            <w:pPr>
              <w:pStyle w:val="118"/>
              <w:rPr>
                <w:color w:val="000000" w:themeColor="text1"/>
                <w:highlight w:val="none"/>
                <w14:textFill>
                  <w14:solidFill>
                    <w14:schemeClr w14:val="tx1"/>
                  </w14:solidFill>
                </w14:textFill>
              </w:rPr>
            </w:pPr>
          </w:p>
        </w:tc>
        <w:tc>
          <w:tcPr>
            <w:tcW w:w="1276"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生活垃圾</w:t>
            </w:r>
          </w:p>
        </w:tc>
        <w:tc>
          <w:tcPr>
            <w:tcW w:w="2551" w:type="dxa"/>
            <w:gridSpan w:val="3"/>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t</w:t>
            </w:r>
          </w:p>
        </w:tc>
        <w:tc>
          <w:tcPr>
            <w:tcW w:w="3827"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环卫部</w:t>
            </w:r>
            <w:r>
              <w:rPr>
                <w:rFonts w:hint="eastAsia" w:ascii="宋体" w:hAnsi="宋体" w:cs="宋体"/>
                <w:color w:val="000000" w:themeColor="text1"/>
                <w:highlight w:val="none"/>
                <w14:textFill>
                  <w14:solidFill>
                    <w14:schemeClr w14:val="tx1"/>
                  </w14:solidFill>
                </w14:textFill>
              </w:rPr>
              <w:t>门清运</w:t>
            </w:r>
          </w:p>
        </w:tc>
        <w:tc>
          <w:tcPr>
            <w:tcW w:w="851" w:type="dxa"/>
            <w:vMerge w:val="continue"/>
            <w:vAlign w:val="center"/>
          </w:tcPr>
          <w:p>
            <w:pPr>
              <w:pStyle w:val="118"/>
              <w:rPr>
                <w:color w:val="000000" w:themeColor="text1"/>
                <w:highlight w:val="none"/>
                <w14:textFill>
                  <w14:solidFill>
                    <w14:schemeClr w14:val="tx1"/>
                  </w14:solidFill>
                </w14:textFill>
              </w:rPr>
            </w:pPr>
          </w:p>
        </w:tc>
        <w:tc>
          <w:tcPr>
            <w:tcW w:w="2840" w:type="dxa"/>
            <w:gridSpan w:val="2"/>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118"/>
              <w:rPr>
                <w:color w:val="000000" w:themeColor="text1"/>
                <w:highlight w:val="none"/>
                <w14:textFill>
                  <w14:solidFill>
                    <w14:schemeClr w14:val="tx1"/>
                  </w14:solidFill>
                </w14:textFill>
              </w:rPr>
            </w:pPr>
          </w:p>
        </w:tc>
        <w:tc>
          <w:tcPr>
            <w:tcW w:w="1418" w:type="dxa"/>
            <w:vMerge w:val="continue"/>
            <w:vAlign w:val="center"/>
          </w:tcPr>
          <w:p>
            <w:pPr>
              <w:pStyle w:val="118"/>
              <w:rPr>
                <w:color w:val="000000" w:themeColor="text1"/>
                <w:highlight w:val="none"/>
                <w14:textFill>
                  <w14:solidFill>
                    <w14:schemeClr w14:val="tx1"/>
                  </w14:solidFill>
                </w14:textFill>
              </w:rPr>
            </w:pPr>
          </w:p>
        </w:tc>
        <w:tc>
          <w:tcPr>
            <w:tcW w:w="127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冲洗废水浮油</w:t>
            </w:r>
          </w:p>
        </w:tc>
        <w:tc>
          <w:tcPr>
            <w:tcW w:w="2551" w:type="dxa"/>
            <w:gridSpan w:val="3"/>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少量</w:t>
            </w:r>
          </w:p>
        </w:tc>
        <w:tc>
          <w:tcPr>
            <w:tcW w:w="3827"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由危废资质单位处置，不在施工场地内暂存</w:t>
            </w:r>
          </w:p>
        </w:tc>
        <w:tc>
          <w:tcPr>
            <w:tcW w:w="851" w:type="dxa"/>
            <w:vMerge w:val="continue"/>
            <w:vAlign w:val="center"/>
          </w:tcPr>
          <w:p>
            <w:pPr>
              <w:pStyle w:val="118"/>
              <w:rPr>
                <w:color w:val="000000" w:themeColor="text1"/>
                <w:highlight w:val="none"/>
                <w14:textFill>
                  <w14:solidFill>
                    <w14:schemeClr w14:val="tx1"/>
                  </w14:solidFill>
                </w14:textFill>
              </w:rPr>
            </w:pPr>
          </w:p>
        </w:tc>
        <w:tc>
          <w:tcPr>
            <w:tcW w:w="2840" w:type="dxa"/>
            <w:gridSpan w:val="2"/>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118"/>
              <w:rPr>
                <w:color w:val="000000" w:themeColor="text1"/>
                <w:highlight w:val="none"/>
                <w14:textFill>
                  <w14:solidFill>
                    <w14:schemeClr w14:val="tx1"/>
                  </w14:solidFill>
                </w14:textFill>
              </w:rPr>
            </w:pPr>
          </w:p>
        </w:tc>
        <w:tc>
          <w:tcPr>
            <w:tcW w:w="1418"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试采期固废</w:t>
            </w:r>
          </w:p>
        </w:tc>
        <w:tc>
          <w:tcPr>
            <w:tcW w:w="1276"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生活垃圾</w:t>
            </w:r>
          </w:p>
        </w:tc>
        <w:tc>
          <w:tcPr>
            <w:tcW w:w="2551" w:type="dxa"/>
            <w:gridSpan w:val="3"/>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kg/d</w:t>
            </w:r>
          </w:p>
        </w:tc>
        <w:tc>
          <w:tcPr>
            <w:tcW w:w="3827"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集中收集，交由当地环卫部门处置</w:t>
            </w:r>
          </w:p>
        </w:tc>
        <w:tc>
          <w:tcPr>
            <w:tcW w:w="851"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间断/偶尔</w:t>
            </w:r>
          </w:p>
        </w:tc>
        <w:tc>
          <w:tcPr>
            <w:tcW w:w="2840" w:type="dxa"/>
            <w:gridSpan w:val="2"/>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118"/>
              <w:rPr>
                <w:color w:val="000000" w:themeColor="text1"/>
                <w:highlight w:val="none"/>
                <w14:textFill>
                  <w14:solidFill>
                    <w14:schemeClr w14:val="tx1"/>
                  </w14:solidFill>
                </w14:textFill>
              </w:rPr>
            </w:pPr>
          </w:p>
        </w:tc>
        <w:tc>
          <w:tcPr>
            <w:tcW w:w="1418" w:type="dxa"/>
            <w:vMerge w:val="continue"/>
            <w:vAlign w:val="center"/>
          </w:tcPr>
          <w:p>
            <w:pPr>
              <w:pStyle w:val="118"/>
              <w:rPr>
                <w:color w:val="000000" w:themeColor="text1"/>
                <w:highlight w:val="none"/>
                <w14:textFill>
                  <w14:solidFill>
                    <w14:schemeClr w14:val="tx1"/>
                  </w14:solidFill>
                </w14:textFill>
              </w:rPr>
            </w:pPr>
          </w:p>
        </w:tc>
        <w:tc>
          <w:tcPr>
            <w:tcW w:w="1276"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分离器除砂分离过程产生的废渣</w:t>
            </w:r>
          </w:p>
        </w:tc>
        <w:tc>
          <w:tcPr>
            <w:tcW w:w="2551" w:type="dxa"/>
            <w:gridSpan w:val="3"/>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0.5</w:t>
            </w:r>
            <w:r>
              <w:rPr>
                <w:color w:val="000000" w:themeColor="text1"/>
                <w:highlight w:val="none"/>
                <w14:textFill>
                  <w14:solidFill>
                    <w14:schemeClr w14:val="tx1"/>
                  </w14:solidFill>
                </w14:textFill>
              </w:rPr>
              <w:t>/a</w:t>
            </w:r>
          </w:p>
        </w:tc>
        <w:tc>
          <w:tcPr>
            <w:tcW w:w="3827"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收集后定期交由当地具备处理工业废物能力的单位处置</w:t>
            </w:r>
            <w:r>
              <w:rPr>
                <w:rFonts w:hint="eastAsia"/>
                <w:color w:val="000000" w:themeColor="text1"/>
                <w:highlight w:val="none"/>
                <w14:textFill>
                  <w14:solidFill>
                    <w14:schemeClr w14:val="tx1"/>
                  </w14:solidFill>
                </w14:textFill>
              </w:rPr>
              <w:t>（其中废分子筛若厂家可回收则交由厂家回收）</w:t>
            </w:r>
          </w:p>
        </w:tc>
        <w:tc>
          <w:tcPr>
            <w:tcW w:w="851" w:type="dxa"/>
            <w:vMerge w:val="continue"/>
            <w:vAlign w:val="center"/>
          </w:tcPr>
          <w:p>
            <w:pPr>
              <w:pStyle w:val="118"/>
              <w:rPr>
                <w:color w:val="000000" w:themeColor="text1"/>
                <w:highlight w:val="none"/>
                <w14:textFill>
                  <w14:solidFill>
                    <w14:schemeClr w14:val="tx1"/>
                  </w14:solidFill>
                </w14:textFill>
              </w:rPr>
            </w:pPr>
          </w:p>
        </w:tc>
        <w:tc>
          <w:tcPr>
            <w:tcW w:w="2840" w:type="dxa"/>
            <w:gridSpan w:val="2"/>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118"/>
              <w:rPr>
                <w:color w:val="000000" w:themeColor="text1"/>
                <w:highlight w:val="none"/>
                <w14:textFill>
                  <w14:solidFill>
                    <w14:schemeClr w14:val="tx1"/>
                  </w14:solidFill>
                </w14:textFill>
              </w:rPr>
            </w:pPr>
          </w:p>
        </w:tc>
        <w:tc>
          <w:tcPr>
            <w:tcW w:w="1418" w:type="dxa"/>
            <w:vMerge w:val="continue"/>
            <w:vAlign w:val="center"/>
          </w:tcPr>
          <w:p>
            <w:pPr>
              <w:pStyle w:val="118"/>
              <w:rPr>
                <w:color w:val="000000" w:themeColor="text1"/>
                <w:highlight w:val="none"/>
                <w14:textFill>
                  <w14:solidFill>
                    <w14:schemeClr w14:val="tx1"/>
                  </w14:solidFill>
                </w14:textFill>
              </w:rPr>
            </w:pPr>
          </w:p>
        </w:tc>
        <w:tc>
          <w:tcPr>
            <w:tcW w:w="1276"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废分子筛</w:t>
            </w:r>
          </w:p>
        </w:tc>
        <w:tc>
          <w:tcPr>
            <w:tcW w:w="2551" w:type="dxa"/>
            <w:gridSpan w:val="3"/>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.5t/</w:t>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a</w:t>
            </w:r>
          </w:p>
        </w:tc>
        <w:tc>
          <w:tcPr>
            <w:tcW w:w="3827" w:type="dxa"/>
            <w:vMerge w:val="continue"/>
            <w:vAlign w:val="center"/>
          </w:tcPr>
          <w:p>
            <w:pPr>
              <w:pStyle w:val="118"/>
              <w:rPr>
                <w:color w:val="000000" w:themeColor="text1"/>
                <w:highlight w:val="none"/>
                <w14:textFill>
                  <w14:solidFill>
                    <w14:schemeClr w14:val="tx1"/>
                  </w14:solidFill>
                </w14:textFill>
              </w:rPr>
            </w:pPr>
          </w:p>
        </w:tc>
        <w:tc>
          <w:tcPr>
            <w:tcW w:w="851" w:type="dxa"/>
            <w:vMerge w:val="continue"/>
            <w:vAlign w:val="center"/>
          </w:tcPr>
          <w:p>
            <w:pPr>
              <w:pStyle w:val="118"/>
              <w:rPr>
                <w:color w:val="000000" w:themeColor="text1"/>
                <w:highlight w:val="none"/>
                <w14:textFill>
                  <w14:solidFill>
                    <w14:schemeClr w14:val="tx1"/>
                  </w14:solidFill>
                </w14:textFill>
              </w:rPr>
            </w:pPr>
          </w:p>
        </w:tc>
        <w:tc>
          <w:tcPr>
            <w:tcW w:w="2840" w:type="dxa"/>
            <w:gridSpan w:val="2"/>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118"/>
              <w:rPr>
                <w:color w:val="000000" w:themeColor="text1"/>
                <w:highlight w:val="none"/>
                <w14:textFill>
                  <w14:solidFill>
                    <w14:schemeClr w14:val="tx1"/>
                  </w14:solidFill>
                </w14:textFill>
              </w:rPr>
            </w:pPr>
          </w:p>
        </w:tc>
        <w:tc>
          <w:tcPr>
            <w:tcW w:w="1418" w:type="dxa"/>
            <w:vMerge w:val="continue"/>
            <w:vAlign w:val="center"/>
          </w:tcPr>
          <w:p>
            <w:pPr>
              <w:pStyle w:val="118"/>
              <w:rPr>
                <w:color w:val="000000" w:themeColor="text1"/>
                <w:highlight w:val="none"/>
                <w14:textFill>
                  <w14:solidFill>
                    <w14:schemeClr w14:val="tx1"/>
                  </w14:solidFill>
                </w14:textFill>
              </w:rPr>
            </w:pPr>
          </w:p>
        </w:tc>
        <w:tc>
          <w:tcPr>
            <w:tcW w:w="1276"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管线清管/检修废渣</w:t>
            </w:r>
          </w:p>
        </w:tc>
        <w:tc>
          <w:tcPr>
            <w:tcW w:w="2551" w:type="dxa"/>
            <w:gridSpan w:val="3"/>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t/a</w:t>
            </w:r>
          </w:p>
        </w:tc>
        <w:tc>
          <w:tcPr>
            <w:tcW w:w="3827" w:type="dxa"/>
            <w:vMerge w:val="continue"/>
            <w:vAlign w:val="center"/>
          </w:tcPr>
          <w:p>
            <w:pPr>
              <w:pStyle w:val="118"/>
              <w:rPr>
                <w:color w:val="000000" w:themeColor="text1"/>
                <w:highlight w:val="none"/>
                <w14:textFill>
                  <w14:solidFill>
                    <w14:schemeClr w14:val="tx1"/>
                  </w14:solidFill>
                </w14:textFill>
              </w:rPr>
            </w:pPr>
          </w:p>
        </w:tc>
        <w:tc>
          <w:tcPr>
            <w:tcW w:w="851" w:type="dxa"/>
            <w:vMerge w:val="continue"/>
            <w:vAlign w:val="center"/>
          </w:tcPr>
          <w:p>
            <w:pPr>
              <w:pStyle w:val="118"/>
              <w:rPr>
                <w:color w:val="000000" w:themeColor="text1"/>
                <w:highlight w:val="none"/>
                <w14:textFill>
                  <w14:solidFill>
                    <w14:schemeClr w14:val="tx1"/>
                  </w14:solidFill>
                </w14:textFill>
              </w:rPr>
            </w:pPr>
          </w:p>
        </w:tc>
        <w:tc>
          <w:tcPr>
            <w:tcW w:w="2840" w:type="dxa"/>
            <w:gridSpan w:val="2"/>
            <w:vMerge w:val="continue"/>
            <w:vAlign w:val="center"/>
          </w:tcPr>
          <w:p>
            <w:pPr>
              <w:pStyle w:val="118"/>
              <w:rPr>
                <w:color w:val="000000" w:themeColor="text1"/>
                <w:highlight w:val="none"/>
                <w14:textFill>
                  <w14:solidFill>
                    <w14:schemeClr w14:val="tx1"/>
                  </w14:solidFill>
                </w14:textFill>
              </w:rPr>
            </w:pPr>
          </w:p>
        </w:tc>
      </w:tr>
    </w:tbl>
    <w:p>
      <w:pPr>
        <w:pStyle w:val="4"/>
        <w:spacing w:before="120"/>
        <w:ind w:firstLine="480"/>
        <w:rPr>
          <w:color w:val="000000" w:themeColor="text1"/>
          <w:szCs w:val="24"/>
          <w:highlight w:val="none"/>
          <w:lang w:eastAsia="zh-CN"/>
          <w14:textFill>
            <w14:solidFill>
              <w14:schemeClr w14:val="tx1"/>
            </w14:solidFill>
          </w14:textFill>
        </w:rPr>
        <w:sectPr>
          <w:pgSz w:w="16840" w:h="11910" w:orient="landscape"/>
          <w:pgMar w:top="1440" w:right="1800" w:bottom="1440" w:left="1800" w:header="964" w:footer="964" w:gutter="0"/>
          <w:cols w:space="720" w:num="1"/>
          <w:docGrid w:linePitch="326" w:charSpace="0"/>
        </w:sectPr>
      </w:pPr>
      <w:bookmarkStart w:id="452" w:name="_bookmark40"/>
      <w:bookmarkEnd w:id="452"/>
      <w:bookmarkStart w:id="453" w:name="8.2环境监测"/>
      <w:bookmarkEnd w:id="453"/>
    </w:p>
    <w:p>
      <w:pPr>
        <w:pStyle w:val="4"/>
        <w:spacing w:before="120"/>
        <w:rPr>
          <w:color w:val="000000" w:themeColor="text1"/>
          <w:highlight w:val="none"/>
          <w:lang w:eastAsia="zh-CN"/>
          <w14:textFill>
            <w14:solidFill>
              <w14:schemeClr w14:val="tx1"/>
            </w14:solidFill>
          </w14:textFill>
        </w:rPr>
      </w:pPr>
      <w:bookmarkStart w:id="454" w:name="_Toc12025"/>
      <w:r>
        <w:rPr>
          <w:color w:val="000000" w:themeColor="text1"/>
          <w:highlight w:val="none"/>
          <w:lang w:eastAsia="zh-CN"/>
          <w14:textFill>
            <w14:solidFill>
              <w14:schemeClr w14:val="tx1"/>
            </w14:solidFill>
          </w14:textFill>
        </w:rPr>
        <w:t>环境监测</w:t>
      </w:r>
      <w:bookmarkEnd w:id="454"/>
    </w:p>
    <w:p>
      <w:pPr>
        <w:pStyle w:val="5"/>
        <w:spacing w:before="120"/>
        <w:ind w:firstLine="480"/>
        <w:rPr>
          <w:b/>
          <w:color w:val="000000" w:themeColor="text1"/>
          <w:highlight w:val="none"/>
          <w:lang w:eastAsia="zh-CN"/>
          <w14:textFill>
            <w14:solidFill>
              <w14:schemeClr w14:val="tx1"/>
            </w14:solidFill>
          </w14:textFill>
        </w:rPr>
      </w:pPr>
      <w:bookmarkStart w:id="455" w:name="_Toc120173247"/>
      <w:r>
        <w:rPr>
          <w:color w:val="000000" w:themeColor="text1"/>
          <w:highlight w:val="none"/>
          <w:lang w:eastAsia="zh-CN"/>
          <w14:textFill>
            <w14:solidFill>
              <w14:schemeClr w14:val="tx1"/>
            </w14:solidFill>
          </w14:textFill>
        </w:rPr>
        <w:t>监测计划</w:t>
      </w:r>
      <w:bookmarkEnd w:id="455"/>
    </w:p>
    <w:p>
      <w:pPr>
        <w:pStyle w:val="19"/>
        <w:adjustRightInd w:val="0"/>
        <w:snapToGrid w:val="0"/>
        <w:spacing w:before="0" w:line="360" w:lineRule="auto"/>
        <w:ind w:left="0" w:firstLine="480" w:firstLineChars="20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从本评价的预测结论来看，项目单位在建设施工过程及运行过程中的环境影响，除采取必要的工程性措施控制外，更需通过环境管理来解决。而环境监测是环境管理重要的手段之一。今后，通过周围环境质量及企业生产污染排放的实时监控，可正确、迅速、完整地为建设单位日常环境管理及制定环境污染事故应急措施提供必要数据。</w:t>
      </w:r>
    </w:p>
    <w:p>
      <w:pPr>
        <w:pStyle w:val="22"/>
        <w:snapToGrid w:val="0"/>
        <w:spacing w:line="360" w:lineRule="auto"/>
        <w:ind w:firstLine="480" w:firstLineChars="200"/>
        <w:rPr>
          <w:rFonts w:ascii="Times New Roman" w:hAnsi="Times New Roman"/>
          <w:bCs/>
          <w:color w:val="000000" w:themeColor="text1"/>
          <w:highlight w:val="none"/>
          <w14:textFill>
            <w14:solidFill>
              <w14:schemeClr w14:val="tx1"/>
            </w14:solidFill>
          </w14:textFill>
        </w:rPr>
      </w:pPr>
      <w:bookmarkStart w:id="456" w:name="8.2.1监测计划"/>
      <w:bookmarkEnd w:id="456"/>
      <w:r>
        <w:rPr>
          <w:rFonts w:hint="eastAsia" w:hAnsi="宋体" w:eastAsia="宋体" w:cs="宋体"/>
          <w:bCs/>
          <w:color w:val="000000" w:themeColor="text1"/>
          <w:highlight w:val="none"/>
          <w14:textFill>
            <w14:solidFill>
              <w14:schemeClr w14:val="tx1"/>
            </w14:solidFill>
          </w14:textFill>
        </w:rPr>
        <w:t>根</w:t>
      </w:r>
      <w:r>
        <w:rPr>
          <w:rFonts w:ascii="Times New Roman" w:hAnsi="Times New Roman"/>
          <w:bCs/>
          <w:color w:val="000000" w:themeColor="text1"/>
          <w:highlight w:val="none"/>
          <w14:textFill>
            <w14:solidFill>
              <w14:schemeClr w14:val="tx1"/>
            </w14:solidFill>
          </w14:textFill>
        </w:rPr>
        <w:t>据天然气试采对区域环境可能产生的影响，确定本项目环境监测对象为土壤、水、气、声。监测范围一般根据各种污染因子对环境产生的影响范围而定，具体范围可参见环境影响范围。</w:t>
      </w:r>
    </w:p>
    <w:p>
      <w:pPr>
        <w:pStyle w:val="22"/>
        <w:snapToGrid w:val="0"/>
        <w:spacing w:line="360" w:lineRule="auto"/>
        <w:ind w:firstLine="480" w:firstLineChars="200"/>
        <w:rPr>
          <w:rFonts w:ascii="Times New Roman" w:hAnsi="Times New Roman"/>
          <w:bCs/>
          <w:color w:val="000000" w:themeColor="text1"/>
          <w:highlight w:val="none"/>
          <w14:textFill>
            <w14:solidFill>
              <w14:schemeClr w14:val="tx1"/>
            </w14:solidFill>
          </w14:textFill>
        </w:rPr>
      </w:pPr>
      <w:r>
        <w:rPr>
          <w:rFonts w:hint="eastAsia" w:hAnsi="宋体" w:eastAsia="宋体" w:cs="宋体"/>
          <w:bCs/>
          <w:color w:val="000000" w:themeColor="text1"/>
          <w:highlight w:val="none"/>
          <w14:textFill>
            <w14:solidFill>
              <w14:schemeClr w14:val="tx1"/>
            </w14:solidFill>
          </w14:textFill>
        </w:rPr>
        <w:t>本</w:t>
      </w:r>
      <w:r>
        <w:rPr>
          <w:rFonts w:ascii="Times New Roman" w:hAnsi="Times New Roman"/>
          <w:bCs/>
          <w:color w:val="000000" w:themeColor="text1"/>
          <w:highlight w:val="none"/>
          <w14:textFill>
            <w14:solidFill>
              <w14:schemeClr w14:val="tx1"/>
            </w14:solidFill>
          </w14:textFill>
        </w:rPr>
        <w:t>项目正常施工或生产期间开展定期监测，在事故时进行应急监测。参照《排污单位自行监测技术指南 总则》（HJ819-2017）、《工业企业土壤和地下水自行监测 技术指南（试行）》（HJ1209-2021）与《排污单位自行监测技术指南 陆上石油天然气开采工业》（HJ1248—2022）中的有关规定要求，针对本项目产排污特点，制定本项目的监测计划。</w:t>
      </w:r>
    </w:p>
    <w:p>
      <w:pPr>
        <w:pStyle w:val="22"/>
        <w:snapToGrid w:val="0"/>
        <w:spacing w:line="360" w:lineRule="auto"/>
        <w:ind w:firstLine="480" w:firstLineChars="200"/>
        <w:rPr>
          <w:rFonts w:ascii="Times New Roman" w:hAnsi="Times New Roman"/>
          <w:bCs/>
          <w:color w:val="000000" w:themeColor="text1"/>
          <w:highlight w:val="none"/>
          <w14:textFill>
            <w14:solidFill>
              <w14:schemeClr w14:val="tx1"/>
            </w14:solidFill>
          </w14:textFill>
        </w:rPr>
      </w:pPr>
      <w:r>
        <w:rPr>
          <w:rFonts w:hint="eastAsia" w:hAnsi="宋体" w:eastAsia="宋体" w:cs="宋体"/>
          <w:bCs/>
          <w:color w:val="000000" w:themeColor="text1"/>
          <w:highlight w:val="none"/>
          <w14:textFill>
            <w14:solidFill>
              <w14:schemeClr w14:val="tx1"/>
            </w14:solidFill>
          </w14:textFill>
        </w:rPr>
        <w:t>根</w:t>
      </w:r>
      <w:r>
        <w:rPr>
          <w:rFonts w:ascii="Times New Roman" w:hAnsi="Times New Roman"/>
          <w:bCs/>
          <w:color w:val="000000" w:themeColor="text1"/>
          <w:highlight w:val="none"/>
          <w14:textFill>
            <w14:solidFill>
              <w14:schemeClr w14:val="tx1"/>
            </w14:solidFill>
          </w14:textFill>
        </w:rPr>
        <w:t>据项目的特点，环境监测重点为井场场界噪声值、最近居民点的噪声值和场界周边</w:t>
      </w:r>
      <w:r>
        <w:rPr>
          <w:rFonts w:hint="eastAsia" w:ascii="Times New Roman" w:hAnsi="Times New Roman"/>
          <w:bCs/>
          <w:color w:val="000000" w:themeColor="text1"/>
          <w:highlight w:val="none"/>
          <w14:textFill>
            <w14:solidFill>
              <w14:schemeClr w14:val="tx1"/>
            </w14:solidFill>
          </w14:textFill>
        </w:rPr>
        <w:t>无组织N</w:t>
      </w:r>
      <w:r>
        <w:rPr>
          <w:rFonts w:ascii="Times New Roman" w:hAnsi="Times New Roman"/>
          <w:bCs/>
          <w:color w:val="000000" w:themeColor="text1"/>
          <w:highlight w:val="none"/>
          <w14:textFill>
            <w14:solidFill>
              <w14:schemeClr w14:val="tx1"/>
            </w14:solidFill>
          </w14:textFill>
        </w:rPr>
        <w:t>MHC浓度。</w:t>
      </w:r>
    </w:p>
    <w:p>
      <w:pPr>
        <w:pStyle w:val="22"/>
        <w:snapToGrid w:val="0"/>
        <w:spacing w:line="360" w:lineRule="auto"/>
        <w:ind w:firstLine="480" w:firstLineChars="200"/>
        <w:rPr>
          <w:rFonts w:ascii="Times New Roman" w:hAnsi="Times New Roman"/>
          <w:bCs/>
          <w:color w:val="000000" w:themeColor="text1"/>
          <w:highlight w:val="none"/>
          <w14:textFill>
            <w14:solidFill>
              <w14:schemeClr w14:val="tx1"/>
            </w14:solidFill>
          </w14:textFill>
        </w:rPr>
      </w:pPr>
      <w:r>
        <w:rPr>
          <w:rFonts w:hint="eastAsia" w:hAnsi="宋体" w:eastAsia="宋体" w:cs="宋体"/>
          <w:bCs/>
          <w:color w:val="000000" w:themeColor="text1"/>
          <w:highlight w:val="none"/>
          <w14:textFill>
            <w14:solidFill>
              <w14:schemeClr w14:val="tx1"/>
            </w14:solidFill>
          </w14:textFill>
        </w:rPr>
        <w:t>噪</w:t>
      </w:r>
      <w:r>
        <w:rPr>
          <w:rFonts w:ascii="Times New Roman" w:hAnsi="Times New Roman"/>
          <w:bCs/>
          <w:color w:val="000000" w:themeColor="text1"/>
          <w:highlight w:val="none"/>
          <w14:textFill>
            <w14:solidFill>
              <w14:schemeClr w14:val="tx1"/>
            </w14:solidFill>
          </w14:textFill>
        </w:rPr>
        <w:t>声监测设在场界处和最近居民点处，</w:t>
      </w:r>
      <w:r>
        <w:rPr>
          <w:rFonts w:hint="eastAsia" w:ascii="Times New Roman" w:hAnsi="Times New Roman" w:eastAsia="宋体"/>
          <w:bCs/>
          <w:color w:val="000000" w:themeColor="text1"/>
          <w:highlight w:val="none"/>
          <w14:textFill>
            <w14:solidFill>
              <w14:schemeClr w14:val="tx1"/>
            </w14:solidFill>
          </w14:textFill>
        </w:rPr>
        <w:t>施工期间</w:t>
      </w:r>
      <w:r>
        <w:rPr>
          <w:rFonts w:ascii="Times New Roman" w:hAnsi="Times New Roman"/>
          <w:bCs/>
          <w:color w:val="000000" w:themeColor="text1"/>
          <w:highlight w:val="none"/>
          <w14:textFill>
            <w14:solidFill>
              <w14:schemeClr w14:val="tx1"/>
            </w14:solidFill>
          </w14:textFill>
        </w:rPr>
        <w:t>分别监测昼间、夜间各1次，开采期间每年昼间、夜间各监测1次。</w:t>
      </w:r>
    </w:p>
    <w:p>
      <w:pPr>
        <w:ind w:firstLine="480"/>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地下水监测设置在周边有代表性的水井，按照地下水评价所列计划对环境进行跟踪监测后，建设单位应按相关规定对监测结果及时建立档案。如发现异常或发生事故，加密监测频次，并根据污染物特征增加监测项目，并分析污染原因，及时采取应急措施</w:t>
      </w:r>
      <w:r>
        <w:rPr>
          <w:color w:val="000000" w:themeColor="text1"/>
          <w:highlight w:val="none"/>
          <w14:textFill>
            <w14:solidFill>
              <w14:schemeClr w14:val="tx1"/>
            </w14:solidFill>
          </w14:textFill>
        </w:rPr>
        <w:t>。监测计划见</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REF _Ref142859803 \h  \* MERGEFORMAT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10.3</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w:t>
      </w:r>
    </w:p>
    <w:p>
      <w:pPr>
        <w:pStyle w:val="96"/>
        <w:spacing w:before="120"/>
        <w:rPr>
          <w:color w:val="000000" w:themeColor="text1"/>
          <w:highlight w:val="none"/>
          <w14:textFill>
            <w14:solidFill>
              <w14:schemeClr w14:val="tx1"/>
            </w14:solidFill>
          </w14:textFill>
        </w:rPr>
      </w:pPr>
      <w:bookmarkStart w:id="457" w:name="_Ref142859803"/>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10.3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bookmarkEnd w:id="457"/>
      <w:r>
        <w:rPr>
          <w:rFonts w:hint="eastAsia"/>
          <w:color w:val="000000" w:themeColor="text1"/>
          <w:highlight w:val="none"/>
          <w14:textFill>
            <w14:solidFill>
              <w14:schemeClr w14:val="tx1"/>
            </w14:solidFill>
          </w14:textFill>
        </w:rPr>
        <w:t>本项目环境监测计划</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966"/>
        <w:gridCol w:w="1454"/>
        <w:gridCol w:w="1983"/>
        <w:gridCol w:w="1609"/>
        <w:gridCol w:w="1419"/>
        <w:gridCol w:w="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blHeader/>
          <w:jc w:val="center"/>
        </w:trPr>
        <w:tc>
          <w:tcPr>
            <w:tcW w:w="573"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环境要素</w:t>
            </w:r>
          </w:p>
        </w:tc>
        <w:tc>
          <w:tcPr>
            <w:tcW w:w="863"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监测点位</w:t>
            </w:r>
          </w:p>
        </w:tc>
        <w:tc>
          <w:tcPr>
            <w:tcW w:w="1177"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监测项目</w:t>
            </w:r>
          </w:p>
        </w:tc>
        <w:tc>
          <w:tcPr>
            <w:tcW w:w="955"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监测频次</w:t>
            </w:r>
          </w:p>
        </w:tc>
        <w:tc>
          <w:tcPr>
            <w:tcW w:w="842"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监测时段</w:t>
            </w:r>
          </w:p>
        </w:tc>
        <w:tc>
          <w:tcPr>
            <w:tcW w:w="589" w:type="pct"/>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575" w:hRule="atLeast"/>
          <w:jc w:val="center"/>
        </w:trPr>
        <w:tc>
          <w:tcPr>
            <w:tcW w:w="573" w:type="pct"/>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土壤</w:t>
            </w:r>
          </w:p>
        </w:tc>
        <w:tc>
          <w:tcPr>
            <w:tcW w:w="863" w:type="pct"/>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w:t>
            </w:r>
            <w:r>
              <w:rPr>
                <w:rFonts w:hint="eastAsia"/>
                <w:color w:val="000000" w:themeColor="text1"/>
                <w:highlight w:val="none"/>
                <w14:textFill>
                  <w14:solidFill>
                    <w14:schemeClr w14:val="tx1"/>
                  </w14:solidFill>
                </w14:textFill>
              </w:rPr>
              <w:t>试采站周边200m范围内耕地</w:t>
            </w:r>
          </w:p>
        </w:tc>
        <w:tc>
          <w:tcPr>
            <w:tcW w:w="1177"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GB 36600表1基本项目、</w:t>
            </w:r>
            <w:r>
              <w:rPr>
                <w:color w:val="000000" w:themeColor="text1"/>
                <w:highlight w:val="none"/>
                <w14:textFill>
                  <w14:solidFill>
                    <w14:schemeClr w14:val="tx1"/>
                  </w14:solidFill>
                </w14:textFill>
              </w:rPr>
              <w:t>石油类、石油烃（C</w:t>
            </w:r>
            <w:r>
              <w:rPr>
                <w:color w:val="000000" w:themeColor="text1"/>
                <w:highlight w:val="none"/>
                <w:vertAlign w:val="subscript"/>
                <w14:textFill>
                  <w14:solidFill>
                    <w14:schemeClr w14:val="tx1"/>
                  </w14:solidFill>
                </w14:textFill>
              </w:rPr>
              <w:t>6</w:t>
            </w:r>
            <w:r>
              <w:rPr>
                <w:color w:val="000000" w:themeColor="text1"/>
                <w:highlight w:val="none"/>
                <w14:textFill>
                  <w14:solidFill>
                    <w14:schemeClr w14:val="tx1"/>
                  </w14:solidFill>
                </w14:textFill>
              </w:rPr>
              <w:t>~C</w:t>
            </w:r>
            <w:r>
              <w:rPr>
                <w:color w:val="000000" w:themeColor="text1"/>
                <w:highlight w:val="none"/>
                <w:vertAlign w:val="subscript"/>
                <w14:textFill>
                  <w14:solidFill>
                    <w14:schemeClr w14:val="tx1"/>
                  </w14:solidFill>
                </w14:textFill>
              </w:rPr>
              <w:t>9</w:t>
            </w:r>
            <w:r>
              <w:rPr>
                <w:color w:val="000000" w:themeColor="text1"/>
                <w:highlight w:val="none"/>
                <w14:textFill>
                  <w14:solidFill>
                    <w14:schemeClr w14:val="tx1"/>
                  </w14:solidFill>
                </w14:textFill>
              </w:rPr>
              <w:t>）、石油烃（C</w:t>
            </w:r>
            <w:r>
              <w:rPr>
                <w:color w:val="000000" w:themeColor="text1"/>
                <w:highlight w:val="none"/>
                <w:vertAlign w:val="subscript"/>
                <w14:textFill>
                  <w14:solidFill>
                    <w14:schemeClr w14:val="tx1"/>
                  </w14:solidFill>
                </w14:textFill>
              </w:rPr>
              <w:t>10</w:t>
            </w:r>
            <w:r>
              <w:rPr>
                <w:color w:val="000000" w:themeColor="text1"/>
                <w:highlight w:val="none"/>
                <w14:textFill>
                  <w14:solidFill>
                    <w14:schemeClr w14:val="tx1"/>
                  </w14:solidFill>
                </w14:textFill>
              </w:rPr>
              <w:t>~C</w:t>
            </w:r>
            <w:r>
              <w:rPr>
                <w:color w:val="000000" w:themeColor="text1"/>
                <w:highlight w:val="none"/>
                <w:vertAlign w:val="subscript"/>
                <w14:textFill>
                  <w14:solidFill>
                    <w14:schemeClr w14:val="tx1"/>
                  </w14:solidFill>
                </w14:textFill>
              </w:rPr>
              <w:t>40</w:t>
            </w:r>
            <w:r>
              <w:rPr>
                <w:color w:val="000000" w:themeColor="text1"/>
                <w:highlight w:val="none"/>
                <w14:textFill>
                  <w14:solidFill>
                    <w14:schemeClr w14:val="tx1"/>
                  </w14:solidFill>
                </w14:textFill>
              </w:rPr>
              <w:t>）、汞、砷、铬（六价）</w:t>
            </w:r>
            <w:r>
              <w:rPr>
                <w:rFonts w:hint="eastAsia"/>
                <w:color w:val="000000" w:themeColor="text1"/>
                <w:highlight w:val="none"/>
                <w14:textFill>
                  <w14:solidFill>
                    <w14:schemeClr w14:val="tx1"/>
                  </w14:solidFill>
                </w14:textFill>
              </w:rPr>
              <w:t>、氯化物</w:t>
            </w:r>
          </w:p>
        </w:tc>
        <w:tc>
          <w:tcPr>
            <w:tcW w:w="95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1次/5年</w:t>
            </w:r>
          </w:p>
        </w:tc>
        <w:tc>
          <w:tcPr>
            <w:tcW w:w="84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定期</w:t>
            </w:r>
          </w:p>
        </w:tc>
        <w:tc>
          <w:tcPr>
            <w:tcW w:w="589"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HJ1209-2021</w:t>
            </w:r>
            <w:r>
              <w:rPr>
                <w:rFonts w:hint="eastAsia"/>
                <w:color w:val="000000" w:themeColor="text1"/>
                <w:highlight w:val="none"/>
                <w14:textFill>
                  <w14:solidFill>
                    <w14:schemeClr w14:val="tx1"/>
                  </w14:solidFill>
                </w14:textFill>
              </w:rPr>
              <w:t>、HJ</w:t>
            </w:r>
            <w:r>
              <w:rPr>
                <w:color w:val="000000" w:themeColor="text1"/>
                <w:highlight w:val="none"/>
                <w14:textFill>
                  <w14:solidFill>
                    <w14:schemeClr w14:val="tx1"/>
                  </w14:solidFill>
                </w14:textFill>
              </w:rPr>
              <w:t>964-2018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73" w:type="pct"/>
            <w:vMerge w:val="restart"/>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大气</w:t>
            </w:r>
          </w:p>
        </w:tc>
        <w:tc>
          <w:tcPr>
            <w:tcW w:w="863" w:type="pct"/>
            <w:shd w:val="clear" w:color="auto" w:fill="FFFFFF"/>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试采站</w:t>
            </w:r>
            <w:r>
              <w:rPr>
                <w:color w:val="000000" w:themeColor="text1"/>
                <w:highlight w:val="none"/>
                <w14:textFill>
                  <w14:solidFill>
                    <w14:schemeClr w14:val="tx1"/>
                  </w14:solidFill>
                </w14:textFill>
              </w:rPr>
              <w:t>厂</w:t>
            </w:r>
            <w:r>
              <w:rPr>
                <w:rFonts w:hint="eastAsia"/>
                <w:color w:val="000000" w:themeColor="text1"/>
                <w:highlight w:val="none"/>
                <w14:textFill>
                  <w14:solidFill>
                    <w14:schemeClr w14:val="tx1"/>
                  </w14:solidFill>
                </w14:textFill>
              </w:rPr>
              <w:t>界</w:t>
            </w:r>
            <w:r>
              <w:rPr>
                <w:color w:val="000000" w:themeColor="text1"/>
                <w:highlight w:val="none"/>
                <w14:textFill>
                  <w14:solidFill>
                    <w14:schemeClr w14:val="tx1"/>
                  </w14:solidFill>
                </w14:textFill>
              </w:rPr>
              <w:t>、最近居民点处</w:t>
            </w:r>
          </w:p>
        </w:tc>
        <w:tc>
          <w:tcPr>
            <w:tcW w:w="1177"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CH</w:t>
            </w:r>
            <w:r>
              <w:rPr>
                <w:color w:val="000000" w:themeColor="text1"/>
                <w:highlight w:val="none"/>
                <w:vertAlign w:val="subscript"/>
                <w14:textFill>
                  <w14:solidFill>
                    <w14:schemeClr w14:val="tx1"/>
                  </w14:solidFill>
                </w14:textFill>
              </w:rPr>
              <w:t>4</w:t>
            </w:r>
          </w:p>
        </w:tc>
        <w:tc>
          <w:tcPr>
            <w:tcW w:w="95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测试和事故放喷时根据事故控制情况布置监测</w:t>
            </w:r>
          </w:p>
        </w:tc>
        <w:tc>
          <w:tcPr>
            <w:tcW w:w="84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事故过程</w:t>
            </w:r>
          </w:p>
        </w:tc>
        <w:tc>
          <w:tcPr>
            <w:tcW w:w="589"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73" w:type="pct"/>
            <w:vMerge w:val="continue"/>
            <w:shd w:val="clear" w:color="auto" w:fill="FFFFFF"/>
            <w:vAlign w:val="center"/>
          </w:tcPr>
          <w:p>
            <w:pPr>
              <w:pStyle w:val="118"/>
              <w:rPr>
                <w:color w:val="000000" w:themeColor="text1"/>
                <w:highlight w:val="none"/>
                <w14:textFill>
                  <w14:solidFill>
                    <w14:schemeClr w14:val="tx1"/>
                  </w14:solidFill>
                </w14:textFill>
              </w:rPr>
            </w:pPr>
          </w:p>
        </w:tc>
        <w:tc>
          <w:tcPr>
            <w:tcW w:w="863" w:type="pct"/>
            <w:shd w:val="clear" w:color="auto" w:fill="FFFFFF"/>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试采站</w:t>
            </w:r>
            <w:r>
              <w:rPr>
                <w:color w:val="000000" w:themeColor="text1"/>
                <w:highlight w:val="none"/>
                <w14:textFill>
                  <w14:solidFill>
                    <w14:schemeClr w14:val="tx1"/>
                  </w14:solidFill>
                </w14:textFill>
              </w:rPr>
              <w:t>厂</w:t>
            </w:r>
            <w:r>
              <w:rPr>
                <w:rFonts w:hint="eastAsia"/>
                <w:color w:val="000000" w:themeColor="text1"/>
                <w:highlight w:val="none"/>
                <w14:textFill>
                  <w14:solidFill>
                    <w14:schemeClr w14:val="tx1"/>
                  </w14:solidFill>
                </w14:textFill>
              </w:rPr>
              <w:t>界</w:t>
            </w:r>
            <w:r>
              <w:rPr>
                <w:color w:val="000000" w:themeColor="text1"/>
                <w:highlight w:val="none"/>
                <w14:textFill>
                  <w14:solidFill>
                    <w14:schemeClr w14:val="tx1"/>
                  </w14:solidFill>
                </w14:textFill>
              </w:rPr>
              <w:t>、最近居民点处</w:t>
            </w:r>
          </w:p>
        </w:tc>
        <w:tc>
          <w:tcPr>
            <w:tcW w:w="1177"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TSP</w:t>
            </w:r>
          </w:p>
        </w:tc>
        <w:tc>
          <w:tcPr>
            <w:tcW w:w="955"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施工阶段1-2次</w:t>
            </w:r>
          </w:p>
        </w:tc>
        <w:tc>
          <w:tcPr>
            <w:tcW w:w="84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施工阶段</w:t>
            </w:r>
          </w:p>
        </w:tc>
        <w:tc>
          <w:tcPr>
            <w:tcW w:w="589"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73" w:type="pct"/>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噪声</w:t>
            </w:r>
          </w:p>
        </w:tc>
        <w:tc>
          <w:tcPr>
            <w:tcW w:w="863" w:type="pct"/>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场界处</w:t>
            </w:r>
          </w:p>
        </w:tc>
        <w:tc>
          <w:tcPr>
            <w:tcW w:w="1177"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场界噪声</w:t>
            </w:r>
          </w:p>
        </w:tc>
        <w:tc>
          <w:tcPr>
            <w:tcW w:w="955" w:type="pct"/>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施工</w:t>
            </w:r>
            <w:r>
              <w:rPr>
                <w:color w:val="000000" w:themeColor="text1"/>
                <w:highlight w:val="none"/>
                <w14:textFill>
                  <w14:solidFill>
                    <w14:schemeClr w14:val="tx1"/>
                  </w14:solidFill>
                </w14:textFill>
              </w:rPr>
              <w:t>期间分别监测昼间、夜间各1次；</w:t>
            </w:r>
            <w:r>
              <w:rPr>
                <w:snapToGrid w:val="0"/>
                <w:color w:val="000000" w:themeColor="text1"/>
                <w:highlight w:val="none"/>
                <w14:textFill>
                  <w14:solidFill>
                    <w14:schemeClr w14:val="tx1"/>
                  </w14:solidFill>
                </w14:textFill>
              </w:rPr>
              <w:t>试采期每季度监测1次，根据监测结果，若场站内声源装置稳定运行且厂界环境噪声远低于标准限值的小型场站可不开展厂界环境噪声监测</w:t>
            </w:r>
          </w:p>
        </w:tc>
        <w:tc>
          <w:tcPr>
            <w:tcW w:w="84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投诉时对投诉敏感点监测</w:t>
            </w:r>
          </w:p>
        </w:tc>
        <w:tc>
          <w:tcPr>
            <w:tcW w:w="589"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HJ1248—2022等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73" w:type="pct"/>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雨水</w:t>
            </w:r>
          </w:p>
        </w:tc>
        <w:tc>
          <w:tcPr>
            <w:tcW w:w="863" w:type="pct"/>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雨水排放口</w:t>
            </w:r>
          </w:p>
        </w:tc>
        <w:tc>
          <w:tcPr>
            <w:tcW w:w="1177"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COD、石油类</w:t>
            </w:r>
          </w:p>
        </w:tc>
        <w:tc>
          <w:tcPr>
            <w:tcW w:w="1797" w:type="pct"/>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有流动水排放时按季度监测，如监测一年无异常情况，可放宽至每年开展一次监测</w:t>
            </w:r>
          </w:p>
        </w:tc>
        <w:tc>
          <w:tcPr>
            <w:tcW w:w="589"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HJ1248-2022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73" w:type="pct"/>
            <w:vMerge w:val="restart"/>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地下水</w:t>
            </w:r>
          </w:p>
        </w:tc>
        <w:tc>
          <w:tcPr>
            <w:tcW w:w="863" w:type="pct"/>
            <w:shd w:val="clear" w:color="auto" w:fill="FFFFFF"/>
            <w:vAlign w:val="center"/>
          </w:tcPr>
          <w:p>
            <w:pPr>
              <w:pStyle w:val="118"/>
              <w:rPr>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雷页1井</w:t>
            </w:r>
            <w:r>
              <w:rPr>
                <w:color w:val="000000" w:themeColor="text1"/>
                <w:highlight w:val="none"/>
                <w14:textFill>
                  <w14:solidFill>
                    <w14:schemeClr w14:val="tx1"/>
                  </w14:solidFill>
                </w14:textFill>
              </w:rPr>
              <w:t>井口西侧距项目地约50m处</w:t>
            </w:r>
          </w:p>
        </w:tc>
        <w:tc>
          <w:tcPr>
            <w:tcW w:w="1177" w:type="pct"/>
            <w:vMerge w:val="restar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pH值、总硬度、六价铬、铁、锰、耗氧量、TDS、COD、石油类、氯化物</w:t>
            </w:r>
          </w:p>
        </w:tc>
        <w:tc>
          <w:tcPr>
            <w:tcW w:w="955" w:type="pct"/>
            <w:vMerge w:val="restart"/>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开采期每年对2#点位例行监测一次，事故时加密监测</w:t>
            </w:r>
          </w:p>
        </w:tc>
        <w:tc>
          <w:tcPr>
            <w:tcW w:w="84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背景值监测点</w:t>
            </w:r>
          </w:p>
        </w:tc>
        <w:tc>
          <w:tcPr>
            <w:tcW w:w="589" w:type="pct"/>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HJ1209-2021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73" w:type="pct"/>
            <w:vMerge w:val="continue"/>
            <w:shd w:val="clear" w:color="auto" w:fill="FFFFFF"/>
            <w:vAlign w:val="center"/>
          </w:tcPr>
          <w:p>
            <w:pPr>
              <w:pStyle w:val="118"/>
              <w:rPr>
                <w:color w:val="000000" w:themeColor="text1"/>
                <w:highlight w:val="none"/>
                <w14:textFill>
                  <w14:solidFill>
                    <w14:schemeClr w14:val="tx1"/>
                  </w14:solidFill>
                </w14:textFill>
              </w:rPr>
            </w:pPr>
          </w:p>
        </w:tc>
        <w:tc>
          <w:tcPr>
            <w:tcW w:w="863" w:type="pct"/>
            <w:shd w:val="clear" w:color="auto" w:fill="FFFFFF"/>
            <w:vAlign w:val="center"/>
          </w:tcPr>
          <w:p>
            <w:pPr>
              <w:pStyle w:val="118"/>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雷页1井</w:t>
            </w:r>
            <w:r>
              <w:rPr>
                <w:color w:val="000000" w:themeColor="text1"/>
                <w:highlight w:val="none"/>
                <w14:textFill>
                  <w14:solidFill>
                    <w14:schemeClr w14:val="tx1"/>
                  </w14:solidFill>
                </w14:textFill>
              </w:rPr>
              <w:t>井口东侧距项目地约360m处</w:t>
            </w:r>
          </w:p>
        </w:tc>
        <w:tc>
          <w:tcPr>
            <w:tcW w:w="1177" w:type="pct"/>
            <w:vMerge w:val="continue"/>
            <w:vAlign w:val="center"/>
          </w:tcPr>
          <w:p>
            <w:pPr>
              <w:pStyle w:val="118"/>
              <w:rPr>
                <w:snapToGrid w:val="0"/>
                <w:color w:val="000000" w:themeColor="text1"/>
                <w:highlight w:val="none"/>
                <w14:textFill>
                  <w14:solidFill>
                    <w14:schemeClr w14:val="tx1"/>
                  </w14:solidFill>
                </w14:textFill>
              </w:rPr>
            </w:pPr>
          </w:p>
        </w:tc>
        <w:tc>
          <w:tcPr>
            <w:tcW w:w="955" w:type="pct"/>
            <w:vMerge w:val="continue"/>
            <w:vAlign w:val="center"/>
          </w:tcPr>
          <w:p>
            <w:pPr>
              <w:pStyle w:val="118"/>
              <w:rPr>
                <w:snapToGrid w:val="0"/>
                <w:color w:val="000000" w:themeColor="text1"/>
                <w:highlight w:val="none"/>
                <w14:textFill>
                  <w14:solidFill>
                    <w14:schemeClr w14:val="tx1"/>
                  </w14:solidFill>
                </w14:textFill>
              </w:rPr>
            </w:pPr>
          </w:p>
        </w:tc>
        <w:tc>
          <w:tcPr>
            <w:tcW w:w="84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监控点</w:t>
            </w:r>
          </w:p>
        </w:tc>
        <w:tc>
          <w:tcPr>
            <w:tcW w:w="589" w:type="pct"/>
            <w:vMerge w:val="continue"/>
            <w:vAlign w:val="center"/>
          </w:tcPr>
          <w:p>
            <w:pPr>
              <w:pStyle w:val="118"/>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8" w:hRule="atLeast"/>
          <w:jc w:val="center"/>
        </w:trPr>
        <w:tc>
          <w:tcPr>
            <w:tcW w:w="573" w:type="pct"/>
            <w:vMerge w:val="continue"/>
            <w:shd w:val="clear" w:color="auto" w:fill="FFFFFF"/>
            <w:vAlign w:val="center"/>
          </w:tcPr>
          <w:p>
            <w:pPr>
              <w:pStyle w:val="118"/>
              <w:rPr>
                <w:color w:val="000000" w:themeColor="text1"/>
                <w:highlight w:val="none"/>
                <w14:textFill>
                  <w14:solidFill>
                    <w14:schemeClr w14:val="tx1"/>
                  </w14:solidFill>
                </w14:textFill>
              </w:rPr>
            </w:pPr>
          </w:p>
        </w:tc>
        <w:tc>
          <w:tcPr>
            <w:tcW w:w="863" w:type="pct"/>
            <w:shd w:val="clear" w:color="auto" w:fill="FFFFFF"/>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雷页1井井口东南侧距项目地约433m处</w:t>
            </w:r>
          </w:p>
        </w:tc>
        <w:tc>
          <w:tcPr>
            <w:tcW w:w="1177" w:type="pct"/>
            <w:vMerge w:val="continue"/>
            <w:vAlign w:val="center"/>
          </w:tcPr>
          <w:p>
            <w:pPr>
              <w:pStyle w:val="118"/>
              <w:rPr>
                <w:snapToGrid w:val="0"/>
                <w:color w:val="000000" w:themeColor="text1"/>
                <w:highlight w:val="none"/>
                <w14:textFill>
                  <w14:solidFill>
                    <w14:schemeClr w14:val="tx1"/>
                  </w14:solidFill>
                </w14:textFill>
              </w:rPr>
            </w:pPr>
          </w:p>
        </w:tc>
        <w:tc>
          <w:tcPr>
            <w:tcW w:w="955" w:type="pct"/>
            <w:vMerge w:val="continue"/>
            <w:vAlign w:val="center"/>
          </w:tcPr>
          <w:p>
            <w:pPr>
              <w:pStyle w:val="118"/>
              <w:rPr>
                <w:snapToGrid w:val="0"/>
                <w:color w:val="000000" w:themeColor="text1"/>
                <w:highlight w:val="none"/>
                <w14:textFill>
                  <w14:solidFill>
                    <w14:schemeClr w14:val="tx1"/>
                  </w14:solidFill>
                </w14:textFill>
              </w:rPr>
            </w:pPr>
          </w:p>
        </w:tc>
        <w:tc>
          <w:tcPr>
            <w:tcW w:w="842" w:type="pc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监控点</w:t>
            </w:r>
          </w:p>
        </w:tc>
        <w:tc>
          <w:tcPr>
            <w:tcW w:w="589" w:type="pct"/>
            <w:vMerge w:val="continue"/>
            <w:vAlign w:val="center"/>
          </w:tcPr>
          <w:p>
            <w:pPr>
              <w:pStyle w:val="118"/>
              <w:rPr>
                <w:color w:val="000000" w:themeColor="text1"/>
                <w:highlight w:val="none"/>
                <w14:textFill>
                  <w14:solidFill>
                    <w14:schemeClr w14:val="tx1"/>
                  </w14:solidFill>
                </w14:textFill>
              </w:rPr>
            </w:pPr>
          </w:p>
        </w:tc>
      </w:tr>
    </w:tbl>
    <w:p>
      <w:pPr>
        <w:pStyle w:val="60"/>
        <w:rPr>
          <w:rFonts w:eastAsia="黑体"/>
          <w:color w:val="000000" w:themeColor="text1"/>
          <w:sz w:val="21"/>
          <w:szCs w:val="21"/>
          <w:highlight w:val="none"/>
          <w:lang w:eastAsia="zh-CN"/>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5276850" cy="3986530"/>
            <wp:effectExtent l="0" t="0" r="0" b="0"/>
            <wp:docPr id="16050698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069842" name="图片 1"/>
                    <pic:cNvPicPr>
                      <a:picLocks noChangeAspect="1"/>
                    </pic:cNvPicPr>
                  </pic:nvPicPr>
                  <pic:blipFill>
                    <a:blip r:embed="rId105"/>
                    <a:stretch>
                      <a:fillRect/>
                    </a:stretch>
                  </pic:blipFill>
                  <pic:spPr>
                    <a:xfrm>
                      <a:off x="0" y="0"/>
                      <a:ext cx="5276850" cy="3986530"/>
                    </a:xfrm>
                    <a:prstGeom prst="rect">
                      <a:avLst/>
                    </a:prstGeom>
                  </pic:spPr>
                </pic:pic>
              </a:graphicData>
            </a:graphic>
          </wp:inline>
        </w:drawing>
      </w:r>
      <w:r>
        <w:rPr>
          <w:rFonts w:eastAsia="黑体"/>
          <w:color w:val="000000" w:themeColor="text1"/>
          <w:sz w:val="21"/>
          <w:szCs w:val="21"/>
          <w:highlight w:val="none"/>
          <w:lang w:eastAsia="zh-CN"/>
          <w14:textFill>
            <w14:solidFill>
              <w14:schemeClr w14:val="tx1"/>
            </w14:solidFill>
          </w14:textFill>
        </w:rPr>
        <w:t>图10.3-1  地下水跟踪监测布点图</w:t>
      </w:r>
    </w:p>
    <w:p>
      <w:pPr>
        <w:pStyle w:val="5"/>
        <w:spacing w:before="120"/>
        <w:ind w:firstLine="480"/>
        <w:rPr>
          <w:b/>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生态</w:t>
      </w:r>
      <w:r>
        <w:rPr>
          <w:color w:val="000000" w:themeColor="text1"/>
          <w:highlight w:val="none"/>
          <w:lang w:eastAsia="zh-CN"/>
          <w14:textFill>
            <w14:solidFill>
              <w14:schemeClr w14:val="tx1"/>
            </w14:solidFill>
          </w14:textFill>
        </w:rPr>
        <w:t>监测</w:t>
      </w:r>
      <w:r>
        <w:rPr>
          <w:rFonts w:hint="eastAsia"/>
          <w:color w:val="000000" w:themeColor="text1"/>
          <w:highlight w:val="none"/>
          <w:lang w:eastAsia="zh-CN"/>
          <w14:textFill>
            <w14:solidFill>
              <w14:schemeClr w14:val="tx1"/>
            </w14:solidFill>
          </w14:textFill>
        </w:rPr>
        <w:t>计划</w:t>
      </w:r>
    </w:p>
    <w:p>
      <w:pPr>
        <w:spacing w:line="480" w:lineRule="exact"/>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生态环境管理和监控是政府环境保护机构依据国家和地方</w:t>
      </w:r>
      <w:r>
        <w:rPr>
          <w:rFonts w:hint="eastAsia"/>
          <w:bCs/>
          <w:color w:val="000000" w:themeColor="text1"/>
          <w:highlight w:val="none"/>
          <w:lang w:eastAsia="zh-CN"/>
          <w14:textFill>
            <w14:solidFill>
              <w14:schemeClr w14:val="tx1"/>
            </w14:solidFill>
          </w14:textFill>
        </w:rPr>
        <w:t xml:space="preserve"> 制定</w:t>
      </w:r>
      <w:r>
        <w:rPr>
          <w:bCs/>
          <w:color w:val="000000" w:themeColor="text1"/>
          <w:highlight w:val="none"/>
          <w14:textFill>
            <w14:solidFill>
              <w14:schemeClr w14:val="tx1"/>
            </w14:solidFill>
          </w14:textFill>
        </w:rPr>
        <w:t>的有关自然资源和生态保护的法律、法规、条例、技术规范、标准等所进行的行政工作。因此，接受环境管理和监管是建设单位日常工作的一个重要组成部分。本评价根据项目建设的性质、规模、生态影响的程度和范围、项目所在地的自然、经济、社会等因素提出如下生态监控目标和要求。</w:t>
      </w:r>
    </w:p>
    <w:p>
      <w:pPr>
        <w:spacing w:line="480" w:lineRule="exact"/>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监测目标：</w:t>
      </w:r>
    </w:p>
    <w:p>
      <w:pPr>
        <w:spacing w:line="480" w:lineRule="exact"/>
        <w:ind w:firstLine="480"/>
        <w:rPr>
          <w:bCs/>
          <w:color w:val="000000" w:themeColor="text1"/>
          <w:highlight w:val="none"/>
          <w14:textFill>
            <w14:solidFill>
              <w14:schemeClr w14:val="tx1"/>
            </w14:solidFill>
          </w14:textFill>
        </w:rPr>
      </w:pPr>
      <w:r>
        <w:rPr>
          <w:rFonts w:hint="eastAsia" w:ascii="宋体" w:hAnsi="宋体" w:cs="宋体"/>
          <w:bCs/>
          <w:color w:val="000000" w:themeColor="text1"/>
          <w:highlight w:val="none"/>
          <w14:textFill>
            <w14:solidFill>
              <w14:schemeClr w14:val="tx1"/>
            </w14:solidFill>
          </w14:textFill>
        </w:rPr>
        <w:t>①</w:t>
      </w:r>
      <w:r>
        <w:rPr>
          <w:bCs/>
          <w:color w:val="000000" w:themeColor="text1"/>
          <w:highlight w:val="none"/>
          <w14:textFill>
            <w14:solidFill>
              <w14:schemeClr w14:val="tx1"/>
            </w14:solidFill>
          </w14:textFill>
        </w:rPr>
        <w:t>防止区内自然体系生产能力进一步下降；</w:t>
      </w:r>
    </w:p>
    <w:p>
      <w:pPr>
        <w:spacing w:line="480" w:lineRule="exact"/>
        <w:ind w:firstLine="480"/>
        <w:rPr>
          <w:bCs/>
          <w:color w:val="000000" w:themeColor="text1"/>
          <w:highlight w:val="none"/>
          <w14:textFill>
            <w14:solidFill>
              <w14:schemeClr w14:val="tx1"/>
            </w14:solidFill>
          </w14:textFill>
        </w:rPr>
      </w:pPr>
      <w:r>
        <w:rPr>
          <w:rFonts w:hint="eastAsia" w:ascii="宋体" w:hAnsi="宋体" w:cs="宋体"/>
          <w:bCs/>
          <w:color w:val="000000" w:themeColor="text1"/>
          <w:highlight w:val="none"/>
          <w:lang w:eastAsia="ja-JP"/>
          <w14:textFill>
            <w14:solidFill>
              <w14:schemeClr w14:val="tx1"/>
            </w14:solidFill>
          </w14:textFill>
        </w:rPr>
        <w:t>②</w:t>
      </w:r>
      <w:r>
        <w:rPr>
          <w:bCs/>
          <w:color w:val="000000" w:themeColor="text1"/>
          <w:highlight w:val="none"/>
          <w14:textFill>
            <w14:solidFill>
              <w14:schemeClr w14:val="tx1"/>
            </w14:solidFill>
          </w14:textFill>
        </w:rPr>
        <w:t>防止区内水土流失日趋严重；</w:t>
      </w:r>
    </w:p>
    <w:p>
      <w:pPr>
        <w:spacing w:line="480" w:lineRule="exact"/>
        <w:ind w:firstLine="480"/>
        <w:rPr>
          <w:bCs/>
          <w:color w:val="000000" w:themeColor="text1"/>
          <w:highlight w:val="none"/>
          <w14:textFill>
            <w14:solidFill>
              <w14:schemeClr w14:val="tx1"/>
            </w14:solidFill>
          </w14:textFill>
        </w:rPr>
      </w:pPr>
      <w:r>
        <w:rPr>
          <w:rFonts w:hint="eastAsia" w:ascii="宋体" w:hAnsi="宋体" w:cs="宋体"/>
          <w:bCs/>
          <w:color w:val="000000" w:themeColor="text1"/>
          <w:highlight w:val="none"/>
          <w:lang w:eastAsia="ja-JP"/>
          <w14:textFill>
            <w14:solidFill>
              <w14:schemeClr w14:val="tx1"/>
            </w14:solidFill>
          </w14:textFill>
        </w:rPr>
        <w:t>③</w:t>
      </w:r>
      <w:r>
        <w:rPr>
          <w:bCs/>
          <w:color w:val="000000" w:themeColor="text1"/>
          <w:highlight w:val="none"/>
          <w14:textFill>
            <w14:solidFill>
              <w14:schemeClr w14:val="tx1"/>
            </w14:solidFill>
          </w14:textFill>
        </w:rPr>
        <w:t>防止区内人类活动给自然体系增加更大的压力。</w:t>
      </w:r>
    </w:p>
    <w:p>
      <w:pPr>
        <w:spacing w:line="480" w:lineRule="exact"/>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监测要求：</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（一）监测物种类别</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1、陆生植物</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监测陆生植被物种主要为评价区的麻栎、青冈、栓皮栎、马尾松为主的乔木林植被，马桑、黄荆、火棘、荚蒾、芒、白茅为主的灌草丛植被。</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2、陆生动物</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两栖类主要为：常见的蛙类和蟾蜍类。</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爬行类主要为：蜥蜴类、蛇类和壁虎类。</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鸟类主要为：雉科、鸦科、雀科、鹭科、雉科及燕科的鸟类。</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兽类主要为：食肉目鼬</w:t>
      </w:r>
      <w:r>
        <w:rPr>
          <w:bCs/>
          <w:color w:val="000000" w:themeColor="text1"/>
          <w:spacing w:val="2"/>
          <w:szCs w:val="24"/>
          <w:highlight w:val="none"/>
          <w14:textFill>
            <w14:solidFill>
              <w14:schemeClr w14:val="tx1"/>
            </w14:solidFill>
          </w14:textFill>
        </w:rPr>
        <w:t>科，啮齿目鼠科，</w:t>
      </w:r>
      <w:r>
        <w:rPr>
          <w:bCs/>
          <w:color w:val="000000" w:themeColor="text1"/>
          <w:spacing w:val="1"/>
          <w:szCs w:val="24"/>
          <w:highlight w:val="none"/>
          <w14:textFill>
            <w14:solidFill>
              <w14:schemeClr w14:val="tx1"/>
            </w14:solidFill>
          </w14:textFill>
        </w:rPr>
        <w:t>兔形目兔科</w:t>
      </w:r>
      <w:r>
        <w:rPr>
          <w:bCs/>
          <w:color w:val="000000" w:themeColor="text1"/>
          <w:highlight w:val="none"/>
          <w14:textFill>
            <w14:solidFill>
              <w14:schemeClr w14:val="tx1"/>
            </w14:solidFill>
          </w14:textFill>
        </w:rPr>
        <w:t>的中小型兽类。</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（二）监测范围</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包括陆生植被监测、植被恢复效果监测、陆生动物监测。</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1、陆生植被监测</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监测内容及方法：根据陆生生物组成设置固定样地5个，根据各样线群落面积确定设置的样地数量，着重调查植物的水平分布变化趋势。此外，监测过程中应密切关注外来入侵种的种类、数量、入侵速度。</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监测时间及频次：常规监测。</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2、植被恢复效果监测</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监测内容：项目退役后，植被恢复初期，在各施工迹地设置1-2个20m×20m或5m×5m的小样方，对小样方内植物生长情况进行调查，包括植物成活率、萌发情况、幼树长势、植被覆盖率、植物种类变化等。</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监测时间及频次：常规监测。</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3、陆生动物监测</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监测内容及方法：根据陆生生物组成设置固定样线3-4条，统计兽类、鸟类、两栖类、爬行类的物种出现率。还可进行民间访问和市场调查来了解野生动物的情况。</w:t>
      </w:r>
    </w:p>
    <w:p>
      <w:pPr>
        <w:ind w:firstLine="480"/>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监测频次：常规监测</w:t>
      </w:r>
      <w:r>
        <w:rPr>
          <w:color w:val="000000" w:themeColor="text1"/>
          <w:highlight w:val="none"/>
          <w14:textFill>
            <w14:solidFill>
              <w14:schemeClr w14:val="tx1"/>
            </w14:solidFill>
          </w14:textFill>
        </w:rPr>
        <w:t>。</w:t>
      </w:r>
    </w:p>
    <w:p>
      <w:pPr>
        <w:pStyle w:val="5"/>
        <w:spacing w:before="120"/>
        <w:ind w:firstLine="480"/>
        <w:rPr>
          <w:b/>
          <w:color w:val="000000" w:themeColor="text1"/>
          <w:highlight w:val="none"/>
          <w:lang w:eastAsia="zh-CN"/>
          <w14:textFill>
            <w14:solidFill>
              <w14:schemeClr w14:val="tx1"/>
            </w14:solidFill>
          </w14:textFill>
        </w:rPr>
      </w:pPr>
      <w:bookmarkStart w:id="458" w:name="_Toc120173248"/>
      <w:r>
        <w:rPr>
          <w:color w:val="000000" w:themeColor="text1"/>
          <w:highlight w:val="none"/>
          <w:lang w:eastAsia="zh-CN"/>
          <w14:textFill>
            <w14:solidFill>
              <w14:schemeClr w14:val="tx1"/>
            </w14:solidFill>
          </w14:textFill>
        </w:rPr>
        <w:t>应急监测</w:t>
      </w:r>
      <w:bookmarkEnd w:id="458"/>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本项目主要存在</w:t>
      </w:r>
      <w:r>
        <w:rPr>
          <w:rFonts w:hint="eastAsia"/>
          <w:color w:val="000000" w:themeColor="text1"/>
          <w:highlight w:val="none"/>
          <w14:textFill>
            <w14:solidFill>
              <w14:schemeClr w14:val="tx1"/>
            </w14:solidFill>
          </w14:textFill>
        </w:rPr>
        <w:t>试采</w:t>
      </w:r>
      <w:r>
        <w:rPr>
          <w:color w:val="000000" w:themeColor="text1"/>
          <w:highlight w:val="none"/>
          <w14:textFill>
            <w14:solidFill>
              <w14:schemeClr w14:val="tx1"/>
            </w14:solidFill>
          </w14:textFill>
        </w:rPr>
        <w:t>站场天然气泄漏（天然气泄漏或火灾、爆炸或重大环境污染）、污水泄漏等事故。因此，在发生事故时应当进行应急监测。</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应急监测包括污染纠纷的监测和污染事故的应急监测等。工程施工单位未落实环境保护措施发生污染事故或公众举报与投诉，以及风险事故发生时，环境监测部门应立刻进行现场监测，并通知当地环保部门赴事故现场进行调查，做到及时提供事故监测分析报告，以便及时做出整改并采取补救措施，使事故造成的不良环境影响降至最低。</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对事故监测可根据事故性质、事故影响大小等具体情况监测气、土壤、水等，并以监测报告的形式上报上级部门。</w:t>
      </w:r>
    </w:p>
    <w:p>
      <w:pPr>
        <w:pStyle w:val="4"/>
        <w:spacing w:before="120"/>
        <w:rPr>
          <w:color w:val="000000" w:themeColor="text1"/>
          <w:highlight w:val="none"/>
          <w:lang w:eastAsia="zh-CN"/>
          <w14:textFill>
            <w14:solidFill>
              <w14:schemeClr w14:val="tx1"/>
            </w14:solidFill>
          </w14:textFill>
        </w:rPr>
      </w:pPr>
      <w:bookmarkStart w:id="459" w:name="8.2.2监测实施单位"/>
      <w:bookmarkEnd w:id="459"/>
      <w:bookmarkStart w:id="460" w:name="_bookmark41"/>
      <w:bookmarkEnd w:id="460"/>
      <w:bookmarkStart w:id="461" w:name="8.3排污口规范化管理"/>
      <w:bookmarkEnd w:id="461"/>
      <w:bookmarkStart w:id="462" w:name="_Toc20600"/>
      <w:r>
        <w:rPr>
          <w:color w:val="000000" w:themeColor="text1"/>
          <w:highlight w:val="none"/>
          <w:lang w:eastAsia="zh-CN"/>
          <w14:textFill>
            <w14:solidFill>
              <w14:schemeClr w14:val="tx1"/>
            </w14:solidFill>
          </w14:textFill>
        </w:rPr>
        <w:t>排污许可申请</w:t>
      </w:r>
      <w:bookmarkEnd w:id="462"/>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本项目为天然气试采项目，根据《固定污染源排污许可分类管理名录》（2019年版）可知，本项目为登记管理的行业，因此不需申请排污许可证，只需登记备案。</w:t>
      </w:r>
    </w:p>
    <w:p>
      <w:pPr>
        <w:pStyle w:val="4"/>
        <w:spacing w:before="120"/>
        <w:rPr>
          <w:color w:val="000000" w:themeColor="text1"/>
          <w:highlight w:val="none"/>
          <w:lang w:eastAsia="zh-CN"/>
          <w14:textFill>
            <w14:solidFill>
              <w14:schemeClr w14:val="tx1"/>
            </w14:solidFill>
          </w14:textFill>
        </w:rPr>
      </w:pPr>
      <w:bookmarkStart w:id="463" w:name="_bookmark43"/>
      <w:bookmarkEnd w:id="463"/>
      <w:bookmarkStart w:id="464" w:name="8.5环保设施竣工验收"/>
      <w:bookmarkEnd w:id="464"/>
      <w:bookmarkStart w:id="465" w:name="8.4环境监理"/>
      <w:bookmarkEnd w:id="465"/>
      <w:bookmarkStart w:id="466" w:name="_Toc29529"/>
      <w:r>
        <w:rPr>
          <w:color w:val="000000" w:themeColor="text1"/>
          <w:highlight w:val="none"/>
          <w:lang w:eastAsia="zh-CN"/>
          <w14:textFill>
            <w14:solidFill>
              <w14:schemeClr w14:val="tx1"/>
            </w14:solidFill>
          </w14:textFill>
        </w:rPr>
        <w:t>竣工</w:t>
      </w:r>
      <w:r>
        <w:rPr>
          <w:rFonts w:hint="eastAsia"/>
          <w:color w:val="000000" w:themeColor="text1"/>
          <w:highlight w:val="none"/>
          <w:lang w:eastAsia="zh-CN"/>
          <w14:textFill>
            <w14:solidFill>
              <w14:schemeClr w14:val="tx1"/>
            </w14:solidFill>
          </w14:textFill>
        </w:rPr>
        <w:t>环境保护</w:t>
      </w:r>
      <w:r>
        <w:rPr>
          <w:color w:val="000000" w:themeColor="text1"/>
          <w:highlight w:val="none"/>
          <w:lang w:eastAsia="zh-CN"/>
          <w14:textFill>
            <w14:solidFill>
              <w14:schemeClr w14:val="tx1"/>
            </w14:solidFill>
          </w14:textFill>
        </w:rPr>
        <w:t>验收</w:t>
      </w:r>
      <w:bookmarkEnd w:id="466"/>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为加强建设项目竣工环境保护验收管理，监督落实环境保护设施与建设项目主体工程同时设计、同时投产、同时使用，防治环境污染，根据《建设项目竣工环境保护验收暂行办法》（国环规环评〔2017〕4号）等相关文件要求，建设单位应积极自主开展环境保护验收。</w:t>
      </w:r>
    </w:p>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10.5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施工期竣工环境保护验收措施及要求一览表</w:t>
      </w:r>
    </w:p>
    <w:tbl>
      <w:tblPr>
        <w:tblStyle w:val="41"/>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0"/>
        <w:gridCol w:w="553"/>
        <w:gridCol w:w="3128"/>
        <w:gridCol w:w="36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850"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分项</w:t>
            </w:r>
          </w:p>
        </w:tc>
        <w:tc>
          <w:tcPr>
            <w:tcW w:w="3681" w:type="dxa"/>
            <w:gridSpan w:val="2"/>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验收项目及位置</w:t>
            </w:r>
          </w:p>
        </w:tc>
        <w:tc>
          <w:tcPr>
            <w:tcW w:w="3691"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验收指标及要求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0"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环境管理</w:t>
            </w:r>
          </w:p>
        </w:tc>
        <w:tc>
          <w:tcPr>
            <w:tcW w:w="3681"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环境管理制度</w:t>
            </w:r>
          </w:p>
        </w:tc>
        <w:tc>
          <w:tcPr>
            <w:tcW w:w="369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具有环保机构，环保资料和档案齐全。建立各类废水等转移联单制度，提供完整的交接清单资料备查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0" w:type="dxa"/>
            <w:vMerge w:val="continue"/>
            <w:vAlign w:val="center"/>
          </w:tcPr>
          <w:p>
            <w:pPr>
              <w:pStyle w:val="118"/>
              <w:rPr>
                <w:color w:val="000000" w:themeColor="text1"/>
                <w:highlight w:val="none"/>
                <w14:textFill>
                  <w14:solidFill>
                    <w14:schemeClr w14:val="tx1"/>
                  </w14:solidFill>
                </w14:textFill>
              </w:rPr>
            </w:pPr>
          </w:p>
        </w:tc>
        <w:tc>
          <w:tcPr>
            <w:tcW w:w="3681"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环境风险管理</w:t>
            </w:r>
          </w:p>
        </w:tc>
        <w:tc>
          <w:tcPr>
            <w:tcW w:w="369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具备符合行业规范和环评要求的环境风险应急预案并定期</w:t>
            </w:r>
            <w:r>
              <w:rPr>
                <w:color w:val="000000" w:themeColor="text1"/>
                <w:spacing w:val="-2"/>
                <w:highlight w:val="none"/>
                <w14:textFill>
                  <w14:solidFill>
                    <w14:schemeClr w14:val="tx1"/>
                  </w14:solidFill>
                </w14:textFill>
              </w:rPr>
              <w:t>培训、演练，建立与当地村、乡镇、县相关部门联动机制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0" w:type="dxa"/>
            <w:vMerge w:val="restart"/>
            <w:vAlign w:val="center"/>
          </w:tcPr>
          <w:p>
            <w:pPr>
              <w:pStyle w:val="118"/>
              <w:rPr>
                <w:color w:val="000000" w:themeColor="text1"/>
                <w:highlight w:val="none"/>
                <w14:textFill>
                  <w14:solidFill>
                    <w14:schemeClr w14:val="tx1"/>
                  </w14:solidFill>
                </w14:textFill>
              </w:rPr>
            </w:pPr>
            <w:r>
              <w:rPr>
                <w:color w:val="000000" w:themeColor="text1"/>
                <w:spacing w:val="2"/>
                <w:highlight w:val="none"/>
                <w14:textFill>
                  <w14:solidFill>
                    <w14:schemeClr w14:val="tx1"/>
                  </w14:solidFill>
                </w14:textFill>
              </w:rPr>
              <w:t>污染防</w:t>
            </w:r>
            <w:r>
              <w:rPr>
                <w:color w:val="000000" w:themeColor="text1"/>
                <w:highlight w:val="none"/>
                <w14:textFill>
                  <w14:solidFill>
                    <w14:schemeClr w14:val="tx1"/>
                  </w14:solidFill>
                </w14:textFill>
              </w:rPr>
              <w:t>治措施</w:t>
            </w:r>
          </w:p>
        </w:tc>
        <w:tc>
          <w:tcPr>
            <w:tcW w:w="55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废水</w:t>
            </w:r>
          </w:p>
        </w:tc>
        <w:tc>
          <w:tcPr>
            <w:tcW w:w="3128"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试压废水经沉淀池收集处理后回用，设备车辆冲洗水经隔油沉淀池收集处理后回用，沟渠穿越含泥浆废水经泥浆池收集处理后回用；生活污水依托租用民房已有设施收集处理。</w:t>
            </w:r>
          </w:p>
        </w:tc>
        <w:tc>
          <w:tcPr>
            <w:tcW w:w="3691"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现场无废水外排痕迹，无环境污染或投诉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0" w:type="dxa"/>
            <w:vMerge w:val="continue"/>
            <w:vAlign w:val="center"/>
          </w:tcPr>
          <w:p>
            <w:pPr>
              <w:pStyle w:val="118"/>
              <w:rPr>
                <w:color w:val="000000" w:themeColor="text1"/>
                <w:highlight w:val="none"/>
                <w14:textFill>
                  <w14:solidFill>
                    <w14:schemeClr w14:val="tx1"/>
                  </w14:solidFill>
                </w14:textFill>
              </w:rPr>
            </w:pPr>
          </w:p>
        </w:tc>
        <w:tc>
          <w:tcPr>
            <w:tcW w:w="55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废气</w:t>
            </w:r>
          </w:p>
        </w:tc>
        <w:tc>
          <w:tcPr>
            <w:tcW w:w="312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施工扬尘</w:t>
            </w:r>
          </w:p>
        </w:tc>
        <w:tc>
          <w:tcPr>
            <w:tcW w:w="369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施工场地围挡、洒水，运输车辆覆盖</w:t>
            </w:r>
            <w:r>
              <w:rPr>
                <w:rFonts w:hint="eastAsia"/>
                <w:color w:val="000000" w:themeColor="text1"/>
                <w:highlight w:val="none"/>
                <w14:textFill>
                  <w14:solidFill>
                    <w14:schemeClr w14:val="tx1"/>
                  </w14:solidFill>
                </w14:textFill>
              </w:rPr>
              <w:t>篷布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0" w:type="dxa"/>
            <w:vMerge w:val="continue"/>
            <w:vAlign w:val="center"/>
          </w:tcPr>
          <w:p>
            <w:pPr>
              <w:pStyle w:val="118"/>
              <w:rPr>
                <w:color w:val="000000" w:themeColor="text1"/>
                <w:highlight w:val="none"/>
                <w14:textFill>
                  <w14:solidFill>
                    <w14:schemeClr w14:val="tx1"/>
                  </w14:solidFill>
                </w14:textFill>
              </w:rPr>
            </w:pPr>
          </w:p>
        </w:tc>
        <w:tc>
          <w:tcPr>
            <w:tcW w:w="553"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固废</w:t>
            </w:r>
          </w:p>
        </w:tc>
        <w:tc>
          <w:tcPr>
            <w:tcW w:w="3128"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废泥浆用作乡道填料或道路边坡防护，现场无弃方</w:t>
            </w:r>
          </w:p>
        </w:tc>
        <w:tc>
          <w:tcPr>
            <w:tcW w:w="3691"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现场无固废遗留痕迹，无环境污染或投诉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0" w:type="dxa"/>
            <w:vMerge w:val="continue"/>
            <w:vAlign w:val="center"/>
          </w:tcPr>
          <w:p>
            <w:pPr>
              <w:pStyle w:val="118"/>
              <w:rPr>
                <w:color w:val="000000" w:themeColor="text1"/>
                <w:highlight w:val="none"/>
                <w14:textFill>
                  <w14:solidFill>
                    <w14:schemeClr w14:val="tx1"/>
                  </w14:solidFill>
                </w14:textFill>
              </w:rPr>
            </w:pPr>
          </w:p>
        </w:tc>
        <w:tc>
          <w:tcPr>
            <w:tcW w:w="553" w:type="dxa"/>
            <w:vMerge w:val="continue"/>
            <w:vAlign w:val="center"/>
          </w:tcPr>
          <w:p>
            <w:pPr>
              <w:pStyle w:val="118"/>
              <w:rPr>
                <w:color w:val="000000" w:themeColor="text1"/>
                <w:highlight w:val="none"/>
                <w14:textFill>
                  <w14:solidFill>
                    <w14:schemeClr w14:val="tx1"/>
                  </w14:solidFill>
                </w14:textFill>
              </w:rPr>
            </w:pPr>
          </w:p>
        </w:tc>
        <w:tc>
          <w:tcPr>
            <w:tcW w:w="312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生活垃圾</w:t>
            </w:r>
          </w:p>
        </w:tc>
        <w:tc>
          <w:tcPr>
            <w:tcW w:w="369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生活垃圾设置垃圾桶集中收集，交由当地环卫部门处置</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按当地环卫部门要求妥善处理，现场无遗留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0" w:type="dxa"/>
            <w:vMerge w:val="continue"/>
            <w:vAlign w:val="center"/>
          </w:tcPr>
          <w:p>
            <w:pPr>
              <w:pStyle w:val="118"/>
              <w:rPr>
                <w:color w:val="000000" w:themeColor="text1"/>
                <w:highlight w:val="none"/>
                <w14:textFill>
                  <w14:solidFill>
                    <w14:schemeClr w14:val="tx1"/>
                  </w14:solidFill>
                </w14:textFill>
              </w:rPr>
            </w:pPr>
          </w:p>
        </w:tc>
        <w:tc>
          <w:tcPr>
            <w:tcW w:w="553" w:type="dxa"/>
            <w:vMerge w:val="continue"/>
            <w:vAlign w:val="center"/>
          </w:tcPr>
          <w:p>
            <w:pPr>
              <w:pStyle w:val="118"/>
              <w:rPr>
                <w:color w:val="000000" w:themeColor="text1"/>
                <w:highlight w:val="none"/>
                <w14:textFill>
                  <w14:solidFill>
                    <w14:schemeClr w14:val="tx1"/>
                  </w14:solidFill>
                </w14:textFill>
              </w:rPr>
            </w:pPr>
          </w:p>
        </w:tc>
        <w:tc>
          <w:tcPr>
            <w:tcW w:w="312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废包装材料</w:t>
            </w:r>
          </w:p>
        </w:tc>
        <w:tc>
          <w:tcPr>
            <w:tcW w:w="369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回收利用或送当地废品回收站，现场无遗留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0" w:type="dxa"/>
            <w:vMerge w:val="continue"/>
            <w:vAlign w:val="center"/>
          </w:tcPr>
          <w:p>
            <w:pPr>
              <w:pStyle w:val="118"/>
              <w:rPr>
                <w:color w:val="000000" w:themeColor="text1"/>
                <w:highlight w:val="none"/>
                <w14:textFill>
                  <w14:solidFill>
                    <w14:schemeClr w14:val="tx1"/>
                  </w14:solidFill>
                </w14:textFill>
              </w:rPr>
            </w:pPr>
          </w:p>
        </w:tc>
        <w:tc>
          <w:tcPr>
            <w:tcW w:w="553" w:type="dxa"/>
            <w:vMerge w:val="continue"/>
            <w:vAlign w:val="center"/>
          </w:tcPr>
          <w:p>
            <w:pPr>
              <w:pStyle w:val="118"/>
              <w:rPr>
                <w:color w:val="000000" w:themeColor="text1"/>
                <w:highlight w:val="none"/>
                <w14:textFill>
                  <w14:solidFill>
                    <w14:schemeClr w14:val="tx1"/>
                  </w14:solidFill>
                </w14:textFill>
              </w:rPr>
            </w:pPr>
          </w:p>
        </w:tc>
        <w:tc>
          <w:tcPr>
            <w:tcW w:w="3128"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建筑垃圾</w:t>
            </w:r>
          </w:p>
        </w:tc>
        <w:tc>
          <w:tcPr>
            <w:tcW w:w="369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可回收利用部分收集后回用，剩余不可回收部分</w:t>
            </w:r>
            <w:r>
              <w:rPr>
                <w:rFonts w:hint="eastAsia"/>
                <w:color w:val="000000" w:themeColor="text1"/>
                <w:highlight w:val="none"/>
                <w14:textFill>
                  <w14:solidFill>
                    <w14:schemeClr w14:val="tx1"/>
                  </w14:solidFill>
                </w14:textFill>
              </w:rPr>
              <w:t>由施工队伍统一收集清运至政府指定地方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0" w:type="dxa"/>
            <w:vMerge w:val="continue"/>
            <w:vAlign w:val="center"/>
          </w:tcPr>
          <w:p>
            <w:pPr>
              <w:pStyle w:val="118"/>
              <w:rPr>
                <w:color w:val="000000" w:themeColor="text1"/>
                <w:highlight w:val="none"/>
                <w14:textFill>
                  <w14:solidFill>
                    <w14:schemeClr w14:val="tx1"/>
                  </w14:solidFill>
                </w14:textFill>
              </w:rPr>
            </w:pPr>
          </w:p>
        </w:tc>
        <w:tc>
          <w:tcPr>
            <w:tcW w:w="55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噪声</w:t>
            </w:r>
          </w:p>
        </w:tc>
        <w:tc>
          <w:tcPr>
            <w:tcW w:w="3128"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3691"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无投诉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0"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生态保护措施</w:t>
            </w:r>
          </w:p>
        </w:tc>
        <w:tc>
          <w:tcPr>
            <w:tcW w:w="3681"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表土堆场</w:t>
            </w:r>
          </w:p>
        </w:tc>
        <w:tc>
          <w:tcPr>
            <w:tcW w:w="3691"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按照要求设置表土堆场，用于结束后的覆土、复耕工作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0" w:type="dxa"/>
            <w:vMerge w:val="continue"/>
            <w:vAlign w:val="center"/>
          </w:tcPr>
          <w:p>
            <w:pPr>
              <w:pStyle w:val="118"/>
              <w:rPr>
                <w:color w:val="000000" w:themeColor="text1"/>
                <w:highlight w:val="none"/>
                <w14:textFill>
                  <w14:solidFill>
                    <w14:schemeClr w14:val="tx1"/>
                  </w14:solidFill>
                </w14:textFill>
              </w:rPr>
            </w:pPr>
          </w:p>
        </w:tc>
        <w:tc>
          <w:tcPr>
            <w:tcW w:w="3681" w:type="dxa"/>
            <w:gridSpan w:val="2"/>
            <w:vAlign w:val="center"/>
          </w:tcPr>
          <w:p>
            <w:pPr>
              <w:pStyle w:val="118"/>
              <w:rPr>
                <w:color w:val="000000" w:themeColor="text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植被破坏、</w:t>
            </w:r>
            <w:r>
              <w:rPr>
                <w:color w:val="000000" w:themeColor="text1"/>
                <w:highlight w:val="none"/>
                <w14:textFill>
                  <w14:solidFill>
                    <w14:schemeClr w14:val="tx1"/>
                  </w14:solidFill>
                </w14:textFill>
              </w:rPr>
              <w:t>场地水土流失控制措施</w:t>
            </w:r>
          </w:p>
        </w:tc>
        <w:tc>
          <w:tcPr>
            <w:tcW w:w="3691"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道路沿线修建可靠的护坡、堡坎、排水沟等水保措施</w:t>
            </w:r>
            <w:r>
              <w:rPr>
                <w:rFonts w:hint="eastAsia"/>
                <w:color w:val="000000" w:themeColor="text1"/>
                <w:highlight w:val="none"/>
                <w14:textFill>
                  <w14:solidFill>
                    <w14:schemeClr w14:val="tx1"/>
                  </w14:solidFill>
                </w14:textFill>
              </w:rPr>
              <w:t>；工程施工迹地进行恢复；管道开挖后的临时占地进行恢复。</w:t>
            </w:r>
            <w:r>
              <w:rPr>
                <w:color w:val="000000" w:themeColor="text1"/>
                <w:highlight w:val="none"/>
                <w14:textFill>
                  <w14:solidFill>
                    <w14:schemeClr w14:val="tx1"/>
                  </w14:solidFill>
                </w14:textFill>
              </w:rPr>
              <w:t>根据《中华人民共和国土地管理法》规</w:t>
            </w:r>
            <w:r>
              <w:rPr>
                <w:rFonts w:hint="eastAsia"/>
                <w:color w:val="000000" w:themeColor="text1"/>
                <w:highlight w:val="none"/>
                <w14:textFill>
                  <w14:solidFill>
                    <w14:schemeClr w14:val="tx1"/>
                  </w14:solidFill>
                </w14:textFill>
              </w:rPr>
              <w:t>定和</w:t>
            </w:r>
            <w:r>
              <w:rPr>
                <w:color w:val="000000" w:themeColor="text1"/>
                <w:highlight w:val="none"/>
                <w14:textFill>
                  <w14:solidFill>
                    <w14:schemeClr w14:val="tx1"/>
                  </w14:solidFill>
                </w14:textFill>
              </w:rPr>
              <w:t>相关地方规定对工程占地进行补偿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31" w:type="dxa"/>
            <w:gridSpan w:val="3"/>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环境风险</w:t>
            </w:r>
          </w:p>
        </w:tc>
        <w:tc>
          <w:tcPr>
            <w:tcW w:w="3691"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污水</w:t>
            </w:r>
            <w:r>
              <w:rPr>
                <w:color w:val="000000" w:themeColor="text1"/>
                <w:highlight w:val="none"/>
                <w14:textFill>
                  <w14:solidFill>
                    <w14:schemeClr w14:val="tx1"/>
                  </w14:solidFill>
                </w14:textFill>
              </w:rPr>
              <w:t>罐区周边设置</w:t>
            </w:r>
            <w:r>
              <w:rPr>
                <w:rFonts w:hint="eastAsia"/>
                <w:color w:val="000000" w:themeColor="text1"/>
                <w:highlight w:val="none"/>
                <w14:textFill>
                  <w14:solidFill>
                    <w14:schemeClr w14:val="tx1"/>
                  </w14:solidFill>
                </w14:textFill>
              </w:rPr>
              <w:t>围堰</w:t>
            </w:r>
          </w:p>
        </w:tc>
      </w:tr>
    </w:tbl>
    <w:p>
      <w:pPr>
        <w:pStyle w:val="96"/>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10.5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试采期竣工环保验收措施及要求一览表</w:t>
      </w:r>
    </w:p>
    <w:tbl>
      <w:tblPr>
        <w:tblStyle w:val="41"/>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3"/>
        <w:gridCol w:w="714"/>
        <w:gridCol w:w="1100"/>
        <w:gridCol w:w="55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3"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分项</w:t>
            </w:r>
          </w:p>
        </w:tc>
        <w:tc>
          <w:tcPr>
            <w:tcW w:w="1814" w:type="dxa"/>
            <w:gridSpan w:val="2"/>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验收项目及位置</w:t>
            </w:r>
          </w:p>
        </w:tc>
        <w:tc>
          <w:tcPr>
            <w:tcW w:w="5545" w:type="dxa"/>
            <w:vAlign w:val="center"/>
          </w:tcPr>
          <w:p>
            <w:pPr>
              <w:pStyle w:val="118"/>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验收指标及要求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3"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环境管理</w:t>
            </w:r>
          </w:p>
        </w:tc>
        <w:tc>
          <w:tcPr>
            <w:tcW w:w="1814"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环境管理制度</w:t>
            </w:r>
          </w:p>
        </w:tc>
        <w:tc>
          <w:tcPr>
            <w:tcW w:w="554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具有环保机构，环保资料和档案齐全。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3" w:type="dxa"/>
            <w:vMerge w:val="continue"/>
            <w:vAlign w:val="center"/>
          </w:tcPr>
          <w:p>
            <w:pPr>
              <w:pStyle w:val="118"/>
              <w:rPr>
                <w:color w:val="000000" w:themeColor="text1"/>
                <w:highlight w:val="none"/>
                <w14:textFill>
                  <w14:solidFill>
                    <w14:schemeClr w14:val="tx1"/>
                  </w14:solidFill>
                </w14:textFill>
              </w:rPr>
            </w:pPr>
          </w:p>
        </w:tc>
        <w:tc>
          <w:tcPr>
            <w:tcW w:w="1814"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环境风险管理</w:t>
            </w:r>
          </w:p>
        </w:tc>
        <w:tc>
          <w:tcPr>
            <w:tcW w:w="554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具备符合行业规范和环评要求的环境风险应急预案并定期培训、演练，建立与当地村、乡镇、县相关部门联动机制。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3"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污染防治措施</w:t>
            </w:r>
          </w:p>
        </w:tc>
        <w:tc>
          <w:tcPr>
            <w:tcW w:w="714"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废水</w:t>
            </w:r>
          </w:p>
        </w:tc>
        <w:tc>
          <w:tcPr>
            <w:tcW w:w="1100"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气田水</w:t>
            </w:r>
          </w:p>
        </w:tc>
        <w:tc>
          <w:tcPr>
            <w:tcW w:w="554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暂存于</w:t>
            </w:r>
            <w:r>
              <w:rPr>
                <w:rFonts w:hint="eastAsia"/>
                <w:color w:val="000000" w:themeColor="text1"/>
                <w:highlight w:val="none"/>
                <w14:textFill>
                  <w14:solidFill>
                    <w14:schemeClr w14:val="tx1"/>
                  </w14:solidFill>
                </w14:textFill>
              </w:rPr>
              <w:t>污水罐</w:t>
            </w:r>
            <w:r>
              <w:rPr>
                <w:color w:val="000000" w:themeColor="text1"/>
                <w:highlight w:val="none"/>
                <w14:textFill>
                  <w14:solidFill>
                    <w14:schemeClr w14:val="tx1"/>
                  </w14:solidFill>
                </w14:textFill>
              </w:rPr>
              <w:t>后及时</w:t>
            </w:r>
            <w:r>
              <w:rPr>
                <w:rFonts w:hint="eastAsia"/>
                <w:color w:val="000000" w:themeColor="text1"/>
                <w:highlight w:val="none"/>
                <w14:textFill>
                  <w14:solidFill>
                    <w14:schemeClr w14:val="tx1"/>
                  </w14:solidFill>
                </w14:textFill>
              </w:rPr>
              <w:t>通过密闭罐车拉运至赵家坝污水处理站达到《气田水回注方法》（SY/T 6596-2016）中注入水基本要求后管输至普光3井回注站回注处理，不外排</w:t>
            </w:r>
            <w:r>
              <w:rPr>
                <w:color w:val="000000" w:themeColor="text1"/>
                <w:highlight w:val="none"/>
                <w14:textFill>
                  <w14:solidFill>
                    <w14:schemeClr w14:val="tx1"/>
                  </w14:solidFill>
                </w14:textFill>
              </w:rPr>
              <w:t>，不排入附近地表水体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3" w:type="dxa"/>
            <w:vMerge w:val="continue"/>
            <w:vAlign w:val="center"/>
          </w:tcPr>
          <w:p>
            <w:pPr>
              <w:pStyle w:val="118"/>
              <w:rPr>
                <w:color w:val="000000" w:themeColor="text1"/>
                <w:highlight w:val="none"/>
                <w14:textFill>
                  <w14:solidFill>
                    <w14:schemeClr w14:val="tx1"/>
                  </w14:solidFill>
                </w14:textFill>
              </w:rPr>
            </w:pPr>
          </w:p>
        </w:tc>
        <w:tc>
          <w:tcPr>
            <w:tcW w:w="1814"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地下水</w:t>
            </w:r>
          </w:p>
        </w:tc>
        <w:tc>
          <w:tcPr>
            <w:tcW w:w="554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按要求分区防渗；按要求进行跟踪监测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3" w:type="dxa"/>
            <w:vMerge w:val="continue"/>
            <w:vAlign w:val="center"/>
          </w:tcPr>
          <w:p>
            <w:pPr>
              <w:pStyle w:val="118"/>
              <w:rPr>
                <w:color w:val="000000" w:themeColor="text1"/>
                <w:highlight w:val="none"/>
                <w14:textFill>
                  <w14:solidFill>
                    <w14:schemeClr w14:val="tx1"/>
                  </w14:solidFill>
                </w14:textFill>
              </w:rPr>
            </w:pPr>
          </w:p>
        </w:tc>
        <w:tc>
          <w:tcPr>
            <w:tcW w:w="714" w:type="dxa"/>
            <w:vMerge w:val="restart"/>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废气</w:t>
            </w:r>
          </w:p>
        </w:tc>
        <w:tc>
          <w:tcPr>
            <w:tcW w:w="1100" w:type="dxa"/>
            <w:vAlign w:val="center"/>
          </w:tcPr>
          <w:p>
            <w:pPr>
              <w:pStyle w:val="11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检修/事故</w:t>
            </w:r>
            <w:r>
              <w:rPr>
                <w:color w:val="000000" w:themeColor="text1"/>
                <w:highlight w:val="none"/>
                <w14:textFill>
                  <w14:solidFill>
                    <w14:schemeClr w14:val="tx1"/>
                  </w14:solidFill>
                </w14:textFill>
              </w:rPr>
              <w:t>废气</w:t>
            </w:r>
          </w:p>
        </w:tc>
        <w:tc>
          <w:tcPr>
            <w:tcW w:w="554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经</w:t>
            </w:r>
            <w:r>
              <w:rPr>
                <w:rFonts w:hint="eastAsia"/>
                <w:color w:val="000000" w:themeColor="text1"/>
                <w:highlight w:val="none"/>
                <w14:textFill>
                  <w14:solidFill>
                    <w14:schemeClr w14:val="tx1"/>
                  </w14:solidFill>
                </w14:textFill>
              </w:rPr>
              <w:t>20</w:t>
            </w:r>
            <w:r>
              <w:rPr>
                <w:color w:val="000000" w:themeColor="text1"/>
                <w:highlight w:val="none"/>
                <w14:textFill>
                  <w14:solidFill>
                    <w14:schemeClr w14:val="tx1"/>
                  </w14:solidFill>
                </w14:textFill>
              </w:rPr>
              <w:t>m高的放空</w:t>
            </w:r>
            <w:r>
              <w:rPr>
                <w:rFonts w:hint="eastAsia"/>
                <w:color w:val="000000" w:themeColor="text1"/>
                <w:highlight w:val="none"/>
                <w14:textFill>
                  <w14:solidFill>
                    <w14:schemeClr w14:val="tx1"/>
                  </w14:solidFill>
                </w14:textFill>
              </w:rPr>
              <w:t>管</w:t>
            </w:r>
            <w:r>
              <w:rPr>
                <w:color w:val="000000" w:themeColor="text1"/>
                <w:highlight w:val="none"/>
                <w14:textFill>
                  <w14:solidFill>
                    <w14:schemeClr w14:val="tx1"/>
                  </w14:solidFill>
                </w14:textFill>
              </w:rPr>
              <w:t>点火燃烧后外排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3" w:type="dxa"/>
            <w:vMerge w:val="continue"/>
            <w:vAlign w:val="center"/>
          </w:tcPr>
          <w:p>
            <w:pPr>
              <w:pStyle w:val="118"/>
              <w:rPr>
                <w:color w:val="000000" w:themeColor="text1"/>
                <w:highlight w:val="none"/>
                <w14:textFill>
                  <w14:solidFill>
                    <w14:schemeClr w14:val="tx1"/>
                  </w14:solidFill>
                </w14:textFill>
              </w:rPr>
            </w:pPr>
          </w:p>
        </w:tc>
        <w:tc>
          <w:tcPr>
            <w:tcW w:w="714" w:type="dxa"/>
            <w:vMerge w:val="continue"/>
            <w:vAlign w:val="center"/>
          </w:tcPr>
          <w:p>
            <w:pPr>
              <w:pStyle w:val="118"/>
              <w:rPr>
                <w:color w:val="000000" w:themeColor="text1"/>
                <w:highlight w:val="none"/>
                <w14:textFill>
                  <w14:solidFill>
                    <w14:schemeClr w14:val="tx1"/>
                  </w14:solidFill>
                </w14:textFill>
              </w:rPr>
            </w:pPr>
          </w:p>
        </w:tc>
        <w:tc>
          <w:tcPr>
            <w:tcW w:w="1100"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水套加热炉燃烧废气</w:t>
            </w:r>
          </w:p>
        </w:tc>
        <w:tc>
          <w:tcPr>
            <w:tcW w:w="554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水套加热炉燃用</w:t>
            </w:r>
            <w:r>
              <w:rPr>
                <w:rFonts w:hint="eastAsia"/>
                <w:color w:val="000000" w:themeColor="text1"/>
                <w:highlight w:val="none"/>
                <w14:textFill>
                  <w14:solidFill>
                    <w14:schemeClr w14:val="tx1"/>
                  </w14:solidFill>
                </w14:textFill>
              </w:rPr>
              <w:t>雷页1井自产不含硫</w:t>
            </w:r>
            <w:r>
              <w:rPr>
                <w:color w:val="000000" w:themeColor="text1"/>
                <w:highlight w:val="none"/>
                <w14:textFill>
                  <w14:solidFill>
                    <w14:schemeClr w14:val="tx1"/>
                  </w14:solidFill>
                </w14:textFill>
              </w:rPr>
              <w:t>天然气，水套加热炉废气经自带排气筒排放，排气筒高度8m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3" w:type="dxa"/>
            <w:vMerge w:val="continue"/>
            <w:vAlign w:val="center"/>
          </w:tcPr>
          <w:p>
            <w:pPr>
              <w:pStyle w:val="118"/>
              <w:rPr>
                <w:color w:val="000000" w:themeColor="text1"/>
                <w:highlight w:val="none"/>
                <w14:textFill>
                  <w14:solidFill>
                    <w14:schemeClr w14:val="tx1"/>
                  </w14:solidFill>
                </w14:textFill>
              </w:rPr>
            </w:pPr>
          </w:p>
        </w:tc>
        <w:tc>
          <w:tcPr>
            <w:tcW w:w="714"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噪声</w:t>
            </w:r>
          </w:p>
        </w:tc>
        <w:tc>
          <w:tcPr>
            <w:tcW w:w="1100"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试采期噪声</w:t>
            </w:r>
          </w:p>
        </w:tc>
        <w:tc>
          <w:tcPr>
            <w:tcW w:w="554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泵机组处设隔声罩，厂界噪声满足《工业企业厂界环境噪声排放标准》（GB12348-2008）2类标准要求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3"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生态保护措施</w:t>
            </w:r>
          </w:p>
        </w:tc>
        <w:tc>
          <w:tcPr>
            <w:tcW w:w="1814" w:type="dxa"/>
            <w:gridSpan w:val="2"/>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临时占地恢复</w:t>
            </w:r>
          </w:p>
        </w:tc>
        <w:tc>
          <w:tcPr>
            <w:tcW w:w="5545" w:type="dxa"/>
            <w:vAlign w:val="center"/>
          </w:tcPr>
          <w:p>
            <w:pPr>
              <w:pStyle w:val="11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w:t>
            </w:r>
            <w:r>
              <w:rPr>
                <w:rFonts w:hint="eastAsia"/>
                <w:color w:val="000000" w:themeColor="text1"/>
                <w:highlight w:val="none"/>
                <w14:textFill>
                  <w14:solidFill>
                    <w14:schemeClr w14:val="tx1"/>
                  </w14:solidFill>
                </w14:textFill>
              </w:rPr>
              <w:t>施工期</w:t>
            </w:r>
            <w:r>
              <w:rPr>
                <w:color w:val="000000" w:themeColor="text1"/>
                <w:highlight w:val="none"/>
                <w14:textFill>
                  <w14:solidFill>
                    <w14:schemeClr w14:val="tx1"/>
                  </w14:solidFill>
                </w14:textFill>
              </w:rPr>
              <w:t>临时占地</w:t>
            </w:r>
            <w:r>
              <w:rPr>
                <w:rFonts w:hint="eastAsia"/>
                <w:color w:val="000000" w:themeColor="text1"/>
                <w:highlight w:val="none"/>
                <w14:textFill>
                  <w14:solidFill>
                    <w14:schemeClr w14:val="tx1"/>
                  </w14:solidFill>
                </w14:textFill>
              </w:rPr>
              <w:t>将在</w:t>
            </w:r>
            <w:r>
              <w:rPr>
                <w:color w:val="000000" w:themeColor="text1"/>
                <w:highlight w:val="none"/>
                <w14:textFill>
                  <w14:solidFill>
                    <w14:schemeClr w14:val="tx1"/>
                  </w14:solidFill>
                </w14:textFill>
              </w:rPr>
              <w:t>施工结束后立即对施工期</w:t>
            </w:r>
            <w:r>
              <w:rPr>
                <w:rFonts w:hint="eastAsia"/>
                <w:color w:val="000000" w:themeColor="text1"/>
                <w:highlight w:val="none"/>
                <w14:textFill>
                  <w14:solidFill>
                    <w14:schemeClr w14:val="tx1"/>
                  </w14:solidFill>
                </w14:textFill>
              </w:rPr>
              <w:t>临时占地</w:t>
            </w:r>
            <w:r>
              <w:rPr>
                <w:color w:val="000000" w:themeColor="text1"/>
                <w:highlight w:val="none"/>
                <w14:textFill>
                  <w14:solidFill>
                    <w14:schemeClr w14:val="tx1"/>
                  </w14:solidFill>
                </w14:textFill>
              </w:rPr>
              <w:t>进行复垦</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站场周边修建排水沟，进行绿化建设</w:t>
            </w:r>
          </w:p>
        </w:tc>
      </w:tr>
    </w:tbl>
    <w:p>
      <w:pPr>
        <w:pStyle w:val="3"/>
        <w:spacing w:before="480" w:beforeLines="200" w:after="0" w:line="480" w:lineRule="auto"/>
        <w:ind w:firstLine="560"/>
        <w:rPr>
          <w:b/>
          <w:color w:val="000000" w:themeColor="text1"/>
          <w:szCs w:val="28"/>
          <w:highlight w:val="none"/>
          <w:lang w:eastAsia="zh-CN"/>
          <w14:textFill>
            <w14:solidFill>
              <w14:schemeClr w14:val="tx1"/>
            </w14:solidFill>
          </w14:textFill>
        </w:rPr>
        <w:sectPr>
          <w:pgSz w:w="11910" w:h="16840"/>
          <w:pgMar w:top="1440" w:right="1800" w:bottom="1440" w:left="1800" w:header="964" w:footer="964" w:gutter="0"/>
          <w:cols w:space="720" w:num="1"/>
          <w:docGrid w:linePitch="326" w:charSpace="0"/>
        </w:sectPr>
      </w:pPr>
      <w:bookmarkStart w:id="467" w:name="_bookmark47"/>
      <w:bookmarkEnd w:id="467"/>
      <w:bookmarkStart w:id="468" w:name="第十章_结论与建议"/>
      <w:bookmarkEnd w:id="468"/>
    </w:p>
    <w:p>
      <w:pPr>
        <w:pStyle w:val="3"/>
        <w:rPr>
          <w:b/>
          <w:color w:val="000000" w:themeColor="text1"/>
          <w:highlight w:val="none"/>
          <w14:textFill>
            <w14:solidFill>
              <w14:schemeClr w14:val="tx1"/>
            </w14:solidFill>
          </w14:textFill>
        </w:rPr>
      </w:pPr>
      <w:bookmarkStart w:id="469" w:name="_Toc23956"/>
      <w:r>
        <w:rPr>
          <w:color w:val="000000" w:themeColor="text1"/>
          <w:highlight w:val="none"/>
          <w14:textFill>
            <w14:solidFill>
              <w14:schemeClr w14:val="tx1"/>
            </w14:solidFill>
          </w14:textFill>
        </w:rPr>
        <w:t>结论与建议</w:t>
      </w:r>
      <w:bookmarkEnd w:id="469"/>
    </w:p>
    <w:p>
      <w:pPr>
        <w:pStyle w:val="4"/>
        <w:spacing w:before="120"/>
        <w:rPr>
          <w:color w:val="000000" w:themeColor="text1"/>
          <w:highlight w:val="none"/>
          <w:lang w:eastAsia="zh-CN"/>
          <w14:textFill>
            <w14:solidFill>
              <w14:schemeClr w14:val="tx1"/>
            </w14:solidFill>
          </w14:textFill>
        </w:rPr>
      </w:pPr>
      <w:bookmarkStart w:id="470" w:name="_bookmark48"/>
      <w:bookmarkEnd w:id="470"/>
      <w:bookmarkStart w:id="471" w:name="10.1项目概况"/>
      <w:bookmarkEnd w:id="471"/>
      <w:bookmarkStart w:id="472" w:name="_Toc3205"/>
      <w:r>
        <w:rPr>
          <w:color w:val="000000" w:themeColor="text1"/>
          <w:highlight w:val="none"/>
          <w:lang w:eastAsia="zh-CN"/>
          <w14:textFill>
            <w14:solidFill>
              <w14:schemeClr w14:val="tx1"/>
            </w14:solidFill>
          </w14:textFill>
        </w:rPr>
        <w:t>项目概况</w:t>
      </w:r>
      <w:bookmarkEnd w:id="472"/>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本项目位于达州市</w:t>
      </w:r>
      <w:r>
        <w:rPr>
          <w:rFonts w:cs="Times New Roman"/>
          <w:bCs/>
          <w:color w:val="000000" w:themeColor="text1"/>
          <w:szCs w:val="24"/>
          <w:highlight w:val="none"/>
          <w14:textFill>
            <w14:solidFill>
              <w14:schemeClr w14:val="tx1"/>
            </w14:solidFill>
          </w14:textFill>
        </w:rPr>
        <w:t>宣汉县</w:t>
      </w:r>
      <w:r>
        <w:rPr>
          <w:rFonts w:hint="eastAsia" w:cs="Times New Roman"/>
          <w:bCs/>
          <w:color w:val="000000" w:themeColor="text1"/>
          <w:szCs w:val="24"/>
          <w:highlight w:val="none"/>
          <w:lang w:eastAsia="zh-CN"/>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，外输管线涉及</w:t>
      </w:r>
      <w:r>
        <w:rPr>
          <w:rFonts w:cs="Times New Roman"/>
          <w:bCs/>
          <w:color w:val="000000" w:themeColor="text1"/>
          <w:szCs w:val="24"/>
          <w:highlight w:val="none"/>
          <w14:textFill>
            <w14:solidFill>
              <w14:schemeClr w14:val="tx1"/>
            </w14:solidFill>
          </w14:textFill>
        </w:rPr>
        <w:t>宣汉县</w:t>
      </w:r>
      <w:r>
        <w:rPr>
          <w:rFonts w:hint="eastAsia" w:cs="Times New Roman"/>
          <w:bCs/>
          <w:color w:val="000000" w:themeColor="text1"/>
          <w:szCs w:val="24"/>
          <w:highlight w:val="none"/>
          <w:lang w:eastAsia="zh-CN"/>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、红岭镇、通川区魏兴镇</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试采规模为20</w:t>
      </w:r>
      <w:r>
        <w:rPr>
          <w:color w:val="000000" w:themeColor="text1"/>
          <w:highlight w:val="none"/>
          <w14:textFill>
            <w14:solidFill>
              <w14:schemeClr w14:val="tx1"/>
            </w14:solidFill>
          </w14:textFill>
        </w:rPr>
        <w:t>×10</w:t>
      </w:r>
      <w:r>
        <w:rPr>
          <w:color w:val="000000" w:themeColor="text1"/>
          <w:highlight w:val="none"/>
          <w:vertAlign w:val="superscript"/>
          <w14:textFill>
            <w14:solidFill>
              <w14:schemeClr w14:val="tx1"/>
            </w14:solidFill>
          </w14:textFill>
        </w:rPr>
        <w:t>4</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w:t>
      </w:r>
      <w:r>
        <w:rPr>
          <w:rFonts w:hint="eastAsia"/>
          <w:color w:val="000000" w:themeColor="text1"/>
          <w:highlight w:val="none"/>
          <w14:textFill>
            <w14:solidFill>
              <w14:schemeClr w14:val="tx1"/>
            </w14:solidFill>
          </w14:textFill>
        </w:rPr>
        <w:t>，试采周期为2年，</w:t>
      </w:r>
      <w:r>
        <w:rPr>
          <w:rFonts w:hint="eastAsia" w:cs="Times New Roman"/>
          <w:color w:val="000000" w:themeColor="text1"/>
          <w:highlight w:val="none"/>
          <w14:textFill>
            <w14:solidFill>
              <w14:schemeClr w14:val="tx1"/>
            </w14:solidFill>
          </w14:textFill>
        </w:rPr>
        <w:t>新建雷页1井试采站～魏兴站集输管线一条，长度为</w:t>
      </w:r>
      <w:r>
        <w:rPr>
          <w:rFonts w:cs="Times New Roman"/>
          <w:color w:val="000000" w:themeColor="text1"/>
          <w:highlight w:val="none"/>
          <w14:textFill>
            <w14:solidFill>
              <w14:schemeClr w14:val="tx1"/>
            </w14:solidFill>
          </w14:textFill>
        </w:rPr>
        <w:t>11.8</w:t>
      </w:r>
      <w:r>
        <w:rPr>
          <w:rFonts w:hint="eastAsia" w:cs="Times New Roman"/>
          <w:color w:val="000000" w:themeColor="text1"/>
          <w:highlight w:val="none"/>
          <w14:textFill>
            <w14:solidFill>
              <w14:schemeClr w14:val="tx1"/>
            </w14:solidFill>
          </w14:textFill>
        </w:rPr>
        <w:t>km</w:t>
      </w:r>
      <w:r>
        <w:rPr>
          <w:color w:val="000000" w:themeColor="text1"/>
          <w:highlight w:val="none"/>
          <w14:textFill>
            <w14:solidFill>
              <w14:schemeClr w14:val="tx1"/>
            </w14:solidFill>
          </w14:textFill>
        </w:rPr>
        <w:t>。</w:t>
      </w:r>
    </w:p>
    <w:p>
      <w:pPr>
        <w:ind w:firstLine="480"/>
        <w:rPr>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本项目总投资</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万元，环保投资</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万元，环保投资占总投资的3.0%。</w:t>
      </w:r>
    </w:p>
    <w:p>
      <w:pPr>
        <w:pStyle w:val="4"/>
        <w:spacing w:before="120"/>
        <w:rPr>
          <w:color w:val="000000" w:themeColor="text1"/>
          <w:highlight w:val="none"/>
          <w:lang w:eastAsia="zh-CN"/>
          <w14:textFill>
            <w14:solidFill>
              <w14:schemeClr w14:val="tx1"/>
            </w14:solidFill>
          </w14:textFill>
        </w:rPr>
      </w:pPr>
      <w:bookmarkStart w:id="473" w:name="_bookmark49"/>
      <w:bookmarkEnd w:id="473"/>
      <w:bookmarkStart w:id="474" w:name="10.2环境质量现状"/>
      <w:bookmarkEnd w:id="474"/>
      <w:bookmarkStart w:id="475" w:name="_Toc29144"/>
      <w:r>
        <w:rPr>
          <w:color w:val="000000" w:themeColor="text1"/>
          <w:highlight w:val="none"/>
          <w:lang w:eastAsia="zh-CN"/>
          <w14:textFill>
            <w14:solidFill>
              <w14:schemeClr w14:val="tx1"/>
            </w14:solidFill>
          </w14:textFill>
        </w:rPr>
        <w:t>环境质量现状</w:t>
      </w:r>
      <w:bookmarkEnd w:id="475"/>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（1）大气环境</w:t>
      </w:r>
      <w:r>
        <w:rPr>
          <w:rFonts w:hint="eastAsia"/>
          <w:bCs/>
          <w:color w:val="000000" w:themeColor="text1"/>
          <w:highlight w:val="none"/>
          <w14:textFill>
            <w14:solidFill>
              <w14:schemeClr w14:val="tx1"/>
            </w14:solidFill>
          </w14:textFill>
        </w:rPr>
        <w:t>质量现状</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根据《达州市2023年环境空气质量状况》内容，宣汉县</w:t>
      </w:r>
      <w:r>
        <w:rPr>
          <w:rFonts w:hint="eastAsia"/>
          <w:color w:val="000000" w:themeColor="text1"/>
          <w:highlight w:val="none"/>
          <w14:textFill>
            <w14:solidFill>
              <w14:schemeClr w14:val="tx1"/>
            </w14:solidFill>
          </w14:textFill>
        </w:rPr>
        <w:t>和通川区</w:t>
      </w:r>
      <w:r>
        <w:rPr>
          <w:color w:val="000000" w:themeColor="text1"/>
          <w:highlight w:val="none"/>
          <w14:textFill>
            <w14:solidFill>
              <w14:schemeClr w14:val="tx1"/>
            </w14:solidFill>
          </w14:textFill>
        </w:rPr>
        <w:t>2023年度主要污染物SO</w:t>
      </w:r>
      <w:r>
        <w:rPr>
          <w:color w:val="000000" w:themeColor="text1"/>
          <w:highlight w:val="none"/>
          <w:vertAlign w:val="subscript"/>
          <w14:textFill>
            <w14:solidFill>
              <w14:schemeClr w14:val="tx1"/>
            </w14:solidFill>
          </w14:textFill>
        </w:rPr>
        <w:t>2</w:t>
      </w:r>
      <w:r>
        <w:rPr>
          <w:color w:val="000000" w:themeColor="text1"/>
          <w:highlight w:val="none"/>
          <w14:textFill>
            <w14:solidFill>
              <w14:schemeClr w14:val="tx1"/>
            </w14:solidFill>
          </w14:textFill>
        </w:rPr>
        <w:t>、NO</w:t>
      </w:r>
      <w:r>
        <w:rPr>
          <w:color w:val="000000" w:themeColor="text1"/>
          <w:highlight w:val="none"/>
          <w:vertAlign w:val="subscript"/>
          <w14:textFill>
            <w14:solidFill>
              <w14:schemeClr w14:val="tx1"/>
            </w14:solidFill>
          </w14:textFill>
        </w:rPr>
        <w:t>2</w:t>
      </w:r>
      <w:r>
        <w:rPr>
          <w:color w:val="000000" w:themeColor="text1"/>
          <w:highlight w:val="none"/>
          <w14:textFill>
            <w14:solidFill>
              <w14:schemeClr w14:val="tx1"/>
            </w14:solidFill>
          </w14:textFill>
        </w:rPr>
        <w:t>、PM</w:t>
      </w:r>
      <w:r>
        <w:rPr>
          <w:color w:val="000000" w:themeColor="text1"/>
          <w:highlight w:val="none"/>
          <w:vertAlign w:val="subscript"/>
          <w14:textFill>
            <w14:solidFill>
              <w14:schemeClr w14:val="tx1"/>
            </w14:solidFill>
          </w14:textFill>
        </w:rPr>
        <w:t>10</w:t>
      </w:r>
      <w:r>
        <w:rPr>
          <w:color w:val="000000" w:themeColor="text1"/>
          <w:highlight w:val="none"/>
          <w14:textFill>
            <w14:solidFill>
              <w14:schemeClr w14:val="tx1"/>
            </w14:solidFill>
          </w14:textFill>
        </w:rPr>
        <w:t>、PM</w:t>
      </w:r>
      <w:r>
        <w:rPr>
          <w:color w:val="000000" w:themeColor="text1"/>
          <w:highlight w:val="none"/>
          <w:vertAlign w:val="subscript"/>
          <w14:textFill>
            <w14:solidFill>
              <w14:schemeClr w14:val="tx1"/>
            </w14:solidFill>
          </w14:textFill>
        </w:rPr>
        <w:t>2.5</w:t>
      </w:r>
      <w:r>
        <w:rPr>
          <w:color w:val="000000" w:themeColor="text1"/>
          <w:highlight w:val="none"/>
          <w14:textFill>
            <w14:solidFill>
              <w14:schemeClr w14:val="tx1"/>
            </w14:solidFill>
          </w14:textFill>
        </w:rPr>
        <w:t>、CO、O</w:t>
      </w:r>
      <w:r>
        <w:rPr>
          <w:color w:val="000000" w:themeColor="text1"/>
          <w:highlight w:val="none"/>
          <w:vertAlign w:val="subscript"/>
          <w14:textFill>
            <w14:solidFill>
              <w14:schemeClr w14:val="tx1"/>
            </w14:solidFill>
          </w14:textFill>
        </w:rPr>
        <w:t>3</w:t>
      </w:r>
      <w:r>
        <w:rPr>
          <w:color w:val="000000" w:themeColor="text1"/>
          <w:highlight w:val="none"/>
          <w14:textFill>
            <w14:solidFill>
              <w14:schemeClr w14:val="tx1"/>
            </w14:solidFill>
          </w14:textFill>
        </w:rPr>
        <w:t>均满足《环境空气质量标准》（GB3095-2012）二级标准要求，按《环境影响评价技术导则 大气环境》（HJ2.2-2018）区域达标判断标准，宣汉县</w:t>
      </w:r>
      <w:r>
        <w:rPr>
          <w:rFonts w:hint="eastAsia"/>
          <w:color w:val="000000" w:themeColor="text1"/>
          <w:highlight w:val="none"/>
          <w14:textFill>
            <w14:solidFill>
              <w14:schemeClr w14:val="tx1"/>
            </w14:solidFill>
          </w14:textFill>
        </w:rPr>
        <w:t>和通川区</w:t>
      </w:r>
      <w:r>
        <w:rPr>
          <w:color w:val="000000" w:themeColor="text1"/>
          <w:highlight w:val="none"/>
          <w14:textFill>
            <w14:solidFill>
              <w14:schemeClr w14:val="tx1"/>
            </w14:solidFill>
          </w14:textFill>
        </w:rPr>
        <w:t>2023年度区域环境空气质量为达标区</w:t>
      </w:r>
      <w:r>
        <w:rPr>
          <w:rFonts w:hint="eastAsia"/>
          <w:color w:val="000000" w:themeColor="text1"/>
          <w:highlight w:val="none"/>
          <w14:textFill>
            <w14:solidFill>
              <w14:schemeClr w14:val="tx1"/>
            </w14:solidFill>
          </w14:textFill>
        </w:rPr>
        <w:t>；此外，</w:t>
      </w:r>
      <w:r>
        <w:rPr>
          <w:color w:val="000000" w:themeColor="text1"/>
          <w:highlight w:val="none"/>
          <w14:textFill>
            <w14:solidFill>
              <w14:schemeClr w14:val="tx1"/>
            </w14:solidFill>
          </w14:textFill>
        </w:rPr>
        <w:t>根据本项目环境</w:t>
      </w:r>
      <w:r>
        <w:rPr>
          <w:rFonts w:hint="eastAsia"/>
          <w:color w:val="000000" w:themeColor="text1"/>
          <w:highlight w:val="none"/>
          <w14:textFill>
            <w14:solidFill>
              <w14:schemeClr w14:val="tx1"/>
            </w14:solidFill>
          </w14:textFill>
        </w:rPr>
        <w:t>质量现状</w:t>
      </w:r>
      <w:r>
        <w:rPr>
          <w:color w:val="000000" w:themeColor="text1"/>
          <w:highlight w:val="none"/>
          <w14:textFill>
            <w14:solidFill>
              <w14:schemeClr w14:val="tx1"/>
            </w14:solidFill>
          </w14:textFill>
        </w:rPr>
        <w:t>监测结果显示，本项目拟建地环境空气中特征污染物非甲烷总烃现状监测值均低于《大气污染物综合排放标准详解》浓度限值；TSP现状监测值均低于《环境空气质量标准》（GB3095-2012）二级标准要求限值。表明区域环境空气质量现状良好</w:t>
      </w:r>
      <w:r>
        <w:rPr>
          <w:rFonts w:hint="eastAsia"/>
          <w:color w:val="000000" w:themeColor="text1"/>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（2）地表水环境</w:t>
      </w:r>
      <w:r>
        <w:rPr>
          <w:rFonts w:hint="eastAsia"/>
          <w:bCs/>
          <w:color w:val="000000" w:themeColor="text1"/>
          <w:highlight w:val="none"/>
          <w14:textFill>
            <w14:solidFill>
              <w14:schemeClr w14:val="tx1"/>
            </w14:solidFill>
          </w14:textFill>
        </w:rPr>
        <w:t>质量现状</w:t>
      </w:r>
    </w:p>
    <w:p>
      <w:pPr>
        <w:ind w:firstLine="480"/>
        <w:rPr>
          <w:bCs/>
          <w:color w:val="000000" w:themeColor="text1"/>
          <w:highlight w:val="none"/>
          <w14:textFill>
            <w14:solidFill>
              <w14:schemeClr w14:val="tx1"/>
            </w14:solidFill>
          </w14:textFill>
        </w:rPr>
      </w:pPr>
      <w:r>
        <w:rPr>
          <w:rFonts w:hint="eastAsia"/>
          <w:bCs/>
          <w:color w:val="000000" w:themeColor="text1"/>
          <w:highlight w:val="none"/>
          <w14:textFill>
            <w14:solidFill>
              <w14:schemeClr w14:val="tx1"/>
            </w14:solidFill>
          </w14:textFill>
        </w:rPr>
        <w:t>根据</w:t>
      </w:r>
      <w:r>
        <w:rPr>
          <w:bCs/>
          <w:color w:val="000000" w:themeColor="text1"/>
          <w:highlight w:val="none"/>
          <w14:textFill>
            <w14:solidFill>
              <w14:schemeClr w14:val="tx1"/>
            </w14:solidFill>
          </w14:textFill>
        </w:rPr>
        <w:t>达州市生态环境局于202</w:t>
      </w:r>
      <w:r>
        <w:rPr>
          <w:rFonts w:hint="eastAsia"/>
          <w:bCs/>
          <w:color w:val="000000" w:themeColor="text1"/>
          <w:highlight w:val="none"/>
          <w14:textFill>
            <w14:solidFill>
              <w14:schemeClr w14:val="tx1"/>
            </w14:solidFill>
          </w14:textFill>
        </w:rPr>
        <w:t>4</w:t>
      </w:r>
      <w:r>
        <w:rPr>
          <w:bCs/>
          <w:color w:val="000000" w:themeColor="text1"/>
          <w:highlight w:val="none"/>
          <w14:textFill>
            <w14:solidFill>
              <w14:schemeClr w14:val="tx1"/>
            </w14:solidFill>
          </w14:textFill>
        </w:rPr>
        <w:t>年</w:t>
      </w:r>
      <w:r>
        <w:rPr>
          <w:rFonts w:hint="eastAsia"/>
          <w:bCs/>
          <w:color w:val="000000" w:themeColor="text1"/>
          <w:highlight w:val="none"/>
          <w14:textFill>
            <w14:solidFill>
              <w14:schemeClr w14:val="tx1"/>
            </w14:solidFill>
          </w14:textFill>
        </w:rPr>
        <w:t>3</w:t>
      </w:r>
      <w:r>
        <w:rPr>
          <w:bCs/>
          <w:color w:val="000000" w:themeColor="text1"/>
          <w:highlight w:val="none"/>
          <w14:textFill>
            <w14:solidFill>
              <w14:schemeClr w14:val="tx1"/>
            </w14:solidFill>
          </w14:textFill>
        </w:rPr>
        <w:t>月</w:t>
      </w:r>
      <w:r>
        <w:rPr>
          <w:rFonts w:hint="eastAsia"/>
          <w:bCs/>
          <w:color w:val="000000" w:themeColor="text1"/>
          <w:highlight w:val="none"/>
          <w14:textFill>
            <w14:solidFill>
              <w14:schemeClr w14:val="tx1"/>
            </w14:solidFill>
          </w14:textFill>
        </w:rPr>
        <w:t>13</w:t>
      </w:r>
      <w:r>
        <w:rPr>
          <w:bCs/>
          <w:color w:val="000000" w:themeColor="text1"/>
          <w:highlight w:val="none"/>
          <w14:textFill>
            <w14:solidFill>
              <w14:schemeClr w14:val="tx1"/>
            </w14:solidFill>
          </w14:textFill>
        </w:rPr>
        <w:t>日公布了202</w:t>
      </w:r>
      <w:r>
        <w:rPr>
          <w:rFonts w:hint="eastAsia"/>
          <w:bCs/>
          <w:color w:val="000000" w:themeColor="text1"/>
          <w:highlight w:val="none"/>
          <w14:textFill>
            <w14:solidFill>
              <w14:schemeClr w14:val="tx1"/>
            </w14:solidFill>
          </w14:textFill>
        </w:rPr>
        <w:t>4</w:t>
      </w:r>
      <w:r>
        <w:rPr>
          <w:bCs/>
          <w:color w:val="000000" w:themeColor="text1"/>
          <w:highlight w:val="none"/>
          <w14:textFill>
            <w14:solidFill>
              <w14:schemeClr w14:val="tx1"/>
            </w14:solidFill>
          </w14:textFill>
        </w:rPr>
        <w:t>年</w:t>
      </w:r>
      <w:r>
        <w:rPr>
          <w:rFonts w:hint="eastAsia"/>
          <w:bCs/>
          <w:color w:val="000000" w:themeColor="text1"/>
          <w:highlight w:val="none"/>
          <w14:textFill>
            <w14:solidFill>
              <w14:schemeClr w14:val="tx1"/>
            </w14:solidFill>
          </w14:textFill>
        </w:rPr>
        <w:t>2</w:t>
      </w:r>
      <w:r>
        <w:rPr>
          <w:bCs/>
          <w:color w:val="000000" w:themeColor="text1"/>
          <w:highlight w:val="none"/>
          <w14:textFill>
            <w14:solidFill>
              <w14:schemeClr w14:val="tx1"/>
            </w14:solidFill>
          </w14:textFill>
        </w:rPr>
        <w:t>月达州市地表水水质月报，根据月报可知，202</w:t>
      </w:r>
      <w:r>
        <w:rPr>
          <w:rFonts w:hint="eastAsia"/>
          <w:bCs/>
          <w:color w:val="000000" w:themeColor="text1"/>
          <w:highlight w:val="none"/>
          <w14:textFill>
            <w14:solidFill>
              <w14:schemeClr w14:val="tx1"/>
            </w14:solidFill>
          </w14:textFill>
        </w:rPr>
        <w:t>4</w:t>
      </w:r>
      <w:r>
        <w:rPr>
          <w:bCs/>
          <w:color w:val="000000" w:themeColor="text1"/>
          <w:highlight w:val="none"/>
          <w14:textFill>
            <w14:solidFill>
              <w14:schemeClr w14:val="tx1"/>
            </w14:solidFill>
          </w14:textFill>
        </w:rPr>
        <w:t>年</w:t>
      </w:r>
      <w:r>
        <w:rPr>
          <w:rFonts w:hint="eastAsia"/>
          <w:bCs/>
          <w:color w:val="000000" w:themeColor="text1"/>
          <w:highlight w:val="none"/>
          <w14:textFill>
            <w14:solidFill>
              <w14:schemeClr w14:val="tx1"/>
            </w14:solidFill>
          </w14:textFill>
        </w:rPr>
        <w:t>2</w:t>
      </w:r>
      <w:r>
        <w:rPr>
          <w:bCs/>
          <w:color w:val="000000" w:themeColor="text1"/>
          <w:highlight w:val="none"/>
          <w14:textFill>
            <w14:solidFill>
              <w14:schemeClr w14:val="tx1"/>
            </w14:solidFill>
          </w14:textFill>
        </w:rPr>
        <w:t>月</w:t>
      </w:r>
      <w:r>
        <w:rPr>
          <w:rFonts w:hint="eastAsia"/>
          <w:bCs/>
          <w:color w:val="000000" w:themeColor="text1"/>
          <w:highlight w:val="none"/>
          <w14:textFill>
            <w14:solidFill>
              <w14:schemeClr w14:val="tx1"/>
            </w14:solidFill>
          </w14:textFill>
        </w:rPr>
        <w:t>州河</w:t>
      </w:r>
      <w:r>
        <w:rPr>
          <w:bCs/>
          <w:color w:val="000000" w:themeColor="text1"/>
          <w:highlight w:val="none"/>
          <w14:textFill>
            <w14:solidFill>
              <w14:schemeClr w14:val="tx1"/>
            </w14:solidFill>
          </w14:textFill>
        </w:rPr>
        <w:t>位于</w:t>
      </w:r>
      <w:r>
        <w:rPr>
          <w:rFonts w:hint="eastAsia"/>
          <w:color w:val="000000" w:themeColor="text1"/>
          <w:highlight w:val="none"/>
          <w14:textFill>
            <w14:solidFill>
              <w14:schemeClr w14:val="tx1"/>
            </w14:solidFill>
          </w14:textFill>
        </w:rPr>
        <w:t>张鼓坪</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宣汉县→通川区</w:t>
      </w:r>
      <w:r>
        <w:rPr>
          <w:color w:val="000000" w:themeColor="text1"/>
          <w:highlight w:val="none"/>
          <w14:textFill>
            <w14:solidFill>
              <w14:schemeClr w14:val="tx1"/>
            </w14:solidFill>
          </w14:textFill>
        </w:rPr>
        <w:t>）监测断面的国考断面地表水水质满足</w:t>
      </w:r>
      <w:r>
        <w:rPr>
          <w:bCs/>
          <w:color w:val="000000" w:themeColor="text1"/>
          <w:highlight w:val="none"/>
          <w14:textFill>
            <w14:solidFill>
              <w14:schemeClr w14:val="tx1"/>
            </w14:solidFill>
          </w14:textFill>
        </w:rPr>
        <w:t>《地表水环境质量标准》（GB3838-2002）中Ⅱ类水质标准限值要求；因此区域地表水满足《地表水环境质量标准》（GB3838-2002）中Ⅲ类水质标准限值要求</w:t>
      </w:r>
      <w:r>
        <w:rPr>
          <w:rFonts w:hint="eastAsia"/>
          <w:bCs/>
          <w:color w:val="000000" w:themeColor="text1"/>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rFonts w:hint="eastAsia"/>
          <w:bCs/>
          <w:color w:val="000000" w:themeColor="text1"/>
          <w:highlight w:val="none"/>
          <w14:textFill>
            <w14:solidFill>
              <w14:schemeClr w14:val="tx1"/>
            </w14:solidFill>
          </w14:textFill>
        </w:rPr>
        <w:t>（3）声环境质量现状</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根据本项目环境</w:t>
      </w:r>
      <w:r>
        <w:rPr>
          <w:rFonts w:hint="eastAsia"/>
          <w:color w:val="000000" w:themeColor="text1"/>
          <w:highlight w:val="none"/>
          <w14:textFill>
            <w14:solidFill>
              <w14:schemeClr w14:val="tx1"/>
            </w14:solidFill>
          </w14:textFill>
        </w:rPr>
        <w:t>质量现状</w:t>
      </w:r>
      <w:r>
        <w:rPr>
          <w:color w:val="000000" w:themeColor="text1"/>
          <w:highlight w:val="none"/>
          <w14:textFill>
            <w14:solidFill>
              <w14:schemeClr w14:val="tx1"/>
            </w14:solidFill>
          </w14:textFill>
        </w:rPr>
        <w:t>监测结果显示，拟建项目及周边各监测点昼间夜间噪声监测值满足《声环境质量标准》（GB3096-2008）2类功能区标准，项目拟建地声环境质量良好</w:t>
      </w:r>
      <w:r>
        <w:rPr>
          <w:rFonts w:hint="eastAsia"/>
          <w:color w:val="000000" w:themeColor="text1"/>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（4）地下水质量现状</w:t>
      </w:r>
    </w:p>
    <w:p>
      <w:pPr>
        <w:ind w:firstLine="480"/>
        <w:rPr>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根据本项目环境</w:t>
      </w:r>
      <w:r>
        <w:rPr>
          <w:rFonts w:hint="eastAsia"/>
          <w:color w:val="000000" w:themeColor="text1"/>
          <w:highlight w:val="none"/>
          <w14:textFill>
            <w14:solidFill>
              <w14:schemeClr w14:val="tx1"/>
            </w14:solidFill>
          </w14:textFill>
        </w:rPr>
        <w:t>质量现状</w:t>
      </w:r>
      <w:r>
        <w:rPr>
          <w:color w:val="000000" w:themeColor="text1"/>
          <w:highlight w:val="none"/>
          <w14:textFill>
            <w14:solidFill>
              <w14:schemeClr w14:val="tx1"/>
            </w14:solidFill>
          </w14:textFill>
        </w:rPr>
        <w:t>监测结果显示，</w:t>
      </w:r>
      <w:r>
        <w:rPr>
          <w:bCs/>
          <w:color w:val="000000" w:themeColor="text1"/>
          <w:highlight w:val="none"/>
          <w14:textFill>
            <w14:solidFill>
              <w14:schemeClr w14:val="tx1"/>
            </w14:solidFill>
          </w14:textFill>
        </w:rPr>
        <w:t>项目区域地下水现状监测指标均未超过《地下水质量标准》（GB/T14848-2017）中的Ⅲ类标准限值要求，本项目所在地区地下水质量总体上良好</w:t>
      </w:r>
      <w:r>
        <w:rPr>
          <w:rFonts w:hint="eastAsia"/>
          <w:bCs/>
          <w:color w:val="000000" w:themeColor="text1"/>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（5）土壤环境质量现状</w:t>
      </w:r>
    </w:p>
    <w:p>
      <w:pPr>
        <w:ind w:firstLine="480"/>
        <w:rPr>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w:t>
      </w:r>
      <w:r>
        <w:rPr>
          <w:rFonts w:hint="eastAsia" w:cs="Times New Roman"/>
          <w:bCs/>
          <w:color w:val="000000" w:themeColor="text1"/>
          <w:szCs w:val="24"/>
          <w:highlight w:val="none"/>
          <w14:textFill>
            <w14:solidFill>
              <w14:schemeClr w14:val="tx1"/>
            </w14:solidFill>
          </w14:textFill>
        </w:rPr>
        <w:t>试采站</w:t>
      </w:r>
      <w:r>
        <w:rPr>
          <w:rFonts w:cs="Times New Roman"/>
          <w:bCs/>
          <w:color w:val="000000" w:themeColor="text1"/>
          <w:szCs w:val="24"/>
          <w:highlight w:val="none"/>
          <w14:textFill>
            <w14:solidFill>
              <w14:schemeClr w14:val="tx1"/>
            </w14:solidFill>
          </w14:textFill>
        </w:rPr>
        <w:t>外土壤监测点监测值均低于《土壤环境质量农用地土壤污染风险管控标准（试行）》（GB15618-2018）风险筛选值；</w:t>
      </w:r>
      <w:r>
        <w:rPr>
          <w:rFonts w:hint="eastAsia" w:cs="Times New Roman"/>
          <w:bCs/>
          <w:color w:val="000000" w:themeColor="text1"/>
          <w:szCs w:val="24"/>
          <w:highlight w:val="none"/>
          <w14:textFill>
            <w14:solidFill>
              <w14:schemeClr w14:val="tx1"/>
            </w14:solidFill>
          </w14:textFill>
        </w:rPr>
        <w:t>试采站</w:t>
      </w:r>
      <w:r>
        <w:rPr>
          <w:rFonts w:cs="Times New Roman"/>
          <w:bCs/>
          <w:color w:val="000000" w:themeColor="text1"/>
          <w:szCs w:val="24"/>
          <w:highlight w:val="none"/>
          <w14:textFill>
            <w14:solidFill>
              <w14:schemeClr w14:val="tx1"/>
            </w14:solidFill>
          </w14:textFill>
        </w:rPr>
        <w:t>内各土壤监测点监测因子均低于《土壤环境质量建设用地土壤污染风险管控标准（试行）》（GB36600-2018）中的第二类用地筛选值</w:t>
      </w:r>
      <w:r>
        <w:rPr>
          <w:rFonts w:hint="eastAsia"/>
          <w:color w:val="000000" w:themeColor="text1"/>
          <w:highlight w:val="none"/>
          <w14:textFill>
            <w14:solidFill>
              <w14:schemeClr w14:val="tx1"/>
            </w14:solidFill>
          </w14:textFill>
        </w:rPr>
        <w:t>和《四川省建设用地土壤污染风险管控标准》（DB51/2978—2023）标准要求</w:t>
      </w:r>
      <w:r>
        <w:rPr>
          <w:bCs/>
          <w:color w:val="000000" w:themeColor="text1"/>
          <w:highlight w:val="none"/>
          <w14:textFill>
            <w14:solidFill>
              <w14:schemeClr w14:val="tx1"/>
            </w14:solidFill>
          </w14:textFill>
        </w:rPr>
        <w:t>。</w:t>
      </w:r>
      <w:r>
        <w:rPr>
          <w:rFonts w:hint="eastAsia"/>
          <w:bCs/>
          <w:color w:val="000000" w:themeColor="text1"/>
          <w:highlight w:val="none"/>
          <w14:textFill>
            <w14:solidFill>
              <w14:schemeClr w14:val="tx1"/>
            </w14:solidFill>
          </w14:textFill>
        </w:rPr>
        <w:t xml:space="preserve">区域土壤环境质量现状良好。  </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（6）生态环境质量现状</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kern w:val="0"/>
          <w:szCs w:val="24"/>
          <w:highlight w:val="none"/>
          <w14:textFill>
            <w14:solidFill>
              <w14:schemeClr w14:val="tx1"/>
            </w14:solidFill>
          </w14:textFill>
        </w:rPr>
        <w:t>项目区属</w:t>
      </w:r>
      <w:r>
        <w:rPr>
          <w:rFonts w:hint="eastAsia"/>
          <w:color w:val="000000" w:themeColor="text1"/>
          <w:highlight w:val="none"/>
          <w14:textFill>
            <w14:solidFill>
              <w14:schemeClr w14:val="tx1"/>
            </w14:solidFill>
          </w14:textFill>
        </w:rPr>
        <w:t>四川盆地亚热带湿润气候生态区</w:t>
      </w:r>
      <w:r>
        <w:rPr>
          <w:rFonts w:cs="Times New Roman"/>
          <w:bCs/>
          <w:color w:val="000000" w:themeColor="text1"/>
          <w:kern w:val="0"/>
          <w:szCs w:val="24"/>
          <w:highlight w:val="none"/>
          <w14:textFill>
            <w14:solidFill>
              <w14:schemeClr w14:val="tx1"/>
            </w14:solidFill>
          </w14:textFill>
        </w:rPr>
        <w:t>，植被区划处于亚热带常绿阔叶林区域，水热条件较好，植被总体覆盖度较高。</w:t>
      </w:r>
      <w:r>
        <w:rPr>
          <w:rFonts w:cs="Times New Roman"/>
          <w:bCs/>
          <w:color w:val="000000" w:themeColor="text1"/>
          <w:highlight w:val="none"/>
          <w14:textFill>
            <w14:solidFill>
              <w14:schemeClr w14:val="tx1"/>
            </w14:solidFill>
          </w14:textFill>
        </w:rPr>
        <w:t>从解译结果看，评价区范围内，高覆盖度植被主要分布在针叶林及阔叶林区，群落多为乔灌草三层，综合覆盖度较高；中高覆盖度植被主要为稀疏乔木林及灌丛植被分布区，群落结构多为灌草两层；中覆盖度多为草丛植被分布区</w:t>
      </w:r>
      <w:r>
        <w:rPr>
          <w:rFonts w:hint="eastAsia" w:cs="Times New Roman"/>
          <w:bCs/>
          <w:color w:val="000000" w:themeColor="text1"/>
          <w:kern w:val="0"/>
          <w:szCs w:val="24"/>
          <w:highlight w:val="none"/>
          <w14:textFill>
            <w14:solidFill>
              <w14:schemeClr w14:val="tx1"/>
            </w14:solidFill>
          </w14:textFill>
        </w:rPr>
        <w:t>；</w:t>
      </w:r>
      <w:r>
        <w:rPr>
          <w:rFonts w:cs="Times New Roman"/>
          <w:bCs/>
          <w:color w:val="000000" w:themeColor="text1"/>
          <w:spacing w:val="-6"/>
          <w:szCs w:val="24"/>
          <w:highlight w:val="none"/>
          <w14:textFill>
            <w14:solidFill>
              <w14:schemeClr w14:val="tx1"/>
            </w14:solidFill>
          </w14:textFill>
        </w:rPr>
        <w:t>本次评价范围内的林地主要为人工林，区域植物种类主要为马尾松、栎雷及其他常见灌草植物和经济林木等。</w:t>
      </w:r>
      <w:r>
        <w:rPr>
          <w:rFonts w:cs="Times New Roman"/>
          <w:bCs/>
          <w:color w:val="000000" w:themeColor="text1"/>
          <w:szCs w:val="24"/>
          <w:highlight w:val="none"/>
          <w14:textFill>
            <w14:solidFill>
              <w14:schemeClr w14:val="tx1"/>
            </w14:solidFill>
          </w14:textFill>
        </w:rPr>
        <w:t>按照现行的《中华人民共和国野生植物保护条例（1999）</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pacing w:val="-6"/>
          <w:szCs w:val="24"/>
          <w:highlight w:val="none"/>
          <w14:textFill>
            <w14:solidFill>
              <w14:schemeClr w14:val="tx1"/>
            </w14:solidFill>
          </w14:textFill>
        </w:rPr>
        <w:t>国家重点保护野生植物名录》</w:t>
      </w:r>
      <w:r>
        <w:rPr>
          <w:rFonts w:hint="eastAsia" w:cs="Times New Roman"/>
          <w:bCs/>
          <w:color w:val="000000" w:themeColor="text1"/>
          <w:spacing w:val="-6"/>
          <w:szCs w:val="24"/>
          <w:highlight w:val="none"/>
          <w14:textFill>
            <w14:solidFill>
              <w14:schemeClr w14:val="tx1"/>
            </w14:solidFill>
          </w14:textFill>
        </w:rPr>
        <w:t>（</w:t>
      </w:r>
      <w:r>
        <w:rPr>
          <w:rFonts w:cs="Times New Roman"/>
          <w:bCs/>
          <w:color w:val="000000" w:themeColor="text1"/>
          <w:spacing w:val="-6"/>
          <w:szCs w:val="24"/>
          <w:highlight w:val="none"/>
          <w14:textFill>
            <w14:solidFill>
              <w14:schemeClr w14:val="tx1"/>
            </w14:solidFill>
          </w14:textFill>
        </w:rPr>
        <w:t>国家林业和草原局农业农村部公告2021</w:t>
      </w:r>
      <w:r>
        <w:rPr>
          <w:rFonts w:cs="Times New Roman"/>
          <w:bCs/>
          <w:color w:val="000000" w:themeColor="text1"/>
          <w:spacing w:val="-9"/>
          <w:szCs w:val="24"/>
          <w:highlight w:val="none"/>
          <w14:textFill>
            <w14:solidFill>
              <w14:schemeClr w14:val="tx1"/>
            </w14:solidFill>
          </w14:textFill>
        </w:rPr>
        <w:t>年</w:t>
      </w:r>
      <w:r>
        <w:rPr>
          <w:rFonts w:cs="Times New Roman"/>
          <w:bCs/>
          <w:color w:val="000000" w:themeColor="text1"/>
          <w:spacing w:val="-5"/>
          <w:szCs w:val="24"/>
          <w:highlight w:val="none"/>
          <w14:textFill>
            <w14:solidFill>
              <w14:schemeClr w14:val="tx1"/>
            </w14:solidFill>
          </w14:textFill>
        </w:rPr>
        <w:t>第15号</w:t>
      </w:r>
      <w:r>
        <w:rPr>
          <w:rFonts w:hint="eastAsia" w:cs="Times New Roman"/>
          <w:bCs/>
          <w:color w:val="000000" w:themeColor="text1"/>
          <w:spacing w:val="-5"/>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w:t>
      </w:r>
      <w:r>
        <w:rPr>
          <w:rFonts w:cs="Times New Roman"/>
          <w:bCs/>
          <w:color w:val="000000" w:themeColor="text1"/>
          <w:spacing w:val="-6"/>
          <w:szCs w:val="24"/>
          <w:highlight w:val="none"/>
          <w14:textFill>
            <w14:solidFill>
              <w14:schemeClr w14:val="tx1"/>
            </w14:solidFill>
          </w14:textFill>
        </w:rPr>
        <w:t>《四川省重点保护野生植物名录</w:t>
      </w:r>
      <w:r>
        <w:rPr>
          <w:rFonts w:hint="eastAsia" w:cs="Times New Roman"/>
          <w:bCs/>
          <w:color w:val="000000" w:themeColor="text1"/>
          <w:spacing w:val="-6"/>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全国古树名木普查建档技术规定（2001）》以及相关科考资料，评价区无重点保护野生植物和古树名木等重要物种分布。</w:t>
      </w:r>
      <w:r>
        <w:rPr>
          <w:rFonts w:cs="Times New Roman"/>
          <w:bCs/>
          <w:color w:val="000000" w:themeColor="text1"/>
          <w:spacing w:val="-6"/>
          <w:szCs w:val="24"/>
          <w:highlight w:val="none"/>
          <w14:textFill>
            <w14:solidFill>
              <w14:schemeClr w14:val="tx1"/>
            </w14:solidFill>
          </w14:textFill>
        </w:rPr>
        <w:t>后续应加强评价范围内保护植物的跟踪调查，对及时发现的重点保护植物采取就地保护措施</w:t>
      </w:r>
      <w:r>
        <w:rPr>
          <w:rFonts w:cs="Times New Roman"/>
          <w:bCs/>
          <w:color w:val="000000" w:themeColor="text1"/>
          <w:szCs w:val="24"/>
          <w:highlight w:val="none"/>
          <w14:textFill>
            <w14:solidFill>
              <w14:schemeClr w14:val="tx1"/>
            </w14:solidFill>
          </w14:textFill>
        </w:rPr>
        <w:t>，对发现的名木古树采取挂牌保护</w:t>
      </w:r>
      <w:r>
        <w:rPr>
          <w:rFonts w:cs="Times New Roman"/>
          <w:bCs/>
          <w:color w:val="000000" w:themeColor="text1"/>
          <w:kern w:val="0"/>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根据实际调查及现场复核，参照《国家重点保护野生动物名录2021</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四川省重点保护野生动物名录</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四川省新增重点保护野生动物名录》及相关科考资料，在项目评价范围，未发现属于国家级保护和四川省级保护的野生动物及栖息地，无分布生境，也无重要野生动物的迁徙通道</w:t>
      </w:r>
      <w:r>
        <w:rPr>
          <w:bCs/>
          <w:color w:val="000000" w:themeColor="text1"/>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项目评价范围无重要生境分布。</w:t>
      </w:r>
    </w:p>
    <w:p>
      <w:pPr>
        <w:ind w:firstLine="480"/>
        <w:rPr>
          <w:bCs/>
          <w:color w:val="000000" w:themeColor="text1"/>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项目集输管道</w:t>
      </w:r>
      <w:r>
        <w:rPr>
          <w:rFonts w:hint="eastAsia" w:cs="Times New Roman"/>
          <w:bCs/>
          <w:color w:val="000000" w:themeColor="text1"/>
          <w:szCs w:val="24"/>
          <w:highlight w:val="none"/>
          <w14:textFill>
            <w14:solidFill>
              <w14:schemeClr w14:val="tx1"/>
            </w14:solidFill>
          </w14:textFill>
        </w:rPr>
        <w:t>采用定向钻方式穿越三溪河1次，不会对三溪河水生生态产生影响，采用大开挖方式</w:t>
      </w:r>
      <w:r>
        <w:rPr>
          <w:rFonts w:cs="Times New Roman"/>
          <w:bCs/>
          <w:color w:val="000000" w:themeColor="text1"/>
          <w:szCs w:val="24"/>
          <w:highlight w:val="none"/>
          <w14:textFill>
            <w14:solidFill>
              <w14:schemeClr w14:val="tx1"/>
            </w14:solidFill>
          </w14:textFill>
        </w:rPr>
        <w:t>穿越小型沟渠13次，穿越沟渠宽度在2m</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10m不等，穿越长度共计约</w:t>
      </w:r>
      <w:r>
        <w:rPr>
          <w:rFonts w:hint="eastAsia" w:cs="Times New Roman"/>
          <w:bCs/>
          <w:color w:val="000000" w:themeColor="text1"/>
          <w:szCs w:val="24"/>
          <w:highlight w:val="none"/>
          <w14:textFill>
            <w14:solidFill>
              <w14:schemeClr w14:val="tx1"/>
            </w14:solidFill>
          </w14:textFill>
        </w:rPr>
        <w:t>9</w:t>
      </w:r>
      <w:r>
        <w:rPr>
          <w:rFonts w:cs="Times New Roman"/>
          <w:bCs/>
          <w:color w:val="000000" w:themeColor="text1"/>
          <w:szCs w:val="24"/>
          <w:highlight w:val="none"/>
          <w14:textFill>
            <w14:solidFill>
              <w14:schemeClr w14:val="tx1"/>
            </w14:solidFill>
          </w14:textFill>
        </w:rPr>
        <w:t>0m。</w:t>
      </w:r>
      <w:r>
        <w:rPr>
          <w:rFonts w:hint="eastAsia" w:cs="Times New Roman"/>
          <w:bCs/>
          <w:color w:val="000000" w:themeColor="text1"/>
          <w:szCs w:val="24"/>
          <w:highlight w:val="none"/>
          <w14:textFill>
            <w14:solidFill>
              <w14:schemeClr w14:val="tx1"/>
            </w14:solidFill>
          </w14:textFill>
        </w:rPr>
        <w:t>不涉及重要水生生物的自然产卵场、索饵场、越冬场和洄游通道，不涉及保护生物多样性具有重要意义的区域（水生），不涉及水生生态敏感区。评价河段未分布国家和省级重点保护野生鱼类、未分布珍稀和长江上游特有鱼类。</w:t>
      </w:r>
      <w:r>
        <w:rPr>
          <w:rFonts w:cs="Times New Roman"/>
          <w:bCs/>
          <w:color w:val="000000" w:themeColor="text1"/>
          <w:szCs w:val="24"/>
          <w:highlight w:val="none"/>
          <w14:textFill>
            <w14:solidFill>
              <w14:schemeClr w14:val="tx1"/>
            </w14:solidFill>
          </w14:textFill>
        </w:rPr>
        <w:t>结合走访、历史资料</w:t>
      </w:r>
      <w:r>
        <w:rPr>
          <w:rFonts w:hint="eastAsia" w:cs="Times New Roman"/>
          <w:bCs/>
          <w:color w:val="000000" w:themeColor="text1"/>
          <w:szCs w:val="24"/>
          <w:highlight w:val="none"/>
          <w14:textFill>
            <w14:solidFill>
              <w14:schemeClr w14:val="tx1"/>
            </w14:solidFill>
          </w14:textFill>
        </w:rPr>
        <w:t>，评价河段</w:t>
      </w:r>
      <w:r>
        <w:rPr>
          <w:rFonts w:cs="Times New Roman"/>
          <w:bCs/>
          <w:color w:val="000000" w:themeColor="text1"/>
          <w:szCs w:val="24"/>
          <w:highlight w:val="none"/>
          <w14:textFill>
            <w14:solidFill>
              <w14:schemeClr w14:val="tx1"/>
            </w14:solidFill>
          </w14:textFill>
        </w:rPr>
        <w:t>不涉及鱼类“三场”</w:t>
      </w:r>
      <w:r>
        <w:rPr>
          <w:rFonts w:hint="eastAsia" w:cs="Times New Roman"/>
          <w:bCs/>
          <w:color w:val="000000" w:themeColor="text1"/>
          <w:szCs w:val="24"/>
          <w:highlight w:val="none"/>
          <w14:textFill>
            <w14:solidFill>
              <w14:schemeClr w14:val="tx1"/>
            </w14:solidFill>
          </w14:textFill>
        </w:rPr>
        <w:t>及洄游通道</w:t>
      </w:r>
      <w:r>
        <w:rPr>
          <w:rFonts w:cs="Times New Roman"/>
          <w:bCs/>
          <w:color w:val="000000" w:themeColor="text1"/>
          <w:szCs w:val="24"/>
          <w:highlight w:val="none"/>
          <w14:textFill>
            <w14:solidFill>
              <w14:schemeClr w14:val="tx1"/>
            </w14:solidFill>
          </w14:textFill>
        </w:rPr>
        <w:t>。</w:t>
      </w:r>
    </w:p>
    <w:p>
      <w:pPr>
        <w:pStyle w:val="4"/>
        <w:spacing w:before="120"/>
        <w:rPr>
          <w:color w:val="000000" w:themeColor="text1"/>
          <w:highlight w:val="none"/>
          <w:lang w:eastAsia="zh-CN"/>
          <w14:textFill>
            <w14:solidFill>
              <w14:schemeClr w14:val="tx1"/>
            </w14:solidFill>
          </w14:textFill>
        </w:rPr>
      </w:pPr>
      <w:bookmarkStart w:id="476" w:name="_bookmark50"/>
      <w:bookmarkEnd w:id="476"/>
      <w:bookmarkStart w:id="477" w:name="10.3项目产业政策符合性分析与选址合理性分析"/>
      <w:bookmarkEnd w:id="477"/>
      <w:bookmarkStart w:id="478" w:name="_Toc13594"/>
      <w:r>
        <w:rPr>
          <w:color w:val="000000" w:themeColor="text1"/>
          <w:highlight w:val="none"/>
          <w:lang w:eastAsia="zh-CN"/>
          <w14:textFill>
            <w14:solidFill>
              <w14:schemeClr w14:val="tx1"/>
            </w14:solidFill>
          </w14:textFill>
        </w:rPr>
        <w:t>项目产业政策符合性分析与选址合理性分析</w:t>
      </w:r>
      <w:bookmarkEnd w:id="478"/>
    </w:p>
    <w:p>
      <w:pPr>
        <w:ind w:firstLine="480"/>
        <w:rPr>
          <w:color w:val="000000" w:themeColor="text1"/>
          <w:highlight w:val="none"/>
          <w14:textFill>
            <w14:solidFill>
              <w14:schemeClr w14:val="tx1"/>
            </w14:solidFill>
          </w14:textFill>
        </w:rPr>
      </w:pPr>
      <w:bookmarkStart w:id="479" w:name="10.3.1项目产业政策符合性分析"/>
      <w:bookmarkEnd w:id="479"/>
      <w:r>
        <w:rPr>
          <w:color w:val="000000" w:themeColor="text1"/>
          <w:highlight w:val="none"/>
          <w14:textFill>
            <w14:solidFill>
              <w14:schemeClr w14:val="tx1"/>
            </w14:solidFill>
          </w14:textFill>
        </w:rPr>
        <w:t>（1）项目产业政策符合性分析</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根据《产业结构调整指导目录（2024年本）》，该项目属于其中第一</w:t>
      </w:r>
      <w:r>
        <w:rPr>
          <w:rFonts w:ascii="宋体" w:hAnsi="宋体"/>
          <w:color w:val="000000" w:themeColor="text1"/>
          <w:highlight w:val="none"/>
          <w14:textFill>
            <w14:solidFill>
              <w14:schemeClr w14:val="tx1"/>
            </w14:solidFill>
          </w14:textFill>
        </w:rPr>
        <w:t>类“鼓励类”第七条“石油天然气”第一款“石</w:t>
      </w:r>
      <w:r>
        <w:rPr>
          <w:rFonts w:cs="Times New Roman"/>
          <w:color w:val="000000" w:themeColor="text1"/>
          <w:highlight w:val="none"/>
          <w14:textFill>
            <w14:solidFill>
              <w14:schemeClr w14:val="tx1"/>
            </w14:solidFill>
          </w14:textFill>
        </w:rPr>
        <w:t>油天然气开采”，满足《石油天然气开采业污染防治技术政策》（〔2012〕18号）要求；项目实施经中国石油化工股份有限公司中原油田分公司以“中原油分投资〔2024〕10号”文出具了可研批复，因此，本项目符合国家产业政策</w:t>
      </w:r>
      <w:r>
        <w:rPr>
          <w:color w:val="000000" w:themeColor="text1"/>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bookmarkStart w:id="480" w:name="_bookmark51"/>
      <w:bookmarkEnd w:id="480"/>
      <w:bookmarkStart w:id="481" w:name="10.3.2项目选址合理性分析"/>
      <w:bookmarkEnd w:id="481"/>
      <w:r>
        <w:rPr>
          <w:color w:val="000000" w:themeColor="text1"/>
          <w:highlight w:val="none"/>
          <w14:textFill>
            <w14:solidFill>
              <w14:schemeClr w14:val="tx1"/>
            </w14:solidFill>
          </w14:textFill>
        </w:rPr>
        <w:t>（2）项目选址合理性分析</w:t>
      </w:r>
    </w:p>
    <w:p>
      <w:pPr>
        <w:ind w:firstLine="480"/>
        <w:rPr>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本项目建设符合石油天然气开发规划。不在城镇规划区域内，不属于城镇用地，项目所在地为农村地区，主要发展农业。本项目建设不违背</w:t>
      </w:r>
      <w:r>
        <w:rPr>
          <w:rFonts w:hint="eastAsia"/>
          <w:color w:val="000000" w:themeColor="text1"/>
          <w:highlight w:val="none"/>
          <w14:textFill>
            <w14:solidFill>
              <w14:schemeClr w14:val="tx1"/>
            </w14:solidFill>
          </w14:textFill>
        </w:rPr>
        <w:t>宣汉县</w:t>
      </w:r>
      <w:r>
        <w:rPr>
          <w:rFonts w:hint="eastAsia" w:cs="Times New Roman"/>
          <w:bCs/>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、红岭镇和通川区魏兴镇</w:t>
      </w:r>
      <w:r>
        <w:rPr>
          <w:color w:val="000000" w:themeColor="text1"/>
          <w:highlight w:val="none"/>
          <w14:textFill>
            <w14:solidFill>
              <w14:schemeClr w14:val="tx1"/>
            </w14:solidFill>
          </w14:textFill>
        </w:rPr>
        <w:t>规划要求。本项目不涉及生态红线，符合</w:t>
      </w:r>
      <w:r>
        <w:rPr>
          <w:rFonts w:ascii="宋体" w:hAnsi="宋体"/>
          <w:color w:val="000000" w:themeColor="text1"/>
          <w:highlight w:val="none"/>
          <w14:textFill>
            <w14:solidFill>
              <w14:schemeClr w14:val="tx1"/>
            </w14:solidFill>
          </w14:textFill>
        </w:rPr>
        <w:t>“三线一单”</w:t>
      </w:r>
      <w:r>
        <w:rPr>
          <w:color w:val="000000" w:themeColor="text1"/>
          <w:highlight w:val="none"/>
          <w14:textFill>
            <w14:solidFill>
              <w14:schemeClr w14:val="tx1"/>
            </w14:solidFill>
          </w14:textFill>
        </w:rPr>
        <w:t>管控要求，</w:t>
      </w:r>
      <w:r>
        <w:rPr>
          <w:rFonts w:hint="eastAsia" w:cs="Times New Roman"/>
          <w:color w:val="000000" w:themeColor="text1"/>
          <w:kern w:val="0"/>
          <w:szCs w:val="20"/>
          <w:highlight w:val="none"/>
          <w14:textFill>
            <w14:solidFill>
              <w14:schemeClr w14:val="tx1"/>
            </w14:solidFill>
          </w14:textFill>
        </w:rPr>
        <w:t>试采站</w:t>
      </w:r>
      <w:r>
        <w:rPr>
          <w:rFonts w:cs="Times New Roman"/>
          <w:color w:val="000000" w:themeColor="text1"/>
          <w:kern w:val="0"/>
          <w:szCs w:val="20"/>
          <w:highlight w:val="none"/>
          <w14:textFill>
            <w14:solidFill>
              <w14:schemeClr w14:val="tx1"/>
            </w14:solidFill>
          </w14:textFill>
        </w:rPr>
        <w:t>500m范围内</w:t>
      </w:r>
      <w:r>
        <w:rPr>
          <w:rFonts w:hint="eastAsia" w:cs="Times New Roman"/>
          <w:color w:val="000000" w:themeColor="text1"/>
          <w:kern w:val="0"/>
          <w:szCs w:val="20"/>
          <w:highlight w:val="none"/>
          <w14:textFill>
            <w14:solidFill>
              <w14:schemeClr w14:val="tx1"/>
            </w14:solidFill>
          </w14:textFill>
        </w:rPr>
        <w:t>及线路两侧200m范围内</w:t>
      </w:r>
      <w:r>
        <w:rPr>
          <w:rFonts w:cs="Times New Roman"/>
          <w:color w:val="000000" w:themeColor="text1"/>
          <w:kern w:val="0"/>
          <w:szCs w:val="20"/>
          <w:highlight w:val="none"/>
          <w14:textFill>
            <w14:solidFill>
              <w14:schemeClr w14:val="tx1"/>
            </w14:solidFill>
          </w14:textFill>
        </w:rPr>
        <w:t>不涉及自然保护</w:t>
      </w:r>
      <w:r>
        <w:rPr>
          <w:rFonts w:cs="Times New Roman"/>
          <w:color w:val="000000" w:themeColor="text1"/>
          <w:spacing w:val="-1"/>
          <w:kern w:val="0"/>
          <w:szCs w:val="20"/>
          <w:highlight w:val="none"/>
          <w14:textFill>
            <w14:solidFill>
              <w14:schemeClr w14:val="tx1"/>
            </w14:solidFill>
          </w14:textFill>
        </w:rPr>
        <w:t>区</w:t>
      </w:r>
      <w:r>
        <w:rPr>
          <w:rFonts w:cs="Times New Roman"/>
          <w:color w:val="000000" w:themeColor="text1"/>
          <w:kern w:val="0"/>
          <w:szCs w:val="20"/>
          <w:highlight w:val="none"/>
          <w14:textFill>
            <w14:solidFill>
              <w14:schemeClr w14:val="tx1"/>
            </w14:solidFill>
          </w14:textFill>
        </w:rPr>
        <w:t>、风景名胜区、森林公园、</w:t>
      </w:r>
      <w:r>
        <w:rPr>
          <w:rFonts w:hint="eastAsia" w:cs="Times New Roman"/>
          <w:color w:val="000000" w:themeColor="text1"/>
          <w:kern w:val="0"/>
          <w:szCs w:val="20"/>
          <w:highlight w:val="none"/>
          <w14:textFill>
            <w14:solidFill>
              <w14:schemeClr w14:val="tx1"/>
            </w14:solidFill>
          </w14:textFill>
        </w:rPr>
        <w:t>集中式</w:t>
      </w:r>
      <w:r>
        <w:rPr>
          <w:rFonts w:cs="Times New Roman"/>
          <w:color w:val="000000" w:themeColor="text1"/>
          <w:kern w:val="0"/>
          <w:szCs w:val="20"/>
          <w:highlight w:val="none"/>
          <w14:textFill>
            <w14:solidFill>
              <w14:schemeClr w14:val="tx1"/>
            </w14:solidFill>
          </w14:textFill>
        </w:rPr>
        <w:t>饮用水</w:t>
      </w:r>
      <w:r>
        <w:rPr>
          <w:rFonts w:hint="eastAsia" w:cs="Times New Roman"/>
          <w:color w:val="000000" w:themeColor="text1"/>
          <w:kern w:val="0"/>
          <w:szCs w:val="20"/>
          <w:highlight w:val="none"/>
          <w14:textFill>
            <w14:solidFill>
              <w14:schemeClr w14:val="tx1"/>
            </w14:solidFill>
          </w14:textFill>
        </w:rPr>
        <w:t>水</w:t>
      </w:r>
      <w:r>
        <w:rPr>
          <w:rFonts w:cs="Times New Roman"/>
          <w:color w:val="000000" w:themeColor="text1"/>
          <w:kern w:val="0"/>
          <w:szCs w:val="20"/>
          <w:highlight w:val="none"/>
          <w14:textFill>
            <w14:solidFill>
              <w14:schemeClr w14:val="tx1"/>
            </w14:solidFill>
          </w14:textFill>
        </w:rPr>
        <w:t>源保护区等特殊和重要的敏感区</w:t>
      </w:r>
      <w:r>
        <w:rPr>
          <w:color w:val="000000" w:themeColor="text1"/>
          <w:highlight w:val="none"/>
          <w14:textFill>
            <w14:solidFill>
              <w14:schemeClr w14:val="tx1"/>
            </w14:solidFill>
          </w14:textFill>
        </w:rPr>
        <w:t>，总体选址</w:t>
      </w:r>
      <w:r>
        <w:rPr>
          <w:rFonts w:hint="eastAsia"/>
          <w:color w:val="000000" w:themeColor="text1"/>
          <w:highlight w:val="none"/>
          <w14:textFill>
            <w14:solidFill>
              <w14:schemeClr w14:val="tx1"/>
            </w14:solidFill>
          </w14:textFill>
        </w:rPr>
        <w:t>、选线</w:t>
      </w:r>
      <w:r>
        <w:rPr>
          <w:color w:val="000000" w:themeColor="text1"/>
          <w:highlight w:val="none"/>
          <w14:textFill>
            <w14:solidFill>
              <w14:schemeClr w14:val="tx1"/>
            </w14:solidFill>
          </w14:textFill>
        </w:rPr>
        <w:t>环境不敏感。本项目的</w:t>
      </w:r>
      <w:r>
        <w:rPr>
          <w:rFonts w:hint="eastAsia"/>
          <w:color w:val="000000" w:themeColor="text1"/>
          <w:highlight w:val="none"/>
          <w14:textFill>
            <w14:solidFill>
              <w14:schemeClr w14:val="tx1"/>
            </w14:solidFill>
          </w14:textFill>
        </w:rPr>
        <w:t>站场平面布置满足《石油天然气工程设计防火规范》GB50183-2004中五级站场的防火安全距离</w:t>
      </w:r>
      <w:r>
        <w:rPr>
          <w:color w:val="000000" w:themeColor="text1"/>
          <w:highlight w:val="none"/>
          <w14:textFill>
            <w14:solidFill>
              <w14:schemeClr w14:val="tx1"/>
            </w14:solidFill>
          </w14:textFill>
        </w:rPr>
        <w:t>，总体上符合环保要求</w:t>
      </w:r>
      <w:r>
        <w:rPr>
          <w:bCs/>
          <w:color w:val="000000" w:themeColor="text1"/>
          <w:highlight w:val="none"/>
          <w14:textFill>
            <w14:solidFill>
              <w14:schemeClr w14:val="tx1"/>
            </w14:solidFill>
          </w14:textFill>
        </w:rPr>
        <w:t>。</w:t>
      </w:r>
    </w:p>
    <w:p>
      <w:pPr>
        <w:pStyle w:val="4"/>
        <w:spacing w:before="120"/>
        <w:rPr>
          <w:color w:val="000000" w:themeColor="text1"/>
          <w:highlight w:val="none"/>
          <w:lang w:eastAsia="zh-CN"/>
          <w14:textFill>
            <w14:solidFill>
              <w14:schemeClr w14:val="tx1"/>
            </w14:solidFill>
          </w14:textFill>
        </w:rPr>
      </w:pPr>
      <w:bookmarkStart w:id="482" w:name="_bookmark52"/>
      <w:bookmarkEnd w:id="482"/>
      <w:bookmarkStart w:id="483" w:name="10.4环境影响评价结论"/>
      <w:bookmarkEnd w:id="483"/>
      <w:bookmarkStart w:id="484" w:name="_Toc29840"/>
      <w:r>
        <w:rPr>
          <w:color w:val="000000" w:themeColor="text1"/>
          <w:highlight w:val="none"/>
          <w:lang w:eastAsia="zh-CN"/>
          <w14:textFill>
            <w14:solidFill>
              <w14:schemeClr w14:val="tx1"/>
            </w14:solidFill>
          </w14:textFill>
        </w:rPr>
        <w:t>环境影响评价结论</w:t>
      </w:r>
      <w:bookmarkEnd w:id="484"/>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（1）大气环境</w:t>
      </w:r>
    </w:p>
    <w:p>
      <w:pPr>
        <w:ind w:firstLine="480"/>
        <w:rPr>
          <w:color w:val="000000" w:themeColor="text1"/>
          <w:highlight w:val="none"/>
          <w14:textFill>
            <w14:solidFill>
              <w14:schemeClr w14:val="tx1"/>
            </w14:solidFill>
          </w14:textFill>
        </w:rPr>
      </w:pPr>
      <w:r>
        <w:rPr>
          <w:rFonts w:hint="eastAsia"/>
          <w:bCs/>
          <w:color w:val="000000" w:themeColor="text1"/>
          <w:highlight w:val="none"/>
          <w14:textFill>
            <w14:solidFill>
              <w14:schemeClr w14:val="tx1"/>
            </w14:solidFill>
          </w14:textFill>
        </w:rPr>
        <w:t>试采</w:t>
      </w:r>
      <w:r>
        <w:rPr>
          <w:bCs/>
          <w:color w:val="000000" w:themeColor="text1"/>
          <w:highlight w:val="none"/>
          <w14:textFill>
            <w14:solidFill>
              <w14:schemeClr w14:val="tx1"/>
            </w14:solidFill>
          </w14:textFill>
        </w:rPr>
        <w:t>站</w:t>
      </w:r>
      <w:r>
        <w:rPr>
          <w:rFonts w:hint="eastAsia"/>
          <w:bCs/>
          <w:color w:val="000000" w:themeColor="text1"/>
          <w:highlight w:val="none"/>
          <w14:textFill>
            <w14:solidFill>
              <w14:schemeClr w14:val="tx1"/>
            </w14:solidFill>
          </w14:textFill>
        </w:rPr>
        <w:t>和外输管线</w:t>
      </w:r>
      <w:r>
        <w:rPr>
          <w:bCs/>
          <w:color w:val="000000" w:themeColor="text1"/>
          <w:highlight w:val="none"/>
          <w14:textFill>
            <w14:solidFill>
              <w14:schemeClr w14:val="tx1"/>
            </w14:solidFill>
          </w14:textFill>
        </w:rPr>
        <w:t>施工涉及少量运输车辆行驶产生的扬尘（粉尘）及施工机械、运输车辆排放的尾气。针对施工扬尘，项目工程施工作业时，设置围栏或部分围栏、洒水抑尘等措施，降低扬尘的产生量，从而从源头上降低施工扬尘对环境空气质量和敏感点的影响。在加强洒水防尘作业后，项目站场</w:t>
      </w:r>
      <w:r>
        <w:rPr>
          <w:rFonts w:hint="eastAsia"/>
          <w:bCs/>
          <w:color w:val="000000" w:themeColor="text1"/>
          <w:highlight w:val="none"/>
          <w14:textFill>
            <w14:solidFill>
              <w14:schemeClr w14:val="tx1"/>
            </w14:solidFill>
          </w14:textFill>
        </w:rPr>
        <w:t>和管线</w:t>
      </w:r>
      <w:r>
        <w:rPr>
          <w:bCs/>
          <w:color w:val="000000" w:themeColor="text1"/>
          <w:highlight w:val="none"/>
          <w14:textFill>
            <w14:solidFill>
              <w14:schemeClr w14:val="tx1"/>
            </w14:solidFill>
          </w14:textFill>
        </w:rPr>
        <w:t>施工对环境的影响是局部的，并随着施工的结束而结束。施工机械、运输车辆排放的尾气中污染物主要为NO</w:t>
      </w:r>
      <w:r>
        <w:rPr>
          <w:bCs/>
          <w:color w:val="000000" w:themeColor="text1"/>
          <w:highlight w:val="none"/>
          <w:vertAlign w:val="subscript"/>
          <w14:textFill>
            <w14:solidFill>
              <w14:schemeClr w14:val="tx1"/>
            </w14:solidFill>
          </w14:textFill>
        </w:rPr>
        <w:t>X</w:t>
      </w:r>
      <w:r>
        <w:rPr>
          <w:bCs/>
          <w:color w:val="000000" w:themeColor="text1"/>
          <w:highlight w:val="none"/>
          <w14:textFill>
            <w14:solidFill>
              <w14:schemeClr w14:val="tx1"/>
            </w14:solidFill>
          </w14:textFill>
        </w:rPr>
        <w:t>、烟尘及少量CO等，施工机械使用合格燃油、加强设备保养、运输车辆控制车速等，最终产生的废气量较小。这些污染物将对环境空气造成一定程度的污染，但这种污染是短期的，工程结束后，将不复存在，对大气环境影响小</w:t>
      </w:r>
      <w:r>
        <w:rPr>
          <w:color w:val="000000" w:themeColor="text1"/>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（2）地表水</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施工期</w:t>
      </w:r>
      <w:r>
        <w:rPr>
          <w:color w:val="000000" w:themeColor="text1"/>
          <w:szCs w:val="24"/>
          <w:highlight w:val="none"/>
          <w14:textFill>
            <w14:solidFill>
              <w14:schemeClr w14:val="tx1"/>
            </w14:solidFill>
          </w14:textFill>
        </w:rPr>
        <w:t>少量生产废水在施工现场设置沉淀池，施工废水经隔油沉淀处理后回用于洒水降尘，不外排</w:t>
      </w:r>
      <w:r>
        <w:rPr>
          <w:color w:val="000000" w:themeColor="text1"/>
          <w:highlight w:val="none"/>
          <w14:textFill>
            <w14:solidFill>
              <w14:schemeClr w14:val="tx1"/>
            </w14:solidFill>
          </w14:textFill>
        </w:rPr>
        <w:t>；天然气试采期间，产生的废水</w:t>
      </w:r>
      <w:r>
        <w:rPr>
          <w:rFonts w:hint="eastAsia"/>
          <w:color w:val="000000" w:themeColor="text1"/>
          <w:highlight w:val="none"/>
          <w14:textFill>
            <w14:solidFill>
              <w14:schemeClr w14:val="tx1"/>
            </w14:solidFill>
          </w14:textFill>
        </w:rPr>
        <w:t>通过密闭罐车拉运至赵家坝污水处理站达到《气田水回注方法》（SY/T 6596-2016）中注入水基本要求后管输至普光3井回注站回注处理，不外排，</w:t>
      </w:r>
      <w:r>
        <w:rPr>
          <w:bCs/>
          <w:color w:val="000000" w:themeColor="text1"/>
          <w:highlight w:val="none"/>
          <w14:textFill>
            <w14:solidFill>
              <w14:schemeClr w14:val="tx1"/>
            </w14:solidFill>
          </w14:textFill>
        </w:rPr>
        <w:t>生活污水经生态厕所收集后定期由密闭罐车拉运至周边生活污水处理厂处理</w:t>
      </w:r>
      <w:r>
        <w:rPr>
          <w:color w:val="000000" w:themeColor="text1"/>
          <w:highlight w:val="none"/>
          <w14:textFill>
            <w14:solidFill>
              <w14:schemeClr w14:val="tx1"/>
            </w14:solidFill>
          </w14:textFill>
        </w:rPr>
        <w:t>。对区域地表水环境影响甚微。</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（3）声环境</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施工</w:t>
      </w:r>
      <w:r>
        <w:rPr>
          <w:color w:val="000000" w:themeColor="text1"/>
          <w:highlight w:val="none"/>
          <w14:textFill>
            <w14:solidFill>
              <w14:schemeClr w14:val="tx1"/>
            </w14:solidFill>
          </w14:textFill>
        </w:rPr>
        <w:t>期间噪声对周围环境的影响为短暂影响，采用</w:t>
      </w:r>
      <w:r>
        <w:rPr>
          <w:rFonts w:hint="eastAsia"/>
          <w:bCs/>
          <w:color w:val="000000" w:themeColor="text1"/>
          <w:szCs w:val="24"/>
          <w:highlight w:val="none"/>
          <w14:textFill>
            <w14:solidFill>
              <w14:schemeClr w14:val="tx1"/>
            </w14:solidFill>
          </w14:textFill>
        </w:rPr>
        <w:t>合理布设施工场地，合理安排作业时间</w:t>
      </w:r>
      <w:r>
        <w:rPr>
          <w:color w:val="000000" w:themeColor="text1"/>
          <w:highlight w:val="none"/>
          <w14:textFill>
            <w14:solidFill>
              <w14:schemeClr w14:val="tx1"/>
            </w14:solidFill>
          </w14:textFill>
        </w:rPr>
        <w:t>，</w:t>
      </w:r>
      <w:r>
        <w:rPr>
          <w:rFonts w:hint="eastAsia"/>
          <w:bCs/>
          <w:color w:val="000000" w:themeColor="text1"/>
          <w:szCs w:val="24"/>
          <w:highlight w:val="none"/>
          <w14:textFill>
            <w14:solidFill>
              <w14:schemeClr w14:val="tx1"/>
            </w14:solidFill>
          </w14:textFill>
        </w:rPr>
        <w:t>对钢管、模板等构件装卸、搬运应该轻拿轻放，严禁抛掷等措施减小施工噪声，</w:t>
      </w:r>
      <w:r>
        <w:rPr>
          <w:color w:val="000000" w:themeColor="text1"/>
          <w:highlight w:val="none"/>
          <w14:textFill>
            <w14:solidFill>
              <w14:schemeClr w14:val="tx1"/>
            </w14:solidFill>
          </w14:textFill>
        </w:rPr>
        <w:t>随着工程的完工，噪声影响消失</w:t>
      </w:r>
      <w:r>
        <w:rPr>
          <w:color w:val="000000" w:themeColor="text1"/>
          <w:szCs w:val="24"/>
          <w:highlight w:val="none"/>
          <w14:textFill>
            <w14:solidFill>
              <w14:schemeClr w14:val="tx1"/>
            </w14:solidFill>
          </w14:textFill>
        </w:rPr>
        <w:t>，对环境影响小</w:t>
      </w:r>
      <w:r>
        <w:rPr>
          <w:color w:val="000000" w:themeColor="text1"/>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天然气试采期间，厂界噪声能实现达标排放，周边声环境敏感点噪声能达到《声环境质量标准》（GB3096-2008）中2类标准要求，不会噪声扰民。</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（4）固体废物</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项目产生表土用于后期生态恢复，综合利用</w:t>
      </w:r>
      <w:r>
        <w:rPr>
          <w:rFonts w:hint="eastAsia"/>
          <w:color w:val="000000" w:themeColor="text1"/>
          <w:highlight w:val="none"/>
          <w14:textFill>
            <w14:solidFill>
              <w14:schemeClr w14:val="tx1"/>
            </w14:solidFill>
          </w14:textFill>
        </w:rPr>
        <w:t>，管道工程挖方用于管沟和鱼塘回填</w:t>
      </w:r>
      <w:r>
        <w:rPr>
          <w:color w:val="000000" w:themeColor="text1"/>
          <w:highlight w:val="none"/>
          <w14:textFill>
            <w14:solidFill>
              <w14:schemeClr w14:val="tx1"/>
            </w14:solidFill>
          </w14:textFill>
        </w:rPr>
        <w:t>，做到土石方平衡；生活垃圾交由环卫部门处理。各类固体废物经分类收集，严格做好固体废物的暂存管理，并采取有效的处置措施，使固体废物均得以妥善处置，对环境不会造成污染影响。</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（5）土壤</w:t>
      </w:r>
      <w:r>
        <w:rPr>
          <w:rFonts w:hint="eastAsia"/>
          <w:color w:val="000000" w:themeColor="text1"/>
          <w:highlight w:val="none"/>
          <w14:textFill>
            <w14:solidFill>
              <w14:schemeClr w14:val="tx1"/>
            </w14:solidFill>
          </w14:textFill>
        </w:rPr>
        <w:t>及</w:t>
      </w:r>
      <w:r>
        <w:rPr>
          <w:color w:val="000000" w:themeColor="text1"/>
          <w:highlight w:val="none"/>
          <w14:textFill>
            <w14:solidFill>
              <w14:schemeClr w14:val="tx1"/>
            </w14:solidFill>
          </w14:textFill>
        </w:rPr>
        <w:t>地下水</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w:t>
      </w:r>
      <w:r>
        <w:rPr>
          <w:rFonts w:hint="eastAsia"/>
          <w:color w:val="000000" w:themeColor="text1"/>
          <w:highlight w:val="none"/>
          <w14:textFill>
            <w14:solidFill>
              <w14:schemeClr w14:val="tx1"/>
            </w14:solidFill>
          </w14:textFill>
        </w:rPr>
        <w:t>试采站</w:t>
      </w:r>
      <w:r>
        <w:rPr>
          <w:color w:val="000000" w:themeColor="text1"/>
          <w:highlight w:val="none"/>
          <w14:textFill>
            <w14:solidFill>
              <w14:schemeClr w14:val="tx1"/>
            </w14:solidFill>
          </w14:textFill>
        </w:rPr>
        <w:t>采取分区防渗和加强污染监控后，</w:t>
      </w:r>
      <w:r>
        <w:rPr>
          <w:rFonts w:hint="eastAsia"/>
          <w:color w:val="000000" w:themeColor="text1"/>
          <w:highlight w:val="none"/>
          <w14:textFill>
            <w14:solidFill>
              <w14:schemeClr w14:val="tx1"/>
            </w14:solidFill>
          </w14:textFill>
        </w:rPr>
        <w:t>试采</w:t>
      </w:r>
      <w:r>
        <w:rPr>
          <w:color w:val="000000" w:themeColor="text1"/>
          <w:highlight w:val="none"/>
          <w14:textFill>
            <w14:solidFill>
              <w14:schemeClr w14:val="tx1"/>
            </w14:solidFill>
          </w14:textFill>
        </w:rPr>
        <w:t>期间发生污染地下水的可能性较小。若</w:t>
      </w:r>
      <w:r>
        <w:rPr>
          <w:rFonts w:hint="eastAsia"/>
          <w:color w:val="000000" w:themeColor="text1"/>
          <w:highlight w:val="none"/>
          <w14:textFill>
            <w14:solidFill>
              <w14:schemeClr w14:val="tx1"/>
            </w14:solidFill>
          </w14:textFill>
        </w:rPr>
        <w:t>试采</w:t>
      </w:r>
      <w:r>
        <w:rPr>
          <w:color w:val="000000" w:themeColor="text1"/>
          <w:highlight w:val="none"/>
          <w14:textFill>
            <w14:solidFill>
              <w14:schemeClr w14:val="tx1"/>
            </w14:solidFill>
          </w14:textFill>
        </w:rPr>
        <w:t>过程中出现废水外溢等事件，将造成</w:t>
      </w:r>
      <w:r>
        <w:rPr>
          <w:rFonts w:hint="eastAsia"/>
          <w:color w:val="000000" w:themeColor="text1"/>
          <w:highlight w:val="none"/>
          <w14:textFill>
            <w14:solidFill>
              <w14:schemeClr w14:val="tx1"/>
            </w14:solidFill>
          </w14:textFill>
        </w:rPr>
        <w:t>试采站</w:t>
      </w:r>
      <w:r>
        <w:rPr>
          <w:color w:val="000000" w:themeColor="text1"/>
          <w:highlight w:val="none"/>
          <w14:textFill>
            <w14:solidFill>
              <w14:schemeClr w14:val="tx1"/>
            </w14:solidFill>
          </w14:textFill>
        </w:rPr>
        <w:t>周围小范围内的地下</w:t>
      </w:r>
      <w:r>
        <w:rPr>
          <w:bCs/>
          <w:color w:val="000000" w:themeColor="text1"/>
          <w:highlight w:val="none"/>
          <w14:textFill>
            <w14:solidFill>
              <w14:schemeClr w14:val="tx1"/>
            </w14:solidFill>
          </w14:textFill>
        </w:rPr>
        <w:t>耗氧量</w:t>
      </w:r>
      <w:r>
        <w:rPr>
          <w:color w:val="000000" w:themeColor="text1"/>
          <w:highlight w:val="none"/>
          <w14:textFill>
            <w14:solidFill>
              <w14:schemeClr w14:val="tx1"/>
            </w14:solidFill>
          </w14:textFill>
        </w:rPr>
        <w:t>、石油类超标，该范围以外的地区，地下水质量维持现状，对周边散居农户水井的影响较小。</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t>）生态环境</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本项目临时占地在施工结束后进行恢复种植，后期</w:t>
      </w:r>
      <w:r>
        <w:rPr>
          <w:rFonts w:hint="eastAsia"/>
          <w:color w:val="000000" w:themeColor="text1"/>
          <w:highlight w:val="none"/>
          <w14:textFill>
            <w14:solidFill>
              <w14:schemeClr w14:val="tx1"/>
            </w14:solidFill>
          </w14:textFill>
        </w:rPr>
        <w:t>将</w:t>
      </w:r>
      <w:r>
        <w:rPr>
          <w:color w:val="000000" w:themeColor="text1"/>
          <w:highlight w:val="none"/>
          <w14:textFill>
            <w14:solidFill>
              <w14:schemeClr w14:val="tx1"/>
            </w14:solidFill>
          </w14:textFill>
        </w:rPr>
        <w:t>进行植被修复，恢复当地生态，有效削弱了对生态环境的影响。</w:t>
      </w:r>
    </w:p>
    <w:p>
      <w:pPr>
        <w:pStyle w:val="4"/>
        <w:spacing w:before="120"/>
        <w:rPr>
          <w:color w:val="000000" w:themeColor="text1"/>
          <w:highlight w:val="none"/>
          <w:lang w:eastAsia="zh-CN"/>
          <w14:textFill>
            <w14:solidFill>
              <w14:schemeClr w14:val="tx1"/>
            </w14:solidFill>
          </w14:textFill>
        </w:rPr>
      </w:pPr>
      <w:bookmarkStart w:id="485" w:name="10.5环境风险分析"/>
      <w:bookmarkEnd w:id="485"/>
      <w:bookmarkStart w:id="486" w:name="_bookmark53"/>
      <w:bookmarkEnd w:id="486"/>
      <w:bookmarkStart w:id="487" w:name="_Toc12715"/>
      <w:r>
        <w:rPr>
          <w:color w:val="000000" w:themeColor="text1"/>
          <w:highlight w:val="none"/>
          <w:lang w:eastAsia="zh-CN"/>
          <w14:textFill>
            <w14:solidFill>
              <w14:schemeClr w14:val="tx1"/>
            </w14:solidFill>
          </w14:textFill>
        </w:rPr>
        <w:t>环境风险分析</w:t>
      </w:r>
      <w:bookmarkEnd w:id="487"/>
    </w:p>
    <w:p>
      <w:pPr>
        <w:ind w:firstLine="480"/>
        <w:rPr>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工程天然气试采期间存在一定的环境风险，可能对地表水、地下水、生态环境、周围居民人身安全等造成影响。项目通过采取有效的风险防范措施，其发生事故的概率极低；通过建立突发事故应急预案后，事故对环境的影响能降至最低限度。环境风险属可接受水平，项目建设可行</w:t>
      </w:r>
      <w:r>
        <w:rPr>
          <w:bCs/>
          <w:color w:val="000000" w:themeColor="text1"/>
          <w:highlight w:val="none"/>
          <w14:textFill>
            <w14:solidFill>
              <w14:schemeClr w14:val="tx1"/>
            </w14:solidFill>
          </w14:textFill>
        </w:rPr>
        <w:t>。</w:t>
      </w:r>
    </w:p>
    <w:p>
      <w:pPr>
        <w:pStyle w:val="4"/>
        <w:spacing w:before="120"/>
        <w:rPr>
          <w:color w:val="000000" w:themeColor="text1"/>
          <w:highlight w:val="none"/>
          <w:lang w:eastAsia="zh-CN"/>
          <w14:textFill>
            <w14:solidFill>
              <w14:schemeClr w14:val="tx1"/>
            </w14:solidFill>
          </w14:textFill>
        </w:rPr>
      </w:pPr>
      <w:bookmarkStart w:id="488" w:name="_bookmark54"/>
      <w:bookmarkEnd w:id="488"/>
      <w:bookmarkStart w:id="489" w:name="10.6总量控制"/>
      <w:bookmarkEnd w:id="489"/>
      <w:bookmarkStart w:id="490" w:name="_Toc598"/>
      <w:r>
        <w:rPr>
          <w:color w:val="000000" w:themeColor="text1"/>
          <w:highlight w:val="none"/>
          <w:lang w:eastAsia="zh-CN"/>
          <w14:textFill>
            <w14:solidFill>
              <w14:schemeClr w14:val="tx1"/>
            </w14:solidFill>
          </w14:textFill>
        </w:rPr>
        <w:t>清洁生产和总量控制</w:t>
      </w:r>
      <w:bookmarkEnd w:id="490"/>
    </w:p>
    <w:p>
      <w:pPr>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本项目在原辅材料及资源能源的利用、生产工艺和设备、清洁生产措施、清洁生产技术指标、环境管理等方面基本达到清洁生产国内先进水平。</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由于本项目实行排污许可登记管理，施工期时间短且采用网电，</w:t>
      </w:r>
      <w:r>
        <w:rPr>
          <w:rFonts w:hint="eastAsia"/>
          <w:bCs/>
          <w:color w:val="000000" w:themeColor="text1"/>
          <w:highlight w:val="none"/>
          <w14:textFill>
            <w14:solidFill>
              <w14:schemeClr w14:val="tx1"/>
            </w14:solidFill>
          </w14:textFill>
        </w:rPr>
        <w:t>试</w:t>
      </w:r>
      <w:r>
        <w:rPr>
          <w:bCs/>
          <w:color w:val="000000" w:themeColor="text1"/>
          <w:highlight w:val="none"/>
          <w14:textFill>
            <w14:solidFill>
              <w14:schemeClr w14:val="tx1"/>
            </w14:solidFill>
          </w14:textFill>
        </w:rPr>
        <w:t>采期</w:t>
      </w:r>
      <w:r>
        <w:rPr>
          <w:rFonts w:hint="eastAsia"/>
          <w:bCs/>
          <w:color w:val="000000" w:themeColor="text1"/>
          <w:highlight w:val="none"/>
          <w14:textFill>
            <w14:solidFill>
              <w14:schemeClr w14:val="tx1"/>
            </w14:solidFill>
          </w14:textFill>
        </w:rPr>
        <w:t>水套炉燃烧</w:t>
      </w:r>
      <w:r>
        <w:rPr>
          <w:bCs/>
          <w:color w:val="000000" w:themeColor="text1"/>
          <w:highlight w:val="none"/>
          <w14:textFill>
            <w14:solidFill>
              <w14:schemeClr w14:val="tx1"/>
            </w14:solidFill>
          </w14:textFill>
        </w:rPr>
        <w:t>废气能做到达标排放，废水依托污水处理站或回注站回注，</w:t>
      </w:r>
      <w:r>
        <w:rPr>
          <w:rFonts w:hint="eastAsia"/>
          <w:bCs/>
          <w:color w:val="000000" w:themeColor="text1"/>
          <w:highlight w:val="none"/>
          <w14:textFill>
            <w14:solidFill>
              <w14:schemeClr w14:val="tx1"/>
            </w14:solidFill>
          </w14:textFill>
        </w:rPr>
        <w:t>试采</w:t>
      </w:r>
      <w:r>
        <w:rPr>
          <w:bCs/>
          <w:color w:val="000000" w:themeColor="text1"/>
          <w:highlight w:val="none"/>
          <w14:textFill>
            <w14:solidFill>
              <w14:schemeClr w14:val="tx1"/>
            </w14:solidFill>
          </w14:textFill>
        </w:rPr>
        <w:t>期间无其他常年稳定连续的污染物排放源，在满足</w:t>
      </w:r>
      <w:r>
        <w:rPr>
          <w:color w:val="000000" w:themeColor="text1"/>
          <w:highlight w:val="none"/>
          <w14:textFill>
            <w14:solidFill>
              <w14:schemeClr w14:val="tx1"/>
            </w14:solidFill>
          </w14:textFill>
        </w:rPr>
        <w:t>达标排放和环境功能区划达标的前提下，建议不核定总量指标</w:t>
      </w:r>
      <w:r>
        <w:rPr>
          <w:bCs/>
          <w:color w:val="000000" w:themeColor="text1"/>
          <w:highlight w:val="none"/>
          <w14:textFill>
            <w14:solidFill>
              <w14:schemeClr w14:val="tx1"/>
            </w14:solidFill>
          </w14:textFill>
        </w:rPr>
        <w:t>。</w:t>
      </w:r>
    </w:p>
    <w:p>
      <w:pPr>
        <w:pStyle w:val="4"/>
        <w:spacing w:before="120"/>
        <w:rPr>
          <w:color w:val="000000" w:themeColor="text1"/>
          <w:highlight w:val="none"/>
          <w:lang w:eastAsia="zh-CN"/>
          <w14:textFill>
            <w14:solidFill>
              <w14:schemeClr w14:val="tx1"/>
            </w14:solidFill>
          </w14:textFill>
        </w:rPr>
      </w:pPr>
      <w:bookmarkStart w:id="491" w:name="10.7公众参与调查结论"/>
      <w:bookmarkEnd w:id="491"/>
      <w:bookmarkStart w:id="492" w:name="_bookmark55"/>
      <w:bookmarkEnd w:id="492"/>
      <w:bookmarkStart w:id="493" w:name="_Toc18704"/>
      <w:r>
        <w:rPr>
          <w:color w:val="000000" w:themeColor="text1"/>
          <w:highlight w:val="none"/>
          <w:lang w:eastAsia="zh-CN"/>
          <w14:textFill>
            <w14:solidFill>
              <w14:schemeClr w14:val="tx1"/>
            </w14:solidFill>
          </w14:textFill>
        </w:rPr>
        <w:t>环境经济损益分析</w:t>
      </w:r>
      <w:bookmarkEnd w:id="493"/>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的建设具有较好的社会-经济-环境综合效益，只要该项目在各个实施阶段过程中积极做好污染治理、环境保护和安检措施等工作，基本上可以满足当地环境容量要求和环保管理需求，达到可持续发展目标。项目的建成，必将产生显著的经济效益、社会效益和环境效益。</w:t>
      </w:r>
    </w:p>
    <w:p>
      <w:pPr>
        <w:pStyle w:val="4"/>
        <w:spacing w:before="120"/>
        <w:rPr>
          <w:color w:val="000000" w:themeColor="text1"/>
          <w:highlight w:val="none"/>
          <w:lang w:eastAsia="zh-CN"/>
          <w14:textFill>
            <w14:solidFill>
              <w14:schemeClr w14:val="tx1"/>
            </w14:solidFill>
          </w14:textFill>
        </w:rPr>
      </w:pPr>
      <w:bookmarkStart w:id="494" w:name="_Toc6307"/>
      <w:r>
        <w:rPr>
          <w:color w:val="000000" w:themeColor="text1"/>
          <w:highlight w:val="none"/>
          <w:lang w:eastAsia="zh-CN"/>
          <w14:textFill>
            <w14:solidFill>
              <w14:schemeClr w14:val="tx1"/>
            </w14:solidFill>
          </w14:textFill>
        </w:rPr>
        <w:t>公众参与调查结论</w:t>
      </w:r>
      <w:bookmarkEnd w:id="494"/>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建设单位开展的本项目环评公众参与资料，本项目按照《环境影响评价公众参与办法》有关要求开展了3次信息公示，采取了网络、报纸、张贴公告相结合的公开方式，公示期间未收到任何公众提交的公众意见</w:t>
      </w:r>
      <w:r>
        <w:rPr>
          <w:color w:val="000000" w:themeColor="text1"/>
          <w:highlight w:val="none"/>
          <w14:textFill>
            <w14:solidFill>
              <w14:schemeClr w14:val="tx1"/>
            </w14:solidFill>
          </w14:textFill>
        </w:rPr>
        <w:t>。</w:t>
      </w:r>
    </w:p>
    <w:p>
      <w:pPr>
        <w:pStyle w:val="4"/>
        <w:spacing w:before="120"/>
        <w:rPr>
          <w:color w:val="000000" w:themeColor="text1"/>
          <w:highlight w:val="none"/>
          <w:lang w:eastAsia="zh-CN"/>
          <w14:textFill>
            <w14:solidFill>
              <w14:schemeClr w14:val="tx1"/>
            </w14:solidFill>
          </w14:textFill>
        </w:rPr>
      </w:pPr>
      <w:bookmarkStart w:id="495" w:name="10.8环境经济损益分析"/>
      <w:bookmarkEnd w:id="495"/>
      <w:bookmarkStart w:id="496" w:name="10.11评价总结论"/>
      <w:bookmarkEnd w:id="496"/>
      <w:bookmarkStart w:id="497" w:name="10.9环境管理与监测计划"/>
      <w:bookmarkEnd w:id="497"/>
      <w:bookmarkStart w:id="498" w:name="_bookmark57"/>
      <w:bookmarkEnd w:id="498"/>
      <w:bookmarkStart w:id="499" w:name="_bookmark56"/>
      <w:bookmarkEnd w:id="499"/>
      <w:bookmarkStart w:id="500" w:name="_bookmark59"/>
      <w:bookmarkEnd w:id="500"/>
      <w:bookmarkStart w:id="501" w:name="_Toc5337"/>
      <w:r>
        <w:rPr>
          <w:color w:val="000000" w:themeColor="text1"/>
          <w:highlight w:val="none"/>
          <w:lang w:eastAsia="zh-CN"/>
          <w14:textFill>
            <w14:solidFill>
              <w14:schemeClr w14:val="tx1"/>
            </w14:solidFill>
          </w14:textFill>
        </w:rPr>
        <w:t>评价总结论</w:t>
      </w:r>
      <w:bookmarkEnd w:id="501"/>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该项目的建设符合国家、行业颁布的相关产业政策、法规、规范，项目的建设对增加清洁能源天然气供应量，探明地区天然气储存情况，促进区域社会、经济发展，调整改善区域的环境质量有积极意义，项目建设是必要的。</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评价区域环境空气质量、声环境质量、地下水质量现状总体较好；项目建设期间产生的污染物均做到达标排放或妥善处置，对生态环境、地表水、地下水、大气环境影响小</w:t>
      </w:r>
      <w:r>
        <w:rPr>
          <w:rFonts w:hint="eastAsia" w:cs="Times New Roman"/>
          <w:bCs/>
          <w:color w:val="000000" w:themeColor="text1"/>
          <w:szCs w:val="24"/>
          <w:highlight w:val="none"/>
          <w14:textFill>
            <w14:solidFill>
              <w14:schemeClr w14:val="tx1"/>
            </w14:solidFill>
          </w14:textFill>
        </w:rPr>
        <w:t>，对</w:t>
      </w:r>
      <w:r>
        <w:rPr>
          <w:rFonts w:cs="Times New Roman"/>
          <w:bCs/>
          <w:color w:val="000000" w:themeColor="text1"/>
          <w:szCs w:val="24"/>
          <w:highlight w:val="none"/>
          <w14:textFill>
            <w14:solidFill>
              <w14:schemeClr w14:val="tx1"/>
            </w14:solidFill>
          </w14:textFill>
        </w:rPr>
        <w:t>声环境影响产生短期影响，不改变区域的环境功能；该项目符合清洁生产要求，采用的环保措施可行，社会、经济效益十分显著；建设项目环境可行，选址</w:t>
      </w:r>
      <w:r>
        <w:rPr>
          <w:rFonts w:hint="eastAsia" w:cs="Times New Roman"/>
          <w:bCs/>
          <w:color w:val="000000" w:themeColor="text1"/>
          <w:szCs w:val="24"/>
          <w:highlight w:val="none"/>
          <w14:textFill>
            <w14:solidFill>
              <w14:schemeClr w14:val="tx1"/>
            </w14:solidFill>
          </w14:textFill>
        </w:rPr>
        <w:t>、选线</w:t>
      </w:r>
      <w:r>
        <w:rPr>
          <w:rFonts w:cs="Times New Roman"/>
          <w:bCs/>
          <w:color w:val="000000" w:themeColor="text1"/>
          <w:szCs w:val="24"/>
          <w:highlight w:val="none"/>
          <w14:textFill>
            <w14:solidFill>
              <w14:schemeClr w14:val="tx1"/>
            </w14:solidFill>
          </w14:textFill>
        </w:rPr>
        <w:t>合理。本项目事故</w:t>
      </w:r>
      <w:r>
        <w:rPr>
          <w:rFonts w:hint="eastAsia" w:cs="Times New Roman"/>
          <w:bCs/>
          <w:color w:val="000000" w:themeColor="text1"/>
          <w:szCs w:val="24"/>
          <w:highlight w:val="none"/>
          <w14:textFill>
            <w14:solidFill>
              <w14:schemeClr w14:val="tx1"/>
            </w14:solidFill>
          </w14:textFill>
        </w:rPr>
        <w:t>工况下</w:t>
      </w:r>
      <w:r>
        <w:rPr>
          <w:rFonts w:cs="Times New Roman"/>
          <w:bCs/>
          <w:color w:val="000000" w:themeColor="text1"/>
          <w:szCs w:val="24"/>
          <w:highlight w:val="none"/>
          <w14:textFill>
            <w14:solidFill>
              <w14:schemeClr w14:val="tx1"/>
            </w14:solidFill>
          </w14:textFill>
        </w:rPr>
        <w:t>天然气</w:t>
      </w:r>
      <w:r>
        <w:rPr>
          <w:rFonts w:hint="eastAsia" w:cs="Times New Roman"/>
          <w:bCs/>
          <w:color w:val="000000" w:themeColor="text1"/>
          <w:szCs w:val="24"/>
          <w:highlight w:val="none"/>
          <w14:textFill>
            <w14:solidFill>
              <w14:schemeClr w14:val="tx1"/>
            </w14:solidFill>
          </w14:textFill>
        </w:rPr>
        <w:t>泄漏</w:t>
      </w:r>
      <w:r>
        <w:rPr>
          <w:rFonts w:cs="Times New Roman"/>
          <w:bCs/>
          <w:color w:val="000000" w:themeColor="text1"/>
          <w:szCs w:val="24"/>
          <w:highlight w:val="none"/>
          <w14:textFill>
            <w14:solidFill>
              <w14:schemeClr w14:val="tx1"/>
            </w14:solidFill>
          </w14:textFill>
        </w:rPr>
        <w:t>事故对环境的影响较小，且事故</w:t>
      </w:r>
      <w:r>
        <w:rPr>
          <w:rFonts w:hint="eastAsia" w:cs="Times New Roman"/>
          <w:bCs/>
          <w:color w:val="000000" w:themeColor="text1"/>
          <w:szCs w:val="24"/>
          <w:highlight w:val="none"/>
          <w14:textFill>
            <w14:solidFill>
              <w14:schemeClr w14:val="tx1"/>
            </w14:solidFill>
          </w14:textFill>
        </w:rPr>
        <w:t>发生概率</w:t>
      </w:r>
      <w:r>
        <w:rPr>
          <w:rFonts w:cs="Times New Roman"/>
          <w:bCs/>
          <w:color w:val="000000" w:themeColor="text1"/>
          <w:szCs w:val="24"/>
          <w:highlight w:val="none"/>
          <w14:textFill>
            <w14:solidFill>
              <w14:schemeClr w14:val="tx1"/>
            </w14:solidFill>
          </w14:textFill>
        </w:rPr>
        <w:t>低，通过严格按行业规范和环评要求完善事故防范措施和制定较详尽有效的事故应急方案，环境风险值会大大</w:t>
      </w:r>
      <w:r>
        <w:rPr>
          <w:rFonts w:hint="eastAsia" w:cs="Times New Roman"/>
          <w:bCs/>
          <w:color w:val="000000" w:themeColor="text1"/>
          <w:szCs w:val="24"/>
          <w:highlight w:val="none"/>
          <w14:textFill>
            <w14:solidFill>
              <w14:schemeClr w14:val="tx1"/>
            </w14:solidFill>
          </w14:textFill>
        </w:rPr>
        <w:t>地</w:t>
      </w:r>
      <w:r>
        <w:rPr>
          <w:rFonts w:cs="Times New Roman"/>
          <w:bCs/>
          <w:color w:val="000000" w:themeColor="text1"/>
          <w:szCs w:val="24"/>
          <w:highlight w:val="none"/>
          <w14:textFill>
            <w14:solidFill>
              <w14:schemeClr w14:val="tx1"/>
            </w14:solidFill>
          </w14:textFill>
        </w:rPr>
        <w:t>降低，环境风险可接受。</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综上所述，在严格落实本评价提出的各项环保措施和环境风险防范以及应急措施后，从环境保护角度分析，本项目的建设是可行的。</w:t>
      </w:r>
    </w:p>
    <w:p>
      <w:pPr>
        <w:pStyle w:val="4"/>
        <w:spacing w:before="120"/>
        <w:rPr>
          <w:color w:val="000000" w:themeColor="text1"/>
          <w:highlight w:val="none"/>
          <w:lang w:eastAsia="zh-CN"/>
          <w14:textFill>
            <w14:solidFill>
              <w14:schemeClr w14:val="tx1"/>
            </w14:solidFill>
          </w14:textFill>
        </w:rPr>
      </w:pPr>
      <w:bookmarkStart w:id="502" w:name="_bookmark60"/>
      <w:bookmarkEnd w:id="502"/>
      <w:bookmarkStart w:id="503" w:name="10.12建议"/>
      <w:bookmarkEnd w:id="503"/>
      <w:bookmarkStart w:id="504" w:name="_Toc7380"/>
      <w:r>
        <w:rPr>
          <w:color w:val="000000" w:themeColor="text1"/>
          <w:highlight w:val="none"/>
          <w:lang w:eastAsia="zh-CN"/>
          <w14:textFill>
            <w14:solidFill>
              <w14:schemeClr w14:val="tx1"/>
            </w14:solidFill>
          </w14:textFill>
        </w:rPr>
        <w:t>建议</w:t>
      </w:r>
      <w:bookmarkEnd w:id="504"/>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（1）建设单位在工程实施期间，应加强对各项环保措施的建设、</w:t>
      </w:r>
      <w:r>
        <w:rPr>
          <w:rFonts w:hint="eastAsia"/>
          <w:color w:val="000000" w:themeColor="text1"/>
          <w:highlight w:val="none"/>
          <w14:textFill>
            <w14:solidFill>
              <w14:schemeClr w14:val="tx1"/>
            </w14:solidFill>
          </w14:textFill>
        </w:rPr>
        <w:t>运行的</w:t>
      </w:r>
      <w:r>
        <w:rPr>
          <w:color w:val="000000" w:themeColor="text1"/>
          <w:highlight w:val="none"/>
          <w14:textFill>
            <w14:solidFill>
              <w14:schemeClr w14:val="tx1"/>
            </w14:solidFill>
          </w14:textFill>
        </w:rPr>
        <w:t>监理，以确保环保措施的有效性。</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（2）妥善解决好占用土地、作物、植被等所造成的恢复赔偿问题。</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（3）根据项目试采情况，满足验收条件后对项目进行验收，及时完善环保手续。</w:t>
      </w:r>
    </w:p>
    <w:p>
      <w:pPr>
        <w:ind w:firstLine="480"/>
        <w:rPr>
          <w:rFonts w:eastAsiaTheme="minorEastAsia"/>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（4）项目完成后，对周围环境进行跟踪监测。</w:t>
      </w:r>
    </w:p>
    <w:sectPr>
      <w:pgSz w:w="11910" w:h="16840"/>
      <w:pgMar w:top="1440" w:right="1800" w:bottom="1440" w:left="1800" w:header="964" w:footer="964" w:gutter="0"/>
      <w:cols w:space="720" w:num="1"/>
      <w:docGrid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80"/>
    <w:family w:val="swiss"/>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modern"/>
    <w:pitch w:val="default"/>
    <w:sig w:usb0="00000001" w:usb1="080E0000" w:usb2="00000000" w:usb3="00000000" w:csb0="00040000" w:csb1="00000000"/>
  </w:font>
  <w:font w:name="等线">
    <w:altName w:val="Arial Unicode MS"/>
    <w:panose1 w:val="02010600030101010101"/>
    <w:charset w:val="86"/>
    <w:family w:val="auto"/>
    <w:pitch w:val="default"/>
    <w:sig w:usb0="00000000" w:usb1="00000000" w:usb2="00000016" w:usb3="00000000" w:csb0="0004000F" w:csb1="00000000"/>
  </w:font>
  <w:font w:name="Times">
    <w:altName w:val="Times New Roman"/>
    <w:panose1 w:val="02020603050405020304"/>
    <w:charset w:val="00"/>
    <w:family w:val="roman"/>
    <w:pitch w:val="default"/>
    <w:sig w:usb0="00000000" w:usb1="00000000" w:usb2="00000009" w:usb3="00000000" w:csb0="000001FF" w:csb1="00000000"/>
  </w:font>
  <w:font w:name="Tahoma">
    <w:panose1 w:val="020B0604030504040204"/>
    <w:charset w:val="00"/>
    <w:family w:val="swiss"/>
    <w:pitch w:val="default"/>
    <w:sig w:usb0="E1002EFF" w:usb1="C000605B" w:usb2="00000029" w:usb3="00000000" w:csb0="200101FF" w:csb1="20280000"/>
  </w:font>
  <w:font w:name="Arial Narrow">
    <w:panose1 w:val="020B0606020202030204"/>
    <w:charset w:val="00"/>
    <w:family w:val="swiss"/>
    <w:pitch w:val="default"/>
    <w:sig w:usb0="00000287" w:usb1="00000800" w:usb2="00000000" w:usb3="00000000" w:csb0="2000009F" w:csb1="DFD70000"/>
  </w:font>
  <w:font w:name="楷体">
    <w:panose1 w:val="02010609060101010101"/>
    <w:charset w:val="86"/>
    <w:family w:val="modern"/>
    <w:pitch w:val="default"/>
    <w:sig w:usb0="800002BF" w:usb1="38CF7CFA" w:usb2="00000016" w:usb3="00000000" w:csb0="00040001" w:csb1="00000000"/>
  </w:font>
  <w:font w:name="Century Gothic">
    <w:panose1 w:val="020B0502020202020204"/>
    <w:charset w:val="00"/>
    <w:family w:val="swiss"/>
    <w:pitch w:val="default"/>
    <w:sig w:usb0="00000287" w:usb1="00000000" w:usb2="00000000" w:usb3="00000000" w:csb0="2000009F" w:csb1="DFD70000"/>
  </w:font>
  <w:font w:name="仿宋">
    <w:panose1 w:val="02010609060101010101"/>
    <w:charset w:val="86"/>
    <w:family w:val="modern"/>
    <w:pitch w:val="default"/>
    <w:sig w:usb0="800002BF" w:usb1="38CF7CFA" w:usb2="00000016" w:usb3="00000000" w:csb0="00040001" w:csb1="00000000"/>
  </w:font>
  <w:font w:name="隶书">
    <w:panose1 w:val="02010509060101010101"/>
    <w:charset w:val="86"/>
    <w:family w:val="modern"/>
    <w:pitch w:val="default"/>
    <w:sig w:usb0="00000001" w:usb1="080E0000" w:usb2="00000000" w:usb3="00000000" w:csb0="00040000" w:csb1="00000000"/>
  </w:font>
  <w:font w:name="等线 Light">
    <w:altName w:val="宋体"/>
    <w:panose1 w:val="02010600030101010101"/>
    <w:charset w:val="86"/>
    <w:family w:val="auto"/>
    <w:pitch w:val="default"/>
    <w:sig w:usb0="00000000" w:usb1="00000000" w:usb2="00000016" w:usb3="00000000" w:csb0="0004000F" w:csb1="00000000"/>
  </w:font>
  <w:font w:name="新宋体">
    <w:panose1 w:val="02010609030101010101"/>
    <w:charset w:val="86"/>
    <w:family w:val="modern"/>
    <w:pitch w:val="default"/>
    <w:sig w:usb0="00000003" w:usb1="288F0000" w:usb2="00000006" w:usb3="00000000" w:csb0="00040001" w:csb1="00000000"/>
  </w:font>
  <w:font w:name="Cambria Math">
    <w:panose1 w:val="02040503050406030204"/>
    <w:charset w:val="00"/>
    <w:family w:val="roman"/>
    <w:pitch w:val="default"/>
    <w:sig w:usb0="E00002FF" w:usb1="420024FF" w:usb2="00000000" w:usb3="00000000" w:csb0="2000019F" w:csb1="00000000"/>
  </w:font>
  <w:font w:name="仿宋体">
    <w:altName w:val="宋体"/>
    <w:panose1 w:val="00000000000000000000"/>
    <w:charset w:val="86"/>
    <w:family w:val="roman"/>
    <w:pitch w:val="default"/>
    <w:sig w:usb0="00000000" w:usb1="00000000" w:usb2="00000010" w:usb3="00000000" w:csb0="00040000" w:csb1="00000000"/>
  </w:font>
  <w:font w:name="TTF46827ACtCID">
    <w:altName w:val="Calibri"/>
    <w:panose1 w:val="00000000000000000000"/>
    <w:charset w:val="00"/>
    <w:family w:val="auto"/>
    <w:pitch w:val="default"/>
    <w:sig w:usb0="00000000" w:usb1="00000000" w:usb2="00000000" w:usb3="00000000" w:csb0="00000000" w:csb1="00000000"/>
  </w:font>
  <w:font w:name="等线 Light">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Arial Unicode MS">
    <w:panose1 w:val="020B0604020202020204"/>
    <w:charset w:val="86"/>
    <w:family w:val="auto"/>
    <w:pitch w:val="default"/>
    <w:sig w:usb0="FFFFFFFF" w:usb1="E9FFFFFF" w:usb2="0000003F" w:usb3="00000000" w:csb0="603F01FF" w:csb1="FFFF0000"/>
  </w:font>
  <w:font w:name="等线">
    <w:altName w:val="Arial Unicode MS"/>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560"/>
      <w:rPr>
        <w:rFonts w:asciiTheme="majorHAnsi" w:hAnsiTheme="majorHAnsi" w:eastAsiaTheme="majorEastAsia" w:cstheme="majorBidi"/>
        <w:sz w:val="28"/>
        <w:szCs w:val="28"/>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793433935"/>
    </w:sdtPr>
    <w:sdtEndPr>
      <w:rPr>
        <w:sz w:val="21"/>
        <w:szCs w:val="21"/>
      </w:rPr>
    </w:sdtEndPr>
    <w:sdtContent>
      <w:p>
        <w:pPr>
          <w:ind w:firstLine="480"/>
          <w:jc w:val="center"/>
          <w:rPr>
            <w:sz w:val="21"/>
            <w:szCs w:val="21"/>
          </w:rP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2</w:t>
        </w:r>
        <w:r>
          <w:rPr>
            <w:sz w:val="21"/>
            <w:szCs w:val="21"/>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561171258"/>
    </w:sdtPr>
    <w:sdtEndPr>
      <w:rPr>
        <w:sz w:val="21"/>
        <w:szCs w:val="21"/>
      </w:rPr>
    </w:sdtEndPr>
    <w:sdtContent>
      <w:p>
        <w:pPr>
          <w:ind w:firstLine="480"/>
          <w:jc w:val="center"/>
          <w:rPr>
            <w:sz w:val="21"/>
            <w:szCs w:val="21"/>
          </w:rP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2</w:t>
        </w:r>
        <w:r>
          <w:rPr>
            <w:sz w:val="21"/>
            <w:szCs w:val="21"/>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20"/>
      <w:jc w:val="right"/>
      <w:rPr>
        <w:sz w:val="21"/>
        <w:szCs w:val="21"/>
      </w:rPr>
    </w:pPr>
    <w:r>
      <w:rPr>
        <w:rFonts w:hint="eastAsia"/>
        <w:sz w:val="21"/>
        <w:szCs w:val="21"/>
      </w:rPr>
      <w:t>·</w:t>
    </w:r>
    <w:sdt>
      <w:sdtPr>
        <w:rPr>
          <w:sz w:val="21"/>
          <w:szCs w:val="21"/>
        </w:rPr>
        <w:id w:val="1549178307"/>
      </w:sdtPr>
      <w:sdtEndPr>
        <w:rPr>
          <w:sz w:val="21"/>
          <w:szCs w:val="21"/>
        </w:rPr>
      </w:sdtEndPr>
      <w:sdtContent>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2</w:t>
        </w:r>
        <w:r>
          <w:rPr>
            <w:sz w:val="21"/>
            <w:szCs w:val="21"/>
          </w:rPr>
          <w:fldChar w:fldCharType="end"/>
        </w:r>
      </w:sdtContent>
    </w:sdt>
    <w:r>
      <w:rPr>
        <w:rFonts w:hint="eastAsia"/>
        <w:sz w:val="21"/>
        <w:szCs w:val="21"/>
      </w:rPr>
      <w:t>·</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0" w:firstLineChars="0"/>
      <w:rPr>
        <w:sz w:val="21"/>
        <w:szCs w:val="21"/>
      </w:rPr>
    </w:pPr>
    <w:r>
      <w:rPr>
        <w:rFonts w:hint="eastAsia"/>
        <w:sz w:val="21"/>
        <w:szCs w:val="21"/>
      </w:rPr>
      <w:t>·</w:t>
    </w:r>
    <w:sdt>
      <w:sdtPr>
        <w:rPr>
          <w:sz w:val="21"/>
          <w:szCs w:val="21"/>
        </w:rPr>
        <w:id w:val="1652940242"/>
      </w:sdtPr>
      <w:sdtEndPr>
        <w:rPr>
          <w:sz w:val="21"/>
          <w:szCs w:val="21"/>
        </w:rPr>
      </w:sdtEndPr>
      <w:sdtContent>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2</w:t>
        </w:r>
        <w:r>
          <w:rPr>
            <w:sz w:val="21"/>
            <w:szCs w:val="21"/>
          </w:rPr>
          <w:fldChar w:fldCharType="end"/>
        </w:r>
      </w:sdtContent>
    </w:sdt>
    <w:r>
      <w:rPr>
        <w:rFonts w:hint="eastAsia"/>
        <w:sz w:val="21"/>
        <w:szCs w:val="21"/>
      </w:rPr>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1"/>
      </w:pBdr>
      <w:spacing w:line="240" w:lineRule="auto"/>
      <w:ind w:firstLine="0" w:firstLineChars="0"/>
      <w:jc w:val="center"/>
      <w:rPr>
        <w:sz w:val="21"/>
        <w:szCs w:val="21"/>
      </w:rPr>
    </w:pPr>
    <w:r>
      <w:rPr>
        <w:rFonts w:hint="eastAsia"/>
        <w:sz w:val="21"/>
        <w:szCs w:val="21"/>
      </w:rPr>
      <w:t>雷页1</w:t>
    </w:r>
    <w:r>
      <w:rPr>
        <w:sz w:val="21"/>
        <w:szCs w:val="21"/>
      </w:rPr>
      <w:t>井试采</w:t>
    </w:r>
    <w:r>
      <w:rPr>
        <w:rFonts w:hint="eastAsia"/>
        <w:sz w:val="21"/>
        <w:szCs w:val="21"/>
      </w:rPr>
      <w:t>地面</w:t>
    </w:r>
    <w:r>
      <w:rPr>
        <w:sz w:val="21"/>
        <w:szCs w:val="21"/>
      </w:rPr>
      <w:t>工程环境影响报告书</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1"/>
      </w:pBdr>
      <w:spacing w:line="240" w:lineRule="auto"/>
      <w:ind w:firstLine="0" w:firstLineChars="0"/>
      <w:jc w:val="center"/>
    </w:pPr>
    <w:r>
      <w:rPr>
        <w:rFonts w:hint="eastAsia"/>
      </w:rPr>
      <w:t>目录</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1"/>
      </w:pBdr>
      <w:spacing w:line="240" w:lineRule="auto"/>
      <w:ind w:firstLine="0" w:firstLineChars="0"/>
      <w:jc w:val="center"/>
      <w:rPr>
        <w:sz w:val="21"/>
        <w:szCs w:val="21"/>
      </w:rPr>
    </w:pPr>
    <w:r>
      <w:rPr>
        <w:rFonts w:hint="eastAsia"/>
        <w:sz w:val="21"/>
        <w:szCs w:val="21"/>
      </w:rPr>
      <w:t>雷页1</w:t>
    </w:r>
    <w:r>
      <w:rPr>
        <w:sz w:val="21"/>
        <w:szCs w:val="21"/>
      </w:rPr>
      <w:t>井试采</w:t>
    </w:r>
    <w:r>
      <w:rPr>
        <w:rFonts w:hint="eastAsia"/>
        <w:sz w:val="21"/>
        <w:szCs w:val="21"/>
      </w:rPr>
      <w:t>地面</w:t>
    </w:r>
    <w:r>
      <w:rPr>
        <w:sz w:val="21"/>
        <w:szCs w:val="21"/>
      </w:rPr>
      <w:t>工程环境影响报告书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432386"/>
    <w:multiLevelType w:val="singleLevel"/>
    <w:tmpl w:val="81432386"/>
    <w:lvl w:ilvl="0" w:tentative="0">
      <w:start w:val="1"/>
      <w:numFmt w:val="decimal"/>
      <w:suff w:val="nothing"/>
      <w:lvlText w:val="%1、"/>
      <w:lvlJc w:val="left"/>
    </w:lvl>
  </w:abstractNum>
  <w:abstractNum w:abstractNumId="1">
    <w:nsid w:val="85D5D8EC"/>
    <w:multiLevelType w:val="singleLevel"/>
    <w:tmpl w:val="85D5D8EC"/>
    <w:lvl w:ilvl="0" w:tentative="0">
      <w:start w:val="1"/>
      <w:numFmt w:val="decimal"/>
      <w:suff w:val="nothing"/>
      <w:lvlText w:val="%1、"/>
      <w:lvlJc w:val="left"/>
    </w:lvl>
  </w:abstractNum>
  <w:abstractNum w:abstractNumId="2">
    <w:nsid w:val="93134106"/>
    <w:multiLevelType w:val="singleLevel"/>
    <w:tmpl w:val="93134106"/>
    <w:lvl w:ilvl="0" w:tentative="0">
      <w:start w:val="3"/>
      <w:numFmt w:val="decimal"/>
      <w:suff w:val="nothing"/>
      <w:lvlText w:val="%1、"/>
      <w:lvlJc w:val="left"/>
      <w:pPr>
        <w:ind w:left="0" w:firstLine="0"/>
      </w:pPr>
      <w:rPr>
        <w:rFonts w:hint="eastAsia"/>
      </w:rPr>
    </w:lvl>
  </w:abstractNum>
  <w:abstractNum w:abstractNumId="3">
    <w:nsid w:val="9AAABDE9"/>
    <w:multiLevelType w:val="singleLevel"/>
    <w:tmpl w:val="9AAABDE9"/>
    <w:lvl w:ilvl="0" w:tentative="0">
      <w:start w:val="5"/>
      <w:numFmt w:val="decimal"/>
      <w:suff w:val="nothing"/>
      <w:lvlText w:val="%1、"/>
      <w:lvlJc w:val="left"/>
    </w:lvl>
  </w:abstractNum>
  <w:abstractNum w:abstractNumId="4">
    <w:nsid w:val="B6145801"/>
    <w:multiLevelType w:val="singleLevel"/>
    <w:tmpl w:val="B6145801"/>
    <w:lvl w:ilvl="0" w:tentative="0">
      <w:start w:val="1"/>
      <w:numFmt w:val="upperLetter"/>
      <w:lvlText w:val="%1."/>
      <w:lvlJc w:val="left"/>
      <w:pPr>
        <w:tabs>
          <w:tab w:val="left" w:pos="312"/>
        </w:tabs>
      </w:pPr>
    </w:lvl>
  </w:abstractNum>
  <w:abstractNum w:abstractNumId="5">
    <w:nsid w:val="C53BFAEB"/>
    <w:multiLevelType w:val="singleLevel"/>
    <w:tmpl w:val="C53BFAEB"/>
    <w:lvl w:ilvl="0" w:tentative="0">
      <w:start w:val="1"/>
      <w:numFmt w:val="decimal"/>
      <w:suff w:val="nothing"/>
      <w:lvlText w:val="（%1）"/>
      <w:lvlJc w:val="left"/>
    </w:lvl>
  </w:abstractNum>
  <w:abstractNum w:abstractNumId="6">
    <w:nsid w:val="E88E3C65"/>
    <w:multiLevelType w:val="singleLevel"/>
    <w:tmpl w:val="E88E3C65"/>
    <w:lvl w:ilvl="0" w:tentative="0">
      <w:start w:val="1"/>
      <w:numFmt w:val="decimal"/>
      <w:suff w:val="nothing"/>
      <w:lvlText w:val="%1、"/>
      <w:lvlJc w:val="left"/>
    </w:lvl>
  </w:abstractNum>
  <w:abstractNum w:abstractNumId="7">
    <w:nsid w:val="13972F9D"/>
    <w:multiLevelType w:val="multilevel"/>
    <w:tmpl w:val="13972F9D"/>
    <w:lvl w:ilvl="0" w:tentative="0">
      <w:start w:val="1"/>
      <w:numFmt w:val="decimal"/>
      <w:pStyle w:val="372"/>
      <w:suff w:val="space"/>
      <w:lvlText w:val="%1  "/>
      <w:lvlJc w:val="left"/>
      <w:pPr>
        <w:ind w:left="3600" w:firstLine="0"/>
      </w:pPr>
      <w:rPr>
        <w:rFonts w:hint="eastAsia"/>
      </w:rPr>
    </w:lvl>
    <w:lvl w:ilvl="1" w:tentative="0">
      <w:start w:val="1"/>
      <w:numFmt w:val="decimal"/>
      <w:pStyle w:val="373"/>
      <w:suff w:val="space"/>
      <w:lvlText w:val="%1.%2  "/>
      <w:lvlJc w:val="left"/>
      <w:pPr>
        <w:ind w:left="0" w:firstLine="0"/>
      </w:pPr>
      <w:rPr>
        <w:rFonts w:hint="eastAsia"/>
      </w:rPr>
    </w:lvl>
    <w:lvl w:ilvl="2" w:tentative="0">
      <w:start w:val="1"/>
      <w:numFmt w:val="decimal"/>
      <w:suff w:val="space"/>
      <w:lvlText w:val="%1.%2.%3 "/>
      <w:lvlJc w:val="left"/>
      <w:pPr>
        <w:ind w:left="1250" w:hanging="540"/>
      </w:pPr>
      <w:rPr>
        <w:rFonts w:hint="eastAsia"/>
        <w:lang w:eastAsia="zh-CN"/>
      </w:rPr>
    </w:lvl>
    <w:lvl w:ilvl="3" w:tentative="0">
      <w:start w:val="1"/>
      <w:numFmt w:val="decimal"/>
      <w:pStyle w:val="374"/>
      <w:lvlText w:val="%1.%2.%3.%4"/>
      <w:lvlJc w:val="left"/>
      <w:pPr>
        <w:tabs>
          <w:tab w:val="left" w:pos="567"/>
        </w:tabs>
        <w:ind w:left="0" w:firstLine="567"/>
      </w:pPr>
      <w:rPr>
        <w:rFonts w:hint="default" w:ascii="Arial" w:hAnsi="Arial" w:eastAsia="仿宋_GB2312"/>
        <w:b w:val="0"/>
        <w:i w:val="0"/>
        <w:sz w:val="28"/>
      </w:rPr>
    </w:lvl>
    <w:lvl w:ilvl="4" w:tentative="0">
      <w:start w:val="1"/>
      <w:numFmt w:val="decimal"/>
      <w:lvlText w:val="%1.%2.%3.%4.%5"/>
      <w:lvlJc w:val="left"/>
      <w:pPr>
        <w:tabs>
          <w:tab w:val="left" w:pos="3370"/>
        </w:tabs>
        <w:ind w:left="1700" w:hanging="850"/>
      </w:pPr>
      <w:rPr>
        <w:rFonts w:hint="eastAsia"/>
      </w:rPr>
    </w:lvl>
    <w:lvl w:ilvl="5" w:tentative="0">
      <w:start w:val="1"/>
      <w:numFmt w:val="decimal"/>
      <w:lvlText w:val="%1.%2.%3.%4.%5.%6"/>
      <w:lvlJc w:val="left"/>
      <w:pPr>
        <w:tabs>
          <w:tab w:val="left" w:pos="4155"/>
        </w:tabs>
        <w:ind w:left="2409" w:hanging="1134"/>
      </w:pPr>
      <w:rPr>
        <w:rFonts w:hint="eastAsia"/>
      </w:rPr>
    </w:lvl>
    <w:lvl w:ilvl="6" w:tentative="0">
      <w:start w:val="1"/>
      <w:numFmt w:val="decimal"/>
      <w:lvlText w:val="%1.%2.%3.%4.%5.%6.%7"/>
      <w:lvlJc w:val="left"/>
      <w:pPr>
        <w:tabs>
          <w:tab w:val="left" w:pos="5300"/>
        </w:tabs>
        <w:ind w:left="2976" w:hanging="1276"/>
      </w:pPr>
      <w:rPr>
        <w:rFonts w:hint="eastAsia"/>
      </w:rPr>
    </w:lvl>
    <w:lvl w:ilvl="7" w:tentative="0">
      <w:start w:val="1"/>
      <w:numFmt w:val="decimal"/>
      <w:lvlText w:val="%1.%2.%3.%4.%5.%6.%7.%8"/>
      <w:lvlJc w:val="left"/>
      <w:pPr>
        <w:tabs>
          <w:tab w:val="left" w:pos="6085"/>
        </w:tabs>
        <w:ind w:left="3543" w:hanging="1418"/>
      </w:pPr>
      <w:rPr>
        <w:rFonts w:hint="eastAsia"/>
      </w:rPr>
    </w:lvl>
    <w:lvl w:ilvl="8" w:tentative="0">
      <w:start w:val="1"/>
      <w:numFmt w:val="decimal"/>
      <w:lvlText w:val="%1.%2.%3.%4.%5.%6.%7.%8.%9"/>
      <w:lvlJc w:val="left"/>
      <w:pPr>
        <w:tabs>
          <w:tab w:val="left" w:pos="6871"/>
        </w:tabs>
        <w:ind w:left="4251" w:hanging="1700"/>
      </w:pPr>
      <w:rPr>
        <w:rFonts w:hint="eastAsia"/>
      </w:rPr>
    </w:lvl>
  </w:abstractNum>
  <w:abstractNum w:abstractNumId="8">
    <w:nsid w:val="152F5B0A"/>
    <w:multiLevelType w:val="multilevel"/>
    <w:tmpl w:val="152F5B0A"/>
    <w:lvl w:ilvl="0" w:tentative="0">
      <w:start w:val="1"/>
      <w:numFmt w:val="decimal"/>
      <w:pStyle w:val="195"/>
      <w:suff w:val="nothing"/>
      <w:lvlText w:val="（%1）"/>
      <w:lvlJc w:val="left"/>
      <w:pPr>
        <w:ind w:left="845" w:hanging="420"/>
      </w:pPr>
      <w:rPr>
        <w:rFonts w:hint="default" w:ascii="Times New Roman" w:hAnsi="Times New Roman"/>
        <w:lang w:val="en-US"/>
      </w:rPr>
    </w:lvl>
    <w:lvl w:ilvl="1" w:tentative="0">
      <w:start w:val="1"/>
      <w:numFmt w:val="lowerLetter"/>
      <w:lvlText w:val="%2)"/>
      <w:lvlJc w:val="left"/>
      <w:pPr>
        <w:ind w:left="413" w:hanging="420"/>
      </w:pPr>
    </w:lvl>
    <w:lvl w:ilvl="2" w:tentative="0">
      <w:start w:val="1"/>
      <w:numFmt w:val="lowerRoman"/>
      <w:lvlText w:val="%3."/>
      <w:lvlJc w:val="right"/>
      <w:pPr>
        <w:ind w:left="833" w:hanging="420"/>
      </w:pPr>
    </w:lvl>
    <w:lvl w:ilvl="3" w:tentative="0">
      <w:start w:val="1"/>
      <w:numFmt w:val="decimal"/>
      <w:lvlText w:val="%4."/>
      <w:lvlJc w:val="left"/>
      <w:pPr>
        <w:ind w:left="1253" w:hanging="420"/>
      </w:pPr>
    </w:lvl>
    <w:lvl w:ilvl="4" w:tentative="0">
      <w:start w:val="1"/>
      <w:numFmt w:val="lowerLetter"/>
      <w:lvlText w:val="%5)"/>
      <w:lvlJc w:val="left"/>
      <w:pPr>
        <w:ind w:left="1673" w:hanging="420"/>
      </w:pPr>
    </w:lvl>
    <w:lvl w:ilvl="5" w:tentative="0">
      <w:start w:val="1"/>
      <w:numFmt w:val="lowerRoman"/>
      <w:lvlText w:val="%6."/>
      <w:lvlJc w:val="right"/>
      <w:pPr>
        <w:ind w:left="2093" w:hanging="420"/>
      </w:pPr>
    </w:lvl>
    <w:lvl w:ilvl="6" w:tentative="0">
      <w:start w:val="1"/>
      <w:numFmt w:val="decimal"/>
      <w:lvlText w:val="%7."/>
      <w:lvlJc w:val="left"/>
      <w:pPr>
        <w:ind w:left="2513" w:hanging="420"/>
      </w:pPr>
    </w:lvl>
    <w:lvl w:ilvl="7" w:tentative="0">
      <w:start w:val="1"/>
      <w:numFmt w:val="lowerLetter"/>
      <w:lvlText w:val="%8)"/>
      <w:lvlJc w:val="left"/>
      <w:pPr>
        <w:ind w:left="2933" w:hanging="420"/>
      </w:pPr>
    </w:lvl>
    <w:lvl w:ilvl="8" w:tentative="0">
      <w:start w:val="1"/>
      <w:numFmt w:val="lowerRoman"/>
      <w:lvlText w:val="%9."/>
      <w:lvlJc w:val="right"/>
      <w:pPr>
        <w:ind w:left="3353" w:hanging="420"/>
      </w:pPr>
    </w:lvl>
  </w:abstractNum>
  <w:abstractNum w:abstractNumId="9">
    <w:nsid w:val="1CAEB726"/>
    <w:multiLevelType w:val="singleLevel"/>
    <w:tmpl w:val="1CAEB726"/>
    <w:lvl w:ilvl="0" w:tentative="0">
      <w:start w:val="6"/>
      <w:numFmt w:val="decimal"/>
      <w:suff w:val="nothing"/>
      <w:lvlText w:val="（%1）"/>
      <w:lvlJc w:val="left"/>
    </w:lvl>
  </w:abstractNum>
  <w:abstractNum w:abstractNumId="10">
    <w:nsid w:val="2D1B22AA"/>
    <w:multiLevelType w:val="multilevel"/>
    <w:tmpl w:val="2D1B22AA"/>
    <w:lvl w:ilvl="0" w:tentative="0">
      <w:start w:val="1"/>
      <w:numFmt w:val="decimal"/>
      <w:suff w:val="nothing"/>
      <w:lvlText w:val="（%1）"/>
      <w:lvlJc w:val="left"/>
      <w:pPr>
        <w:ind w:left="-113" w:firstLine="595"/>
      </w:pPr>
      <w:rPr>
        <w:rFonts w:hint="default" w:ascii="Times New Roman" w:hAnsi="Times New Roman"/>
        <w:lang w:val="en-US"/>
      </w:rPr>
    </w:lvl>
    <w:lvl w:ilvl="1" w:tentative="0">
      <w:start w:val="1"/>
      <w:numFmt w:val="lowerLetter"/>
      <w:lvlText w:val="%2)"/>
      <w:lvlJc w:val="left"/>
      <w:pPr>
        <w:ind w:left="1266" w:hanging="420"/>
      </w:pPr>
      <w:rPr>
        <w:rFonts w:hint="eastAsia"/>
      </w:rPr>
    </w:lvl>
    <w:lvl w:ilvl="2" w:tentative="0">
      <w:start w:val="1"/>
      <w:numFmt w:val="lowerRoman"/>
      <w:lvlText w:val="%3."/>
      <w:lvlJc w:val="right"/>
      <w:pPr>
        <w:ind w:left="1686" w:hanging="420"/>
      </w:pPr>
      <w:rPr>
        <w:rFonts w:hint="eastAsia"/>
      </w:rPr>
    </w:lvl>
    <w:lvl w:ilvl="3" w:tentative="0">
      <w:start w:val="1"/>
      <w:numFmt w:val="decimal"/>
      <w:lvlText w:val="%4."/>
      <w:lvlJc w:val="left"/>
      <w:pPr>
        <w:ind w:left="2106" w:hanging="420"/>
      </w:pPr>
      <w:rPr>
        <w:rFonts w:hint="eastAsia"/>
      </w:rPr>
    </w:lvl>
    <w:lvl w:ilvl="4" w:tentative="0">
      <w:start w:val="1"/>
      <w:numFmt w:val="lowerLetter"/>
      <w:lvlText w:val="%5)"/>
      <w:lvlJc w:val="left"/>
      <w:pPr>
        <w:ind w:left="2526" w:hanging="420"/>
      </w:pPr>
      <w:rPr>
        <w:rFonts w:hint="eastAsia"/>
      </w:rPr>
    </w:lvl>
    <w:lvl w:ilvl="5" w:tentative="0">
      <w:start w:val="1"/>
      <w:numFmt w:val="lowerRoman"/>
      <w:lvlText w:val="%6."/>
      <w:lvlJc w:val="right"/>
      <w:pPr>
        <w:ind w:left="2946" w:hanging="420"/>
      </w:pPr>
      <w:rPr>
        <w:rFonts w:hint="eastAsia"/>
      </w:rPr>
    </w:lvl>
    <w:lvl w:ilvl="6" w:tentative="0">
      <w:start w:val="1"/>
      <w:numFmt w:val="decimal"/>
      <w:lvlText w:val="%7."/>
      <w:lvlJc w:val="left"/>
      <w:pPr>
        <w:ind w:left="3366" w:hanging="420"/>
      </w:pPr>
      <w:rPr>
        <w:rFonts w:hint="eastAsia"/>
      </w:rPr>
    </w:lvl>
    <w:lvl w:ilvl="7" w:tentative="0">
      <w:start w:val="1"/>
      <w:numFmt w:val="lowerLetter"/>
      <w:lvlText w:val="%8)"/>
      <w:lvlJc w:val="left"/>
      <w:pPr>
        <w:ind w:left="3786" w:hanging="420"/>
      </w:pPr>
      <w:rPr>
        <w:rFonts w:hint="eastAsia"/>
      </w:rPr>
    </w:lvl>
    <w:lvl w:ilvl="8" w:tentative="0">
      <w:start w:val="1"/>
      <w:numFmt w:val="lowerRoman"/>
      <w:lvlText w:val="%9."/>
      <w:lvlJc w:val="right"/>
      <w:pPr>
        <w:ind w:left="4206" w:hanging="420"/>
      </w:pPr>
      <w:rPr>
        <w:rFonts w:hint="eastAsia"/>
      </w:rPr>
    </w:lvl>
  </w:abstractNum>
  <w:abstractNum w:abstractNumId="11">
    <w:nsid w:val="30E570E3"/>
    <w:multiLevelType w:val="multilevel"/>
    <w:tmpl w:val="30E570E3"/>
    <w:lvl w:ilvl="0" w:tentative="0">
      <w:start w:val="1"/>
      <w:numFmt w:val="bullet"/>
      <w:pStyle w:val="29"/>
      <w:lvlText w:val=""/>
      <w:lvlJc w:val="left"/>
      <w:pPr>
        <w:ind w:left="207" w:hanging="181"/>
      </w:pPr>
      <w:rPr>
        <w:rFonts w:hint="default" w:ascii="Symbol" w:hAnsi="Symbol" w:eastAsia="Symbol"/>
        <w:w w:val="102"/>
        <w:sz w:val="24"/>
        <w:szCs w:val="24"/>
      </w:rPr>
    </w:lvl>
    <w:lvl w:ilvl="1" w:tentative="0">
      <w:start w:val="1"/>
      <w:numFmt w:val="bullet"/>
      <w:lvlText w:val="•"/>
      <w:lvlJc w:val="left"/>
      <w:pPr>
        <w:ind w:left="239" w:hanging="181"/>
      </w:pPr>
      <w:rPr>
        <w:rFonts w:hint="default"/>
      </w:rPr>
    </w:lvl>
    <w:lvl w:ilvl="2" w:tentative="0">
      <w:start w:val="1"/>
      <w:numFmt w:val="bullet"/>
      <w:lvlText w:val="•"/>
      <w:lvlJc w:val="left"/>
      <w:pPr>
        <w:ind w:left="279" w:hanging="181"/>
      </w:pPr>
      <w:rPr>
        <w:rFonts w:hint="default"/>
      </w:rPr>
    </w:lvl>
    <w:lvl w:ilvl="3" w:tentative="0">
      <w:start w:val="1"/>
      <w:numFmt w:val="bullet"/>
      <w:lvlText w:val="•"/>
      <w:lvlJc w:val="left"/>
      <w:pPr>
        <w:ind w:left="319" w:hanging="181"/>
      </w:pPr>
      <w:rPr>
        <w:rFonts w:hint="default"/>
      </w:rPr>
    </w:lvl>
    <w:lvl w:ilvl="4" w:tentative="0">
      <w:start w:val="1"/>
      <w:numFmt w:val="bullet"/>
      <w:lvlText w:val="•"/>
      <w:lvlJc w:val="left"/>
      <w:pPr>
        <w:ind w:left="359" w:hanging="181"/>
      </w:pPr>
      <w:rPr>
        <w:rFonts w:hint="default"/>
      </w:rPr>
    </w:lvl>
    <w:lvl w:ilvl="5" w:tentative="0">
      <w:start w:val="1"/>
      <w:numFmt w:val="bullet"/>
      <w:lvlText w:val="•"/>
      <w:lvlJc w:val="left"/>
      <w:pPr>
        <w:ind w:left="398" w:hanging="181"/>
      </w:pPr>
      <w:rPr>
        <w:rFonts w:hint="default"/>
      </w:rPr>
    </w:lvl>
    <w:lvl w:ilvl="6" w:tentative="0">
      <w:start w:val="1"/>
      <w:numFmt w:val="bullet"/>
      <w:lvlText w:val="•"/>
      <w:lvlJc w:val="left"/>
      <w:pPr>
        <w:ind w:left="438" w:hanging="181"/>
      </w:pPr>
      <w:rPr>
        <w:rFonts w:hint="default"/>
      </w:rPr>
    </w:lvl>
    <w:lvl w:ilvl="7" w:tentative="0">
      <w:start w:val="1"/>
      <w:numFmt w:val="bullet"/>
      <w:lvlText w:val="•"/>
      <w:lvlJc w:val="left"/>
      <w:pPr>
        <w:ind w:left="478" w:hanging="181"/>
      </w:pPr>
      <w:rPr>
        <w:rFonts w:hint="default"/>
      </w:rPr>
    </w:lvl>
    <w:lvl w:ilvl="8" w:tentative="0">
      <w:start w:val="1"/>
      <w:numFmt w:val="bullet"/>
      <w:lvlText w:val="•"/>
      <w:lvlJc w:val="left"/>
      <w:pPr>
        <w:ind w:left="518" w:hanging="181"/>
      </w:pPr>
      <w:rPr>
        <w:rFonts w:hint="default"/>
      </w:rPr>
    </w:lvl>
  </w:abstractNum>
  <w:abstractNum w:abstractNumId="12">
    <w:nsid w:val="36D09BB4"/>
    <w:multiLevelType w:val="singleLevel"/>
    <w:tmpl w:val="36D09BB4"/>
    <w:lvl w:ilvl="0" w:tentative="0">
      <w:start w:val="1"/>
      <w:numFmt w:val="decimal"/>
      <w:suff w:val="nothing"/>
      <w:lvlText w:val="%1、"/>
      <w:lvlJc w:val="left"/>
      <w:rPr>
        <w:rFonts w:hint="default" w:ascii="Times New Roman" w:hAnsi="Times New Roman" w:cs="Times New Roman"/>
        <w:sz w:val="21"/>
        <w:szCs w:val="21"/>
      </w:rPr>
    </w:lvl>
  </w:abstractNum>
  <w:abstractNum w:abstractNumId="13">
    <w:nsid w:val="43EB5AE6"/>
    <w:multiLevelType w:val="multilevel"/>
    <w:tmpl w:val="43EB5AE6"/>
    <w:lvl w:ilvl="0" w:tentative="0">
      <w:start w:val="1"/>
      <w:numFmt w:val="decimal"/>
      <w:pStyle w:val="3"/>
      <w:suff w:val="nothing"/>
      <w:lvlText w:val="%1、"/>
      <w:lvlJc w:val="left"/>
      <w:pPr>
        <w:ind w:left="0" w:firstLine="0"/>
      </w:pPr>
      <w:rPr>
        <w:rFonts w:hint="eastAsia"/>
        <w:b w:val="0"/>
        <w:bCs w:val="0"/>
      </w:rPr>
    </w:lvl>
    <w:lvl w:ilvl="1" w:tentative="0">
      <w:start w:val="1"/>
      <w:numFmt w:val="decimal"/>
      <w:pStyle w:val="4"/>
      <w:suff w:val="space"/>
      <w:lvlText w:val="%1.%2"/>
      <w:lvlJc w:val="left"/>
      <w:pPr>
        <w:ind w:left="0" w:firstLine="0"/>
      </w:pPr>
      <w:rPr>
        <w:rFonts w:hint="eastAsia"/>
      </w:rPr>
    </w:lvl>
    <w:lvl w:ilvl="2" w:tentative="0">
      <w:start w:val="1"/>
      <w:numFmt w:val="decimal"/>
      <w:pStyle w:val="5"/>
      <w:suff w:val="space"/>
      <w:lvlText w:val="%1.%2.%3"/>
      <w:lvlJc w:val="left"/>
      <w:pPr>
        <w:ind w:left="0" w:firstLine="0"/>
      </w:pPr>
      <w:rPr>
        <w:rFonts w:hint="eastAsia"/>
        <w:b w:val="0"/>
        <w:bCs w:val="0"/>
      </w:rPr>
    </w:lvl>
    <w:lvl w:ilvl="3" w:tentative="0">
      <w:start w:val="1"/>
      <w:numFmt w:val="decimal"/>
      <w:pStyle w:val="6"/>
      <w:suff w:val="space"/>
      <w:lvlText w:val="%1.%2.%3.%4"/>
      <w:lvlJc w:val="left"/>
      <w:pPr>
        <w:ind w:left="0" w:firstLine="0"/>
      </w:pPr>
    </w:lvl>
    <w:lvl w:ilvl="4" w:tentative="0">
      <w:start w:val="1"/>
      <w:numFmt w:val="decimal"/>
      <w:lvlText w:val="%1.%2.%3.%4.%5"/>
      <w:lvlJc w:val="left"/>
      <w:pPr>
        <w:ind w:left="0" w:firstLine="0"/>
      </w:pPr>
      <w:rPr>
        <w:rFonts w:hint="eastAsia"/>
      </w:rPr>
    </w:lvl>
    <w:lvl w:ilvl="5" w:tentative="0">
      <w:start w:val="1"/>
      <w:numFmt w:val="decimal"/>
      <w:lvlText w:val="%1.%2.%3.%4.%5.%6"/>
      <w:lvlJc w:val="left"/>
      <w:pPr>
        <w:ind w:left="0" w:firstLine="0"/>
      </w:pPr>
      <w:rPr>
        <w:rFonts w:hint="eastAsia"/>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abstractNum w:abstractNumId="14">
    <w:nsid w:val="611D10C3"/>
    <w:multiLevelType w:val="singleLevel"/>
    <w:tmpl w:val="611D10C3"/>
    <w:lvl w:ilvl="0" w:tentative="0">
      <w:start w:val="7"/>
      <w:numFmt w:val="decimal"/>
      <w:suff w:val="nothing"/>
      <w:lvlText w:val="%1、"/>
      <w:lvlJc w:val="left"/>
    </w:lvl>
  </w:abstractNum>
  <w:abstractNum w:abstractNumId="15">
    <w:nsid w:val="7B6CAF15"/>
    <w:multiLevelType w:val="singleLevel"/>
    <w:tmpl w:val="7B6CAF15"/>
    <w:lvl w:ilvl="0" w:tentative="0">
      <w:start w:val="1"/>
      <w:numFmt w:val="decimal"/>
      <w:suff w:val="nothing"/>
      <w:lvlText w:val="（%1）"/>
      <w:lvlJc w:val="left"/>
    </w:lvl>
  </w:abstractNum>
  <w:num w:numId="1">
    <w:abstractNumId w:val="13"/>
  </w:num>
  <w:num w:numId="2">
    <w:abstractNumId w:val="11"/>
  </w:num>
  <w:num w:numId="3">
    <w:abstractNumId w:val="8"/>
  </w:num>
  <w:num w:numId="4">
    <w:abstractNumId w:val="7"/>
  </w:num>
  <w:num w:numId="5">
    <w:abstractNumId w:val="10"/>
  </w:num>
  <w:num w:numId="6">
    <w:abstractNumId w:val="8"/>
    <w:lvlOverride w:ilvl="0">
      <w:startOverride w:val="1"/>
    </w:lvlOverride>
  </w:num>
  <w:num w:numId="7">
    <w:abstractNumId w:val="2"/>
  </w:num>
  <w:num w:numId="8">
    <w:abstractNumId w:val="12"/>
  </w:num>
  <w:num w:numId="9">
    <w:abstractNumId w:val="0"/>
  </w:num>
  <w:num w:numId="10">
    <w:abstractNumId w:val="1"/>
  </w:num>
  <w:num w:numId="11">
    <w:abstractNumId w:val="14"/>
  </w:num>
  <w:num w:numId="12">
    <w:abstractNumId w:val="15"/>
  </w:num>
  <w:num w:numId="13">
    <w:abstractNumId w:val="9"/>
  </w:num>
  <w:num w:numId="14">
    <w:abstractNumId w:val="3"/>
  </w:num>
  <w:num w:numId="15">
    <w:abstractNumId w:val="5"/>
  </w:num>
  <w:num w:numId="16">
    <w:abstractNumId w:val="6"/>
  </w:num>
  <w:num w:numId="1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1"/>
  <w:bordersDoNotSurroundFooter w:val="1"/>
  <w:documentProtection w:enforcement="0"/>
  <w:defaultTabStop w:val="720"/>
  <w:evenAndOddHeaders w:val="1"/>
  <w:noPunctuationKerning w:val="1"/>
  <w:characterSpacingControl w:val="doNotCompress"/>
  <w:footnotePr>
    <w:footnote w:id="0"/>
    <w:footnote w:id="1"/>
  </w:footnotePr>
  <w:endnotePr>
    <w:endnote w:id="0"/>
    <w:endnote w:id="1"/>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jQyMjhkYTYyOTE5MzZkNTk3MjI4ZjVjYWI2MzM3NjkifQ=="/>
  </w:docVars>
  <w:rsids>
    <w:rsidRoot w:val="00B8303D"/>
    <w:rsid w:val="000005C9"/>
    <w:rsid w:val="00000C0A"/>
    <w:rsid w:val="00000CEE"/>
    <w:rsid w:val="00001291"/>
    <w:rsid w:val="0000129F"/>
    <w:rsid w:val="00001708"/>
    <w:rsid w:val="00001A73"/>
    <w:rsid w:val="00001BC1"/>
    <w:rsid w:val="00002044"/>
    <w:rsid w:val="00002ABF"/>
    <w:rsid w:val="000035F3"/>
    <w:rsid w:val="00003C78"/>
    <w:rsid w:val="0000422E"/>
    <w:rsid w:val="00004562"/>
    <w:rsid w:val="00004A57"/>
    <w:rsid w:val="00005A42"/>
    <w:rsid w:val="00005E95"/>
    <w:rsid w:val="00005FE4"/>
    <w:rsid w:val="00006178"/>
    <w:rsid w:val="0000624B"/>
    <w:rsid w:val="00006CF4"/>
    <w:rsid w:val="00006D9D"/>
    <w:rsid w:val="0000719A"/>
    <w:rsid w:val="00007964"/>
    <w:rsid w:val="0001015F"/>
    <w:rsid w:val="000107E1"/>
    <w:rsid w:val="00011BED"/>
    <w:rsid w:val="0001204A"/>
    <w:rsid w:val="0001231E"/>
    <w:rsid w:val="000126F8"/>
    <w:rsid w:val="00012758"/>
    <w:rsid w:val="00012863"/>
    <w:rsid w:val="0001338D"/>
    <w:rsid w:val="000134AB"/>
    <w:rsid w:val="000140A5"/>
    <w:rsid w:val="0001478F"/>
    <w:rsid w:val="00014E26"/>
    <w:rsid w:val="00015547"/>
    <w:rsid w:val="00015593"/>
    <w:rsid w:val="000156D4"/>
    <w:rsid w:val="00015E0A"/>
    <w:rsid w:val="0001683F"/>
    <w:rsid w:val="00017835"/>
    <w:rsid w:val="00017E6C"/>
    <w:rsid w:val="000200B0"/>
    <w:rsid w:val="00020475"/>
    <w:rsid w:val="000210E0"/>
    <w:rsid w:val="0002110E"/>
    <w:rsid w:val="000211D4"/>
    <w:rsid w:val="00021604"/>
    <w:rsid w:val="00021785"/>
    <w:rsid w:val="00021947"/>
    <w:rsid w:val="000219B9"/>
    <w:rsid w:val="000219DC"/>
    <w:rsid w:val="00021A23"/>
    <w:rsid w:val="00022611"/>
    <w:rsid w:val="000226FB"/>
    <w:rsid w:val="00022ED3"/>
    <w:rsid w:val="00023105"/>
    <w:rsid w:val="00023579"/>
    <w:rsid w:val="0002489B"/>
    <w:rsid w:val="000248B2"/>
    <w:rsid w:val="00024C5A"/>
    <w:rsid w:val="00025484"/>
    <w:rsid w:val="0002567D"/>
    <w:rsid w:val="0002590C"/>
    <w:rsid w:val="0002595C"/>
    <w:rsid w:val="000259B5"/>
    <w:rsid w:val="000265B7"/>
    <w:rsid w:val="00026BE6"/>
    <w:rsid w:val="00026C6E"/>
    <w:rsid w:val="00026CF7"/>
    <w:rsid w:val="000275B9"/>
    <w:rsid w:val="000276EE"/>
    <w:rsid w:val="000277D6"/>
    <w:rsid w:val="00027E52"/>
    <w:rsid w:val="00030FE7"/>
    <w:rsid w:val="0003158D"/>
    <w:rsid w:val="000319AF"/>
    <w:rsid w:val="00032003"/>
    <w:rsid w:val="00032558"/>
    <w:rsid w:val="000325C8"/>
    <w:rsid w:val="00032757"/>
    <w:rsid w:val="00032913"/>
    <w:rsid w:val="00032ED1"/>
    <w:rsid w:val="0003339C"/>
    <w:rsid w:val="000336CC"/>
    <w:rsid w:val="00033CD4"/>
    <w:rsid w:val="00033CF5"/>
    <w:rsid w:val="00034161"/>
    <w:rsid w:val="000341F2"/>
    <w:rsid w:val="000342B9"/>
    <w:rsid w:val="0003471F"/>
    <w:rsid w:val="00034F18"/>
    <w:rsid w:val="00035523"/>
    <w:rsid w:val="0003568A"/>
    <w:rsid w:val="000358C4"/>
    <w:rsid w:val="00035B47"/>
    <w:rsid w:val="000363DA"/>
    <w:rsid w:val="0003687F"/>
    <w:rsid w:val="00037150"/>
    <w:rsid w:val="0003790B"/>
    <w:rsid w:val="00037AA2"/>
    <w:rsid w:val="00037B88"/>
    <w:rsid w:val="0004037D"/>
    <w:rsid w:val="00040516"/>
    <w:rsid w:val="0004064A"/>
    <w:rsid w:val="000408D0"/>
    <w:rsid w:val="00040CB2"/>
    <w:rsid w:val="00041519"/>
    <w:rsid w:val="00041A1B"/>
    <w:rsid w:val="00041EBC"/>
    <w:rsid w:val="000426CC"/>
    <w:rsid w:val="00042DFF"/>
    <w:rsid w:val="00042F5B"/>
    <w:rsid w:val="00043230"/>
    <w:rsid w:val="000436DC"/>
    <w:rsid w:val="00043A4A"/>
    <w:rsid w:val="0004419B"/>
    <w:rsid w:val="00044D8D"/>
    <w:rsid w:val="00044EA5"/>
    <w:rsid w:val="000452D8"/>
    <w:rsid w:val="00045B1B"/>
    <w:rsid w:val="00045C09"/>
    <w:rsid w:val="00046943"/>
    <w:rsid w:val="00046D6F"/>
    <w:rsid w:val="00047733"/>
    <w:rsid w:val="0004783B"/>
    <w:rsid w:val="00047AE7"/>
    <w:rsid w:val="00047D4A"/>
    <w:rsid w:val="00047D6C"/>
    <w:rsid w:val="00047E3B"/>
    <w:rsid w:val="000505E5"/>
    <w:rsid w:val="0005099A"/>
    <w:rsid w:val="00050BE7"/>
    <w:rsid w:val="00051322"/>
    <w:rsid w:val="000519D4"/>
    <w:rsid w:val="00051CAE"/>
    <w:rsid w:val="00052A1C"/>
    <w:rsid w:val="000532D4"/>
    <w:rsid w:val="0005352E"/>
    <w:rsid w:val="0005395D"/>
    <w:rsid w:val="00053B30"/>
    <w:rsid w:val="00053B62"/>
    <w:rsid w:val="00053E3D"/>
    <w:rsid w:val="00053F97"/>
    <w:rsid w:val="00054107"/>
    <w:rsid w:val="00054513"/>
    <w:rsid w:val="00054CE1"/>
    <w:rsid w:val="00054CF1"/>
    <w:rsid w:val="00054F0B"/>
    <w:rsid w:val="00054FB7"/>
    <w:rsid w:val="00054FBE"/>
    <w:rsid w:val="000550E5"/>
    <w:rsid w:val="000559BF"/>
    <w:rsid w:val="000563A3"/>
    <w:rsid w:val="00056841"/>
    <w:rsid w:val="000570A3"/>
    <w:rsid w:val="00057C1A"/>
    <w:rsid w:val="00057D34"/>
    <w:rsid w:val="00057F7A"/>
    <w:rsid w:val="00060556"/>
    <w:rsid w:val="00060A09"/>
    <w:rsid w:val="00060B54"/>
    <w:rsid w:val="000619E9"/>
    <w:rsid w:val="00061D76"/>
    <w:rsid w:val="00062382"/>
    <w:rsid w:val="00062471"/>
    <w:rsid w:val="00062536"/>
    <w:rsid w:val="0006254A"/>
    <w:rsid w:val="00062C5E"/>
    <w:rsid w:val="00064062"/>
    <w:rsid w:val="00064312"/>
    <w:rsid w:val="0006439B"/>
    <w:rsid w:val="0006462F"/>
    <w:rsid w:val="00064C78"/>
    <w:rsid w:val="000658B1"/>
    <w:rsid w:val="00065998"/>
    <w:rsid w:val="00065A7C"/>
    <w:rsid w:val="000664DD"/>
    <w:rsid w:val="00067195"/>
    <w:rsid w:val="00067A4D"/>
    <w:rsid w:val="0007081A"/>
    <w:rsid w:val="00070A11"/>
    <w:rsid w:val="00071630"/>
    <w:rsid w:val="00071CF9"/>
    <w:rsid w:val="000723CB"/>
    <w:rsid w:val="00072752"/>
    <w:rsid w:val="00072882"/>
    <w:rsid w:val="000728E8"/>
    <w:rsid w:val="00072B32"/>
    <w:rsid w:val="00072FEA"/>
    <w:rsid w:val="00073238"/>
    <w:rsid w:val="000732EC"/>
    <w:rsid w:val="000733CE"/>
    <w:rsid w:val="0007350F"/>
    <w:rsid w:val="0007461C"/>
    <w:rsid w:val="00074BFA"/>
    <w:rsid w:val="00074CC3"/>
    <w:rsid w:val="00074E85"/>
    <w:rsid w:val="0007546B"/>
    <w:rsid w:val="0007619E"/>
    <w:rsid w:val="00076223"/>
    <w:rsid w:val="0007661F"/>
    <w:rsid w:val="000767B5"/>
    <w:rsid w:val="00076930"/>
    <w:rsid w:val="000775DF"/>
    <w:rsid w:val="00077A04"/>
    <w:rsid w:val="00077AF2"/>
    <w:rsid w:val="00077B93"/>
    <w:rsid w:val="00077D71"/>
    <w:rsid w:val="00077DF1"/>
    <w:rsid w:val="00080119"/>
    <w:rsid w:val="00080305"/>
    <w:rsid w:val="00080A6C"/>
    <w:rsid w:val="000812B6"/>
    <w:rsid w:val="00081457"/>
    <w:rsid w:val="00081BC3"/>
    <w:rsid w:val="000827D5"/>
    <w:rsid w:val="00082EA8"/>
    <w:rsid w:val="000831AF"/>
    <w:rsid w:val="00083515"/>
    <w:rsid w:val="00084595"/>
    <w:rsid w:val="000846B2"/>
    <w:rsid w:val="00084A95"/>
    <w:rsid w:val="000852FA"/>
    <w:rsid w:val="00085BC2"/>
    <w:rsid w:val="00085D73"/>
    <w:rsid w:val="0008721B"/>
    <w:rsid w:val="00087418"/>
    <w:rsid w:val="0008767A"/>
    <w:rsid w:val="00087BE6"/>
    <w:rsid w:val="00087C7A"/>
    <w:rsid w:val="00087DD7"/>
    <w:rsid w:val="00087EB9"/>
    <w:rsid w:val="00090671"/>
    <w:rsid w:val="0009071C"/>
    <w:rsid w:val="000913BD"/>
    <w:rsid w:val="00091EE6"/>
    <w:rsid w:val="00091EEA"/>
    <w:rsid w:val="00092363"/>
    <w:rsid w:val="00092438"/>
    <w:rsid w:val="000925D8"/>
    <w:rsid w:val="00092813"/>
    <w:rsid w:val="00092862"/>
    <w:rsid w:val="00093B08"/>
    <w:rsid w:val="00093C1A"/>
    <w:rsid w:val="0009444A"/>
    <w:rsid w:val="00094D19"/>
    <w:rsid w:val="00095311"/>
    <w:rsid w:val="0009665B"/>
    <w:rsid w:val="000968A4"/>
    <w:rsid w:val="00096D4A"/>
    <w:rsid w:val="000972F8"/>
    <w:rsid w:val="00097EEB"/>
    <w:rsid w:val="000A078B"/>
    <w:rsid w:val="000A0869"/>
    <w:rsid w:val="000A0EBA"/>
    <w:rsid w:val="000A1900"/>
    <w:rsid w:val="000A1A4C"/>
    <w:rsid w:val="000A26CB"/>
    <w:rsid w:val="000A27AB"/>
    <w:rsid w:val="000A2BF3"/>
    <w:rsid w:val="000A2FDE"/>
    <w:rsid w:val="000A300C"/>
    <w:rsid w:val="000A3DEC"/>
    <w:rsid w:val="000A4755"/>
    <w:rsid w:val="000A4873"/>
    <w:rsid w:val="000A54E6"/>
    <w:rsid w:val="000A5BDB"/>
    <w:rsid w:val="000A5CF8"/>
    <w:rsid w:val="000A6BB1"/>
    <w:rsid w:val="000A6CC7"/>
    <w:rsid w:val="000A7630"/>
    <w:rsid w:val="000B09F7"/>
    <w:rsid w:val="000B0CA0"/>
    <w:rsid w:val="000B1CBB"/>
    <w:rsid w:val="000B1E75"/>
    <w:rsid w:val="000B2927"/>
    <w:rsid w:val="000B2ED1"/>
    <w:rsid w:val="000B395B"/>
    <w:rsid w:val="000B3E74"/>
    <w:rsid w:val="000B4282"/>
    <w:rsid w:val="000B4666"/>
    <w:rsid w:val="000B5517"/>
    <w:rsid w:val="000B5DBB"/>
    <w:rsid w:val="000B6679"/>
    <w:rsid w:val="000B6983"/>
    <w:rsid w:val="000B736C"/>
    <w:rsid w:val="000B7444"/>
    <w:rsid w:val="000B77A9"/>
    <w:rsid w:val="000B7D48"/>
    <w:rsid w:val="000B7D50"/>
    <w:rsid w:val="000C0113"/>
    <w:rsid w:val="000C0C48"/>
    <w:rsid w:val="000C1A72"/>
    <w:rsid w:val="000C1F81"/>
    <w:rsid w:val="000C234B"/>
    <w:rsid w:val="000C2630"/>
    <w:rsid w:val="000C273A"/>
    <w:rsid w:val="000C2E95"/>
    <w:rsid w:val="000C2EE6"/>
    <w:rsid w:val="000C2F67"/>
    <w:rsid w:val="000C313A"/>
    <w:rsid w:val="000C3146"/>
    <w:rsid w:val="000C3512"/>
    <w:rsid w:val="000C3744"/>
    <w:rsid w:val="000C3942"/>
    <w:rsid w:val="000C4084"/>
    <w:rsid w:val="000C41FF"/>
    <w:rsid w:val="000C4CA7"/>
    <w:rsid w:val="000C4D82"/>
    <w:rsid w:val="000C55CC"/>
    <w:rsid w:val="000C5AF0"/>
    <w:rsid w:val="000C61B5"/>
    <w:rsid w:val="000C6296"/>
    <w:rsid w:val="000C695C"/>
    <w:rsid w:val="000C6A72"/>
    <w:rsid w:val="000C6CB4"/>
    <w:rsid w:val="000C6D8A"/>
    <w:rsid w:val="000C7123"/>
    <w:rsid w:val="000C72E4"/>
    <w:rsid w:val="000C75C4"/>
    <w:rsid w:val="000C781E"/>
    <w:rsid w:val="000C78D5"/>
    <w:rsid w:val="000C7BD3"/>
    <w:rsid w:val="000C7BD6"/>
    <w:rsid w:val="000D019D"/>
    <w:rsid w:val="000D0860"/>
    <w:rsid w:val="000D0E8F"/>
    <w:rsid w:val="000D0F81"/>
    <w:rsid w:val="000D0F83"/>
    <w:rsid w:val="000D1065"/>
    <w:rsid w:val="000D120E"/>
    <w:rsid w:val="000D130E"/>
    <w:rsid w:val="000D15F9"/>
    <w:rsid w:val="000D1626"/>
    <w:rsid w:val="000D181B"/>
    <w:rsid w:val="000D1CD4"/>
    <w:rsid w:val="000D1D87"/>
    <w:rsid w:val="000D1FB3"/>
    <w:rsid w:val="000D2272"/>
    <w:rsid w:val="000D3BAB"/>
    <w:rsid w:val="000D401F"/>
    <w:rsid w:val="000D452E"/>
    <w:rsid w:val="000D4663"/>
    <w:rsid w:val="000D4C87"/>
    <w:rsid w:val="000D5189"/>
    <w:rsid w:val="000D53EC"/>
    <w:rsid w:val="000D5816"/>
    <w:rsid w:val="000D5A80"/>
    <w:rsid w:val="000D5E47"/>
    <w:rsid w:val="000D63D6"/>
    <w:rsid w:val="000D664A"/>
    <w:rsid w:val="000D71D8"/>
    <w:rsid w:val="000D737E"/>
    <w:rsid w:val="000D75E2"/>
    <w:rsid w:val="000D76B8"/>
    <w:rsid w:val="000D7B9B"/>
    <w:rsid w:val="000E020B"/>
    <w:rsid w:val="000E044A"/>
    <w:rsid w:val="000E0D00"/>
    <w:rsid w:val="000E137E"/>
    <w:rsid w:val="000E138A"/>
    <w:rsid w:val="000E13A5"/>
    <w:rsid w:val="000E1DB9"/>
    <w:rsid w:val="000E24DA"/>
    <w:rsid w:val="000E3DDF"/>
    <w:rsid w:val="000E3E85"/>
    <w:rsid w:val="000E4284"/>
    <w:rsid w:val="000E436D"/>
    <w:rsid w:val="000E4933"/>
    <w:rsid w:val="000E4D35"/>
    <w:rsid w:val="000E50BD"/>
    <w:rsid w:val="000E5198"/>
    <w:rsid w:val="000E5A0D"/>
    <w:rsid w:val="000E61CB"/>
    <w:rsid w:val="000E64B0"/>
    <w:rsid w:val="000E652C"/>
    <w:rsid w:val="000E6751"/>
    <w:rsid w:val="000E6B19"/>
    <w:rsid w:val="000E7B9A"/>
    <w:rsid w:val="000E7C99"/>
    <w:rsid w:val="000F0A8A"/>
    <w:rsid w:val="000F0CEF"/>
    <w:rsid w:val="000F0E12"/>
    <w:rsid w:val="000F0E25"/>
    <w:rsid w:val="000F151D"/>
    <w:rsid w:val="000F164F"/>
    <w:rsid w:val="000F24CD"/>
    <w:rsid w:val="000F2573"/>
    <w:rsid w:val="000F2AA0"/>
    <w:rsid w:val="000F36EF"/>
    <w:rsid w:val="000F3997"/>
    <w:rsid w:val="000F3B1E"/>
    <w:rsid w:val="000F3E53"/>
    <w:rsid w:val="000F44CB"/>
    <w:rsid w:val="000F45B9"/>
    <w:rsid w:val="000F4D98"/>
    <w:rsid w:val="000F580B"/>
    <w:rsid w:val="000F59EB"/>
    <w:rsid w:val="000F5BDA"/>
    <w:rsid w:val="000F637A"/>
    <w:rsid w:val="000F6507"/>
    <w:rsid w:val="000F6876"/>
    <w:rsid w:val="000F6C0F"/>
    <w:rsid w:val="000F760B"/>
    <w:rsid w:val="001001E6"/>
    <w:rsid w:val="00100248"/>
    <w:rsid w:val="00101D44"/>
    <w:rsid w:val="0010244C"/>
    <w:rsid w:val="0010287F"/>
    <w:rsid w:val="00102921"/>
    <w:rsid w:val="00102B59"/>
    <w:rsid w:val="00102E49"/>
    <w:rsid w:val="00103122"/>
    <w:rsid w:val="001036F3"/>
    <w:rsid w:val="00103F19"/>
    <w:rsid w:val="0010481C"/>
    <w:rsid w:val="00104CA4"/>
    <w:rsid w:val="001051D7"/>
    <w:rsid w:val="00105AE9"/>
    <w:rsid w:val="00105EE1"/>
    <w:rsid w:val="00106614"/>
    <w:rsid w:val="00107A36"/>
    <w:rsid w:val="00107DF0"/>
    <w:rsid w:val="00107F39"/>
    <w:rsid w:val="00110395"/>
    <w:rsid w:val="00110A80"/>
    <w:rsid w:val="00110F02"/>
    <w:rsid w:val="0011140C"/>
    <w:rsid w:val="00111531"/>
    <w:rsid w:val="00111AB4"/>
    <w:rsid w:val="00111D11"/>
    <w:rsid w:val="0011208B"/>
    <w:rsid w:val="00112B9B"/>
    <w:rsid w:val="001133C3"/>
    <w:rsid w:val="00113A28"/>
    <w:rsid w:val="00113C7C"/>
    <w:rsid w:val="0011526F"/>
    <w:rsid w:val="00115758"/>
    <w:rsid w:val="001159B3"/>
    <w:rsid w:val="001159F8"/>
    <w:rsid w:val="00115B12"/>
    <w:rsid w:val="00115C02"/>
    <w:rsid w:val="0011655C"/>
    <w:rsid w:val="00116889"/>
    <w:rsid w:val="001176F1"/>
    <w:rsid w:val="00117D0B"/>
    <w:rsid w:val="00120BC8"/>
    <w:rsid w:val="00120C33"/>
    <w:rsid w:val="00120E3E"/>
    <w:rsid w:val="001213B6"/>
    <w:rsid w:val="00121468"/>
    <w:rsid w:val="001215B7"/>
    <w:rsid w:val="00121646"/>
    <w:rsid w:val="00121B22"/>
    <w:rsid w:val="00121D75"/>
    <w:rsid w:val="001225C4"/>
    <w:rsid w:val="00122B31"/>
    <w:rsid w:val="00122B5C"/>
    <w:rsid w:val="00123238"/>
    <w:rsid w:val="00123427"/>
    <w:rsid w:val="001236FF"/>
    <w:rsid w:val="00123B16"/>
    <w:rsid w:val="00123FCD"/>
    <w:rsid w:val="00123FE1"/>
    <w:rsid w:val="001241CB"/>
    <w:rsid w:val="0012426B"/>
    <w:rsid w:val="00124512"/>
    <w:rsid w:val="00124F1D"/>
    <w:rsid w:val="00125053"/>
    <w:rsid w:val="001251B7"/>
    <w:rsid w:val="0012569E"/>
    <w:rsid w:val="0012594E"/>
    <w:rsid w:val="00125C4D"/>
    <w:rsid w:val="00125FF7"/>
    <w:rsid w:val="00126252"/>
    <w:rsid w:val="00126943"/>
    <w:rsid w:val="001269A5"/>
    <w:rsid w:val="00126C01"/>
    <w:rsid w:val="00127C52"/>
    <w:rsid w:val="001303DA"/>
    <w:rsid w:val="00130658"/>
    <w:rsid w:val="00130CB8"/>
    <w:rsid w:val="0013133D"/>
    <w:rsid w:val="00131614"/>
    <w:rsid w:val="001319F9"/>
    <w:rsid w:val="001320C4"/>
    <w:rsid w:val="001324F8"/>
    <w:rsid w:val="00132548"/>
    <w:rsid w:val="001328D8"/>
    <w:rsid w:val="00132D73"/>
    <w:rsid w:val="001339EE"/>
    <w:rsid w:val="00133FF9"/>
    <w:rsid w:val="001341B4"/>
    <w:rsid w:val="001343BC"/>
    <w:rsid w:val="00134672"/>
    <w:rsid w:val="001348A9"/>
    <w:rsid w:val="00134D9C"/>
    <w:rsid w:val="001359F2"/>
    <w:rsid w:val="00135D2C"/>
    <w:rsid w:val="00135DFE"/>
    <w:rsid w:val="00136063"/>
    <w:rsid w:val="001362B1"/>
    <w:rsid w:val="001366B6"/>
    <w:rsid w:val="00136C78"/>
    <w:rsid w:val="001377F7"/>
    <w:rsid w:val="001406BC"/>
    <w:rsid w:val="00140754"/>
    <w:rsid w:val="00140813"/>
    <w:rsid w:val="00140B13"/>
    <w:rsid w:val="00140BB5"/>
    <w:rsid w:val="00140F1D"/>
    <w:rsid w:val="00141142"/>
    <w:rsid w:val="00141815"/>
    <w:rsid w:val="00141AFF"/>
    <w:rsid w:val="00141C4F"/>
    <w:rsid w:val="00141CC2"/>
    <w:rsid w:val="00141E33"/>
    <w:rsid w:val="001428FE"/>
    <w:rsid w:val="00142B84"/>
    <w:rsid w:val="00143059"/>
    <w:rsid w:val="00143DC4"/>
    <w:rsid w:val="00143EFC"/>
    <w:rsid w:val="00143FFE"/>
    <w:rsid w:val="001444AF"/>
    <w:rsid w:val="0014460E"/>
    <w:rsid w:val="001447AE"/>
    <w:rsid w:val="00144886"/>
    <w:rsid w:val="001449B2"/>
    <w:rsid w:val="00144F17"/>
    <w:rsid w:val="00145A1C"/>
    <w:rsid w:val="00145B12"/>
    <w:rsid w:val="00145BF6"/>
    <w:rsid w:val="001463AB"/>
    <w:rsid w:val="0014680B"/>
    <w:rsid w:val="001468AF"/>
    <w:rsid w:val="00146BF2"/>
    <w:rsid w:val="0014729F"/>
    <w:rsid w:val="001475DB"/>
    <w:rsid w:val="00147764"/>
    <w:rsid w:val="00147CB1"/>
    <w:rsid w:val="00147F06"/>
    <w:rsid w:val="00147F07"/>
    <w:rsid w:val="001500A8"/>
    <w:rsid w:val="00150402"/>
    <w:rsid w:val="00150BF1"/>
    <w:rsid w:val="00150C19"/>
    <w:rsid w:val="00150C8F"/>
    <w:rsid w:val="00151E1B"/>
    <w:rsid w:val="00152344"/>
    <w:rsid w:val="0015263C"/>
    <w:rsid w:val="00152CA8"/>
    <w:rsid w:val="0015335D"/>
    <w:rsid w:val="00153A70"/>
    <w:rsid w:val="00153B3F"/>
    <w:rsid w:val="0015441C"/>
    <w:rsid w:val="00154FD3"/>
    <w:rsid w:val="0015504C"/>
    <w:rsid w:val="00155839"/>
    <w:rsid w:val="001558D2"/>
    <w:rsid w:val="00155ABE"/>
    <w:rsid w:val="00155BF3"/>
    <w:rsid w:val="00156192"/>
    <w:rsid w:val="00157A51"/>
    <w:rsid w:val="00157C6A"/>
    <w:rsid w:val="00160267"/>
    <w:rsid w:val="0016053B"/>
    <w:rsid w:val="00160CD1"/>
    <w:rsid w:val="00161622"/>
    <w:rsid w:val="001619C8"/>
    <w:rsid w:val="00161BE2"/>
    <w:rsid w:val="00161DEE"/>
    <w:rsid w:val="00161EE9"/>
    <w:rsid w:val="001636B7"/>
    <w:rsid w:val="00163A62"/>
    <w:rsid w:val="00164113"/>
    <w:rsid w:val="00164426"/>
    <w:rsid w:val="00164480"/>
    <w:rsid w:val="001652CC"/>
    <w:rsid w:val="00165837"/>
    <w:rsid w:val="00165A97"/>
    <w:rsid w:val="00166646"/>
    <w:rsid w:val="00166ADB"/>
    <w:rsid w:val="00166BDB"/>
    <w:rsid w:val="0016712A"/>
    <w:rsid w:val="0016774F"/>
    <w:rsid w:val="001678C1"/>
    <w:rsid w:val="001704A6"/>
    <w:rsid w:val="00170A0A"/>
    <w:rsid w:val="00170AB0"/>
    <w:rsid w:val="00170E67"/>
    <w:rsid w:val="00170F8C"/>
    <w:rsid w:val="00171690"/>
    <w:rsid w:val="00171A6B"/>
    <w:rsid w:val="00172F16"/>
    <w:rsid w:val="0017333D"/>
    <w:rsid w:val="00173435"/>
    <w:rsid w:val="001737E1"/>
    <w:rsid w:val="00173A16"/>
    <w:rsid w:val="00173E0E"/>
    <w:rsid w:val="00174896"/>
    <w:rsid w:val="00174D36"/>
    <w:rsid w:val="0017502F"/>
    <w:rsid w:val="001751B1"/>
    <w:rsid w:val="001752C8"/>
    <w:rsid w:val="001752DE"/>
    <w:rsid w:val="0017532F"/>
    <w:rsid w:val="001758C3"/>
    <w:rsid w:val="001768E3"/>
    <w:rsid w:val="00177172"/>
    <w:rsid w:val="001804D0"/>
    <w:rsid w:val="0018073C"/>
    <w:rsid w:val="00180A31"/>
    <w:rsid w:val="00181498"/>
    <w:rsid w:val="001814C0"/>
    <w:rsid w:val="00181648"/>
    <w:rsid w:val="00181944"/>
    <w:rsid w:val="00181945"/>
    <w:rsid w:val="0018197C"/>
    <w:rsid w:val="00181B1A"/>
    <w:rsid w:val="00181FA6"/>
    <w:rsid w:val="001822FB"/>
    <w:rsid w:val="00182C63"/>
    <w:rsid w:val="00182FE6"/>
    <w:rsid w:val="001836D4"/>
    <w:rsid w:val="00183D00"/>
    <w:rsid w:val="00184B18"/>
    <w:rsid w:val="00184C62"/>
    <w:rsid w:val="00184C71"/>
    <w:rsid w:val="00185AB4"/>
    <w:rsid w:val="00185C2F"/>
    <w:rsid w:val="0018619C"/>
    <w:rsid w:val="00186251"/>
    <w:rsid w:val="00187053"/>
    <w:rsid w:val="001870BD"/>
    <w:rsid w:val="00187374"/>
    <w:rsid w:val="00187481"/>
    <w:rsid w:val="00187558"/>
    <w:rsid w:val="00190406"/>
    <w:rsid w:val="0019132C"/>
    <w:rsid w:val="001916A0"/>
    <w:rsid w:val="00192264"/>
    <w:rsid w:val="001923C5"/>
    <w:rsid w:val="001924B6"/>
    <w:rsid w:val="001925DC"/>
    <w:rsid w:val="001927D2"/>
    <w:rsid w:val="00192A0E"/>
    <w:rsid w:val="00192DFD"/>
    <w:rsid w:val="00193287"/>
    <w:rsid w:val="00193AC2"/>
    <w:rsid w:val="00193F54"/>
    <w:rsid w:val="001945A5"/>
    <w:rsid w:val="00194ABC"/>
    <w:rsid w:val="00194B21"/>
    <w:rsid w:val="00194B6D"/>
    <w:rsid w:val="001954C8"/>
    <w:rsid w:val="001955EC"/>
    <w:rsid w:val="0019648E"/>
    <w:rsid w:val="00196536"/>
    <w:rsid w:val="00196791"/>
    <w:rsid w:val="00196E48"/>
    <w:rsid w:val="0019785E"/>
    <w:rsid w:val="001978A3"/>
    <w:rsid w:val="00197984"/>
    <w:rsid w:val="00197DDB"/>
    <w:rsid w:val="00197EC9"/>
    <w:rsid w:val="001A000B"/>
    <w:rsid w:val="001A04FA"/>
    <w:rsid w:val="001A05EC"/>
    <w:rsid w:val="001A11DB"/>
    <w:rsid w:val="001A17DF"/>
    <w:rsid w:val="001A1EF4"/>
    <w:rsid w:val="001A207A"/>
    <w:rsid w:val="001A26FD"/>
    <w:rsid w:val="001A28BB"/>
    <w:rsid w:val="001A29A2"/>
    <w:rsid w:val="001A2A08"/>
    <w:rsid w:val="001A338F"/>
    <w:rsid w:val="001A3971"/>
    <w:rsid w:val="001A3DDD"/>
    <w:rsid w:val="001A3E47"/>
    <w:rsid w:val="001A42D6"/>
    <w:rsid w:val="001A48AA"/>
    <w:rsid w:val="001A4B8F"/>
    <w:rsid w:val="001A4D08"/>
    <w:rsid w:val="001A5053"/>
    <w:rsid w:val="001A53F7"/>
    <w:rsid w:val="001A5A97"/>
    <w:rsid w:val="001A5B48"/>
    <w:rsid w:val="001A5CE8"/>
    <w:rsid w:val="001A6854"/>
    <w:rsid w:val="001A6A0A"/>
    <w:rsid w:val="001A6E2A"/>
    <w:rsid w:val="001A702F"/>
    <w:rsid w:val="001A7C7D"/>
    <w:rsid w:val="001B002C"/>
    <w:rsid w:val="001B02D6"/>
    <w:rsid w:val="001B0421"/>
    <w:rsid w:val="001B0600"/>
    <w:rsid w:val="001B0671"/>
    <w:rsid w:val="001B1760"/>
    <w:rsid w:val="001B18ED"/>
    <w:rsid w:val="001B23D5"/>
    <w:rsid w:val="001B2D74"/>
    <w:rsid w:val="001B3749"/>
    <w:rsid w:val="001B37BE"/>
    <w:rsid w:val="001B3EDB"/>
    <w:rsid w:val="001B433E"/>
    <w:rsid w:val="001B44EC"/>
    <w:rsid w:val="001B45BE"/>
    <w:rsid w:val="001B4696"/>
    <w:rsid w:val="001B4764"/>
    <w:rsid w:val="001B5123"/>
    <w:rsid w:val="001B5B0B"/>
    <w:rsid w:val="001B5C0D"/>
    <w:rsid w:val="001B5D31"/>
    <w:rsid w:val="001B6117"/>
    <w:rsid w:val="001B6FBE"/>
    <w:rsid w:val="001B7220"/>
    <w:rsid w:val="001B72FF"/>
    <w:rsid w:val="001B7497"/>
    <w:rsid w:val="001B76F0"/>
    <w:rsid w:val="001B7AB3"/>
    <w:rsid w:val="001B7D45"/>
    <w:rsid w:val="001B7E4B"/>
    <w:rsid w:val="001B7E99"/>
    <w:rsid w:val="001B7F48"/>
    <w:rsid w:val="001C0EE1"/>
    <w:rsid w:val="001C1A01"/>
    <w:rsid w:val="001C1CB7"/>
    <w:rsid w:val="001C1EAF"/>
    <w:rsid w:val="001C2B2A"/>
    <w:rsid w:val="001C2D2D"/>
    <w:rsid w:val="001C30DA"/>
    <w:rsid w:val="001C32EA"/>
    <w:rsid w:val="001C3597"/>
    <w:rsid w:val="001C382A"/>
    <w:rsid w:val="001C3C99"/>
    <w:rsid w:val="001C4535"/>
    <w:rsid w:val="001C4570"/>
    <w:rsid w:val="001C4E9D"/>
    <w:rsid w:val="001C506B"/>
    <w:rsid w:val="001C5151"/>
    <w:rsid w:val="001C515E"/>
    <w:rsid w:val="001C524B"/>
    <w:rsid w:val="001C58CE"/>
    <w:rsid w:val="001C5AD1"/>
    <w:rsid w:val="001C5FFC"/>
    <w:rsid w:val="001C6A2F"/>
    <w:rsid w:val="001C6BD7"/>
    <w:rsid w:val="001C7171"/>
    <w:rsid w:val="001C732D"/>
    <w:rsid w:val="001C7781"/>
    <w:rsid w:val="001C78BF"/>
    <w:rsid w:val="001C7C3D"/>
    <w:rsid w:val="001C7DD9"/>
    <w:rsid w:val="001C7E69"/>
    <w:rsid w:val="001C7E89"/>
    <w:rsid w:val="001D036E"/>
    <w:rsid w:val="001D0A6F"/>
    <w:rsid w:val="001D0D01"/>
    <w:rsid w:val="001D15B5"/>
    <w:rsid w:val="001D1CF3"/>
    <w:rsid w:val="001D2631"/>
    <w:rsid w:val="001D2747"/>
    <w:rsid w:val="001D2B3A"/>
    <w:rsid w:val="001D2C95"/>
    <w:rsid w:val="001D306A"/>
    <w:rsid w:val="001D3DB5"/>
    <w:rsid w:val="001D3DC0"/>
    <w:rsid w:val="001D3EC9"/>
    <w:rsid w:val="001D3F6F"/>
    <w:rsid w:val="001D4437"/>
    <w:rsid w:val="001D48BD"/>
    <w:rsid w:val="001D4AE2"/>
    <w:rsid w:val="001D4E1B"/>
    <w:rsid w:val="001D4E90"/>
    <w:rsid w:val="001D520E"/>
    <w:rsid w:val="001D56C2"/>
    <w:rsid w:val="001D5E51"/>
    <w:rsid w:val="001D60E1"/>
    <w:rsid w:val="001D629B"/>
    <w:rsid w:val="001D67F8"/>
    <w:rsid w:val="001D6BD4"/>
    <w:rsid w:val="001D7037"/>
    <w:rsid w:val="001D78DB"/>
    <w:rsid w:val="001D7DD7"/>
    <w:rsid w:val="001E017E"/>
    <w:rsid w:val="001E0886"/>
    <w:rsid w:val="001E0F6E"/>
    <w:rsid w:val="001E110C"/>
    <w:rsid w:val="001E2057"/>
    <w:rsid w:val="001E23EE"/>
    <w:rsid w:val="001E2751"/>
    <w:rsid w:val="001E2759"/>
    <w:rsid w:val="001E2AC3"/>
    <w:rsid w:val="001E32D2"/>
    <w:rsid w:val="001E3362"/>
    <w:rsid w:val="001E350D"/>
    <w:rsid w:val="001E354A"/>
    <w:rsid w:val="001E4151"/>
    <w:rsid w:val="001E4B87"/>
    <w:rsid w:val="001E4C18"/>
    <w:rsid w:val="001E4D73"/>
    <w:rsid w:val="001E4FF8"/>
    <w:rsid w:val="001E56F9"/>
    <w:rsid w:val="001E5B4B"/>
    <w:rsid w:val="001E5B8F"/>
    <w:rsid w:val="001E5E71"/>
    <w:rsid w:val="001E642E"/>
    <w:rsid w:val="001E6A51"/>
    <w:rsid w:val="001E7B0D"/>
    <w:rsid w:val="001F08C6"/>
    <w:rsid w:val="001F0A34"/>
    <w:rsid w:val="001F0E5C"/>
    <w:rsid w:val="001F182E"/>
    <w:rsid w:val="001F280F"/>
    <w:rsid w:val="001F2CDF"/>
    <w:rsid w:val="001F2D50"/>
    <w:rsid w:val="001F3638"/>
    <w:rsid w:val="001F3EF5"/>
    <w:rsid w:val="001F416E"/>
    <w:rsid w:val="001F41E7"/>
    <w:rsid w:val="001F448D"/>
    <w:rsid w:val="001F45AE"/>
    <w:rsid w:val="001F5ACB"/>
    <w:rsid w:val="001F68A7"/>
    <w:rsid w:val="001F6C3E"/>
    <w:rsid w:val="001F6E35"/>
    <w:rsid w:val="001F728D"/>
    <w:rsid w:val="00200192"/>
    <w:rsid w:val="002004F9"/>
    <w:rsid w:val="00200560"/>
    <w:rsid w:val="00200906"/>
    <w:rsid w:val="00200F40"/>
    <w:rsid w:val="0020145A"/>
    <w:rsid w:val="00201F25"/>
    <w:rsid w:val="002021ED"/>
    <w:rsid w:val="0020281B"/>
    <w:rsid w:val="002036CE"/>
    <w:rsid w:val="00203ECD"/>
    <w:rsid w:val="0020433E"/>
    <w:rsid w:val="00204CB8"/>
    <w:rsid w:val="00204FA6"/>
    <w:rsid w:val="0020503B"/>
    <w:rsid w:val="0020509C"/>
    <w:rsid w:val="002052AC"/>
    <w:rsid w:val="002053BE"/>
    <w:rsid w:val="0020570B"/>
    <w:rsid w:val="002058FC"/>
    <w:rsid w:val="002059AC"/>
    <w:rsid w:val="0020644E"/>
    <w:rsid w:val="002070B3"/>
    <w:rsid w:val="0021034A"/>
    <w:rsid w:val="00210876"/>
    <w:rsid w:val="00210DEE"/>
    <w:rsid w:val="0021226B"/>
    <w:rsid w:val="0021237D"/>
    <w:rsid w:val="002127A6"/>
    <w:rsid w:val="00213614"/>
    <w:rsid w:val="00214382"/>
    <w:rsid w:val="002147C5"/>
    <w:rsid w:val="00214E84"/>
    <w:rsid w:val="00215256"/>
    <w:rsid w:val="00215953"/>
    <w:rsid w:val="00215E8C"/>
    <w:rsid w:val="00215F80"/>
    <w:rsid w:val="00216B4F"/>
    <w:rsid w:val="00216E0F"/>
    <w:rsid w:val="00217084"/>
    <w:rsid w:val="00217FAF"/>
    <w:rsid w:val="00220C04"/>
    <w:rsid w:val="00220F4C"/>
    <w:rsid w:val="0022102A"/>
    <w:rsid w:val="00221591"/>
    <w:rsid w:val="002222E8"/>
    <w:rsid w:val="00222326"/>
    <w:rsid w:val="00222617"/>
    <w:rsid w:val="0022391E"/>
    <w:rsid w:val="00224BF1"/>
    <w:rsid w:val="002254A9"/>
    <w:rsid w:val="002256F6"/>
    <w:rsid w:val="002266E7"/>
    <w:rsid w:val="002267BC"/>
    <w:rsid w:val="00226CA4"/>
    <w:rsid w:val="002305D1"/>
    <w:rsid w:val="002308C4"/>
    <w:rsid w:val="00230B64"/>
    <w:rsid w:val="00231173"/>
    <w:rsid w:val="00231A77"/>
    <w:rsid w:val="00231FE9"/>
    <w:rsid w:val="00232807"/>
    <w:rsid w:val="00233A79"/>
    <w:rsid w:val="00233E0D"/>
    <w:rsid w:val="002341C8"/>
    <w:rsid w:val="00234474"/>
    <w:rsid w:val="00234948"/>
    <w:rsid w:val="00234DC3"/>
    <w:rsid w:val="0023526B"/>
    <w:rsid w:val="00235895"/>
    <w:rsid w:val="00235955"/>
    <w:rsid w:val="00235E18"/>
    <w:rsid w:val="00235E5C"/>
    <w:rsid w:val="00236492"/>
    <w:rsid w:val="002367E1"/>
    <w:rsid w:val="00236DF3"/>
    <w:rsid w:val="002370F9"/>
    <w:rsid w:val="002377A8"/>
    <w:rsid w:val="00241923"/>
    <w:rsid w:val="00241BE4"/>
    <w:rsid w:val="00242687"/>
    <w:rsid w:val="00242A50"/>
    <w:rsid w:val="00242F2E"/>
    <w:rsid w:val="00243285"/>
    <w:rsid w:val="002432BC"/>
    <w:rsid w:val="0024375E"/>
    <w:rsid w:val="002438F8"/>
    <w:rsid w:val="002443C8"/>
    <w:rsid w:val="002445D5"/>
    <w:rsid w:val="00244A53"/>
    <w:rsid w:val="00244CB7"/>
    <w:rsid w:val="00244E39"/>
    <w:rsid w:val="00244E4C"/>
    <w:rsid w:val="00246011"/>
    <w:rsid w:val="002466E0"/>
    <w:rsid w:val="00246E41"/>
    <w:rsid w:val="00247003"/>
    <w:rsid w:val="00247409"/>
    <w:rsid w:val="00247A1A"/>
    <w:rsid w:val="0025023B"/>
    <w:rsid w:val="00250390"/>
    <w:rsid w:val="00250F22"/>
    <w:rsid w:val="002511D0"/>
    <w:rsid w:val="0025149A"/>
    <w:rsid w:val="00251AB3"/>
    <w:rsid w:val="00251D02"/>
    <w:rsid w:val="002523FC"/>
    <w:rsid w:val="00252840"/>
    <w:rsid w:val="002528DE"/>
    <w:rsid w:val="00253075"/>
    <w:rsid w:val="00253A79"/>
    <w:rsid w:val="00254267"/>
    <w:rsid w:val="00255325"/>
    <w:rsid w:val="002557D7"/>
    <w:rsid w:val="00255F20"/>
    <w:rsid w:val="0025618D"/>
    <w:rsid w:val="0025639D"/>
    <w:rsid w:val="002564EB"/>
    <w:rsid w:val="00256898"/>
    <w:rsid w:val="002568C0"/>
    <w:rsid w:val="00256B28"/>
    <w:rsid w:val="00256FD4"/>
    <w:rsid w:val="002579C0"/>
    <w:rsid w:val="00257AFC"/>
    <w:rsid w:val="002603F0"/>
    <w:rsid w:val="00260CB4"/>
    <w:rsid w:val="00260E30"/>
    <w:rsid w:val="0026113C"/>
    <w:rsid w:val="002616A2"/>
    <w:rsid w:val="002616F2"/>
    <w:rsid w:val="002618F0"/>
    <w:rsid w:val="00261AB9"/>
    <w:rsid w:val="002621F2"/>
    <w:rsid w:val="00262CCC"/>
    <w:rsid w:val="00262E74"/>
    <w:rsid w:val="00264208"/>
    <w:rsid w:val="002643CC"/>
    <w:rsid w:val="002643DB"/>
    <w:rsid w:val="00264C46"/>
    <w:rsid w:val="00264C8D"/>
    <w:rsid w:val="00265503"/>
    <w:rsid w:val="00266E52"/>
    <w:rsid w:val="00266E6D"/>
    <w:rsid w:val="002670AB"/>
    <w:rsid w:val="002670EF"/>
    <w:rsid w:val="0026765B"/>
    <w:rsid w:val="00267772"/>
    <w:rsid w:val="00267ABB"/>
    <w:rsid w:val="00267C18"/>
    <w:rsid w:val="00270268"/>
    <w:rsid w:val="002705C1"/>
    <w:rsid w:val="00271097"/>
    <w:rsid w:val="002710E1"/>
    <w:rsid w:val="00271CF1"/>
    <w:rsid w:val="00271DF7"/>
    <w:rsid w:val="00272332"/>
    <w:rsid w:val="002726D5"/>
    <w:rsid w:val="00272C92"/>
    <w:rsid w:val="00272C9F"/>
    <w:rsid w:val="00272E43"/>
    <w:rsid w:val="00273543"/>
    <w:rsid w:val="00273834"/>
    <w:rsid w:val="002738A7"/>
    <w:rsid w:val="00273994"/>
    <w:rsid w:val="002744E2"/>
    <w:rsid w:val="00274ACE"/>
    <w:rsid w:val="002750A8"/>
    <w:rsid w:val="002753F7"/>
    <w:rsid w:val="00275415"/>
    <w:rsid w:val="0027557B"/>
    <w:rsid w:val="002755A4"/>
    <w:rsid w:val="0027638E"/>
    <w:rsid w:val="0027662A"/>
    <w:rsid w:val="00276715"/>
    <w:rsid w:val="00276CB3"/>
    <w:rsid w:val="00277202"/>
    <w:rsid w:val="002773F6"/>
    <w:rsid w:val="00277A98"/>
    <w:rsid w:val="00277C48"/>
    <w:rsid w:val="00277F9F"/>
    <w:rsid w:val="002801CF"/>
    <w:rsid w:val="00280239"/>
    <w:rsid w:val="002802CF"/>
    <w:rsid w:val="00280610"/>
    <w:rsid w:val="002807CB"/>
    <w:rsid w:val="00280D55"/>
    <w:rsid w:val="00280DAC"/>
    <w:rsid w:val="00280E0C"/>
    <w:rsid w:val="00280FD6"/>
    <w:rsid w:val="00281571"/>
    <w:rsid w:val="002818DE"/>
    <w:rsid w:val="00281947"/>
    <w:rsid w:val="00282B53"/>
    <w:rsid w:val="00282C2A"/>
    <w:rsid w:val="00283410"/>
    <w:rsid w:val="00283832"/>
    <w:rsid w:val="002838A0"/>
    <w:rsid w:val="002845F6"/>
    <w:rsid w:val="00284909"/>
    <w:rsid w:val="00284C7B"/>
    <w:rsid w:val="00284D91"/>
    <w:rsid w:val="002853CE"/>
    <w:rsid w:val="00285424"/>
    <w:rsid w:val="00285B77"/>
    <w:rsid w:val="00286091"/>
    <w:rsid w:val="00286342"/>
    <w:rsid w:val="002868BA"/>
    <w:rsid w:val="00286963"/>
    <w:rsid w:val="00286995"/>
    <w:rsid w:val="00286C64"/>
    <w:rsid w:val="0028707B"/>
    <w:rsid w:val="00287354"/>
    <w:rsid w:val="0028745C"/>
    <w:rsid w:val="00287B90"/>
    <w:rsid w:val="00287BAA"/>
    <w:rsid w:val="00287D23"/>
    <w:rsid w:val="0029087D"/>
    <w:rsid w:val="00290AF2"/>
    <w:rsid w:val="00290D07"/>
    <w:rsid w:val="00290FFD"/>
    <w:rsid w:val="0029178F"/>
    <w:rsid w:val="00291EE7"/>
    <w:rsid w:val="00291F3E"/>
    <w:rsid w:val="00292706"/>
    <w:rsid w:val="0029285E"/>
    <w:rsid w:val="0029344E"/>
    <w:rsid w:val="0029350A"/>
    <w:rsid w:val="00293954"/>
    <w:rsid w:val="00293B0E"/>
    <w:rsid w:val="00294522"/>
    <w:rsid w:val="0029492E"/>
    <w:rsid w:val="00295ABD"/>
    <w:rsid w:val="00296624"/>
    <w:rsid w:val="00296AD9"/>
    <w:rsid w:val="00296FB1"/>
    <w:rsid w:val="002979DD"/>
    <w:rsid w:val="00297B83"/>
    <w:rsid w:val="00297E2D"/>
    <w:rsid w:val="002A05B6"/>
    <w:rsid w:val="002A0750"/>
    <w:rsid w:val="002A0BCF"/>
    <w:rsid w:val="002A0C41"/>
    <w:rsid w:val="002A0D54"/>
    <w:rsid w:val="002A12FC"/>
    <w:rsid w:val="002A1518"/>
    <w:rsid w:val="002A17B3"/>
    <w:rsid w:val="002A1B83"/>
    <w:rsid w:val="002A1C29"/>
    <w:rsid w:val="002A2035"/>
    <w:rsid w:val="002A20A7"/>
    <w:rsid w:val="002A227A"/>
    <w:rsid w:val="002A22B7"/>
    <w:rsid w:val="002A22C3"/>
    <w:rsid w:val="002A22EA"/>
    <w:rsid w:val="002A2D8C"/>
    <w:rsid w:val="002A2E52"/>
    <w:rsid w:val="002A3382"/>
    <w:rsid w:val="002A34EA"/>
    <w:rsid w:val="002A379E"/>
    <w:rsid w:val="002A4AA3"/>
    <w:rsid w:val="002A698F"/>
    <w:rsid w:val="002A7362"/>
    <w:rsid w:val="002A794F"/>
    <w:rsid w:val="002A7B58"/>
    <w:rsid w:val="002B051E"/>
    <w:rsid w:val="002B0D1E"/>
    <w:rsid w:val="002B1476"/>
    <w:rsid w:val="002B14DB"/>
    <w:rsid w:val="002B18D4"/>
    <w:rsid w:val="002B1AB0"/>
    <w:rsid w:val="002B1BB4"/>
    <w:rsid w:val="002B1C98"/>
    <w:rsid w:val="002B21E8"/>
    <w:rsid w:val="002B2757"/>
    <w:rsid w:val="002B2E54"/>
    <w:rsid w:val="002B340E"/>
    <w:rsid w:val="002B385C"/>
    <w:rsid w:val="002B3A90"/>
    <w:rsid w:val="002B3BBC"/>
    <w:rsid w:val="002B3F19"/>
    <w:rsid w:val="002B3F26"/>
    <w:rsid w:val="002B409D"/>
    <w:rsid w:val="002B45DC"/>
    <w:rsid w:val="002B468B"/>
    <w:rsid w:val="002B486B"/>
    <w:rsid w:val="002B4D1D"/>
    <w:rsid w:val="002B5835"/>
    <w:rsid w:val="002B5A51"/>
    <w:rsid w:val="002B5F9F"/>
    <w:rsid w:val="002B62C1"/>
    <w:rsid w:val="002B655A"/>
    <w:rsid w:val="002B6AFF"/>
    <w:rsid w:val="002B7020"/>
    <w:rsid w:val="002B7777"/>
    <w:rsid w:val="002C01EE"/>
    <w:rsid w:val="002C0542"/>
    <w:rsid w:val="002C0559"/>
    <w:rsid w:val="002C0698"/>
    <w:rsid w:val="002C06E6"/>
    <w:rsid w:val="002C06F7"/>
    <w:rsid w:val="002C0B30"/>
    <w:rsid w:val="002C10D9"/>
    <w:rsid w:val="002C1289"/>
    <w:rsid w:val="002C14A7"/>
    <w:rsid w:val="002C1ED1"/>
    <w:rsid w:val="002C1F21"/>
    <w:rsid w:val="002C2A36"/>
    <w:rsid w:val="002C343F"/>
    <w:rsid w:val="002C35B3"/>
    <w:rsid w:val="002C36B5"/>
    <w:rsid w:val="002C40AD"/>
    <w:rsid w:val="002C4161"/>
    <w:rsid w:val="002C478C"/>
    <w:rsid w:val="002C4ABB"/>
    <w:rsid w:val="002C4C28"/>
    <w:rsid w:val="002C5BCD"/>
    <w:rsid w:val="002C5D0C"/>
    <w:rsid w:val="002C653F"/>
    <w:rsid w:val="002C6F14"/>
    <w:rsid w:val="002C6F82"/>
    <w:rsid w:val="002C77F6"/>
    <w:rsid w:val="002C7EBE"/>
    <w:rsid w:val="002D0C5E"/>
    <w:rsid w:val="002D0CCA"/>
    <w:rsid w:val="002D111E"/>
    <w:rsid w:val="002D264D"/>
    <w:rsid w:val="002D2EBE"/>
    <w:rsid w:val="002D30AC"/>
    <w:rsid w:val="002D32AF"/>
    <w:rsid w:val="002D3605"/>
    <w:rsid w:val="002D367D"/>
    <w:rsid w:val="002D38ED"/>
    <w:rsid w:val="002D40CD"/>
    <w:rsid w:val="002D4113"/>
    <w:rsid w:val="002D4140"/>
    <w:rsid w:val="002D42F7"/>
    <w:rsid w:val="002D52E1"/>
    <w:rsid w:val="002D5451"/>
    <w:rsid w:val="002D58F0"/>
    <w:rsid w:val="002D6331"/>
    <w:rsid w:val="002D72B5"/>
    <w:rsid w:val="002D7594"/>
    <w:rsid w:val="002D763F"/>
    <w:rsid w:val="002D7AD1"/>
    <w:rsid w:val="002D7D19"/>
    <w:rsid w:val="002E0753"/>
    <w:rsid w:val="002E08DF"/>
    <w:rsid w:val="002E0C20"/>
    <w:rsid w:val="002E0D20"/>
    <w:rsid w:val="002E192E"/>
    <w:rsid w:val="002E1A1D"/>
    <w:rsid w:val="002E1D20"/>
    <w:rsid w:val="002E2486"/>
    <w:rsid w:val="002E2DF0"/>
    <w:rsid w:val="002E3F8E"/>
    <w:rsid w:val="002E3FF2"/>
    <w:rsid w:val="002E4511"/>
    <w:rsid w:val="002E4525"/>
    <w:rsid w:val="002E47EF"/>
    <w:rsid w:val="002E516D"/>
    <w:rsid w:val="002E56B5"/>
    <w:rsid w:val="002E5817"/>
    <w:rsid w:val="002E646E"/>
    <w:rsid w:val="002E6AF6"/>
    <w:rsid w:val="002E6CC4"/>
    <w:rsid w:val="002F0533"/>
    <w:rsid w:val="002F0B29"/>
    <w:rsid w:val="002F0FBC"/>
    <w:rsid w:val="002F1116"/>
    <w:rsid w:val="002F12C9"/>
    <w:rsid w:val="002F17BE"/>
    <w:rsid w:val="002F26E5"/>
    <w:rsid w:val="002F285F"/>
    <w:rsid w:val="002F3E59"/>
    <w:rsid w:val="002F4AEA"/>
    <w:rsid w:val="002F51A0"/>
    <w:rsid w:val="002F5871"/>
    <w:rsid w:val="002F6517"/>
    <w:rsid w:val="002F6945"/>
    <w:rsid w:val="002F6EEA"/>
    <w:rsid w:val="002F733C"/>
    <w:rsid w:val="002F7FA2"/>
    <w:rsid w:val="00300522"/>
    <w:rsid w:val="00300AB9"/>
    <w:rsid w:val="00300E09"/>
    <w:rsid w:val="00300E62"/>
    <w:rsid w:val="00301A79"/>
    <w:rsid w:val="0030263A"/>
    <w:rsid w:val="003027E4"/>
    <w:rsid w:val="00302AAA"/>
    <w:rsid w:val="0030310A"/>
    <w:rsid w:val="00303396"/>
    <w:rsid w:val="00303418"/>
    <w:rsid w:val="00303433"/>
    <w:rsid w:val="00303BF8"/>
    <w:rsid w:val="00303C3E"/>
    <w:rsid w:val="00303E47"/>
    <w:rsid w:val="003042BB"/>
    <w:rsid w:val="00304489"/>
    <w:rsid w:val="00304FB7"/>
    <w:rsid w:val="0030523E"/>
    <w:rsid w:val="00305CDB"/>
    <w:rsid w:val="00306659"/>
    <w:rsid w:val="00306847"/>
    <w:rsid w:val="003069E8"/>
    <w:rsid w:val="00306D45"/>
    <w:rsid w:val="00307075"/>
    <w:rsid w:val="0030712C"/>
    <w:rsid w:val="003073C2"/>
    <w:rsid w:val="00307719"/>
    <w:rsid w:val="0030793F"/>
    <w:rsid w:val="0031010F"/>
    <w:rsid w:val="0031037D"/>
    <w:rsid w:val="003103CD"/>
    <w:rsid w:val="00310975"/>
    <w:rsid w:val="00310E7E"/>
    <w:rsid w:val="00311CD5"/>
    <w:rsid w:val="003121FB"/>
    <w:rsid w:val="00312B2F"/>
    <w:rsid w:val="00312ED1"/>
    <w:rsid w:val="00313350"/>
    <w:rsid w:val="00313593"/>
    <w:rsid w:val="00313701"/>
    <w:rsid w:val="00313A08"/>
    <w:rsid w:val="00313BCC"/>
    <w:rsid w:val="003157C0"/>
    <w:rsid w:val="00316417"/>
    <w:rsid w:val="00316C1E"/>
    <w:rsid w:val="00316CBA"/>
    <w:rsid w:val="00317F32"/>
    <w:rsid w:val="003201A2"/>
    <w:rsid w:val="00320609"/>
    <w:rsid w:val="0032086A"/>
    <w:rsid w:val="00320D0B"/>
    <w:rsid w:val="0032155F"/>
    <w:rsid w:val="00322C02"/>
    <w:rsid w:val="00322C41"/>
    <w:rsid w:val="003230DA"/>
    <w:rsid w:val="00323293"/>
    <w:rsid w:val="00323D60"/>
    <w:rsid w:val="00324571"/>
    <w:rsid w:val="0032468C"/>
    <w:rsid w:val="00324758"/>
    <w:rsid w:val="003250F9"/>
    <w:rsid w:val="0032569C"/>
    <w:rsid w:val="00325EBE"/>
    <w:rsid w:val="003263A0"/>
    <w:rsid w:val="00326A30"/>
    <w:rsid w:val="00327080"/>
    <w:rsid w:val="00327414"/>
    <w:rsid w:val="00327903"/>
    <w:rsid w:val="00327CD1"/>
    <w:rsid w:val="00327D45"/>
    <w:rsid w:val="003302B3"/>
    <w:rsid w:val="00331456"/>
    <w:rsid w:val="003315BB"/>
    <w:rsid w:val="003323C5"/>
    <w:rsid w:val="003328B3"/>
    <w:rsid w:val="00332BA4"/>
    <w:rsid w:val="00333381"/>
    <w:rsid w:val="00333822"/>
    <w:rsid w:val="00334179"/>
    <w:rsid w:val="003349C2"/>
    <w:rsid w:val="003349F5"/>
    <w:rsid w:val="00334A4F"/>
    <w:rsid w:val="003354C0"/>
    <w:rsid w:val="00335686"/>
    <w:rsid w:val="003358CF"/>
    <w:rsid w:val="00335B7C"/>
    <w:rsid w:val="00335F6F"/>
    <w:rsid w:val="0033604C"/>
    <w:rsid w:val="00336584"/>
    <w:rsid w:val="00336873"/>
    <w:rsid w:val="003369D4"/>
    <w:rsid w:val="00336CFE"/>
    <w:rsid w:val="00336D84"/>
    <w:rsid w:val="00336DD5"/>
    <w:rsid w:val="00336E6A"/>
    <w:rsid w:val="00337424"/>
    <w:rsid w:val="0033753A"/>
    <w:rsid w:val="00337E65"/>
    <w:rsid w:val="0034043C"/>
    <w:rsid w:val="00340D27"/>
    <w:rsid w:val="00341D2B"/>
    <w:rsid w:val="00342274"/>
    <w:rsid w:val="0034235D"/>
    <w:rsid w:val="003427E7"/>
    <w:rsid w:val="00342AD0"/>
    <w:rsid w:val="003434A5"/>
    <w:rsid w:val="00343BA6"/>
    <w:rsid w:val="00343BCC"/>
    <w:rsid w:val="00343EC0"/>
    <w:rsid w:val="003442F7"/>
    <w:rsid w:val="003449C2"/>
    <w:rsid w:val="00344F4F"/>
    <w:rsid w:val="00345196"/>
    <w:rsid w:val="00345259"/>
    <w:rsid w:val="0034575F"/>
    <w:rsid w:val="00345A15"/>
    <w:rsid w:val="00345E93"/>
    <w:rsid w:val="00345FFF"/>
    <w:rsid w:val="003464C6"/>
    <w:rsid w:val="00347229"/>
    <w:rsid w:val="00347B65"/>
    <w:rsid w:val="00347F82"/>
    <w:rsid w:val="003502DE"/>
    <w:rsid w:val="00350BCD"/>
    <w:rsid w:val="00350C2E"/>
    <w:rsid w:val="00350CF0"/>
    <w:rsid w:val="003512B8"/>
    <w:rsid w:val="00351351"/>
    <w:rsid w:val="00351393"/>
    <w:rsid w:val="003513EC"/>
    <w:rsid w:val="003514FD"/>
    <w:rsid w:val="00352F46"/>
    <w:rsid w:val="0035419C"/>
    <w:rsid w:val="0035419D"/>
    <w:rsid w:val="00354271"/>
    <w:rsid w:val="0035446F"/>
    <w:rsid w:val="0035466A"/>
    <w:rsid w:val="00354E3C"/>
    <w:rsid w:val="00354FD3"/>
    <w:rsid w:val="003555B5"/>
    <w:rsid w:val="00355F20"/>
    <w:rsid w:val="00355FD6"/>
    <w:rsid w:val="00356032"/>
    <w:rsid w:val="00356508"/>
    <w:rsid w:val="003566E8"/>
    <w:rsid w:val="003575AF"/>
    <w:rsid w:val="00357C7B"/>
    <w:rsid w:val="00357FF6"/>
    <w:rsid w:val="00360A49"/>
    <w:rsid w:val="0036199E"/>
    <w:rsid w:val="0036249F"/>
    <w:rsid w:val="003626F4"/>
    <w:rsid w:val="00362A1A"/>
    <w:rsid w:val="00362AB7"/>
    <w:rsid w:val="0036381B"/>
    <w:rsid w:val="00363A96"/>
    <w:rsid w:val="00364F47"/>
    <w:rsid w:val="003651DD"/>
    <w:rsid w:val="00365767"/>
    <w:rsid w:val="00365D3F"/>
    <w:rsid w:val="00365F51"/>
    <w:rsid w:val="00366463"/>
    <w:rsid w:val="0036682F"/>
    <w:rsid w:val="00366924"/>
    <w:rsid w:val="00366A77"/>
    <w:rsid w:val="003670FF"/>
    <w:rsid w:val="00367373"/>
    <w:rsid w:val="00367893"/>
    <w:rsid w:val="00367A3F"/>
    <w:rsid w:val="00370432"/>
    <w:rsid w:val="0037092C"/>
    <w:rsid w:val="00370D1F"/>
    <w:rsid w:val="00371067"/>
    <w:rsid w:val="003712D5"/>
    <w:rsid w:val="00371318"/>
    <w:rsid w:val="0037139A"/>
    <w:rsid w:val="00371B9E"/>
    <w:rsid w:val="00372066"/>
    <w:rsid w:val="0037232B"/>
    <w:rsid w:val="003725C8"/>
    <w:rsid w:val="00374603"/>
    <w:rsid w:val="003747E9"/>
    <w:rsid w:val="00374F7D"/>
    <w:rsid w:val="003752A4"/>
    <w:rsid w:val="00375533"/>
    <w:rsid w:val="0037597C"/>
    <w:rsid w:val="00376080"/>
    <w:rsid w:val="0037695C"/>
    <w:rsid w:val="00376C85"/>
    <w:rsid w:val="003773E6"/>
    <w:rsid w:val="003775A0"/>
    <w:rsid w:val="0037785D"/>
    <w:rsid w:val="00380786"/>
    <w:rsid w:val="00380896"/>
    <w:rsid w:val="00380BA9"/>
    <w:rsid w:val="00380D42"/>
    <w:rsid w:val="003813C5"/>
    <w:rsid w:val="00381883"/>
    <w:rsid w:val="00381A40"/>
    <w:rsid w:val="0038237C"/>
    <w:rsid w:val="00382577"/>
    <w:rsid w:val="0038379B"/>
    <w:rsid w:val="00384399"/>
    <w:rsid w:val="0038456F"/>
    <w:rsid w:val="003848BE"/>
    <w:rsid w:val="00385555"/>
    <w:rsid w:val="003859BE"/>
    <w:rsid w:val="00385A65"/>
    <w:rsid w:val="00385CFE"/>
    <w:rsid w:val="00386053"/>
    <w:rsid w:val="00387420"/>
    <w:rsid w:val="00387689"/>
    <w:rsid w:val="00387B0B"/>
    <w:rsid w:val="00387DF7"/>
    <w:rsid w:val="003906B6"/>
    <w:rsid w:val="00390774"/>
    <w:rsid w:val="003909FC"/>
    <w:rsid w:val="00390CDE"/>
    <w:rsid w:val="0039112E"/>
    <w:rsid w:val="00391274"/>
    <w:rsid w:val="00391610"/>
    <w:rsid w:val="003916F9"/>
    <w:rsid w:val="00391C81"/>
    <w:rsid w:val="00391CE3"/>
    <w:rsid w:val="00392174"/>
    <w:rsid w:val="003929FC"/>
    <w:rsid w:val="00392B99"/>
    <w:rsid w:val="003931EE"/>
    <w:rsid w:val="00393372"/>
    <w:rsid w:val="00393456"/>
    <w:rsid w:val="00393FCD"/>
    <w:rsid w:val="0039401D"/>
    <w:rsid w:val="00394209"/>
    <w:rsid w:val="003944AE"/>
    <w:rsid w:val="00394A9A"/>
    <w:rsid w:val="00394EDB"/>
    <w:rsid w:val="003956F7"/>
    <w:rsid w:val="003960FF"/>
    <w:rsid w:val="003962FE"/>
    <w:rsid w:val="0039680A"/>
    <w:rsid w:val="00397A46"/>
    <w:rsid w:val="003A01A8"/>
    <w:rsid w:val="003A026F"/>
    <w:rsid w:val="003A134B"/>
    <w:rsid w:val="003A1C90"/>
    <w:rsid w:val="003A1EA7"/>
    <w:rsid w:val="003A20A4"/>
    <w:rsid w:val="003A24EA"/>
    <w:rsid w:val="003A27DA"/>
    <w:rsid w:val="003A2F01"/>
    <w:rsid w:val="003A305F"/>
    <w:rsid w:val="003A3392"/>
    <w:rsid w:val="003A35E6"/>
    <w:rsid w:val="003A3662"/>
    <w:rsid w:val="003A3D25"/>
    <w:rsid w:val="003A3D94"/>
    <w:rsid w:val="003A4C86"/>
    <w:rsid w:val="003A4FEF"/>
    <w:rsid w:val="003A5165"/>
    <w:rsid w:val="003A5271"/>
    <w:rsid w:val="003A5CA2"/>
    <w:rsid w:val="003A5D13"/>
    <w:rsid w:val="003A5D35"/>
    <w:rsid w:val="003A5FD0"/>
    <w:rsid w:val="003A621E"/>
    <w:rsid w:val="003A698A"/>
    <w:rsid w:val="003A6B94"/>
    <w:rsid w:val="003A7540"/>
    <w:rsid w:val="003A75F4"/>
    <w:rsid w:val="003A7A77"/>
    <w:rsid w:val="003A7D22"/>
    <w:rsid w:val="003B039B"/>
    <w:rsid w:val="003B079A"/>
    <w:rsid w:val="003B07DA"/>
    <w:rsid w:val="003B0C76"/>
    <w:rsid w:val="003B0CCB"/>
    <w:rsid w:val="003B125E"/>
    <w:rsid w:val="003B1968"/>
    <w:rsid w:val="003B1FB3"/>
    <w:rsid w:val="003B2659"/>
    <w:rsid w:val="003B33C5"/>
    <w:rsid w:val="003B3EEE"/>
    <w:rsid w:val="003B412F"/>
    <w:rsid w:val="003B48C3"/>
    <w:rsid w:val="003B490C"/>
    <w:rsid w:val="003B49A8"/>
    <w:rsid w:val="003B4C41"/>
    <w:rsid w:val="003B5668"/>
    <w:rsid w:val="003B59FD"/>
    <w:rsid w:val="003B63DE"/>
    <w:rsid w:val="003B6869"/>
    <w:rsid w:val="003B761C"/>
    <w:rsid w:val="003B7839"/>
    <w:rsid w:val="003C0038"/>
    <w:rsid w:val="003C06A9"/>
    <w:rsid w:val="003C0713"/>
    <w:rsid w:val="003C0850"/>
    <w:rsid w:val="003C0B14"/>
    <w:rsid w:val="003C25FE"/>
    <w:rsid w:val="003C2BBD"/>
    <w:rsid w:val="003C3238"/>
    <w:rsid w:val="003C3352"/>
    <w:rsid w:val="003C3642"/>
    <w:rsid w:val="003C3813"/>
    <w:rsid w:val="003C386A"/>
    <w:rsid w:val="003C39FC"/>
    <w:rsid w:val="003C3D3C"/>
    <w:rsid w:val="003C4443"/>
    <w:rsid w:val="003C4BB8"/>
    <w:rsid w:val="003C4FC7"/>
    <w:rsid w:val="003C5675"/>
    <w:rsid w:val="003C5C22"/>
    <w:rsid w:val="003C65AE"/>
    <w:rsid w:val="003C6A7E"/>
    <w:rsid w:val="003C6CB7"/>
    <w:rsid w:val="003C702D"/>
    <w:rsid w:val="003C7066"/>
    <w:rsid w:val="003C7785"/>
    <w:rsid w:val="003C77D6"/>
    <w:rsid w:val="003C7A0C"/>
    <w:rsid w:val="003D0256"/>
    <w:rsid w:val="003D0C3E"/>
    <w:rsid w:val="003D1758"/>
    <w:rsid w:val="003D1DCD"/>
    <w:rsid w:val="003D23F4"/>
    <w:rsid w:val="003D2608"/>
    <w:rsid w:val="003D2621"/>
    <w:rsid w:val="003D2BB9"/>
    <w:rsid w:val="003D2C8D"/>
    <w:rsid w:val="003D2EEB"/>
    <w:rsid w:val="003D3086"/>
    <w:rsid w:val="003D32FE"/>
    <w:rsid w:val="003D3904"/>
    <w:rsid w:val="003D41E0"/>
    <w:rsid w:val="003D450D"/>
    <w:rsid w:val="003D497D"/>
    <w:rsid w:val="003D4A83"/>
    <w:rsid w:val="003D4A9F"/>
    <w:rsid w:val="003D4DAB"/>
    <w:rsid w:val="003D50E4"/>
    <w:rsid w:val="003D51D7"/>
    <w:rsid w:val="003D5219"/>
    <w:rsid w:val="003D56BC"/>
    <w:rsid w:val="003D587C"/>
    <w:rsid w:val="003D60BE"/>
    <w:rsid w:val="003D65A5"/>
    <w:rsid w:val="003D6713"/>
    <w:rsid w:val="003D69CD"/>
    <w:rsid w:val="003D70E6"/>
    <w:rsid w:val="003D77EF"/>
    <w:rsid w:val="003D7B61"/>
    <w:rsid w:val="003D7F3B"/>
    <w:rsid w:val="003E0C74"/>
    <w:rsid w:val="003E0DF7"/>
    <w:rsid w:val="003E2431"/>
    <w:rsid w:val="003E2642"/>
    <w:rsid w:val="003E2D63"/>
    <w:rsid w:val="003E2F24"/>
    <w:rsid w:val="003E3333"/>
    <w:rsid w:val="003E33F5"/>
    <w:rsid w:val="003E3A95"/>
    <w:rsid w:val="003E3BC8"/>
    <w:rsid w:val="003E3D85"/>
    <w:rsid w:val="003E487D"/>
    <w:rsid w:val="003E4BB5"/>
    <w:rsid w:val="003E4D90"/>
    <w:rsid w:val="003E59EC"/>
    <w:rsid w:val="003E5D14"/>
    <w:rsid w:val="003E5DED"/>
    <w:rsid w:val="003E5E6C"/>
    <w:rsid w:val="003E67AA"/>
    <w:rsid w:val="003E7661"/>
    <w:rsid w:val="003E796D"/>
    <w:rsid w:val="003F06F5"/>
    <w:rsid w:val="003F0D60"/>
    <w:rsid w:val="003F18E6"/>
    <w:rsid w:val="003F2E8B"/>
    <w:rsid w:val="003F3A07"/>
    <w:rsid w:val="003F40DC"/>
    <w:rsid w:val="003F449B"/>
    <w:rsid w:val="003F4515"/>
    <w:rsid w:val="003F5110"/>
    <w:rsid w:val="003F515A"/>
    <w:rsid w:val="003F5640"/>
    <w:rsid w:val="003F5780"/>
    <w:rsid w:val="003F58E8"/>
    <w:rsid w:val="003F59A4"/>
    <w:rsid w:val="003F5A21"/>
    <w:rsid w:val="003F5C0D"/>
    <w:rsid w:val="003F6280"/>
    <w:rsid w:val="003F74FB"/>
    <w:rsid w:val="003F756E"/>
    <w:rsid w:val="003F7692"/>
    <w:rsid w:val="003F7A0D"/>
    <w:rsid w:val="00400A6A"/>
    <w:rsid w:val="00402F3D"/>
    <w:rsid w:val="004035B9"/>
    <w:rsid w:val="00403C51"/>
    <w:rsid w:val="00403CE0"/>
    <w:rsid w:val="00403F45"/>
    <w:rsid w:val="004041CA"/>
    <w:rsid w:val="00404248"/>
    <w:rsid w:val="004044B8"/>
    <w:rsid w:val="00404795"/>
    <w:rsid w:val="00404CB8"/>
    <w:rsid w:val="0040533A"/>
    <w:rsid w:val="004059EC"/>
    <w:rsid w:val="00405F6C"/>
    <w:rsid w:val="00405FBC"/>
    <w:rsid w:val="00406110"/>
    <w:rsid w:val="00406136"/>
    <w:rsid w:val="004064AC"/>
    <w:rsid w:val="00406570"/>
    <w:rsid w:val="004072D2"/>
    <w:rsid w:val="00407451"/>
    <w:rsid w:val="004074CB"/>
    <w:rsid w:val="0040762D"/>
    <w:rsid w:val="00410014"/>
    <w:rsid w:val="0041004A"/>
    <w:rsid w:val="00411E0C"/>
    <w:rsid w:val="004122FC"/>
    <w:rsid w:val="0041289C"/>
    <w:rsid w:val="004128BE"/>
    <w:rsid w:val="00412931"/>
    <w:rsid w:val="0041301E"/>
    <w:rsid w:val="00413200"/>
    <w:rsid w:val="00413457"/>
    <w:rsid w:val="00413505"/>
    <w:rsid w:val="00414273"/>
    <w:rsid w:val="00414603"/>
    <w:rsid w:val="00414DDD"/>
    <w:rsid w:val="004158E5"/>
    <w:rsid w:val="00415CA4"/>
    <w:rsid w:val="0041611B"/>
    <w:rsid w:val="00416354"/>
    <w:rsid w:val="004166DE"/>
    <w:rsid w:val="004166E0"/>
    <w:rsid w:val="00416CDD"/>
    <w:rsid w:val="00420541"/>
    <w:rsid w:val="00420711"/>
    <w:rsid w:val="00420716"/>
    <w:rsid w:val="00420E13"/>
    <w:rsid w:val="0042164E"/>
    <w:rsid w:val="0042184B"/>
    <w:rsid w:val="0042191C"/>
    <w:rsid w:val="004219D2"/>
    <w:rsid w:val="00421AB7"/>
    <w:rsid w:val="00421BA3"/>
    <w:rsid w:val="00421CD8"/>
    <w:rsid w:val="004222F3"/>
    <w:rsid w:val="00422EE2"/>
    <w:rsid w:val="00423340"/>
    <w:rsid w:val="00423536"/>
    <w:rsid w:val="004238CC"/>
    <w:rsid w:val="00423969"/>
    <w:rsid w:val="00423E53"/>
    <w:rsid w:val="0042456F"/>
    <w:rsid w:val="00424DC5"/>
    <w:rsid w:val="00425E5E"/>
    <w:rsid w:val="00426656"/>
    <w:rsid w:val="00426830"/>
    <w:rsid w:val="00427AFB"/>
    <w:rsid w:val="00427C7F"/>
    <w:rsid w:val="00430089"/>
    <w:rsid w:val="00430265"/>
    <w:rsid w:val="004307BE"/>
    <w:rsid w:val="0043083F"/>
    <w:rsid w:val="00431176"/>
    <w:rsid w:val="0043134D"/>
    <w:rsid w:val="00431ED8"/>
    <w:rsid w:val="00432457"/>
    <w:rsid w:val="00432775"/>
    <w:rsid w:val="00432A0B"/>
    <w:rsid w:val="00433538"/>
    <w:rsid w:val="00433B25"/>
    <w:rsid w:val="00434055"/>
    <w:rsid w:val="004343F7"/>
    <w:rsid w:val="00434998"/>
    <w:rsid w:val="00434A48"/>
    <w:rsid w:val="00434D9D"/>
    <w:rsid w:val="00434E1F"/>
    <w:rsid w:val="00434E7C"/>
    <w:rsid w:val="0043655F"/>
    <w:rsid w:val="00437F5F"/>
    <w:rsid w:val="00440E16"/>
    <w:rsid w:val="00440FA3"/>
    <w:rsid w:val="00441047"/>
    <w:rsid w:val="004412AA"/>
    <w:rsid w:val="0044133D"/>
    <w:rsid w:val="00441A3B"/>
    <w:rsid w:val="00442AA0"/>
    <w:rsid w:val="00442E79"/>
    <w:rsid w:val="00443952"/>
    <w:rsid w:val="00443FB9"/>
    <w:rsid w:val="00444405"/>
    <w:rsid w:val="00444493"/>
    <w:rsid w:val="004445DE"/>
    <w:rsid w:val="004449A9"/>
    <w:rsid w:val="00444B1E"/>
    <w:rsid w:val="00444DC7"/>
    <w:rsid w:val="00445107"/>
    <w:rsid w:val="0044514F"/>
    <w:rsid w:val="0044580B"/>
    <w:rsid w:val="0044592B"/>
    <w:rsid w:val="00445DAF"/>
    <w:rsid w:val="00445EC1"/>
    <w:rsid w:val="004464D2"/>
    <w:rsid w:val="0044673E"/>
    <w:rsid w:val="00446BF2"/>
    <w:rsid w:val="00447D3C"/>
    <w:rsid w:val="00450025"/>
    <w:rsid w:val="0045023A"/>
    <w:rsid w:val="0045027F"/>
    <w:rsid w:val="004508E4"/>
    <w:rsid w:val="00450D95"/>
    <w:rsid w:val="00450ECF"/>
    <w:rsid w:val="00451387"/>
    <w:rsid w:val="00451FEF"/>
    <w:rsid w:val="004522ED"/>
    <w:rsid w:val="00452EFA"/>
    <w:rsid w:val="00453DE7"/>
    <w:rsid w:val="00454ACD"/>
    <w:rsid w:val="00454BA6"/>
    <w:rsid w:val="004551FB"/>
    <w:rsid w:val="00455421"/>
    <w:rsid w:val="0045552F"/>
    <w:rsid w:val="00455595"/>
    <w:rsid w:val="00455AE5"/>
    <w:rsid w:val="004560EF"/>
    <w:rsid w:val="0045640C"/>
    <w:rsid w:val="004568E5"/>
    <w:rsid w:val="0045691E"/>
    <w:rsid w:val="004569C9"/>
    <w:rsid w:val="00456CFD"/>
    <w:rsid w:val="00456DA3"/>
    <w:rsid w:val="004570D7"/>
    <w:rsid w:val="004575FF"/>
    <w:rsid w:val="0045775A"/>
    <w:rsid w:val="00457AF4"/>
    <w:rsid w:val="00460734"/>
    <w:rsid w:val="0046183A"/>
    <w:rsid w:val="00462385"/>
    <w:rsid w:val="00462708"/>
    <w:rsid w:val="004628A0"/>
    <w:rsid w:val="004629A9"/>
    <w:rsid w:val="00463124"/>
    <w:rsid w:val="004633BE"/>
    <w:rsid w:val="004633EE"/>
    <w:rsid w:val="00463B06"/>
    <w:rsid w:val="00463BF0"/>
    <w:rsid w:val="0046428A"/>
    <w:rsid w:val="0046463A"/>
    <w:rsid w:val="00464AFF"/>
    <w:rsid w:val="00464BFE"/>
    <w:rsid w:val="00465113"/>
    <w:rsid w:val="00465174"/>
    <w:rsid w:val="004653A3"/>
    <w:rsid w:val="00465833"/>
    <w:rsid w:val="00465DE1"/>
    <w:rsid w:val="00466138"/>
    <w:rsid w:val="004661B4"/>
    <w:rsid w:val="00466415"/>
    <w:rsid w:val="0046685B"/>
    <w:rsid w:val="00466A30"/>
    <w:rsid w:val="00466A40"/>
    <w:rsid w:val="00467606"/>
    <w:rsid w:val="00467C86"/>
    <w:rsid w:val="00467DB4"/>
    <w:rsid w:val="0047024B"/>
    <w:rsid w:val="00470D37"/>
    <w:rsid w:val="00470F7F"/>
    <w:rsid w:val="00470FC1"/>
    <w:rsid w:val="00471013"/>
    <w:rsid w:val="00471293"/>
    <w:rsid w:val="0047167E"/>
    <w:rsid w:val="004716E5"/>
    <w:rsid w:val="004719FE"/>
    <w:rsid w:val="00471B50"/>
    <w:rsid w:val="00471E87"/>
    <w:rsid w:val="00471EE5"/>
    <w:rsid w:val="0047201D"/>
    <w:rsid w:val="0047204D"/>
    <w:rsid w:val="004725B5"/>
    <w:rsid w:val="00472CD4"/>
    <w:rsid w:val="00472F5B"/>
    <w:rsid w:val="0047306D"/>
    <w:rsid w:val="004737AC"/>
    <w:rsid w:val="0047399F"/>
    <w:rsid w:val="00473B6A"/>
    <w:rsid w:val="00473D80"/>
    <w:rsid w:val="004740F3"/>
    <w:rsid w:val="004741C6"/>
    <w:rsid w:val="004750E4"/>
    <w:rsid w:val="0047510E"/>
    <w:rsid w:val="00476778"/>
    <w:rsid w:val="00477010"/>
    <w:rsid w:val="00477919"/>
    <w:rsid w:val="00477C46"/>
    <w:rsid w:val="00480CC0"/>
    <w:rsid w:val="00480DA4"/>
    <w:rsid w:val="00480F23"/>
    <w:rsid w:val="00481578"/>
    <w:rsid w:val="00481A28"/>
    <w:rsid w:val="00481F76"/>
    <w:rsid w:val="00482476"/>
    <w:rsid w:val="00482928"/>
    <w:rsid w:val="00482ACF"/>
    <w:rsid w:val="004833EF"/>
    <w:rsid w:val="0048346D"/>
    <w:rsid w:val="004836C1"/>
    <w:rsid w:val="00483C50"/>
    <w:rsid w:val="00484096"/>
    <w:rsid w:val="004840B9"/>
    <w:rsid w:val="004843CE"/>
    <w:rsid w:val="0048465F"/>
    <w:rsid w:val="00484A8B"/>
    <w:rsid w:val="00484AEA"/>
    <w:rsid w:val="00484F5E"/>
    <w:rsid w:val="0048503F"/>
    <w:rsid w:val="004850E0"/>
    <w:rsid w:val="00485151"/>
    <w:rsid w:val="00485161"/>
    <w:rsid w:val="00485439"/>
    <w:rsid w:val="00485B35"/>
    <w:rsid w:val="004860E4"/>
    <w:rsid w:val="00486736"/>
    <w:rsid w:val="00486A97"/>
    <w:rsid w:val="004875AE"/>
    <w:rsid w:val="0049005E"/>
    <w:rsid w:val="00490063"/>
    <w:rsid w:val="004909EC"/>
    <w:rsid w:val="00490B84"/>
    <w:rsid w:val="00490D90"/>
    <w:rsid w:val="004919D7"/>
    <w:rsid w:val="00491C54"/>
    <w:rsid w:val="004922A8"/>
    <w:rsid w:val="004924FC"/>
    <w:rsid w:val="004935C5"/>
    <w:rsid w:val="0049380B"/>
    <w:rsid w:val="00494A6E"/>
    <w:rsid w:val="00494AE4"/>
    <w:rsid w:val="00494B40"/>
    <w:rsid w:val="004950F9"/>
    <w:rsid w:val="00495A1D"/>
    <w:rsid w:val="00495CF7"/>
    <w:rsid w:val="00495F28"/>
    <w:rsid w:val="0049603A"/>
    <w:rsid w:val="00496669"/>
    <w:rsid w:val="00496F53"/>
    <w:rsid w:val="00497313"/>
    <w:rsid w:val="00497868"/>
    <w:rsid w:val="004978AD"/>
    <w:rsid w:val="00497E46"/>
    <w:rsid w:val="004A0102"/>
    <w:rsid w:val="004A013D"/>
    <w:rsid w:val="004A0853"/>
    <w:rsid w:val="004A178E"/>
    <w:rsid w:val="004A1815"/>
    <w:rsid w:val="004A1CA3"/>
    <w:rsid w:val="004A284B"/>
    <w:rsid w:val="004A317C"/>
    <w:rsid w:val="004A31B2"/>
    <w:rsid w:val="004A332D"/>
    <w:rsid w:val="004A350B"/>
    <w:rsid w:val="004A392A"/>
    <w:rsid w:val="004A4AB3"/>
    <w:rsid w:val="004A4D2E"/>
    <w:rsid w:val="004A55CB"/>
    <w:rsid w:val="004A5690"/>
    <w:rsid w:val="004A588C"/>
    <w:rsid w:val="004A5E70"/>
    <w:rsid w:val="004A5E8F"/>
    <w:rsid w:val="004A6114"/>
    <w:rsid w:val="004A62AC"/>
    <w:rsid w:val="004A647D"/>
    <w:rsid w:val="004A64AD"/>
    <w:rsid w:val="004A67BF"/>
    <w:rsid w:val="004A6AB9"/>
    <w:rsid w:val="004A6D52"/>
    <w:rsid w:val="004A71B6"/>
    <w:rsid w:val="004A7FBB"/>
    <w:rsid w:val="004B0038"/>
    <w:rsid w:val="004B050A"/>
    <w:rsid w:val="004B0808"/>
    <w:rsid w:val="004B09F7"/>
    <w:rsid w:val="004B0BF1"/>
    <w:rsid w:val="004B0CA7"/>
    <w:rsid w:val="004B1377"/>
    <w:rsid w:val="004B14B5"/>
    <w:rsid w:val="004B15A8"/>
    <w:rsid w:val="004B1B5A"/>
    <w:rsid w:val="004B1DEA"/>
    <w:rsid w:val="004B2806"/>
    <w:rsid w:val="004B2BA9"/>
    <w:rsid w:val="004B3162"/>
    <w:rsid w:val="004B3292"/>
    <w:rsid w:val="004B3325"/>
    <w:rsid w:val="004B3749"/>
    <w:rsid w:val="004B382D"/>
    <w:rsid w:val="004B3AC6"/>
    <w:rsid w:val="004B3B52"/>
    <w:rsid w:val="004B3D0D"/>
    <w:rsid w:val="004B4D44"/>
    <w:rsid w:val="004B4FA7"/>
    <w:rsid w:val="004B5CA3"/>
    <w:rsid w:val="004B5DBF"/>
    <w:rsid w:val="004B5E8A"/>
    <w:rsid w:val="004B5FCC"/>
    <w:rsid w:val="004B63EB"/>
    <w:rsid w:val="004B6668"/>
    <w:rsid w:val="004B6A4F"/>
    <w:rsid w:val="004C2DF1"/>
    <w:rsid w:val="004C317E"/>
    <w:rsid w:val="004C4B7C"/>
    <w:rsid w:val="004C56BA"/>
    <w:rsid w:val="004C56F1"/>
    <w:rsid w:val="004C58D1"/>
    <w:rsid w:val="004C5A3C"/>
    <w:rsid w:val="004C5B39"/>
    <w:rsid w:val="004C5C09"/>
    <w:rsid w:val="004C5D63"/>
    <w:rsid w:val="004C63A2"/>
    <w:rsid w:val="004C645C"/>
    <w:rsid w:val="004C6F8E"/>
    <w:rsid w:val="004C7059"/>
    <w:rsid w:val="004C7300"/>
    <w:rsid w:val="004C730C"/>
    <w:rsid w:val="004C7408"/>
    <w:rsid w:val="004C750F"/>
    <w:rsid w:val="004C7725"/>
    <w:rsid w:val="004C7CC8"/>
    <w:rsid w:val="004D00A7"/>
    <w:rsid w:val="004D0493"/>
    <w:rsid w:val="004D07D0"/>
    <w:rsid w:val="004D1245"/>
    <w:rsid w:val="004D243B"/>
    <w:rsid w:val="004D2A67"/>
    <w:rsid w:val="004D2C3E"/>
    <w:rsid w:val="004D2FD1"/>
    <w:rsid w:val="004D3790"/>
    <w:rsid w:val="004D3835"/>
    <w:rsid w:val="004D389A"/>
    <w:rsid w:val="004D393F"/>
    <w:rsid w:val="004D3EC5"/>
    <w:rsid w:val="004D4CC7"/>
    <w:rsid w:val="004D4E49"/>
    <w:rsid w:val="004D4ECF"/>
    <w:rsid w:val="004D4F75"/>
    <w:rsid w:val="004D4FCA"/>
    <w:rsid w:val="004D5014"/>
    <w:rsid w:val="004D535B"/>
    <w:rsid w:val="004D5ABA"/>
    <w:rsid w:val="004D5F27"/>
    <w:rsid w:val="004D61E5"/>
    <w:rsid w:val="004D6606"/>
    <w:rsid w:val="004D668F"/>
    <w:rsid w:val="004D6A0D"/>
    <w:rsid w:val="004D6E22"/>
    <w:rsid w:val="004D7058"/>
    <w:rsid w:val="004D748A"/>
    <w:rsid w:val="004D75CD"/>
    <w:rsid w:val="004D7AB0"/>
    <w:rsid w:val="004D7D7D"/>
    <w:rsid w:val="004E0066"/>
    <w:rsid w:val="004E02EB"/>
    <w:rsid w:val="004E065F"/>
    <w:rsid w:val="004E0FA2"/>
    <w:rsid w:val="004E1449"/>
    <w:rsid w:val="004E1BA5"/>
    <w:rsid w:val="004E1BC6"/>
    <w:rsid w:val="004E1CD5"/>
    <w:rsid w:val="004E28C8"/>
    <w:rsid w:val="004E2B17"/>
    <w:rsid w:val="004E2CE7"/>
    <w:rsid w:val="004E2F58"/>
    <w:rsid w:val="004E30E4"/>
    <w:rsid w:val="004E3E47"/>
    <w:rsid w:val="004E461D"/>
    <w:rsid w:val="004E588E"/>
    <w:rsid w:val="004E63E3"/>
    <w:rsid w:val="004E6933"/>
    <w:rsid w:val="004E6D7D"/>
    <w:rsid w:val="004E6E31"/>
    <w:rsid w:val="004F0557"/>
    <w:rsid w:val="004F063C"/>
    <w:rsid w:val="004F0865"/>
    <w:rsid w:val="004F0878"/>
    <w:rsid w:val="004F0DB0"/>
    <w:rsid w:val="004F2110"/>
    <w:rsid w:val="004F248E"/>
    <w:rsid w:val="004F288E"/>
    <w:rsid w:val="004F2FC7"/>
    <w:rsid w:val="004F3648"/>
    <w:rsid w:val="004F485C"/>
    <w:rsid w:val="004F53EB"/>
    <w:rsid w:val="004F5F6B"/>
    <w:rsid w:val="004F5FC5"/>
    <w:rsid w:val="004F673B"/>
    <w:rsid w:val="004F6FB7"/>
    <w:rsid w:val="004F7035"/>
    <w:rsid w:val="004F7165"/>
    <w:rsid w:val="004F771F"/>
    <w:rsid w:val="004F7739"/>
    <w:rsid w:val="00500427"/>
    <w:rsid w:val="00500814"/>
    <w:rsid w:val="005025B2"/>
    <w:rsid w:val="0050312F"/>
    <w:rsid w:val="005036A4"/>
    <w:rsid w:val="005037BF"/>
    <w:rsid w:val="00503DE4"/>
    <w:rsid w:val="0050517B"/>
    <w:rsid w:val="00505374"/>
    <w:rsid w:val="005056B1"/>
    <w:rsid w:val="00505DF5"/>
    <w:rsid w:val="00505E98"/>
    <w:rsid w:val="005063D9"/>
    <w:rsid w:val="0050686C"/>
    <w:rsid w:val="00506BCF"/>
    <w:rsid w:val="00506C99"/>
    <w:rsid w:val="00507027"/>
    <w:rsid w:val="005070EB"/>
    <w:rsid w:val="005076D2"/>
    <w:rsid w:val="00507730"/>
    <w:rsid w:val="00507764"/>
    <w:rsid w:val="00507AC2"/>
    <w:rsid w:val="00507E72"/>
    <w:rsid w:val="0051047B"/>
    <w:rsid w:val="00511010"/>
    <w:rsid w:val="00511026"/>
    <w:rsid w:val="00511220"/>
    <w:rsid w:val="005112CE"/>
    <w:rsid w:val="0051158B"/>
    <w:rsid w:val="005119C1"/>
    <w:rsid w:val="005119EE"/>
    <w:rsid w:val="00511C61"/>
    <w:rsid w:val="005127F3"/>
    <w:rsid w:val="00512C26"/>
    <w:rsid w:val="0051312F"/>
    <w:rsid w:val="005134E5"/>
    <w:rsid w:val="00513589"/>
    <w:rsid w:val="0051381C"/>
    <w:rsid w:val="00513868"/>
    <w:rsid w:val="00513C62"/>
    <w:rsid w:val="00513E1B"/>
    <w:rsid w:val="00513FCE"/>
    <w:rsid w:val="005141B0"/>
    <w:rsid w:val="00515ACA"/>
    <w:rsid w:val="005163B4"/>
    <w:rsid w:val="005164DE"/>
    <w:rsid w:val="00516928"/>
    <w:rsid w:val="00516D85"/>
    <w:rsid w:val="00517505"/>
    <w:rsid w:val="0051790F"/>
    <w:rsid w:val="00517BC3"/>
    <w:rsid w:val="00520439"/>
    <w:rsid w:val="0052065E"/>
    <w:rsid w:val="005216F1"/>
    <w:rsid w:val="00521779"/>
    <w:rsid w:val="00522647"/>
    <w:rsid w:val="00522701"/>
    <w:rsid w:val="005229E6"/>
    <w:rsid w:val="00522C33"/>
    <w:rsid w:val="00522E21"/>
    <w:rsid w:val="00522F56"/>
    <w:rsid w:val="00522FDD"/>
    <w:rsid w:val="00523B37"/>
    <w:rsid w:val="00523B8E"/>
    <w:rsid w:val="00523D32"/>
    <w:rsid w:val="0052409B"/>
    <w:rsid w:val="00524139"/>
    <w:rsid w:val="005253FD"/>
    <w:rsid w:val="00525B46"/>
    <w:rsid w:val="00525BE3"/>
    <w:rsid w:val="00525F7D"/>
    <w:rsid w:val="0052668F"/>
    <w:rsid w:val="005266EC"/>
    <w:rsid w:val="00526740"/>
    <w:rsid w:val="00526F49"/>
    <w:rsid w:val="005270CE"/>
    <w:rsid w:val="005278CD"/>
    <w:rsid w:val="005278F3"/>
    <w:rsid w:val="00527D60"/>
    <w:rsid w:val="005305B0"/>
    <w:rsid w:val="00530718"/>
    <w:rsid w:val="00530846"/>
    <w:rsid w:val="00530979"/>
    <w:rsid w:val="00530E4F"/>
    <w:rsid w:val="005313B0"/>
    <w:rsid w:val="00531A83"/>
    <w:rsid w:val="00531DBD"/>
    <w:rsid w:val="0053227B"/>
    <w:rsid w:val="00532553"/>
    <w:rsid w:val="00532685"/>
    <w:rsid w:val="00532727"/>
    <w:rsid w:val="00532E38"/>
    <w:rsid w:val="005333DB"/>
    <w:rsid w:val="00533E64"/>
    <w:rsid w:val="00534204"/>
    <w:rsid w:val="00534561"/>
    <w:rsid w:val="005346AF"/>
    <w:rsid w:val="00534E66"/>
    <w:rsid w:val="00535B91"/>
    <w:rsid w:val="00535C35"/>
    <w:rsid w:val="00535DAD"/>
    <w:rsid w:val="00536347"/>
    <w:rsid w:val="00536C50"/>
    <w:rsid w:val="00536C54"/>
    <w:rsid w:val="00536E40"/>
    <w:rsid w:val="00536FD9"/>
    <w:rsid w:val="0053718B"/>
    <w:rsid w:val="00540182"/>
    <w:rsid w:val="00540655"/>
    <w:rsid w:val="00540AF7"/>
    <w:rsid w:val="00540F3F"/>
    <w:rsid w:val="005424A3"/>
    <w:rsid w:val="0054279F"/>
    <w:rsid w:val="005428C8"/>
    <w:rsid w:val="00542D3A"/>
    <w:rsid w:val="00543144"/>
    <w:rsid w:val="00543655"/>
    <w:rsid w:val="00543782"/>
    <w:rsid w:val="00543E8D"/>
    <w:rsid w:val="00543FEF"/>
    <w:rsid w:val="00544546"/>
    <w:rsid w:val="0054496F"/>
    <w:rsid w:val="00544C7C"/>
    <w:rsid w:val="0054512B"/>
    <w:rsid w:val="0054516E"/>
    <w:rsid w:val="00545325"/>
    <w:rsid w:val="0054579D"/>
    <w:rsid w:val="00545AB5"/>
    <w:rsid w:val="00545D8B"/>
    <w:rsid w:val="0054678C"/>
    <w:rsid w:val="00546965"/>
    <w:rsid w:val="005469F5"/>
    <w:rsid w:val="005474F3"/>
    <w:rsid w:val="00550685"/>
    <w:rsid w:val="00551238"/>
    <w:rsid w:val="005514AD"/>
    <w:rsid w:val="00551F26"/>
    <w:rsid w:val="00552368"/>
    <w:rsid w:val="00552AD8"/>
    <w:rsid w:val="00552BF1"/>
    <w:rsid w:val="00552F1F"/>
    <w:rsid w:val="0055302D"/>
    <w:rsid w:val="005533ED"/>
    <w:rsid w:val="0055412C"/>
    <w:rsid w:val="00554597"/>
    <w:rsid w:val="005550F6"/>
    <w:rsid w:val="00555AFB"/>
    <w:rsid w:val="00555E36"/>
    <w:rsid w:val="005560A4"/>
    <w:rsid w:val="00556348"/>
    <w:rsid w:val="0055645E"/>
    <w:rsid w:val="0055661E"/>
    <w:rsid w:val="005567CC"/>
    <w:rsid w:val="00556951"/>
    <w:rsid w:val="00556E53"/>
    <w:rsid w:val="00556F7D"/>
    <w:rsid w:val="00557243"/>
    <w:rsid w:val="005572C9"/>
    <w:rsid w:val="0055750C"/>
    <w:rsid w:val="00557658"/>
    <w:rsid w:val="00557A00"/>
    <w:rsid w:val="00560A7F"/>
    <w:rsid w:val="00560F94"/>
    <w:rsid w:val="0056129D"/>
    <w:rsid w:val="00561DFB"/>
    <w:rsid w:val="00562AA3"/>
    <w:rsid w:val="00562B12"/>
    <w:rsid w:val="00562FFA"/>
    <w:rsid w:val="005632B1"/>
    <w:rsid w:val="00563722"/>
    <w:rsid w:val="0056381D"/>
    <w:rsid w:val="00563834"/>
    <w:rsid w:val="00564353"/>
    <w:rsid w:val="00564365"/>
    <w:rsid w:val="0056482F"/>
    <w:rsid w:val="00564C11"/>
    <w:rsid w:val="00564CD6"/>
    <w:rsid w:val="00564D67"/>
    <w:rsid w:val="00564DC0"/>
    <w:rsid w:val="00564DE3"/>
    <w:rsid w:val="00565371"/>
    <w:rsid w:val="00565906"/>
    <w:rsid w:val="0056606D"/>
    <w:rsid w:val="00566A95"/>
    <w:rsid w:val="00566C05"/>
    <w:rsid w:val="00566C48"/>
    <w:rsid w:val="00566E49"/>
    <w:rsid w:val="005674B0"/>
    <w:rsid w:val="00567648"/>
    <w:rsid w:val="005679E7"/>
    <w:rsid w:val="005709D7"/>
    <w:rsid w:val="00570CD2"/>
    <w:rsid w:val="0057125C"/>
    <w:rsid w:val="005713CB"/>
    <w:rsid w:val="0057250E"/>
    <w:rsid w:val="005726E2"/>
    <w:rsid w:val="00572C63"/>
    <w:rsid w:val="0057309E"/>
    <w:rsid w:val="005735C7"/>
    <w:rsid w:val="0057367D"/>
    <w:rsid w:val="00573AD3"/>
    <w:rsid w:val="00573FA1"/>
    <w:rsid w:val="005744F1"/>
    <w:rsid w:val="005745AD"/>
    <w:rsid w:val="00574E5E"/>
    <w:rsid w:val="005759CD"/>
    <w:rsid w:val="00575F56"/>
    <w:rsid w:val="00576DE4"/>
    <w:rsid w:val="005770F2"/>
    <w:rsid w:val="005772C9"/>
    <w:rsid w:val="00577A4D"/>
    <w:rsid w:val="00577A9F"/>
    <w:rsid w:val="00577FAB"/>
    <w:rsid w:val="00580479"/>
    <w:rsid w:val="00580612"/>
    <w:rsid w:val="00580873"/>
    <w:rsid w:val="0058092B"/>
    <w:rsid w:val="005810B5"/>
    <w:rsid w:val="00581424"/>
    <w:rsid w:val="005817ED"/>
    <w:rsid w:val="00581D13"/>
    <w:rsid w:val="00581E11"/>
    <w:rsid w:val="005825CB"/>
    <w:rsid w:val="00582A1B"/>
    <w:rsid w:val="0058340E"/>
    <w:rsid w:val="00583413"/>
    <w:rsid w:val="005841BE"/>
    <w:rsid w:val="005848DC"/>
    <w:rsid w:val="005848E8"/>
    <w:rsid w:val="00584A59"/>
    <w:rsid w:val="005850BD"/>
    <w:rsid w:val="005850CD"/>
    <w:rsid w:val="00585292"/>
    <w:rsid w:val="00585ADE"/>
    <w:rsid w:val="00586442"/>
    <w:rsid w:val="00586BC5"/>
    <w:rsid w:val="005872BD"/>
    <w:rsid w:val="005873D7"/>
    <w:rsid w:val="00587547"/>
    <w:rsid w:val="005878D6"/>
    <w:rsid w:val="0059008B"/>
    <w:rsid w:val="005909FA"/>
    <w:rsid w:val="00590A46"/>
    <w:rsid w:val="00590B79"/>
    <w:rsid w:val="00590EAA"/>
    <w:rsid w:val="005914D2"/>
    <w:rsid w:val="00592A33"/>
    <w:rsid w:val="00592C28"/>
    <w:rsid w:val="00592FC5"/>
    <w:rsid w:val="00593183"/>
    <w:rsid w:val="00593248"/>
    <w:rsid w:val="0059336C"/>
    <w:rsid w:val="0059341C"/>
    <w:rsid w:val="00593438"/>
    <w:rsid w:val="00593ED4"/>
    <w:rsid w:val="0059464E"/>
    <w:rsid w:val="00594DA3"/>
    <w:rsid w:val="00595552"/>
    <w:rsid w:val="00595A3C"/>
    <w:rsid w:val="00595FD8"/>
    <w:rsid w:val="0059615D"/>
    <w:rsid w:val="005967E5"/>
    <w:rsid w:val="00596C91"/>
    <w:rsid w:val="00596F47"/>
    <w:rsid w:val="0059731A"/>
    <w:rsid w:val="00597A25"/>
    <w:rsid w:val="00597AAA"/>
    <w:rsid w:val="00597B63"/>
    <w:rsid w:val="00597BF1"/>
    <w:rsid w:val="00597C88"/>
    <w:rsid w:val="005A0017"/>
    <w:rsid w:val="005A0356"/>
    <w:rsid w:val="005A090F"/>
    <w:rsid w:val="005A0A2C"/>
    <w:rsid w:val="005A1173"/>
    <w:rsid w:val="005A11AE"/>
    <w:rsid w:val="005A13A5"/>
    <w:rsid w:val="005A1425"/>
    <w:rsid w:val="005A1D4A"/>
    <w:rsid w:val="005A21D6"/>
    <w:rsid w:val="005A2577"/>
    <w:rsid w:val="005A2BB2"/>
    <w:rsid w:val="005A2D56"/>
    <w:rsid w:val="005A3A45"/>
    <w:rsid w:val="005A3B78"/>
    <w:rsid w:val="005A3FF4"/>
    <w:rsid w:val="005A4372"/>
    <w:rsid w:val="005A4518"/>
    <w:rsid w:val="005A46FA"/>
    <w:rsid w:val="005A4A73"/>
    <w:rsid w:val="005A4D5A"/>
    <w:rsid w:val="005A569E"/>
    <w:rsid w:val="005A58CD"/>
    <w:rsid w:val="005A624C"/>
    <w:rsid w:val="005A6C46"/>
    <w:rsid w:val="005A7272"/>
    <w:rsid w:val="005A730F"/>
    <w:rsid w:val="005A7985"/>
    <w:rsid w:val="005B0166"/>
    <w:rsid w:val="005B1010"/>
    <w:rsid w:val="005B1715"/>
    <w:rsid w:val="005B1C76"/>
    <w:rsid w:val="005B1DBE"/>
    <w:rsid w:val="005B1E27"/>
    <w:rsid w:val="005B23DE"/>
    <w:rsid w:val="005B302A"/>
    <w:rsid w:val="005B34ED"/>
    <w:rsid w:val="005B3CA0"/>
    <w:rsid w:val="005B448F"/>
    <w:rsid w:val="005B4C9C"/>
    <w:rsid w:val="005B5760"/>
    <w:rsid w:val="005B5783"/>
    <w:rsid w:val="005B604E"/>
    <w:rsid w:val="005B616B"/>
    <w:rsid w:val="005B6777"/>
    <w:rsid w:val="005B6EB2"/>
    <w:rsid w:val="005B6F3E"/>
    <w:rsid w:val="005C009F"/>
    <w:rsid w:val="005C01E6"/>
    <w:rsid w:val="005C0F5D"/>
    <w:rsid w:val="005C10ED"/>
    <w:rsid w:val="005C132F"/>
    <w:rsid w:val="005C17E9"/>
    <w:rsid w:val="005C20E8"/>
    <w:rsid w:val="005C2166"/>
    <w:rsid w:val="005C24A6"/>
    <w:rsid w:val="005C26F6"/>
    <w:rsid w:val="005C28B6"/>
    <w:rsid w:val="005C2F92"/>
    <w:rsid w:val="005C33D2"/>
    <w:rsid w:val="005C36CF"/>
    <w:rsid w:val="005C3AF7"/>
    <w:rsid w:val="005C3B89"/>
    <w:rsid w:val="005C41DC"/>
    <w:rsid w:val="005C43FA"/>
    <w:rsid w:val="005C49ED"/>
    <w:rsid w:val="005C52E9"/>
    <w:rsid w:val="005C599D"/>
    <w:rsid w:val="005C5A67"/>
    <w:rsid w:val="005C5D91"/>
    <w:rsid w:val="005C61A6"/>
    <w:rsid w:val="005C6C03"/>
    <w:rsid w:val="005C7985"/>
    <w:rsid w:val="005C7D04"/>
    <w:rsid w:val="005D0B23"/>
    <w:rsid w:val="005D19B8"/>
    <w:rsid w:val="005D1D87"/>
    <w:rsid w:val="005D1FB9"/>
    <w:rsid w:val="005D2464"/>
    <w:rsid w:val="005D2791"/>
    <w:rsid w:val="005D29B6"/>
    <w:rsid w:val="005D328E"/>
    <w:rsid w:val="005D33F9"/>
    <w:rsid w:val="005D3A6F"/>
    <w:rsid w:val="005D3ED3"/>
    <w:rsid w:val="005D42F8"/>
    <w:rsid w:val="005D45C7"/>
    <w:rsid w:val="005D463C"/>
    <w:rsid w:val="005D4784"/>
    <w:rsid w:val="005D49C5"/>
    <w:rsid w:val="005D4C5B"/>
    <w:rsid w:val="005D4F96"/>
    <w:rsid w:val="005D5139"/>
    <w:rsid w:val="005D55D3"/>
    <w:rsid w:val="005D586F"/>
    <w:rsid w:val="005D5A22"/>
    <w:rsid w:val="005D5D29"/>
    <w:rsid w:val="005D619E"/>
    <w:rsid w:val="005D61D2"/>
    <w:rsid w:val="005D64CD"/>
    <w:rsid w:val="005D64EB"/>
    <w:rsid w:val="005D7725"/>
    <w:rsid w:val="005D7B8D"/>
    <w:rsid w:val="005D7E81"/>
    <w:rsid w:val="005E004D"/>
    <w:rsid w:val="005E0588"/>
    <w:rsid w:val="005E06C1"/>
    <w:rsid w:val="005E0DC3"/>
    <w:rsid w:val="005E1D52"/>
    <w:rsid w:val="005E2C54"/>
    <w:rsid w:val="005E317C"/>
    <w:rsid w:val="005E3182"/>
    <w:rsid w:val="005E34E6"/>
    <w:rsid w:val="005E3BEE"/>
    <w:rsid w:val="005E3C60"/>
    <w:rsid w:val="005E436C"/>
    <w:rsid w:val="005E47DF"/>
    <w:rsid w:val="005E490B"/>
    <w:rsid w:val="005E4C48"/>
    <w:rsid w:val="005E4CFC"/>
    <w:rsid w:val="005E5535"/>
    <w:rsid w:val="005E5674"/>
    <w:rsid w:val="005E5CAD"/>
    <w:rsid w:val="005E5D43"/>
    <w:rsid w:val="005E5D91"/>
    <w:rsid w:val="005E600F"/>
    <w:rsid w:val="005E618A"/>
    <w:rsid w:val="005E6219"/>
    <w:rsid w:val="005E62B4"/>
    <w:rsid w:val="005E6B78"/>
    <w:rsid w:val="005E7C63"/>
    <w:rsid w:val="005F0388"/>
    <w:rsid w:val="005F1352"/>
    <w:rsid w:val="005F1A16"/>
    <w:rsid w:val="005F22D2"/>
    <w:rsid w:val="005F24DB"/>
    <w:rsid w:val="005F2567"/>
    <w:rsid w:val="005F2891"/>
    <w:rsid w:val="005F28D0"/>
    <w:rsid w:val="005F2BE7"/>
    <w:rsid w:val="005F2E29"/>
    <w:rsid w:val="005F316B"/>
    <w:rsid w:val="005F3388"/>
    <w:rsid w:val="005F35B3"/>
    <w:rsid w:val="005F3BCA"/>
    <w:rsid w:val="005F3C24"/>
    <w:rsid w:val="005F453E"/>
    <w:rsid w:val="005F4A9D"/>
    <w:rsid w:val="005F4C55"/>
    <w:rsid w:val="005F4D56"/>
    <w:rsid w:val="005F4D5E"/>
    <w:rsid w:val="005F5142"/>
    <w:rsid w:val="005F5B4F"/>
    <w:rsid w:val="005F5FBE"/>
    <w:rsid w:val="005F63CA"/>
    <w:rsid w:val="005F63FD"/>
    <w:rsid w:val="005F649F"/>
    <w:rsid w:val="005F7219"/>
    <w:rsid w:val="005F7F44"/>
    <w:rsid w:val="006000E0"/>
    <w:rsid w:val="00600BA7"/>
    <w:rsid w:val="00601637"/>
    <w:rsid w:val="006018A6"/>
    <w:rsid w:val="00601B21"/>
    <w:rsid w:val="00602695"/>
    <w:rsid w:val="00602709"/>
    <w:rsid w:val="00602761"/>
    <w:rsid w:val="006027D8"/>
    <w:rsid w:val="006028A0"/>
    <w:rsid w:val="00602916"/>
    <w:rsid w:val="00602C47"/>
    <w:rsid w:val="00602C6A"/>
    <w:rsid w:val="006039C9"/>
    <w:rsid w:val="00604720"/>
    <w:rsid w:val="006047F5"/>
    <w:rsid w:val="0060509A"/>
    <w:rsid w:val="0060562C"/>
    <w:rsid w:val="00605804"/>
    <w:rsid w:val="006059E5"/>
    <w:rsid w:val="00606A85"/>
    <w:rsid w:val="00606F26"/>
    <w:rsid w:val="006072BB"/>
    <w:rsid w:val="00607A59"/>
    <w:rsid w:val="0061000A"/>
    <w:rsid w:val="00610916"/>
    <w:rsid w:val="00611585"/>
    <w:rsid w:val="006118C3"/>
    <w:rsid w:val="00611EB9"/>
    <w:rsid w:val="00611F12"/>
    <w:rsid w:val="00612947"/>
    <w:rsid w:val="00612A1D"/>
    <w:rsid w:val="00612E32"/>
    <w:rsid w:val="006138F7"/>
    <w:rsid w:val="006142B6"/>
    <w:rsid w:val="00614860"/>
    <w:rsid w:val="00614BB3"/>
    <w:rsid w:val="006156F6"/>
    <w:rsid w:val="0061587C"/>
    <w:rsid w:val="00615BFD"/>
    <w:rsid w:val="00615C1F"/>
    <w:rsid w:val="00617033"/>
    <w:rsid w:val="006172CA"/>
    <w:rsid w:val="00617822"/>
    <w:rsid w:val="00617B21"/>
    <w:rsid w:val="00617EC5"/>
    <w:rsid w:val="0062022C"/>
    <w:rsid w:val="00620895"/>
    <w:rsid w:val="00620D14"/>
    <w:rsid w:val="00620F05"/>
    <w:rsid w:val="00621277"/>
    <w:rsid w:val="006215ED"/>
    <w:rsid w:val="00621E86"/>
    <w:rsid w:val="00621F12"/>
    <w:rsid w:val="00621F1C"/>
    <w:rsid w:val="0062219D"/>
    <w:rsid w:val="00622B96"/>
    <w:rsid w:val="00623318"/>
    <w:rsid w:val="006235AF"/>
    <w:rsid w:val="00624E43"/>
    <w:rsid w:val="0062503B"/>
    <w:rsid w:val="006250BC"/>
    <w:rsid w:val="0062538B"/>
    <w:rsid w:val="00625421"/>
    <w:rsid w:val="00625782"/>
    <w:rsid w:val="0062597D"/>
    <w:rsid w:val="00625D3A"/>
    <w:rsid w:val="00625FF3"/>
    <w:rsid w:val="006262F3"/>
    <w:rsid w:val="00626586"/>
    <w:rsid w:val="00626D88"/>
    <w:rsid w:val="00627D22"/>
    <w:rsid w:val="0063005D"/>
    <w:rsid w:val="006303B5"/>
    <w:rsid w:val="006309B8"/>
    <w:rsid w:val="00630EC7"/>
    <w:rsid w:val="00630FE7"/>
    <w:rsid w:val="006317F1"/>
    <w:rsid w:val="0063180C"/>
    <w:rsid w:val="0063184B"/>
    <w:rsid w:val="00631981"/>
    <w:rsid w:val="0063223D"/>
    <w:rsid w:val="006324AC"/>
    <w:rsid w:val="00632D65"/>
    <w:rsid w:val="006339C4"/>
    <w:rsid w:val="00633B75"/>
    <w:rsid w:val="00633EA7"/>
    <w:rsid w:val="00634079"/>
    <w:rsid w:val="00634873"/>
    <w:rsid w:val="006349BC"/>
    <w:rsid w:val="00634B58"/>
    <w:rsid w:val="0063564C"/>
    <w:rsid w:val="006357F0"/>
    <w:rsid w:val="00635899"/>
    <w:rsid w:val="006358A2"/>
    <w:rsid w:val="00635CF6"/>
    <w:rsid w:val="00636033"/>
    <w:rsid w:val="006361A7"/>
    <w:rsid w:val="00636868"/>
    <w:rsid w:val="00636FFF"/>
    <w:rsid w:val="0063742A"/>
    <w:rsid w:val="006375C5"/>
    <w:rsid w:val="00637A97"/>
    <w:rsid w:val="00637E05"/>
    <w:rsid w:val="00640526"/>
    <w:rsid w:val="00640C19"/>
    <w:rsid w:val="006413FF"/>
    <w:rsid w:val="0064169A"/>
    <w:rsid w:val="00641753"/>
    <w:rsid w:val="00642261"/>
    <w:rsid w:val="00642543"/>
    <w:rsid w:val="00642690"/>
    <w:rsid w:val="006427F2"/>
    <w:rsid w:val="00642B21"/>
    <w:rsid w:val="00642B38"/>
    <w:rsid w:val="00642C3F"/>
    <w:rsid w:val="00642CF4"/>
    <w:rsid w:val="00643095"/>
    <w:rsid w:val="006432EA"/>
    <w:rsid w:val="0064334F"/>
    <w:rsid w:val="006435B0"/>
    <w:rsid w:val="0064380E"/>
    <w:rsid w:val="00643884"/>
    <w:rsid w:val="00644389"/>
    <w:rsid w:val="00644CDF"/>
    <w:rsid w:val="00644F03"/>
    <w:rsid w:val="0064514D"/>
    <w:rsid w:val="006460B8"/>
    <w:rsid w:val="006460FC"/>
    <w:rsid w:val="00646892"/>
    <w:rsid w:val="006469A2"/>
    <w:rsid w:val="00646C10"/>
    <w:rsid w:val="00646D58"/>
    <w:rsid w:val="006472D4"/>
    <w:rsid w:val="0064738B"/>
    <w:rsid w:val="00647825"/>
    <w:rsid w:val="006478DC"/>
    <w:rsid w:val="00647A8C"/>
    <w:rsid w:val="00647FAA"/>
    <w:rsid w:val="0065076B"/>
    <w:rsid w:val="00650B5F"/>
    <w:rsid w:val="00650EEE"/>
    <w:rsid w:val="00650F12"/>
    <w:rsid w:val="006511A7"/>
    <w:rsid w:val="0065130E"/>
    <w:rsid w:val="00651870"/>
    <w:rsid w:val="00651B9B"/>
    <w:rsid w:val="006521CE"/>
    <w:rsid w:val="006523F8"/>
    <w:rsid w:val="006525D5"/>
    <w:rsid w:val="00652DE1"/>
    <w:rsid w:val="00653111"/>
    <w:rsid w:val="0065330F"/>
    <w:rsid w:val="006535C4"/>
    <w:rsid w:val="00653910"/>
    <w:rsid w:val="00653D68"/>
    <w:rsid w:val="0065430E"/>
    <w:rsid w:val="00654886"/>
    <w:rsid w:val="00654AF5"/>
    <w:rsid w:val="00655393"/>
    <w:rsid w:val="00655645"/>
    <w:rsid w:val="006556EC"/>
    <w:rsid w:val="00655743"/>
    <w:rsid w:val="00655A69"/>
    <w:rsid w:val="00656684"/>
    <w:rsid w:val="00656AEB"/>
    <w:rsid w:val="006570A2"/>
    <w:rsid w:val="006600A7"/>
    <w:rsid w:val="006602D8"/>
    <w:rsid w:val="00660507"/>
    <w:rsid w:val="0066097C"/>
    <w:rsid w:val="006617A7"/>
    <w:rsid w:val="00661B79"/>
    <w:rsid w:val="00661FE7"/>
    <w:rsid w:val="00662F71"/>
    <w:rsid w:val="006635AB"/>
    <w:rsid w:val="00663761"/>
    <w:rsid w:val="006638AF"/>
    <w:rsid w:val="00663F78"/>
    <w:rsid w:val="006640C1"/>
    <w:rsid w:val="006646E7"/>
    <w:rsid w:val="00664AAF"/>
    <w:rsid w:val="00664D5E"/>
    <w:rsid w:val="00664EE2"/>
    <w:rsid w:val="00665238"/>
    <w:rsid w:val="00665422"/>
    <w:rsid w:val="00665B87"/>
    <w:rsid w:val="00665C2D"/>
    <w:rsid w:val="0066666F"/>
    <w:rsid w:val="0066686A"/>
    <w:rsid w:val="00667A0D"/>
    <w:rsid w:val="00667C21"/>
    <w:rsid w:val="00667DF3"/>
    <w:rsid w:val="0067024F"/>
    <w:rsid w:val="00670A62"/>
    <w:rsid w:val="00670E69"/>
    <w:rsid w:val="00671017"/>
    <w:rsid w:val="006719CD"/>
    <w:rsid w:val="00671C66"/>
    <w:rsid w:val="00671E89"/>
    <w:rsid w:val="0067288A"/>
    <w:rsid w:val="00672A45"/>
    <w:rsid w:val="00672A9F"/>
    <w:rsid w:val="00672B0F"/>
    <w:rsid w:val="00672D50"/>
    <w:rsid w:val="00672F3F"/>
    <w:rsid w:val="00673337"/>
    <w:rsid w:val="00673BE1"/>
    <w:rsid w:val="00674C22"/>
    <w:rsid w:val="00675000"/>
    <w:rsid w:val="00675956"/>
    <w:rsid w:val="006759C2"/>
    <w:rsid w:val="00675EFC"/>
    <w:rsid w:val="00676047"/>
    <w:rsid w:val="00676CBE"/>
    <w:rsid w:val="00677072"/>
    <w:rsid w:val="00677189"/>
    <w:rsid w:val="00677F14"/>
    <w:rsid w:val="00680601"/>
    <w:rsid w:val="0068066B"/>
    <w:rsid w:val="00680FAF"/>
    <w:rsid w:val="0068135C"/>
    <w:rsid w:val="006815BC"/>
    <w:rsid w:val="0068174E"/>
    <w:rsid w:val="00681CB3"/>
    <w:rsid w:val="006820D6"/>
    <w:rsid w:val="00682A25"/>
    <w:rsid w:val="00682CE2"/>
    <w:rsid w:val="00683D3A"/>
    <w:rsid w:val="0068487A"/>
    <w:rsid w:val="006850C8"/>
    <w:rsid w:val="00685DF9"/>
    <w:rsid w:val="00685E3B"/>
    <w:rsid w:val="0068631A"/>
    <w:rsid w:val="0068664D"/>
    <w:rsid w:val="00686BEA"/>
    <w:rsid w:val="00687264"/>
    <w:rsid w:val="006874D0"/>
    <w:rsid w:val="00687D8D"/>
    <w:rsid w:val="0069020A"/>
    <w:rsid w:val="00690322"/>
    <w:rsid w:val="00690539"/>
    <w:rsid w:val="006907D5"/>
    <w:rsid w:val="0069282E"/>
    <w:rsid w:val="0069295E"/>
    <w:rsid w:val="00693296"/>
    <w:rsid w:val="00693628"/>
    <w:rsid w:val="006938DF"/>
    <w:rsid w:val="00693C1C"/>
    <w:rsid w:val="00693D6E"/>
    <w:rsid w:val="00693EC8"/>
    <w:rsid w:val="00694120"/>
    <w:rsid w:val="00694492"/>
    <w:rsid w:val="00694C62"/>
    <w:rsid w:val="00694DE4"/>
    <w:rsid w:val="006954E8"/>
    <w:rsid w:val="00695E10"/>
    <w:rsid w:val="006960A6"/>
    <w:rsid w:val="0069617C"/>
    <w:rsid w:val="006965AC"/>
    <w:rsid w:val="00696641"/>
    <w:rsid w:val="006968FD"/>
    <w:rsid w:val="00697117"/>
    <w:rsid w:val="00697429"/>
    <w:rsid w:val="00697502"/>
    <w:rsid w:val="0069759B"/>
    <w:rsid w:val="00697670"/>
    <w:rsid w:val="006978D7"/>
    <w:rsid w:val="00697975"/>
    <w:rsid w:val="00697AAB"/>
    <w:rsid w:val="006A0583"/>
    <w:rsid w:val="006A0F40"/>
    <w:rsid w:val="006A0FF4"/>
    <w:rsid w:val="006A1762"/>
    <w:rsid w:val="006A1D52"/>
    <w:rsid w:val="006A1FDA"/>
    <w:rsid w:val="006A203F"/>
    <w:rsid w:val="006A23C5"/>
    <w:rsid w:val="006A28B2"/>
    <w:rsid w:val="006A361D"/>
    <w:rsid w:val="006A36C2"/>
    <w:rsid w:val="006A3C6A"/>
    <w:rsid w:val="006A3DDC"/>
    <w:rsid w:val="006A4419"/>
    <w:rsid w:val="006A4BAD"/>
    <w:rsid w:val="006A4CEB"/>
    <w:rsid w:val="006A50B9"/>
    <w:rsid w:val="006A5CBA"/>
    <w:rsid w:val="006A63DD"/>
    <w:rsid w:val="006A67B4"/>
    <w:rsid w:val="006A69AA"/>
    <w:rsid w:val="006A6E79"/>
    <w:rsid w:val="006A7F76"/>
    <w:rsid w:val="006B034D"/>
    <w:rsid w:val="006B0E03"/>
    <w:rsid w:val="006B1E6A"/>
    <w:rsid w:val="006B212A"/>
    <w:rsid w:val="006B24A4"/>
    <w:rsid w:val="006B255A"/>
    <w:rsid w:val="006B261D"/>
    <w:rsid w:val="006B303C"/>
    <w:rsid w:val="006B326E"/>
    <w:rsid w:val="006B32E5"/>
    <w:rsid w:val="006B4531"/>
    <w:rsid w:val="006B457D"/>
    <w:rsid w:val="006B4A66"/>
    <w:rsid w:val="006B4B65"/>
    <w:rsid w:val="006B4F69"/>
    <w:rsid w:val="006B5382"/>
    <w:rsid w:val="006B58DA"/>
    <w:rsid w:val="006B5A7D"/>
    <w:rsid w:val="006B6155"/>
    <w:rsid w:val="006B61EE"/>
    <w:rsid w:val="006B66B7"/>
    <w:rsid w:val="006B6B3B"/>
    <w:rsid w:val="006B6D9E"/>
    <w:rsid w:val="006B6F21"/>
    <w:rsid w:val="006B7045"/>
    <w:rsid w:val="006B75AD"/>
    <w:rsid w:val="006B7992"/>
    <w:rsid w:val="006C0158"/>
    <w:rsid w:val="006C03A1"/>
    <w:rsid w:val="006C0707"/>
    <w:rsid w:val="006C085C"/>
    <w:rsid w:val="006C0921"/>
    <w:rsid w:val="006C0AF4"/>
    <w:rsid w:val="006C1161"/>
    <w:rsid w:val="006C1C9D"/>
    <w:rsid w:val="006C1E5A"/>
    <w:rsid w:val="006C23C0"/>
    <w:rsid w:val="006C2819"/>
    <w:rsid w:val="006C28EA"/>
    <w:rsid w:val="006C3020"/>
    <w:rsid w:val="006C3420"/>
    <w:rsid w:val="006C34AF"/>
    <w:rsid w:val="006C3F99"/>
    <w:rsid w:val="006C4F64"/>
    <w:rsid w:val="006C4F9A"/>
    <w:rsid w:val="006C5025"/>
    <w:rsid w:val="006C516D"/>
    <w:rsid w:val="006C5718"/>
    <w:rsid w:val="006C57CC"/>
    <w:rsid w:val="006C5C5F"/>
    <w:rsid w:val="006C7495"/>
    <w:rsid w:val="006C762F"/>
    <w:rsid w:val="006D00E4"/>
    <w:rsid w:val="006D0284"/>
    <w:rsid w:val="006D029F"/>
    <w:rsid w:val="006D09BB"/>
    <w:rsid w:val="006D1F98"/>
    <w:rsid w:val="006D2328"/>
    <w:rsid w:val="006D25F3"/>
    <w:rsid w:val="006D3047"/>
    <w:rsid w:val="006D3A15"/>
    <w:rsid w:val="006D3E8A"/>
    <w:rsid w:val="006D4425"/>
    <w:rsid w:val="006D4673"/>
    <w:rsid w:val="006D46BA"/>
    <w:rsid w:val="006D5290"/>
    <w:rsid w:val="006D588A"/>
    <w:rsid w:val="006D5B5C"/>
    <w:rsid w:val="006D603D"/>
    <w:rsid w:val="006D623E"/>
    <w:rsid w:val="006D6261"/>
    <w:rsid w:val="006D632D"/>
    <w:rsid w:val="006D6539"/>
    <w:rsid w:val="006D69B0"/>
    <w:rsid w:val="006D6FAB"/>
    <w:rsid w:val="006D7785"/>
    <w:rsid w:val="006D7869"/>
    <w:rsid w:val="006D7990"/>
    <w:rsid w:val="006D7DAB"/>
    <w:rsid w:val="006E0358"/>
    <w:rsid w:val="006E0496"/>
    <w:rsid w:val="006E0BB1"/>
    <w:rsid w:val="006E1210"/>
    <w:rsid w:val="006E1532"/>
    <w:rsid w:val="006E1A9B"/>
    <w:rsid w:val="006E269F"/>
    <w:rsid w:val="006E277E"/>
    <w:rsid w:val="006E2CF6"/>
    <w:rsid w:val="006E2E0B"/>
    <w:rsid w:val="006E2E20"/>
    <w:rsid w:val="006E307D"/>
    <w:rsid w:val="006E3559"/>
    <w:rsid w:val="006E378D"/>
    <w:rsid w:val="006E38A8"/>
    <w:rsid w:val="006E4383"/>
    <w:rsid w:val="006E46CE"/>
    <w:rsid w:val="006E46D0"/>
    <w:rsid w:val="006E484C"/>
    <w:rsid w:val="006E4A50"/>
    <w:rsid w:val="006E4D52"/>
    <w:rsid w:val="006E53D9"/>
    <w:rsid w:val="006E5969"/>
    <w:rsid w:val="006E5C5F"/>
    <w:rsid w:val="006E5F7C"/>
    <w:rsid w:val="006E6007"/>
    <w:rsid w:val="006E6449"/>
    <w:rsid w:val="006E676A"/>
    <w:rsid w:val="006E69E1"/>
    <w:rsid w:val="006E70A7"/>
    <w:rsid w:val="006E7969"/>
    <w:rsid w:val="006E7F4E"/>
    <w:rsid w:val="006F04B6"/>
    <w:rsid w:val="006F09E4"/>
    <w:rsid w:val="006F0FA5"/>
    <w:rsid w:val="006F12F3"/>
    <w:rsid w:val="006F1AC7"/>
    <w:rsid w:val="006F235B"/>
    <w:rsid w:val="006F2365"/>
    <w:rsid w:val="006F279F"/>
    <w:rsid w:val="006F2FF9"/>
    <w:rsid w:val="006F320D"/>
    <w:rsid w:val="006F369F"/>
    <w:rsid w:val="006F4B18"/>
    <w:rsid w:val="006F4D16"/>
    <w:rsid w:val="006F4FE3"/>
    <w:rsid w:val="006F5647"/>
    <w:rsid w:val="006F58D5"/>
    <w:rsid w:val="006F5B71"/>
    <w:rsid w:val="006F609F"/>
    <w:rsid w:val="006F71AE"/>
    <w:rsid w:val="006F73C6"/>
    <w:rsid w:val="006F795A"/>
    <w:rsid w:val="006F7CA2"/>
    <w:rsid w:val="0070001C"/>
    <w:rsid w:val="00700569"/>
    <w:rsid w:val="00700700"/>
    <w:rsid w:val="00700936"/>
    <w:rsid w:val="007009E6"/>
    <w:rsid w:val="00700E11"/>
    <w:rsid w:val="00700F02"/>
    <w:rsid w:val="0070153C"/>
    <w:rsid w:val="007022AC"/>
    <w:rsid w:val="007029B3"/>
    <w:rsid w:val="00702AD8"/>
    <w:rsid w:val="00702B23"/>
    <w:rsid w:val="00702C90"/>
    <w:rsid w:val="007030FD"/>
    <w:rsid w:val="007032A1"/>
    <w:rsid w:val="00703841"/>
    <w:rsid w:val="007039E2"/>
    <w:rsid w:val="0070431F"/>
    <w:rsid w:val="00704BC1"/>
    <w:rsid w:val="00704F23"/>
    <w:rsid w:val="007051DD"/>
    <w:rsid w:val="00705D5D"/>
    <w:rsid w:val="00705E0E"/>
    <w:rsid w:val="00706BEC"/>
    <w:rsid w:val="00706D96"/>
    <w:rsid w:val="00707039"/>
    <w:rsid w:val="00707E70"/>
    <w:rsid w:val="00710491"/>
    <w:rsid w:val="00710AE7"/>
    <w:rsid w:val="00710AFB"/>
    <w:rsid w:val="00710E89"/>
    <w:rsid w:val="00711004"/>
    <w:rsid w:val="007112D1"/>
    <w:rsid w:val="007120CE"/>
    <w:rsid w:val="0071233A"/>
    <w:rsid w:val="007126D5"/>
    <w:rsid w:val="0071270C"/>
    <w:rsid w:val="0071293A"/>
    <w:rsid w:val="00713676"/>
    <w:rsid w:val="007137C8"/>
    <w:rsid w:val="0071395D"/>
    <w:rsid w:val="00713CE1"/>
    <w:rsid w:val="00714263"/>
    <w:rsid w:val="00714459"/>
    <w:rsid w:val="0071457E"/>
    <w:rsid w:val="00715552"/>
    <w:rsid w:val="00715A75"/>
    <w:rsid w:val="00715C15"/>
    <w:rsid w:val="00715C79"/>
    <w:rsid w:val="00715CF0"/>
    <w:rsid w:val="00715EFB"/>
    <w:rsid w:val="007162B5"/>
    <w:rsid w:val="00716E30"/>
    <w:rsid w:val="00717091"/>
    <w:rsid w:val="007175BF"/>
    <w:rsid w:val="0071764F"/>
    <w:rsid w:val="00717A49"/>
    <w:rsid w:val="00720E84"/>
    <w:rsid w:val="007216AB"/>
    <w:rsid w:val="007227FC"/>
    <w:rsid w:val="007228F2"/>
    <w:rsid w:val="00722954"/>
    <w:rsid w:val="00722E3E"/>
    <w:rsid w:val="00722EA9"/>
    <w:rsid w:val="00722EF1"/>
    <w:rsid w:val="00722FC5"/>
    <w:rsid w:val="0072373B"/>
    <w:rsid w:val="007238B9"/>
    <w:rsid w:val="00723A73"/>
    <w:rsid w:val="00723C79"/>
    <w:rsid w:val="007242B7"/>
    <w:rsid w:val="0072438A"/>
    <w:rsid w:val="0072464E"/>
    <w:rsid w:val="007249F0"/>
    <w:rsid w:val="00724EF0"/>
    <w:rsid w:val="00724FDF"/>
    <w:rsid w:val="0072517D"/>
    <w:rsid w:val="00725823"/>
    <w:rsid w:val="00725A8C"/>
    <w:rsid w:val="00725CA8"/>
    <w:rsid w:val="00726544"/>
    <w:rsid w:val="007269CC"/>
    <w:rsid w:val="00726F1F"/>
    <w:rsid w:val="007271DA"/>
    <w:rsid w:val="00727476"/>
    <w:rsid w:val="0072749E"/>
    <w:rsid w:val="007274B4"/>
    <w:rsid w:val="00727A1A"/>
    <w:rsid w:val="00727B37"/>
    <w:rsid w:val="00730280"/>
    <w:rsid w:val="007306B9"/>
    <w:rsid w:val="00732E3C"/>
    <w:rsid w:val="00733220"/>
    <w:rsid w:val="00733575"/>
    <w:rsid w:val="00733C28"/>
    <w:rsid w:val="007341C7"/>
    <w:rsid w:val="00734593"/>
    <w:rsid w:val="00734883"/>
    <w:rsid w:val="00734889"/>
    <w:rsid w:val="0073575D"/>
    <w:rsid w:val="007360CD"/>
    <w:rsid w:val="007362E1"/>
    <w:rsid w:val="0073630D"/>
    <w:rsid w:val="00736480"/>
    <w:rsid w:val="00736D4B"/>
    <w:rsid w:val="007402D2"/>
    <w:rsid w:val="007406F6"/>
    <w:rsid w:val="007410A8"/>
    <w:rsid w:val="00741742"/>
    <w:rsid w:val="00741A82"/>
    <w:rsid w:val="00741CFE"/>
    <w:rsid w:val="00741D38"/>
    <w:rsid w:val="00742055"/>
    <w:rsid w:val="007427E4"/>
    <w:rsid w:val="00742A6C"/>
    <w:rsid w:val="00742E1A"/>
    <w:rsid w:val="00743A4C"/>
    <w:rsid w:val="00743B0D"/>
    <w:rsid w:val="00743C86"/>
    <w:rsid w:val="007440B9"/>
    <w:rsid w:val="0074438A"/>
    <w:rsid w:val="0074450A"/>
    <w:rsid w:val="00744E7B"/>
    <w:rsid w:val="00745CAF"/>
    <w:rsid w:val="007473E0"/>
    <w:rsid w:val="00747E31"/>
    <w:rsid w:val="00747E60"/>
    <w:rsid w:val="007505EE"/>
    <w:rsid w:val="00750A6F"/>
    <w:rsid w:val="00750A79"/>
    <w:rsid w:val="0075160A"/>
    <w:rsid w:val="00751AC9"/>
    <w:rsid w:val="00751B66"/>
    <w:rsid w:val="00752D55"/>
    <w:rsid w:val="0075338D"/>
    <w:rsid w:val="00753EB7"/>
    <w:rsid w:val="00753FEA"/>
    <w:rsid w:val="0075446A"/>
    <w:rsid w:val="00754770"/>
    <w:rsid w:val="00754846"/>
    <w:rsid w:val="00754A3D"/>
    <w:rsid w:val="00754C59"/>
    <w:rsid w:val="0075523D"/>
    <w:rsid w:val="007552D4"/>
    <w:rsid w:val="00755465"/>
    <w:rsid w:val="00755623"/>
    <w:rsid w:val="00756548"/>
    <w:rsid w:val="00757287"/>
    <w:rsid w:val="007579FF"/>
    <w:rsid w:val="00757C47"/>
    <w:rsid w:val="007614E0"/>
    <w:rsid w:val="0076177C"/>
    <w:rsid w:val="00761CE4"/>
    <w:rsid w:val="0076259F"/>
    <w:rsid w:val="00762DC7"/>
    <w:rsid w:val="0076366E"/>
    <w:rsid w:val="0076373B"/>
    <w:rsid w:val="00763898"/>
    <w:rsid w:val="00763A8D"/>
    <w:rsid w:val="00763A93"/>
    <w:rsid w:val="00763C18"/>
    <w:rsid w:val="00763F78"/>
    <w:rsid w:val="0076414B"/>
    <w:rsid w:val="00764247"/>
    <w:rsid w:val="00764411"/>
    <w:rsid w:val="00764C8F"/>
    <w:rsid w:val="00764CD6"/>
    <w:rsid w:val="00764F06"/>
    <w:rsid w:val="007658F6"/>
    <w:rsid w:val="0076593F"/>
    <w:rsid w:val="00767646"/>
    <w:rsid w:val="00767A49"/>
    <w:rsid w:val="00770916"/>
    <w:rsid w:val="0077091B"/>
    <w:rsid w:val="00771428"/>
    <w:rsid w:val="00771A28"/>
    <w:rsid w:val="00771A75"/>
    <w:rsid w:val="00772AE1"/>
    <w:rsid w:val="00772C79"/>
    <w:rsid w:val="00772EF9"/>
    <w:rsid w:val="00773B50"/>
    <w:rsid w:val="00773B62"/>
    <w:rsid w:val="007740FA"/>
    <w:rsid w:val="0077481C"/>
    <w:rsid w:val="00774C3B"/>
    <w:rsid w:val="007753ED"/>
    <w:rsid w:val="00775740"/>
    <w:rsid w:val="00775BC5"/>
    <w:rsid w:val="007763FC"/>
    <w:rsid w:val="00776EF9"/>
    <w:rsid w:val="0077729A"/>
    <w:rsid w:val="00777BCB"/>
    <w:rsid w:val="00777DEA"/>
    <w:rsid w:val="00777E69"/>
    <w:rsid w:val="00777F16"/>
    <w:rsid w:val="00780098"/>
    <w:rsid w:val="00780178"/>
    <w:rsid w:val="00780418"/>
    <w:rsid w:val="00780EFC"/>
    <w:rsid w:val="00781497"/>
    <w:rsid w:val="007818E8"/>
    <w:rsid w:val="00781B25"/>
    <w:rsid w:val="00781E2B"/>
    <w:rsid w:val="007824BA"/>
    <w:rsid w:val="00782C14"/>
    <w:rsid w:val="00782DBF"/>
    <w:rsid w:val="00782EA6"/>
    <w:rsid w:val="0078318C"/>
    <w:rsid w:val="0078389F"/>
    <w:rsid w:val="0078456C"/>
    <w:rsid w:val="00784887"/>
    <w:rsid w:val="00784CD2"/>
    <w:rsid w:val="00785021"/>
    <w:rsid w:val="00785508"/>
    <w:rsid w:val="007856EF"/>
    <w:rsid w:val="00785A62"/>
    <w:rsid w:val="007866A8"/>
    <w:rsid w:val="007868F0"/>
    <w:rsid w:val="00786DEF"/>
    <w:rsid w:val="007878FB"/>
    <w:rsid w:val="00787A02"/>
    <w:rsid w:val="00790976"/>
    <w:rsid w:val="00790EBB"/>
    <w:rsid w:val="00791516"/>
    <w:rsid w:val="00791602"/>
    <w:rsid w:val="0079163E"/>
    <w:rsid w:val="00791FB5"/>
    <w:rsid w:val="00792092"/>
    <w:rsid w:val="0079308B"/>
    <w:rsid w:val="007930B9"/>
    <w:rsid w:val="007936FE"/>
    <w:rsid w:val="00793A46"/>
    <w:rsid w:val="00793CB1"/>
    <w:rsid w:val="007942F3"/>
    <w:rsid w:val="00794D6A"/>
    <w:rsid w:val="007950A6"/>
    <w:rsid w:val="0079595B"/>
    <w:rsid w:val="00795A4F"/>
    <w:rsid w:val="00795CAD"/>
    <w:rsid w:val="00795FD8"/>
    <w:rsid w:val="0079604B"/>
    <w:rsid w:val="0079750B"/>
    <w:rsid w:val="00797614"/>
    <w:rsid w:val="00797842"/>
    <w:rsid w:val="0079788D"/>
    <w:rsid w:val="007A002E"/>
    <w:rsid w:val="007A0AC7"/>
    <w:rsid w:val="007A0B4C"/>
    <w:rsid w:val="007A0C73"/>
    <w:rsid w:val="007A10B3"/>
    <w:rsid w:val="007A1530"/>
    <w:rsid w:val="007A1BE3"/>
    <w:rsid w:val="007A1E11"/>
    <w:rsid w:val="007A22B9"/>
    <w:rsid w:val="007A2AE2"/>
    <w:rsid w:val="007A2BF3"/>
    <w:rsid w:val="007A352E"/>
    <w:rsid w:val="007A36E4"/>
    <w:rsid w:val="007A3B3E"/>
    <w:rsid w:val="007A45EB"/>
    <w:rsid w:val="007A483A"/>
    <w:rsid w:val="007A4B69"/>
    <w:rsid w:val="007A4E96"/>
    <w:rsid w:val="007A5027"/>
    <w:rsid w:val="007A60DF"/>
    <w:rsid w:val="007A614F"/>
    <w:rsid w:val="007A6261"/>
    <w:rsid w:val="007A6924"/>
    <w:rsid w:val="007A6C35"/>
    <w:rsid w:val="007A6F25"/>
    <w:rsid w:val="007A7266"/>
    <w:rsid w:val="007A7396"/>
    <w:rsid w:val="007B0218"/>
    <w:rsid w:val="007B0662"/>
    <w:rsid w:val="007B10F3"/>
    <w:rsid w:val="007B192D"/>
    <w:rsid w:val="007B1ADB"/>
    <w:rsid w:val="007B24F7"/>
    <w:rsid w:val="007B2841"/>
    <w:rsid w:val="007B2FA4"/>
    <w:rsid w:val="007B3B58"/>
    <w:rsid w:val="007B47B4"/>
    <w:rsid w:val="007B497F"/>
    <w:rsid w:val="007B52EE"/>
    <w:rsid w:val="007B532A"/>
    <w:rsid w:val="007B6542"/>
    <w:rsid w:val="007B672A"/>
    <w:rsid w:val="007B6A2F"/>
    <w:rsid w:val="007B6E64"/>
    <w:rsid w:val="007B7044"/>
    <w:rsid w:val="007B72B8"/>
    <w:rsid w:val="007B7454"/>
    <w:rsid w:val="007C007E"/>
    <w:rsid w:val="007C01C4"/>
    <w:rsid w:val="007C03BD"/>
    <w:rsid w:val="007C065A"/>
    <w:rsid w:val="007C0F44"/>
    <w:rsid w:val="007C10B1"/>
    <w:rsid w:val="007C1C37"/>
    <w:rsid w:val="007C24A6"/>
    <w:rsid w:val="007C2587"/>
    <w:rsid w:val="007C2776"/>
    <w:rsid w:val="007C27C3"/>
    <w:rsid w:val="007C2D34"/>
    <w:rsid w:val="007C3307"/>
    <w:rsid w:val="007C360D"/>
    <w:rsid w:val="007C377C"/>
    <w:rsid w:val="007C3A9A"/>
    <w:rsid w:val="007C3AF8"/>
    <w:rsid w:val="007C3E7D"/>
    <w:rsid w:val="007C4838"/>
    <w:rsid w:val="007C4A72"/>
    <w:rsid w:val="007C52BF"/>
    <w:rsid w:val="007C568D"/>
    <w:rsid w:val="007C5B43"/>
    <w:rsid w:val="007C6120"/>
    <w:rsid w:val="007C619C"/>
    <w:rsid w:val="007C61A7"/>
    <w:rsid w:val="007C6226"/>
    <w:rsid w:val="007C6571"/>
    <w:rsid w:val="007C6BFF"/>
    <w:rsid w:val="007C72CD"/>
    <w:rsid w:val="007C756E"/>
    <w:rsid w:val="007C7927"/>
    <w:rsid w:val="007C7A9D"/>
    <w:rsid w:val="007D02F3"/>
    <w:rsid w:val="007D04E6"/>
    <w:rsid w:val="007D069E"/>
    <w:rsid w:val="007D1848"/>
    <w:rsid w:val="007D19EA"/>
    <w:rsid w:val="007D1ADD"/>
    <w:rsid w:val="007D1E23"/>
    <w:rsid w:val="007D215F"/>
    <w:rsid w:val="007D2449"/>
    <w:rsid w:val="007D2BCF"/>
    <w:rsid w:val="007D2D7C"/>
    <w:rsid w:val="007D2DAB"/>
    <w:rsid w:val="007D3428"/>
    <w:rsid w:val="007D36F8"/>
    <w:rsid w:val="007D3D75"/>
    <w:rsid w:val="007D4084"/>
    <w:rsid w:val="007D43BC"/>
    <w:rsid w:val="007D43EF"/>
    <w:rsid w:val="007D4668"/>
    <w:rsid w:val="007D46DF"/>
    <w:rsid w:val="007D49DB"/>
    <w:rsid w:val="007D4DBE"/>
    <w:rsid w:val="007D5087"/>
    <w:rsid w:val="007D5836"/>
    <w:rsid w:val="007D5BC5"/>
    <w:rsid w:val="007D641E"/>
    <w:rsid w:val="007D6D50"/>
    <w:rsid w:val="007D7009"/>
    <w:rsid w:val="007D7102"/>
    <w:rsid w:val="007D741E"/>
    <w:rsid w:val="007D7938"/>
    <w:rsid w:val="007D7D0E"/>
    <w:rsid w:val="007E0556"/>
    <w:rsid w:val="007E098D"/>
    <w:rsid w:val="007E09BF"/>
    <w:rsid w:val="007E0D82"/>
    <w:rsid w:val="007E1346"/>
    <w:rsid w:val="007E1744"/>
    <w:rsid w:val="007E1ED2"/>
    <w:rsid w:val="007E23F9"/>
    <w:rsid w:val="007E24AE"/>
    <w:rsid w:val="007E28FD"/>
    <w:rsid w:val="007E2E0D"/>
    <w:rsid w:val="007E302D"/>
    <w:rsid w:val="007E3512"/>
    <w:rsid w:val="007E38AF"/>
    <w:rsid w:val="007E41AA"/>
    <w:rsid w:val="007E55C8"/>
    <w:rsid w:val="007E561D"/>
    <w:rsid w:val="007E57B9"/>
    <w:rsid w:val="007E5CE4"/>
    <w:rsid w:val="007E5DB8"/>
    <w:rsid w:val="007E6497"/>
    <w:rsid w:val="007E691A"/>
    <w:rsid w:val="007E6AE7"/>
    <w:rsid w:val="007E6DB4"/>
    <w:rsid w:val="007E6EFA"/>
    <w:rsid w:val="007E6F77"/>
    <w:rsid w:val="007F02DC"/>
    <w:rsid w:val="007F03A2"/>
    <w:rsid w:val="007F0727"/>
    <w:rsid w:val="007F0799"/>
    <w:rsid w:val="007F17AD"/>
    <w:rsid w:val="007F1C3C"/>
    <w:rsid w:val="007F209A"/>
    <w:rsid w:val="007F2122"/>
    <w:rsid w:val="007F2747"/>
    <w:rsid w:val="007F3005"/>
    <w:rsid w:val="007F3127"/>
    <w:rsid w:val="007F3514"/>
    <w:rsid w:val="007F3558"/>
    <w:rsid w:val="007F355E"/>
    <w:rsid w:val="007F35F0"/>
    <w:rsid w:val="007F38C5"/>
    <w:rsid w:val="007F3B46"/>
    <w:rsid w:val="007F3CE8"/>
    <w:rsid w:val="007F3D52"/>
    <w:rsid w:val="007F46E4"/>
    <w:rsid w:val="007F4CED"/>
    <w:rsid w:val="007F5257"/>
    <w:rsid w:val="007F5310"/>
    <w:rsid w:val="007F54BC"/>
    <w:rsid w:val="007F5573"/>
    <w:rsid w:val="007F5B33"/>
    <w:rsid w:val="007F6130"/>
    <w:rsid w:val="007F6237"/>
    <w:rsid w:val="007F77CA"/>
    <w:rsid w:val="007F78B2"/>
    <w:rsid w:val="007F7902"/>
    <w:rsid w:val="007F7DC7"/>
    <w:rsid w:val="008000C3"/>
    <w:rsid w:val="0080017F"/>
    <w:rsid w:val="00800790"/>
    <w:rsid w:val="00800D23"/>
    <w:rsid w:val="0080113F"/>
    <w:rsid w:val="00801901"/>
    <w:rsid w:val="00801AF5"/>
    <w:rsid w:val="008023B8"/>
    <w:rsid w:val="00802755"/>
    <w:rsid w:val="0080285C"/>
    <w:rsid w:val="00802D04"/>
    <w:rsid w:val="008037D2"/>
    <w:rsid w:val="00803BB7"/>
    <w:rsid w:val="00803F6D"/>
    <w:rsid w:val="00804740"/>
    <w:rsid w:val="0080522F"/>
    <w:rsid w:val="008052C2"/>
    <w:rsid w:val="00805646"/>
    <w:rsid w:val="00806207"/>
    <w:rsid w:val="008064BC"/>
    <w:rsid w:val="00806627"/>
    <w:rsid w:val="0080674B"/>
    <w:rsid w:val="00806D71"/>
    <w:rsid w:val="008070FE"/>
    <w:rsid w:val="00807328"/>
    <w:rsid w:val="008077B5"/>
    <w:rsid w:val="00807DBF"/>
    <w:rsid w:val="00807FE2"/>
    <w:rsid w:val="00810533"/>
    <w:rsid w:val="0081055E"/>
    <w:rsid w:val="008109ED"/>
    <w:rsid w:val="00810BD5"/>
    <w:rsid w:val="00810E5C"/>
    <w:rsid w:val="0081102E"/>
    <w:rsid w:val="00811039"/>
    <w:rsid w:val="008114E6"/>
    <w:rsid w:val="00811847"/>
    <w:rsid w:val="00811A55"/>
    <w:rsid w:val="00811DDF"/>
    <w:rsid w:val="008124DF"/>
    <w:rsid w:val="008128B8"/>
    <w:rsid w:val="00812B76"/>
    <w:rsid w:val="00812C9C"/>
    <w:rsid w:val="00812D4F"/>
    <w:rsid w:val="00813B2A"/>
    <w:rsid w:val="00813CA5"/>
    <w:rsid w:val="00815781"/>
    <w:rsid w:val="00816046"/>
    <w:rsid w:val="00816430"/>
    <w:rsid w:val="00816E4C"/>
    <w:rsid w:val="00817190"/>
    <w:rsid w:val="00817207"/>
    <w:rsid w:val="00820403"/>
    <w:rsid w:val="00820957"/>
    <w:rsid w:val="008209C2"/>
    <w:rsid w:val="00821B58"/>
    <w:rsid w:val="00822290"/>
    <w:rsid w:val="00822EEE"/>
    <w:rsid w:val="00822F22"/>
    <w:rsid w:val="0082301F"/>
    <w:rsid w:val="008238C9"/>
    <w:rsid w:val="0082425F"/>
    <w:rsid w:val="00824289"/>
    <w:rsid w:val="0082432D"/>
    <w:rsid w:val="00824E43"/>
    <w:rsid w:val="008250C8"/>
    <w:rsid w:val="008252FA"/>
    <w:rsid w:val="008261D9"/>
    <w:rsid w:val="008261E3"/>
    <w:rsid w:val="008265D6"/>
    <w:rsid w:val="00826BDD"/>
    <w:rsid w:val="00826F01"/>
    <w:rsid w:val="008270DF"/>
    <w:rsid w:val="00827500"/>
    <w:rsid w:val="0082780E"/>
    <w:rsid w:val="00827D3E"/>
    <w:rsid w:val="00827F40"/>
    <w:rsid w:val="00830738"/>
    <w:rsid w:val="00831252"/>
    <w:rsid w:val="0083163B"/>
    <w:rsid w:val="0083175F"/>
    <w:rsid w:val="00831B27"/>
    <w:rsid w:val="00831B8F"/>
    <w:rsid w:val="00831DC5"/>
    <w:rsid w:val="00831F72"/>
    <w:rsid w:val="00832155"/>
    <w:rsid w:val="00832339"/>
    <w:rsid w:val="008326B8"/>
    <w:rsid w:val="00832703"/>
    <w:rsid w:val="0083271E"/>
    <w:rsid w:val="00832748"/>
    <w:rsid w:val="00832E2C"/>
    <w:rsid w:val="00832EF1"/>
    <w:rsid w:val="008335AB"/>
    <w:rsid w:val="008342C1"/>
    <w:rsid w:val="00834927"/>
    <w:rsid w:val="00834BB8"/>
    <w:rsid w:val="00834EBF"/>
    <w:rsid w:val="0083505E"/>
    <w:rsid w:val="0083509C"/>
    <w:rsid w:val="0083531A"/>
    <w:rsid w:val="0083583D"/>
    <w:rsid w:val="00835913"/>
    <w:rsid w:val="0083606F"/>
    <w:rsid w:val="008367F8"/>
    <w:rsid w:val="00836B55"/>
    <w:rsid w:val="00836DB7"/>
    <w:rsid w:val="008373CE"/>
    <w:rsid w:val="0083746A"/>
    <w:rsid w:val="00837C2A"/>
    <w:rsid w:val="00840579"/>
    <w:rsid w:val="008408C1"/>
    <w:rsid w:val="00840AB8"/>
    <w:rsid w:val="00840FA7"/>
    <w:rsid w:val="00841797"/>
    <w:rsid w:val="00841A8E"/>
    <w:rsid w:val="00841E45"/>
    <w:rsid w:val="00841F21"/>
    <w:rsid w:val="0084297C"/>
    <w:rsid w:val="00842B5E"/>
    <w:rsid w:val="008437E4"/>
    <w:rsid w:val="008439D2"/>
    <w:rsid w:val="00843CAF"/>
    <w:rsid w:val="008449E8"/>
    <w:rsid w:val="00844AF0"/>
    <w:rsid w:val="00844D73"/>
    <w:rsid w:val="00845498"/>
    <w:rsid w:val="008456E7"/>
    <w:rsid w:val="008457B4"/>
    <w:rsid w:val="00845AC8"/>
    <w:rsid w:val="00845D7A"/>
    <w:rsid w:val="00845E3D"/>
    <w:rsid w:val="00846944"/>
    <w:rsid w:val="00846C61"/>
    <w:rsid w:val="008477A3"/>
    <w:rsid w:val="00847C56"/>
    <w:rsid w:val="0085013D"/>
    <w:rsid w:val="00850242"/>
    <w:rsid w:val="0085047B"/>
    <w:rsid w:val="00850907"/>
    <w:rsid w:val="00850D78"/>
    <w:rsid w:val="008510A6"/>
    <w:rsid w:val="00851541"/>
    <w:rsid w:val="00851FCE"/>
    <w:rsid w:val="00852062"/>
    <w:rsid w:val="008529CC"/>
    <w:rsid w:val="00852A79"/>
    <w:rsid w:val="00852BFE"/>
    <w:rsid w:val="0085342E"/>
    <w:rsid w:val="008538D3"/>
    <w:rsid w:val="00853A0F"/>
    <w:rsid w:val="008543A9"/>
    <w:rsid w:val="008548EB"/>
    <w:rsid w:val="00854B7F"/>
    <w:rsid w:val="00854CAC"/>
    <w:rsid w:val="008554F7"/>
    <w:rsid w:val="00855793"/>
    <w:rsid w:val="00855797"/>
    <w:rsid w:val="008564F8"/>
    <w:rsid w:val="008567ED"/>
    <w:rsid w:val="0085690A"/>
    <w:rsid w:val="0085696F"/>
    <w:rsid w:val="00856A18"/>
    <w:rsid w:val="00856A82"/>
    <w:rsid w:val="00856B7A"/>
    <w:rsid w:val="00856D37"/>
    <w:rsid w:val="00857126"/>
    <w:rsid w:val="00857368"/>
    <w:rsid w:val="0085757E"/>
    <w:rsid w:val="00857810"/>
    <w:rsid w:val="00857AA1"/>
    <w:rsid w:val="00857D01"/>
    <w:rsid w:val="00857DA2"/>
    <w:rsid w:val="00857F0B"/>
    <w:rsid w:val="00860002"/>
    <w:rsid w:val="0086157F"/>
    <w:rsid w:val="008618E4"/>
    <w:rsid w:val="00861C58"/>
    <w:rsid w:val="00861D96"/>
    <w:rsid w:val="00863027"/>
    <w:rsid w:val="008630BB"/>
    <w:rsid w:val="008632E7"/>
    <w:rsid w:val="00863694"/>
    <w:rsid w:val="00863A53"/>
    <w:rsid w:val="00863B50"/>
    <w:rsid w:val="00863BCC"/>
    <w:rsid w:val="00864C84"/>
    <w:rsid w:val="00865197"/>
    <w:rsid w:val="00865342"/>
    <w:rsid w:val="00865ADE"/>
    <w:rsid w:val="00865FB1"/>
    <w:rsid w:val="008669C1"/>
    <w:rsid w:val="00866B8C"/>
    <w:rsid w:val="008670F8"/>
    <w:rsid w:val="00867570"/>
    <w:rsid w:val="00867EF0"/>
    <w:rsid w:val="00870783"/>
    <w:rsid w:val="00870A55"/>
    <w:rsid w:val="00870AD9"/>
    <w:rsid w:val="00870F11"/>
    <w:rsid w:val="0087110E"/>
    <w:rsid w:val="0087116B"/>
    <w:rsid w:val="008711C5"/>
    <w:rsid w:val="0087311E"/>
    <w:rsid w:val="00873513"/>
    <w:rsid w:val="00874662"/>
    <w:rsid w:val="00874DC9"/>
    <w:rsid w:val="00875906"/>
    <w:rsid w:val="00875C85"/>
    <w:rsid w:val="00875D0C"/>
    <w:rsid w:val="00876070"/>
    <w:rsid w:val="00876457"/>
    <w:rsid w:val="0087682F"/>
    <w:rsid w:val="00877173"/>
    <w:rsid w:val="008775DE"/>
    <w:rsid w:val="0087776C"/>
    <w:rsid w:val="008804D3"/>
    <w:rsid w:val="00880A09"/>
    <w:rsid w:val="00880CFC"/>
    <w:rsid w:val="00880D05"/>
    <w:rsid w:val="008813D8"/>
    <w:rsid w:val="00881F5B"/>
    <w:rsid w:val="00882797"/>
    <w:rsid w:val="00882E72"/>
    <w:rsid w:val="00883032"/>
    <w:rsid w:val="00884376"/>
    <w:rsid w:val="00884676"/>
    <w:rsid w:val="00884C03"/>
    <w:rsid w:val="00884FF2"/>
    <w:rsid w:val="00885B4D"/>
    <w:rsid w:val="00885C2F"/>
    <w:rsid w:val="00886FE1"/>
    <w:rsid w:val="00887083"/>
    <w:rsid w:val="008870B6"/>
    <w:rsid w:val="00887889"/>
    <w:rsid w:val="00887BBE"/>
    <w:rsid w:val="00890AB1"/>
    <w:rsid w:val="0089119C"/>
    <w:rsid w:val="008911C4"/>
    <w:rsid w:val="008911D5"/>
    <w:rsid w:val="00891298"/>
    <w:rsid w:val="00891F23"/>
    <w:rsid w:val="0089205A"/>
    <w:rsid w:val="008925C9"/>
    <w:rsid w:val="00892D2F"/>
    <w:rsid w:val="00893738"/>
    <w:rsid w:val="00893E90"/>
    <w:rsid w:val="008941BD"/>
    <w:rsid w:val="0089478E"/>
    <w:rsid w:val="00894F20"/>
    <w:rsid w:val="0089521D"/>
    <w:rsid w:val="00895288"/>
    <w:rsid w:val="00895478"/>
    <w:rsid w:val="00895A98"/>
    <w:rsid w:val="00896400"/>
    <w:rsid w:val="00896CC0"/>
    <w:rsid w:val="00896F49"/>
    <w:rsid w:val="008975AF"/>
    <w:rsid w:val="00897806"/>
    <w:rsid w:val="00897DB1"/>
    <w:rsid w:val="008A00EA"/>
    <w:rsid w:val="008A02E9"/>
    <w:rsid w:val="008A052A"/>
    <w:rsid w:val="008A06D3"/>
    <w:rsid w:val="008A0A57"/>
    <w:rsid w:val="008A1381"/>
    <w:rsid w:val="008A186A"/>
    <w:rsid w:val="008A188D"/>
    <w:rsid w:val="008A1EAF"/>
    <w:rsid w:val="008A1EDF"/>
    <w:rsid w:val="008A210C"/>
    <w:rsid w:val="008A21BE"/>
    <w:rsid w:val="008A21D2"/>
    <w:rsid w:val="008A2772"/>
    <w:rsid w:val="008A2799"/>
    <w:rsid w:val="008A281B"/>
    <w:rsid w:val="008A2F79"/>
    <w:rsid w:val="008A3076"/>
    <w:rsid w:val="008A3329"/>
    <w:rsid w:val="008A361A"/>
    <w:rsid w:val="008A3C5A"/>
    <w:rsid w:val="008A4038"/>
    <w:rsid w:val="008A5221"/>
    <w:rsid w:val="008A60DE"/>
    <w:rsid w:val="008A61C5"/>
    <w:rsid w:val="008A6440"/>
    <w:rsid w:val="008A6501"/>
    <w:rsid w:val="008A6771"/>
    <w:rsid w:val="008A67EB"/>
    <w:rsid w:val="008A6850"/>
    <w:rsid w:val="008A685D"/>
    <w:rsid w:val="008A6A6C"/>
    <w:rsid w:val="008A7776"/>
    <w:rsid w:val="008A7958"/>
    <w:rsid w:val="008A7A52"/>
    <w:rsid w:val="008A7FA3"/>
    <w:rsid w:val="008A7FCD"/>
    <w:rsid w:val="008B0193"/>
    <w:rsid w:val="008B0DA8"/>
    <w:rsid w:val="008B0F08"/>
    <w:rsid w:val="008B0F9E"/>
    <w:rsid w:val="008B102C"/>
    <w:rsid w:val="008B14AE"/>
    <w:rsid w:val="008B1626"/>
    <w:rsid w:val="008B16BB"/>
    <w:rsid w:val="008B20D0"/>
    <w:rsid w:val="008B2AC9"/>
    <w:rsid w:val="008B37BB"/>
    <w:rsid w:val="008B3C91"/>
    <w:rsid w:val="008B3CBF"/>
    <w:rsid w:val="008B40AB"/>
    <w:rsid w:val="008B40CC"/>
    <w:rsid w:val="008B42D3"/>
    <w:rsid w:val="008B442C"/>
    <w:rsid w:val="008B457E"/>
    <w:rsid w:val="008B51C5"/>
    <w:rsid w:val="008B55AD"/>
    <w:rsid w:val="008B5B34"/>
    <w:rsid w:val="008B5F3B"/>
    <w:rsid w:val="008B61B5"/>
    <w:rsid w:val="008B65CA"/>
    <w:rsid w:val="008B69F4"/>
    <w:rsid w:val="008B6FF2"/>
    <w:rsid w:val="008B732E"/>
    <w:rsid w:val="008B7413"/>
    <w:rsid w:val="008C0065"/>
    <w:rsid w:val="008C00B1"/>
    <w:rsid w:val="008C05FD"/>
    <w:rsid w:val="008C15CE"/>
    <w:rsid w:val="008C16B1"/>
    <w:rsid w:val="008C1CE1"/>
    <w:rsid w:val="008C28E1"/>
    <w:rsid w:val="008C2B39"/>
    <w:rsid w:val="008C2F82"/>
    <w:rsid w:val="008C36F7"/>
    <w:rsid w:val="008C3987"/>
    <w:rsid w:val="008C3CCA"/>
    <w:rsid w:val="008C5718"/>
    <w:rsid w:val="008C5AB0"/>
    <w:rsid w:val="008C5DC6"/>
    <w:rsid w:val="008C5EF4"/>
    <w:rsid w:val="008C6A52"/>
    <w:rsid w:val="008C6C32"/>
    <w:rsid w:val="008C6DFA"/>
    <w:rsid w:val="008C7250"/>
    <w:rsid w:val="008C735C"/>
    <w:rsid w:val="008C73CE"/>
    <w:rsid w:val="008D0460"/>
    <w:rsid w:val="008D0A5B"/>
    <w:rsid w:val="008D1A91"/>
    <w:rsid w:val="008D1B85"/>
    <w:rsid w:val="008D1F3A"/>
    <w:rsid w:val="008D284F"/>
    <w:rsid w:val="008D2E61"/>
    <w:rsid w:val="008D3476"/>
    <w:rsid w:val="008D3A89"/>
    <w:rsid w:val="008D4387"/>
    <w:rsid w:val="008D439B"/>
    <w:rsid w:val="008D47A7"/>
    <w:rsid w:val="008D4BD3"/>
    <w:rsid w:val="008D65C6"/>
    <w:rsid w:val="008D6FEB"/>
    <w:rsid w:val="008D73BC"/>
    <w:rsid w:val="008D78B4"/>
    <w:rsid w:val="008E0CFF"/>
    <w:rsid w:val="008E13F3"/>
    <w:rsid w:val="008E1AD5"/>
    <w:rsid w:val="008E1BBD"/>
    <w:rsid w:val="008E1CA1"/>
    <w:rsid w:val="008E2643"/>
    <w:rsid w:val="008E2B77"/>
    <w:rsid w:val="008E2C45"/>
    <w:rsid w:val="008E4753"/>
    <w:rsid w:val="008E4B55"/>
    <w:rsid w:val="008E5829"/>
    <w:rsid w:val="008E5D42"/>
    <w:rsid w:val="008E62E0"/>
    <w:rsid w:val="008E6F13"/>
    <w:rsid w:val="008E6FD4"/>
    <w:rsid w:val="008E70D0"/>
    <w:rsid w:val="008E78EB"/>
    <w:rsid w:val="008E7B30"/>
    <w:rsid w:val="008F00C5"/>
    <w:rsid w:val="008F0613"/>
    <w:rsid w:val="008F1BE2"/>
    <w:rsid w:val="008F1BF2"/>
    <w:rsid w:val="008F1C9A"/>
    <w:rsid w:val="008F1EB5"/>
    <w:rsid w:val="008F2556"/>
    <w:rsid w:val="008F3875"/>
    <w:rsid w:val="008F51E3"/>
    <w:rsid w:val="008F5AFD"/>
    <w:rsid w:val="008F5DBF"/>
    <w:rsid w:val="008F6548"/>
    <w:rsid w:val="008F6705"/>
    <w:rsid w:val="008F6821"/>
    <w:rsid w:val="008F6AE4"/>
    <w:rsid w:val="008F6E52"/>
    <w:rsid w:val="008F71BF"/>
    <w:rsid w:val="008F72C1"/>
    <w:rsid w:val="008F73D3"/>
    <w:rsid w:val="008F7640"/>
    <w:rsid w:val="008F76F1"/>
    <w:rsid w:val="008F78CF"/>
    <w:rsid w:val="008F79C1"/>
    <w:rsid w:val="008F7BFC"/>
    <w:rsid w:val="00900D38"/>
    <w:rsid w:val="0090114D"/>
    <w:rsid w:val="0090205F"/>
    <w:rsid w:val="00902062"/>
    <w:rsid w:val="009021A5"/>
    <w:rsid w:val="00902480"/>
    <w:rsid w:val="00902B00"/>
    <w:rsid w:val="00903150"/>
    <w:rsid w:val="009035A3"/>
    <w:rsid w:val="00903E7D"/>
    <w:rsid w:val="00904450"/>
    <w:rsid w:val="009045D9"/>
    <w:rsid w:val="00904B0E"/>
    <w:rsid w:val="00904D9D"/>
    <w:rsid w:val="00905090"/>
    <w:rsid w:val="00905250"/>
    <w:rsid w:val="00905402"/>
    <w:rsid w:val="00905829"/>
    <w:rsid w:val="00905A28"/>
    <w:rsid w:val="00906C0D"/>
    <w:rsid w:val="00906FEA"/>
    <w:rsid w:val="0090766E"/>
    <w:rsid w:val="00907B85"/>
    <w:rsid w:val="00907EEB"/>
    <w:rsid w:val="009108ED"/>
    <w:rsid w:val="00910A3C"/>
    <w:rsid w:val="00910B69"/>
    <w:rsid w:val="0091105E"/>
    <w:rsid w:val="00911C5C"/>
    <w:rsid w:val="00912620"/>
    <w:rsid w:val="00912DB2"/>
    <w:rsid w:val="00912E3D"/>
    <w:rsid w:val="00913D7F"/>
    <w:rsid w:val="00913DD6"/>
    <w:rsid w:val="00914E6F"/>
    <w:rsid w:val="009156EC"/>
    <w:rsid w:val="009159D7"/>
    <w:rsid w:val="00915DF5"/>
    <w:rsid w:val="00916013"/>
    <w:rsid w:val="0091671B"/>
    <w:rsid w:val="00916BFE"/>
    <w:rsid w:val="00916CB6"/>
    <w:rsid w:val="0091755D"/>
    <w:rsid w:val="00917831"/>
    <w:rsid w:val="00920350"/>
    <w:rsid w:val="00921089"/>
    <w:rsid w:val="009212EC"/>
    <w:rsid w:val="0092134C"/>
    <w:rsid w:val="0092144B"/>
    <w:rsid w:val="00921461"/>
    <w:rsid w:val="00921B96"/>
    <w:rsid w:val="00921BCC"/>
    <w:rsid w:val="00921DE3"/>
    <w:rsid w:val="00922596"/>
    <w:rsid w:val="009226AE"/>
    <w:rsid w:val="0092378D"/>
    <w:rsid w:val="00923B1E"/>
    <w:rsid w:val="00923B26"/>
    <w:rsid w:val="00923F6A"/>
    <w:rsid w:val="009243B8"/>
    <w:rsid w:val="009251BC"/>
    <w:rsid w:val="009252F8"/>
    <w:rsid w:val="0092592E"/>
    <w:rsid w:val="00926944"/>
    <w:rsid w:val="009272B4"/>
    <w:rsid w:val="00927921"/>
    <w:rsid w:val="00927D27"/>
    <w:rsid w:val="00927D6B"/>
    <w:rsid w:val="009307C3"/>
    <w:rsid w:val="00930ACF"/>
    <w:rsid w:val="00930C31"/>
    <w:rsid w:val="00931284"/>
    <w:rsid w:val="009315E6"/>
    <w:rsid w:val="00932303"/>
    <w:rsid w:val="00932459"/>
    <w:rsid w:val="00932772"/>
    <w:rsid w:val="00932A9E"/>
    <w:rsid w:val="00932B71"/>
    <w:rsid w:val="0093517A"/>
    <w:rsid w:val="009351D5"/>
    <w:rsid w:val="00935E91"/>
    <w:rsid w:val="009364CB"/>
    <w:rsid w:val="00936E11"/>
    <w:rsid w:val="009374E6"/>
    <w:rsid w:val="009377B0"/>
    <w:rsid w:val="00937AD8"/>
    <w:rsid w:val="00937F5D"/>
    <w:rsid w:val="00937FFA"/>
    <w:rsid w:val="0094032B"/>
    <w:rsid w:val="0094040D"/>
    <w:rsid w:val="00940761"/>
    <w:rsid w:val="00941500"/>
    <w:rsid w:val="00941871"/>
    <w:rsid w:val="00941A51"/>
    <w:rsid w:val="00942408"/>
    <w:rsid w:val="00942442"/>
    <w:rsid w:val="00942A72"/>
    <w:rsid w:val="00943A6A"/>
    <w:rsid w:val="0094447D"/>
    <w:rsid w:val="00944A43"/>
    <w:rsid w:val="00946227"/>
    <w:rsid w:val="0094644D"/>
    <w:rsid w:val="009466D3"/>
    <w:rsid w:val="00946A49"/>
    <w:rsid w:val="00946B43"/>
    <w:rsid w:val="00946ECD"/>
    <w:rsid w:val="00947D53"/>
    <w:rsid w:val="00947F4C"/>
    <w:rsid w:val="0095096B"/>
    <w:rsid w:val="00950DE7"/>
    <w:rsid w:val="00950E0F"/>
    <w:rsid w:val="00950EFB"/>
    <w:rsid w:val="009510D5"/>
    <w:rsid w:val="0095148F"/>
    <w:rsid w:val="00951610"/>
    <w:rsid w:val="00951718"/>
    <w:rsid w:val="00951AD2"/>
    <w:rsid w:val="00951BEB"/>
    <w:rsid w:val="00951E78"/>
    <w:rsid w:val="00951EE7"/>
    <w:rsid w:val="009524E5"/>
    <w:rsid w:val="0095268A"/>
    <w:rsid w:val="009526BE"/>
    <w:rsid w:val="00952792"/>
    <w:rsid w:val="00952D31"/>
    <w:rsid w:val="00952E0F"/>
    <w:rsid w:val="00954222"/>
    <w:rsid w:val="00954262"/>
    <w:rsid w:val="00954671"/>
    <w:rsid w:val="009546E4"/>
    <w:rsid w:val="00955002"/>
    <w:rsid w:val="00955793"/>
    <w:rsid w:val="00955F38"/>
    <w:rsid w:val="009561F0"/>
    <w:rsid w:val="0095631A"/>
    <w:rsid w:val="00956A0E"/>
    <w:rsid w:val="00956D21"/>
    <w:rsid w:val="00956DA8"/>
    <w:rsid w:val="00956E71"/>
    <w:rsid w:val="009577F4"/>
    <w:rsid w:val="00957808"/>
    <w:rsid w:val="00960346"/>
    <w:rsid w:val="00960F11"/>
    <w:rsid w:val="0096115F"/>
    <w:rsid w:val="009614D4"/>
    <w:rsid w:val="00961C0D"/>
    <w:rsid w:val="00961F6A"/>
    <w:rsid w:val="00962372"/>
    <w:rsid w:val="0096295B"/>
    <w:rsid w:val="00962B1C"/>
    <w:rsid w:val="0096303D"/>
    <w:rsid w:val="00963315"/>
    <w:rsid w:val="00963B72"/>
    <w:rsid w:val="0096420C"/>
    <w:rsid w:val="00964A71"/>
    <w:rsid w:val="00964C5B"/>
    <w:rsid w:val="00964C61"/>
    <w:rsid w:val="00964EDB"/>
    <w:rsid w:val="00964FB4"/>
    <w:rsid w:val="00965545"/>
    <w:rsid w:val="00965A02"/>
    <w:rsid w:val="00965B92"/>
    <w:rsid w:val="00965F1E"/>
    <w:rsid w:val="00966513"/>
    <w:rsid w:val="009666CF"/>
    <w:rsid w:val="00966BE7"/>
    <w:rsid w:val="009670A8"/>
    <w:rsid w:val="0096724B"/>
    <w:rsid w:val="009674AF"/>
    <w:rsid w:val="009674B2"/>
    <w:rsid w:val="009678D6"/>
    <w:rsid w:val="009709FA"/>
    <w:rsid w:val="00970D31"/>
    <w:rsid w:val="00970E84"/>
    <w:rsid w:val="009712F8"/>
    <w:rsid w:val="00971323"/>
    <w:rsid w:val="009715D2"/>
    <w:rsid w:val="00971749"/>
    <w:rsid w:val="00971CCC"/>
    <w:rsid w:val="009722F2"/>
    <w:rsid w:val="009723BF"/>
    <w:rsid w:val="00972EC6"/>
    <w:rsid w:val="009731E7"/>
    <w:rsid w:val="00973234"/>
    <w:rsid w:val="00973590"/>
    <w:rsid w:val="00973AD4"/>
    <w:rsid w:val="00973B92"/>
    <w:rsid w:val="009741C9"/>
    <w:rsid w:val="009744C2"/>
    <w:rsid w:val="00974711"/>
    <w:rsid w:val="0097489A"/>
    <w:rsid w:val="009748F7"/>
    <w:rsid w:val="0097501D"/>
    <w:rsid w:val="00975B6C"/>
    <w:rsid w:val="00975CB6"/>
    <w:rsid w:val="00975F2F"/>
    <w:rsid w:val="0097641A"/>
    <w:rsid w:val="009765E6"/>
    <w:rsid w:val="00976792"/>
    <w:rsid w:val="00976B4B"/>
    <w:rsid w:val="009771EF"/>
    <w:rsid w:val="00977200"/>
    <w:rsid w:val="009776F4"/>
    <w:rsid w:val="00977BF2"/>
    <w:rsid w:val="00977D55"/>
    <w:rsid w:val="00980422"/>
    <w:rsid w:val="009804A9"/>
    <w:rsid w:val="009805C5"/>
    <w:rsid w:val="009814F0"/>
    <w:rsid w:val="00981554"/>
    <w:rsid w:val="00981584"/>
    <w:rsid w:val="00981BD1"/>
    <w:rsid w:val="009820D3"/>
    <w:rsid w:val="00982307"/>
    <w:rsid w:val="0098242C"/>
    <w:rsid w:val="0098277E"/>
    <w:rsid w:val="00982DD7"/>
    <w:rsid w:val="0098327D"/>
    <w:rsid w:val="0098328F"/>
    <w:rsid w:val="0098356E"/>
    <w:rsid w:val="00983BEB"/>
    <w:rsid w:val="00984446"/>
    <w:rsid w:val="00984E1D"/>
    <w:rsid w:val="00984F5C"/>
    <w:rsid w:val="009850CB"/>
    <w:rsid w:val="0098510D"/>
    <w:rsid w:val="0098593D"/>
    <w:rsid w:val="00985E16"/>
    <w:rsid w:val="0098631F"/>
    <w:rsid w:val="00986FBD"/>
    <w:rsid w:val="00986FCC"/>
    <w:rsid w:val="009873E6"/>
    <w:rsid w:val="009876A9"/>
    <w:rsid w:val="009879B7"/>
    <w:rsid w:val="009879F1"/>
    <w:rsid w:val="00987B54"/>
    <w:rsid w:val="009904D6"/>
    <w:rsid w:val="0099051A"/>
    <w:rsid w:val="009908BE"/>
    <w:rsid w:val="00990916"/>
    <w:rsid w:val="00990992"/>
    <w:rsid w:val="00991403"/>
    <w:rsid w:val="00991404"/>
    <w:rsid w:val="00991E36"/>
    <w:rsid w:val="00992357"/>
    <w:rsid w:val="009926F0"/>
    <w:rsid w:val="00992B28"/>
    <w:rsid w:val="00993809"/>
    <w:rsid w:val="00993940"/>
    <w:rsid w:val="00993F06"/>
    <w:rsid w:val="009943CA"/>
    <w:rsid w:val="0099481D"/>
    <w:rsid w:val="00994A6F"/>
    <w:rsid w:val="00995560"/>
    <w:rsid w:val="009967DA"/>
    <w:rsid w:val="00996889"/>
    <w:rsid w:val="00996DC8"/>
    <w:rsid w:val="00997347"/>
    <w:rsid w:val="0099745F"/>
    <w:rsid w:val="00997969"/>
    <w:rsid w:val="00997C2E"/>
    <w:rsid w:val="00997F9A"/>
    <w:rsid w:val="009A0147"/>
    <w:rsid w:val="009A0382"/>
    <w:rsid w:val="009A08B1"/>
    <w:rsid w:val="009A0A46"/>
    <w:rsid w:val="009A0BFA"/>
    <w:rsid w:val="009A1762"/>
    <w:rsid w:val="009A197C"/>
    <w:rsid w:val="009A1D37"/>
    <w:rsid w:val="009A1E3A"/>
    <w:rsid w:val="009A3067"/>
    <w:rsid w:val="009A399D"/>
    <w:rsid w:val="009A416A"/>
    <w:rsid w:val="009A4964"/>
    <w:rsid w:val="009A4C03"/>
    <w:rsid w:val="009A4ECA"/>
    <w:rsid w:val="009A510E"/>
    <w:rsid w:val="009A51A6"/>
    <w:rsid w:val="009A534E"/>
    <w:rsid w:val="009A5AAD"/>
    <w:rsid w:val="009A69AC"/>
    <w:rsid w:val="009A6C81"/>
    <w:rsid w:val="009A6E78"/>
    <w:rsid w:val="009A7390"/>
    <w:rsid w:val="009A798D"/>
    <w:rsid w:val="009A7AD5"/>
    <w:rsid w:val="009B05B5"/>
    <w:rsid w:val="009B0933"/>
    <w:rsid w:val="009B0C33"/>
    <w:rsid w:val="009B0D13"/>
    <w:rsid w:val="009B14B6"/>
    <w:rsid w:val="009B15BC"/>
    <w:rsid w:val="009B16AF"/>
    <w:rsid w:val="009B1741"/>
    <w:rsid w:val="009B18A4"/>
    <w:rsid w:val="009B1DA9"/>
    <w:rsid w:val="009B2532"/>
    <w:rsid w:val="009B26F9"/>
    <w:rsid w:val="009B2B87"/>
    <w:rsid w:val="009B2CF9"/>
    <w:rsid w:val="009B2EA4"/>
    <w:rsid w:val="009B2EA7"/>
    <w:rsid w:val="009B2F31"/>
    <w:rsid w:val="009B45C9"/>
    <w:rsid w:val="009B4F81"/>
    <w:rsid w:val="009B5062"/>
    <w:rsid w:val="009B57D3"/>
    <w:rsid w:val="009B6437"/>
    <w:rsid w:val="009B6853"/>
    <w:rsid w:val="009B7006"/>
    <w:rsid w:val="009B71E8"/>
    <w:rsid w:val="009B7545"/>
    <w:rsid w:val="009B7B20"/>
    <w:rsid w:val="009C03D5"/>
    <w:rsid w:val="009C0A80"/>
    <w:rsid w:val="009C286D"/>
    <w:rsid w:val="009C2F7C"/>
    <w:rsid w:val="009C3ED0"/>
    <w:rsid w:val="009C42B3"/>
    <w:rsid w:val="009C457A"/>
    <w:rsid w:val="009C4926"/>
    <w:rsid w:val="009C4CA7"/>
    <w:rsid w:val="009C5245"/>
    <w:rsid w:val="009C55B8"/>
    <w:rsid w:val="009C5762"/>
    <w:rsid w:val="009C5B8E"/>
    <w:rsid w:val="009C5C3E"/>
    <w:rsid w:val="009C5E1E"/>
    <w:rsid w:val="009C631C"/>
    <w:rsid w:val="009C6805"/>
    <w:rsid w:val="009C690B"/>
    <w:rsid w:val="009C6FEA"/>
    <w:rsid w:val="009C7136"/>
    <w:rsid w:val="009C79C9"/>
    <w:rsid w:val="009D083C"/>
    <w:rsid w:val="009D0D1F"/>
    <w:rsid w:val="009D15CE"/>
    <w:rsid w:val="009D1759"/>
    <w:rsid w:val="009D17CD"/>
    <w:rsid w:val="009D18CF"/>
    <w:rsid w:val="009D1C77"/>
    <w:rsid w:val="009D278E"/>
    <w:rsid w:val="009D35A6"/>
    <w:rsid w:val="009D38CE"/>
    <w:rsid w:val="009D3F7C"/>
    <w:rsid w:val="009D425B"/>
    <w:rsid w:val="009D4465"/>
    <w:rsid w:val="009D47FF"/>
    <w:rsid w:val="009D4D68"/>
    <w:rsid w:val="009D5051"/>
    <w:rsid w:val="009D587F"/>
    <w:rsid w:val="009D62C8"/>
    <w:rsid w:val="009D63FC"/>
    <w:rsid w:val="009D647D"/>
    <w:rsid w:val="009D6570"/>
    <w:rsid w:val="009D690E"/>
    <w:rsid w:val="009D6CB1"/>
    <w:rsid w:val="009D6E6A"/>
    <w:rsid w:val="009D6F8F"/>
    <w:rsid w:val="009D7011"/>
    <w:rsid w:val="009D70F4"/>
    <w:rsid w:val="009D714C"/>
    <w:rsid w:val="009D7326"/>
    <w:rsid w:val="009D7AC5"/>
    <w:rsid w:val="009D7BA8"/>
    <w:rsid w:val="009D7DCE"/>
    <w:rsid w:val="009D7EC8"/>
    <w:rsid w:val="009D7FE7"/>
    <w:rsid w:val="009E0339"/>
    <w:rsid w:val="009E05C8"/>
    <w:rsid w:val="009E13C2"/>
    <w:rsid w:val="009E1AC2"/>
    <w:rsid w:val="009E1D42"/>
    <w:rsid w:val="009E1F3C"/>
    <w:rsid w:val="009E22D1"/>
    <w:rsid w:val="009E2BCE"/>
    <w:rsid w:val="009E3260"/>
    <w:rsid w:val="009E3578"/>
    <w:rsid w:val="009E4715"/>
    <w:rsid w:val="009E4B5C"/>
    <w:rsid w:val="009E4D67"/>
    <w:rsid w:val="009E6599"/>
    <w:rsid w:val="009E6981"/>
    <w:rsid w:val="009E6A4E"/>
    <w:rsid w:val="009E71B6"/>
    <w:rsid w:val="009E732F"/>
    <w:rsid w:val="009E78EA"/>
    <w:rsid w:val="009F00FF"/>
    <w:rsid w:val="009F0303"/>
    <w:rsid w:val="009F0309"/>
    <w:rsid w:val="009F0543"/>
    <w:rsid w:val="009F0544"/>
    <w:rsid w:val="009F05D9"/>
    <w:rsid w:val="009F06E7"/>
    <w:rsid w:val="009F0DE4"/>
    <w:rsid w:val="009F0F9D"/>
    <w:rsid w:val="009F1AC4"/>
    <w:rsid w:val="009F1F49"/>
    <w:rsid w:val="009F2FB7"/>
    <w:rsid w:val="009F32FF"/>
    <w:rsid w:val="009F37FC"/>
    <w:rsid w:val="009F38FD"/>
    <w:rsid w:val="009F423B"/>
    <w:rsid w:val="009F4322"/>
    <w:rsid w:val="009F4360"/>
    <w:rsid w:val="009F43D7"/>
    <w:rsid w:val="009F445D"/>
    <w:rsid w:val="009F4E51"/>
    <w:rsid w:val="009F587F"/>
    <w:rsid w:val="009F614C"/>
    <w:rsid w:val="009F6FA7"/>
    <w:rsid w:val="009F7234"/>
    <w:rsid w:val="009F7887"/>
    <w:rsid w:val="009F7962"/>
    <w:rsid w:val="009F7A7B"/>
    <w:rsid w:val="009F7FFC"/>
    <w:rsid w:val="00A00128"/>
    <w:rsid w:val="00A00254"/>
    <w:rsid w:val="00A007F0"/>
    <w:rsid w:val="00A01440"/>
    <w:rsid w:val="00A01A92"/>
    <w:rsid w:val="00A01C4F"/>
    <w:rsid w:val="00A021B3"/>
    <w:rsid w:val="00A02F80"/>
    <w:rsid w:val="00A035A5"/>
    <w:rsid w:val="00A03638"/>
    <w:rsid w:val="00A03D3A"/>
    <w:rsid w:val="00A042A9"/>
    <w:rsid w:val="00A0487F"/>
    <w:rsid w:val="00A04F1A"/>
    <w:rsid w:val="00A05273"/>
    <w:rsid w:val="00A053CB"/>
    <w:rsid w:val="00A0558D"/>
    <w:rsid w:val="00A05750"/>
    <w:rsid w:val="00A058C6"/>
    <w:rsid w:val="00A05C5C"/>
    <w:rsid w:val="00A061CF"/>
    <w:rsid w:val="00A06786"/>
    <w:rsid w:val="00A06A61"/>
    <w:rsid w:val="00A06AF3"/>
    <w:rsid w:val="00A074A4"/>
    <w:rsid w:val="00A07675"/>
    <w:rsid w:val="00A0798B"/>
    <w:rsid w:val="00A07A98"/>
    <w:rsid w:val="00A07EE8"/>
    <w:rsid w:val="00A1010D"/>
    <w:rsid w:val="00A1017D"/>
    <w:rsid w:val="00A10560"/>
    <w:rsid w:val="00A108E2"/>
    <w:rsid w:val="00A1124D"/>
    <w:rsid w:val="00A112E4"/>
    <w:rsid w:val="00A11D89"/>
    <w:rsid w:val="00A12168"/>
    <w:rsid w:val="00A123BE"/>
    <w:rsid w:val="00A12707"/>
    <w:rsid w:val="00A13060"/>
    <w:rsid w:val="00A13304"/>
    <w:rsid w:val="00A13610"/>
    <w:rsid w:val="00A139CA"/>
    <w:rsid w:val="00A144B3"/>
    <w:rsid w:val="00A14714"/>
    <w:rsid w:val="00A14A29"/>
    <w:rsid w:val="00A15C23"/>
    <w:rsid w:val="00A15D6F"/>
    <w:rsid w:val="00A15EBD"/>
    <w:rsid w:val="00A173D9"/>
    <w:rsid w:val="00A177D7"/>
    <w:rsid w:val="00A17B57"/>
    <w:rsid w:val="00A17CE6"/>
    <w:rsid w:val="00A20B73"/>
    <w:rsid w:val="00A21636"/>
    <w:rsid w:val="00A216BF"/>
    <w:rsid w:val="00A2199C"/>
    <w:rsid w:val="00A2208F"/>
    <w:rsid w:val="00A22108"/>
    <w:rsid w:val="00A22874"/>
    <w:rsid w:val="00A22ABE"/>
    <w:rsid w:val="00A22CD8"/>
    <w:rsid w:val="00A23490"/>
    <w:rsid w:val="00A236F4"/>
    <w:rsid w:val="00A23856"/>
    <w:rsid w:val="00A24522"/>
    <w:rsid w:val="00A24FE3"/>
    <w:rsid w:val="00A2560D"/>
    <w:rsid w:val="00A2578A"/>
    <w:rsid w:val="00A25E98"/>
    <w:rsid w:val="00A2647D"/>
    <w:rsid w:val="00A2697E"/>
    <w:rsid w:val="00A269C7"/>
    <w:rsid w:val="00A272DC"/>
    <w:rsid w:val="00A276F9"/>
    <w:rsid w:val="00A2797C"/>
    <w:rsid w:val="00A27AFB"/>
    <w:rsid w:val="00A30905"/>
    <w:rsid w:val="00A30E3B"/>
    <w:rsid w:val="00A31899"/>
    <w:rsid w:val="00A3195B"/>
    <w:rsid w:val="00A32347"/>
    <w:rsid w:val="00A32449"/>
    <w:rsid w:val="00A327F2"/>
    <w:rsid w:val="00A32923"/>
    <w:rsid w:val="00A32989"/>
    <w:rsid w:val="00A32CD2"/>
    <w:rsid w:val="00A32DB8"/>
    <w:rsid w:val="00A33685"/>
    <w:rsid w:val="00A33784"/>
    <w:rsid w:val="00A34051"/>
    <w:rsid w:val="00A34104"/>
    <w:rsid w:val="00A34229"/>
    <w:rsid w:val="00A3429D"/>
    <w:rsid w:val="00A3460B"/>
    <w:rsid w:val="00A34671"/>
    <w:rsid w:val="00A35DFB"/>
    <w:rsid w:val="00A35F94"/>
    <w:rsid w:val="00A36251"/>
    <w:rsid w:val="00A364AF"/>
    <w:rsid w:val="00A3685C"/>
    <w:rsid w:val="00A36AF7"/>
    <w:rsid w:val="00A36D16"/>
    <w:rsid w:val="00A37449"/>
    <w:rsid w:val="00A374FD"/>
    <w:rsid w:val="00A37A0E"/>
    <w:rsid w:val="00A37A5A"/>
    <w:rsid w:val="00A37A5D"/>
    <w:rsid w:val="00A41173"/>
    <w:rsid w:val="00A41B2B"/>
    <w:rsid w:val="00A422AD"/>
    <w:rsid w:val="00A422FA"/>
    <w:rsid w:val="00A42C3B"/>
    <w:rsid w:val="00A431B1"/>
    <w:rsid w:val="00A433F4"/>
    <w:rsid w:val="00A435A2"/>
    <w:rsid w:val="00A43BA1"/>
    <w:rsid w:val="00A43DD0"/>
    <w:rsid w:val="00A44666"/>
    <w:rsid w:val="00A45433"/>
    <w:rsid w:val="00A4595A"/>
    <w:rsid w:val="00A45EA0"/>
    <w:rsid w:val="00A466F5"/>
    <w:rsid w:val="00A4737C"/>
    <w:rsid w:val="00A47579"/>
    <w:rsid w:val="00A478AE"/>
    <w:rsid w:val="00A47B9F"/>
    <w:rsid w:val="00A5122B"/>
    <w:rsid w:val="00A522FD"/>
    <w:rsid w:val="00A524BB"/>
    <w:rsid w:val="00A52BDE"/>
    <w:rsid w:val="00A52C5C"/>
    <w:rsid w:val="00A537ED"/>
    <w:rsid w:val="00A540AB"/>
    <w:rsid w:val="00A549CF"/>
    <w:rsid w:val="00A54D9F"/>
    <w:rsid w:val="00A54F2D"/>
    <w:rsid w:val="00A55161"/>
    <w:rsid w:val="00A55BCB"/>
    <w:rsid w:val="00A55D87"/>
    <w:rsid w:val="00A55E5F"/>
    <w:rsid w:val="00A56114"/>
    <w:rsid w:val="00A561A3"/>
    <w:rsid w:val="00A56406"/>
    <w:rsid w:val="00A56D8D"/>
    <w:rsid w:val="00A57796"/>
    <w:rsid w:val="00A57E34"/>
    <w:rsid w:val="00A60DC5"/>
    <w:rsid w:val="00A61350"/>
    <w:rsid w:val="00A6160C"/>
    <w:rsid w:val="00A6185B"/>
    <w:rsid w:val="00A61D31"/>
    <w:rsid w:val="00A6273F"/>
    <w:rsid w:val="00A62765"/>
    <w:rsid w:val="00A62B07"/>
    <w:rsid w:val="00A63D11"/>
    <w:rsid w:val="00A64684"/>
    <w:rsid w:val="00A646FD"/>
    <w:rsid w:val="00A649C7"/>
    <w:rsid w:val="00A6524C"/>
    <w:rsid w:val="00A65922"/>
    <w:rsid w:val="00A65C27"/>
    <w:rsid w:val="00A66010"/>
    <w:rsid w:val="00A66239"/>
    <w:rsid w:val="00A66786"/>
    <w:rsid w:val="00A6680E"/>
    <w:rsid w:val="00A66FCE"/>
    <w:rsid w:val="00A6772B"/>
    <w:rsid w:val="00A67A1A"/>
    <w:rsid w:val="00A701B5"/>
    <w:rsid w:val="00A704EA"/>
    <w:rsid w:val="00A706F6"/>
    <w:rsid w:val="00A70D18"/>
    <w:rsid w:val="00A70E8E"/>
    <w:rsid w:val="00A710B0"/>
    <w:rsid w:val="00A71CC9"/>
    <w:rsid w:val="00A727D8"/>
    <w:rsid w:val="00A72938"/>
    <w:rsid w:val="00A72F85"/>
    <w:rsid w:val="00A74576"/>
    <w:rsid w:val="00A7499F"/>
    <w:rsid w:val="00A756B0"/>
    <w:rsid w:val="00A7601A"/>
    <w:rsid w:val="00A76DB7"/>
    <w:rsid w:val="00A76E94"/>
    <w:rsid w:val="00A76EED"/>
    <w:rsid w:val="00A774EC"/>
    <w:rsid w:val="00A7766A"/>
    <w:rsid w:val="00A77698"/>
    <w:rsid w:val="00A7770A"/>
    <w:rsid w:val="00A77961"/>
    <w:rsid w:val="00A77972"/>
    <w:rsid w:val="00A77AFC"/>
    <w:rsid w:val="00A8014B"/>
    <w:rsid w:val="00A8036C"/>
    <w:rsid w:val="00A8074C"/>
    <w:rsid w:val="00A80911"/>
    <w:rsid w:val="00A80937"/>
    <w:rsid w:val="00A809F3"/>
    <w:rsid w:val="00A80C3B"/>
    <w:rsid w:val="00A80D37"/>
    <w:rsid w:val="00A816E4"/>
    <w:rsid w:val="00A81C7A"/>
    <w:rsid w:val="00A82128"/>
    <w:rsid w:val="00A82375"/>
    <w:rsid w:val="00A8251A"/>
    <w:rsid w:val="00A8311E"/>
    <w:rsid w:val="00A833C9"/>
    <w:rsid w:val="00A8389F"/>
    <w:rsid w:val="00A83B20"/>
    <w:rsid w:val="00A83EBB"/>
    <w:rsid w:val="00A8420E"/>
    <w:rsid w:val="00A84AAB"/>
    <w:rsid w:val="00A84E4F"/>
    <w:rsid w:val="00A8567D"/>
    <w:rsid w:val="00A85940"/>
    <w:rsid w:val="00A8740A"/>
    <w:rsid w:val="00A87668"/>
    <w:rsid w:val="00A902B7"/>
    <w:rsid w:val="00A908FE"/>
    <w:rsid w:val="00A918EF"/>
    <w:rsid w:val="00A91D14"/>
    <w:rsid w:val="00A91F0E"/>
    <w:rsid w:val="00A92042"/>
    <w:rsid w:val="00A927E4"/>
    <w:rsid w:val="00A92F1D"/>
    <w:rsid w:val="00A935AE"/>
    <w:rsid w:val="00A935FD"/>
    <w:rsid w:val="00A93F87"/>
    <w:rsid w:val="00A945C3"/>
    <w:rsid w:val="00A945D1"/>
    <w:rsid w:val="00A94A24"/>
    <w:rsid w:val="00A94A58"/>
    <w:rsid w:val="00A94CD0"/>
    <w:rsid w:val="00A953C5"/>
    <w:rsid w:val="00A9560A"/>
    <w:rsid w:val="00A95630"/>
    <w:rsid w:val="00A95E85"/>
    <w:rsid w:val="00A963D1"/>
    <w:rsid w:val="00A9762F"/>
    <w:rsid w:val="00A97932"/>
    <w:rsid w:val="00AA021D"/>
    <w:rsid w:val="00AA0863"/>
    <w:rsid w:val="00AA146C"/>
    <w:rsid w:val="00AA14D0"/>
    <w:rsid w:val="00AA1D2F"/>
    <w:rsid w:val="00AA1E02"/>
    <w:rsid w:val="00AA20B1"/>
    <w:rsid w:val="00AA3CE0"/>
    <w:rsid w:val="00AA452B"/>
    <w:rsid w:val="00AA4589"/>
    <w:rsid w:val="00AA46A0"/>
    <w:rsid w:val="00AA475C"/>
    <w:rsid w:val="00AA493B"/>
    <w:rsid w:val="00AA4BEA"/>
    <w:rsid w:val="00AA5027"/>
    <w:rsid w:val="00AA5149"/>
    <w:rsid w:val="00AA5360"/>
    <w:rsid w:val="00AA5B12"/>
    <w:rsid w:val="00AA5D55"/>
    <w:rsid w:val="00AA5D85"/>
    <w:rsid w:val="00AA643B"/>
    <w:rsid w:val="00AA6DE4"/>
    <w:rsid w:val="00AA6EBB"/>
    <w:rsid w:val="00AA706A"/>
    <w:rsid w:val="00AA7176"/>
    <w:rsid w:val="00AA76E3"/>
    <w:rsid w:val="00AA77EA"/>
    <w:rsid w:val="00AA7BFF"/>
    <w:rsid w:val="00AA7C5D"/>
    <w:rsid w:val="00AA7F87"/>
    <w:rsid w:val="00AB0682"/>
    <w:rsid w:val="00AB0A51"/>
    <w:rsid w:val="00AB0DDF"/>
    <w:rsid w:val="00AB0E7B"/>
    <w:rsid w:val="00AB0F91"/>
    <w:rsid w:val="00AB111D"/>
    <w:rsid w:val="00AB1175"/>
    <w:rsid w:val="00AB1A83"/>
    <w:rsid w:val="00AB2643"/>
    <w:rsid w:val="00AB2692"/>
    <w:rsid w:val="00AB2DE9"/>
    <w:rsid w:val="00AB2FA6"/>
    <w:rsid w:val="00AB313F"/>
    <w:rsid w:val="00AB3392"/>
    <w:rsid w:val="00AB372C"/>
    <w:rsid w:val="00AB3A5C"/>
    <w:rsid w:val="00AB3ED0"/>
    <w:rsid w:val="00AB45A3"/>
    <w:rsid w:val="00AB4660"/>
    <w:rsid w:val="00AB5105"/>
    <w:rsid w:val="00AB51CD"/>
    <w:rsid w:val="00AB5541"/>
    <w:rsid w:val="00AB58DC"/>
    <w:rsid w:val="00AB5B6F"/>
    <w:rsid w:val="00AB5CBA"/>
    <w:rsid w:val="00AB5FAE"/>
    <w:rsid w:val="00AB6425"/>
    <w:rsid w:val="00AB6C00"/>
    <w:rsid w:val="00AB6ED8"/>
    <w:rsid w:val="00AB6F7F"/>
    <w:rsid w:val="00AC0396"/>
    <w:rsid w:val="00AC1213"/>
    <w:rsid w:val="00AC1314"/>
    <w:rsid w:val="00AC1B26"/>
    <w:rsid w:val="00AC1EFF"/>
    <w:rsid w:val="00AC283A"/>
    <w:rsid w:val="00AC31CC"/>
    <w:rsid w:val="00AC382B"/>
    <w:rsid w:val="00AC461D"/>
    <w:rsid w:val="00AC4E96"/>
    <w:rsid w:val="00AC5FD1"/>
    <w:rsid w:val="00AC60E6"/>
    <w:rsid w:val="00AC6165"/>
    <w:rsid w:val="00AC61DA"/>
    <w:rsid w:val="00AC673E"/>
    <w:rsid w:val="00AC6F21"/>
    <w:rsid w:val="00AC7471"/>
    <w:rsid w:val="00AC765E"/>
    <w:rsid w:val="00AC7BA2"/>
    <w:rsid w:val="00AC7C9A"/>
    <w:rsid w:val="00AD0C20"/>
    <w:rsid w:val="00AD0E84"/>
    <w:rsid w:val="00AD0FAE"/>
    <w:rsid w:val="00AD1642"/>
    <w:rsid w:val="00AD224B"/>
    <w:rsid w:val="00AD26FF"/>
    <w:rsid w:val="00AD2C44"/>
    <w:rsid w:val="00AD3564"/>
    <w:rsid w:val="00AD3675"/>
    <w:rsid w:val="00AD37AE"/>
    <w:rsid w:val="00AD44BA"/>
    <w:rsid w:val="00AD5561"/>
    <w:rsid w:val="00AD5F36"/>
    <w:rsid w:val="00AD609C"/>
    <w:rsid w:val="00AD6148"/>
    <w:rsid w:val="00AD65CD"/>
    <w:rsid w:val="00AD6621"/>
    <w:rsid w:val="00AD6E2E"/>
    <w:rsid w:val="00AD721D"/>
    <w:rsid w:val="00AD7760"/>
    <w:rsid w:val="00AD783F"/>
    <w:rsid w:val="00AD7BFF"/>
    <w:rsid w:val="00AD7D09"/>
    <w:rsid w:val="00AE0004"/>
    <w:rsid w:val="00AE0D5E"/>
    <w:rsid w:val="00AE0E8E"/>
    <w:rsid w:val="00AE1862"/>
    <w:rsid w:val="00AE1894"/>
    <w:rsid w:val="00AE18CC"/>
    <w:rsid w:val="00AE1B95"/>
    <w:rsid w:val="00AE20E3"/>
    <w:rsid w:val="00AE2413"/>
    <w:rsid w:val="00AE264A"/>
    <w:rsid w:val="00AE2799"/>
    <w:rsid w:val="00AE3207"/>
    <w:rsid w:val="00AE369F"/>
    <w:rsid w:val="00AE3847"/>
    <w:rsid w:val="00AE3BF7"/>
    <w:rsid w:val="00AE3D8F"/>
    <w:rsid w:val="00AE41B3"/>
    <w:rsid w:val="00AE42F4"/>
    <w:rsid w:val="00AE437A"/>
    <w:rsid w:val="00AE4A7F"/>
    <w:rsid w:val="00AE53A2"/>
    <w:rsid w:val="00AE5897"/>
    <w:rsid w:val="00AE5B32"/>
    <w:rsid w:val="00AE6087"/>
    <w:rsid w:val="00AE60FF"/>
    <w:rsid w:val="00AE618F"/>
    <w:rsid w:val="00AE6997"/>
    <w:rsid w:val="00AE69C4"/>
    <w:rsid w:val="00AE6A4E"/>
    <w:rsid w:val="00AE6C0F"/>
    <w:rsid w:val="00AE6E5A"/>
    <w:rsid w:val="00AE7903"/>
    <w:rsid w:val="00AE791F"/>
    <w:rsid w:val="00AE7DC9"/>
    <w:rsid w:val="00AF030C"/>
    <w:rsid w:val="00AF05FB"/>
    <w:rsid w:val="00AF09C6"/>
    <w:rsid w:val="00AF0E9A"/>
    <w:rsid w:val="00AF1438"/>
    <w:rsid w:val="00AF1552"/>
    <w:rsid w:val="00AF1701"/>
    <w:rsid w:val="00AF1898"/>
    <w:rsid w:val="00AF25D1"/>
    <w:rsid w:val="00AF312B"/>
    <w:rsid w:val="00AF37D9"/>
    <w:rsid w:val="00AF3A20"/>
    <w:rsid w:val="00AF42A1"/>
    <w:rsid w:val="00AF43C2"/>
    <w:rsid w:val="00AF46E3"/>
    <w:rsid w:val="00AF47CF"/>
    <w:rsid w:val="00AF482F"/>
    <w:rsid w:val="00AF4D39"/>
    <w:rsid w:val="00AF5556"/>
    <w:rsid w:val="00AF57EB"/>
    <w:rsid w:val="00AF5FBC"/>
    <w:rsid w:val="00AF65DC"/>
    <w:rsid w:val="00AF6BDE"/>
    <w:rsid w:val="00AF6CF2"/>
    <w:rsid w:val="00AF6F7A"/>
    <w:rsid w:val="00AF72CC"/>
    <w:rsid w:val="00B00014"/>
    <w:rsid w:val="00B003B5"/>
    <w:rsid w:val="00B012D2"/>
    <w:rsid w:val="00B02069"/>
    <w:rsid w:val="00B02301"/>
    <w:rsid w:val="00B02482"/>
    <w:rsid w:val="00B024EA"/>
    <w:rsid w:val="00B02608"/>
    <w:rsid w:val="00B02823"/>
    <w:rsid w:val="00B02B53"/>
    <w:rsid w:val="00B02DE1"/>
    <w:rsid w:val="00B031ED"/>
    <w:rsid w:val="00B0346A"/>
    <w:rsid w:val="00B03482"/>
    <w:rsid w:val="00B03C65"/>
    <w:rsid w:val="00B0483B"/>
    <w:rsid w:val="00B04989"/>
    <w:rsid w:val="00B04C28"/>
    <w:rsid w:val="00B04C5D"/>
    <w:rsid w:val="00B057ED"/>
    <w:rsid w:val="00B05A6E"/>
    <w:rsid w:val="00B05D2B"/>
    <w:rsid w:val="00B05DD5"/>
    <w:rsid w:val="00B0648B"/>
    <w:rsid w:val="00B06789"/>
    <w:rsid w:val="00B067A0"/>
    <w:rsid w:val="00B06BE5"/>
    <w:rsid w:val="00B06D38"/>
    <w:rsid w:val="00B06F69"/>
    <w:rsid w:val="00B0735C"/>
    <w:rsid w:val="00B07360"/>
    <w:rsid w:val="00B07487"/>
    <w:rsid w:val="00B07604"/>
    <w:rsid w:val="00B07DF9"/>
    <w:rsid w:val="00B10700"/>
    <w:rsid w:val="00B10873"/>
    <w:rsid w:val="00B10D47"/>
    <w:rsid w:val="00B10ED6"/>
    <w:rsid w:val="00B10FA8"/>
    <w:rsid w:val="00B115BE"/>
    <w:rsid w:val="00B11C5D"/>
    <w:rsid w:val="00B11C94"/>
    <w:rsid w:val="00B11F3B"/>
    <w:rsid w:val="00B1299B"/>
    <w:rsid w:val="00B12CCD"/>
    <w:rsid w:val="00B1328B"/>
    <w:rsid w:val="00B137C8"/>
    <w:rsid w:val="00B13943"/>
    <w:rsid w:val="00B13A4E"/>
    <w:rsid w:val="00B1402F"/>
    <w:rsid w:val="00B1441C"/>
    <w:rsid w:val="00B1448A"/>
    <w:rsid w:val="00B1461F"/>
    <w:rsid w:val="00B14D68"/>
    <w:rsid w:val="00B14DEB"/>
    <w:rsid w:val="00B15268"/>
    <w:rsid w:val="00B156B0"/>
    <w:rsid w:val="00B164EC"/>
    <w:rsid w:val="00B16AFE"/>
    <w:rsid w:val="00B16C28"/>
    <w:rsid w:val="00B16CCE"/>
    <w:rsid w:val="00B16E3B"/>
    <w:rsid w:val="00B16F0E"/>
    <w:rsid w:val="00B20013"/>
    <w:rsid w:val="00B203B6"/>
    <w:rsid w:val="00B205A2"/>
    <w:rsid w:val="00B20D06"/>
    <w:rsid w:val="00B20EAE"/>
    <w:rsid w:val="00B2105C"/>
    <w:rsid w:val="00B21854"/>
    <w:rsid w:val="00B218CC"/>
    <w:rsid w:val="00B21B8C"/>
    <w:rsid w:val="00B22232"/>
    <w:rsid w:val="00B22642"/>
    <w:rsid w:val="00B22771"/>
    <w:rsid w:val="00B22C9A"/>
    <w:rsid w:val="00B22DF3"/>
    <w:rsid w:val="00B24D86"/>
    <w:rsid w:val="00B24E39"/>
    <w:rsid w:val="00B250EE"/>
    <w:rsid w:val="00B25887"/>
    <w:rsid w:val="00B259EF"/>
    <w:rsid w:val="00B25A5F"/>
    <w:rsid w:val="00B25A81"/>
    <w:rsid w:val="00B25E57"/>
    <w:rsid w:val="00B261C4"/>
    <w:rsid w:val="00B26405"/>
    <w:rsid w:val="00B26425"/>
    <w:rsid w:val="00B26A99"/>
    <w:rsid w:val="00B30112"/>
    <w:rsid w:val="00B303B3"/>
    <w:rsid w:val="00B308C3"/>
    <w:rsid w:val="00B30A88"/>
    <w:rsid w:val="00B31F4A"/>
    <w:rsid w:val="00B32494"/>
    <w:rsid w:val="00B335C1"/>
    <w:rsid w:val="00B335F5"/>
    <w:rsid w:val="00B33A21"/>
    <w:rsid w:val="00B3461C"/>
    <w:rsid w:val="00B35799"/>
    <w:rsid w:val="00B357C7"/>
    <w:rsid w:val="00B358EF"/>
    <w:rsid w:val="00B35AF8"/>
    <w:rsid w:val="00B35D7F"/>
    <w:rsid w:val="00B361E3"/>
    <w:rsid w:val="00B36963"/>
    <w:rsid w:val="00B36B0E"/>
    <w:rsid w:val="00B370B9"/>
    <w:rsid w:val="00B3751A"/>
    <w:rsid w:val="00B37C26"/>
    <w:rsid w:val="00B4028D"/>
    <w:rsid w:val="00B40418"/>
    <w:rsid w:val="00B40D7D"/>
    <w:rsid w:val="00B40E2E"/>
    <w:rsid w:val="00B421B2"/>
    <w:rsid w:val="00B42A81"/>
    <w:rsid w:val="00B42A91"/>
    <w:rsid w:val="00B42B1A"/>
    <w:rsid w:val="00B42D85"/>
    <w:rsid w:val="00B4339E"/>
    <w:rsid w:val="00B4419D"/>
    <w:rsid w:val="00B4493E"/>
    <w:rsid w:val="00B44C6D"/>
    <w:rsid w:val="00B4520B"/>
    <w:rsid w:val="00B4534D"/>
    <w:rsid w:val="00B45606"/>
    <w:rsid w:val="00B45F23"/>
    <w:rsid w:val="00B46DA4"/>
    <w:rsid w:val="00B4742F"/>
    <w:rsid w:val="00B474A7"/>
    <w:rsid w:val="00B47DC7"/>
    <w:rsid w:val="00B47E11"/>
    <w:rsid w:val="00B50382"/>
    <w:rsid w:val="00B503FA"/>
    <w:rsid w:val="00B50CC0"/>
    <w:rsid w:val="00B51A68"/>
    <w:rsid w:val="00B51BE4"/>
    <w:rsid w:val="00B51C0F"/>
    <w:rsid w:val="00B51D1D"/>
    <w:rsid w:val="00B51EA7"/>
    <w:rsid w:val="00B51F6A"/>
    <w:rsid w:val="00B51F87"/>
    <w:rsid w:val="00B522FB"/>
    <w:rsid w:val="00B5309E"/>
    <w:rsid w:val="00B53233"/>
    <w:rsid w:val="00B53355"/>
    <w:rsid w:val="00B53383"/>
    <w:rsid w:val="00B533FB"/>
    <w:rsid w:val="00B53D55"/>
    <w:rsid w:val="00B5415A"/>
    <w:rsid w:val="00B542AB"/>
    <w:rsid w:val="00B54635"/>
    <w:rsid w:val="00B5466E"/>
    <w:rsid w:val="00B54B54"/>
    <w:rsid w:val="00B54B90"/>
    <w:rsid w:val="00B56EB6"/>
    <w:rsid w:val="00B57BB6"/>
    <w:rsid w:val="00B57CC1"/>
    <w:rsid w:val="00B6012A"/>
    <w:rsid w:val="00B60201"/>
    <w:rsid w:val="00B60C26"/>
    <w:rsid w:val="00B6131D"/>
    <w:rsid w:val="00B6139A"/>
    <w:rsid w:val="00B620D3"/>
    <w:rsid w:val="00B625E4"/>
    <w:rsid w:val="00B62F92"/>
    <w:rsid w:val="00B631A7"/>
    <w:rsid w:val="00B63F65"/>
    <w:rsid w:val="00B6459C"/>
    <w:rsid w:val="00B64B38"/>
    <w:rsid w:val="00B650D4"/>
    <w:rsid w:val="00B6551F"/>
    <w:rsid w:val="00B65D17"/>
    <w:rsid w:val="00B65EBD"/>
    <w:rsid w:val="00B66251"/>
    <w:rsid w:val="00B66396"/>
    <w:rsid w:val="00B665DC"/>
    <w:rsid w:val="00B6681A"/>
    <w:rsid w:val="00B668DE"/>
    <w:rsid w:val="00B66B50"/>
    <w:rsid w:val="00B66D40"/>
    <w:rsid w:val="00B672FF"/>
    <w:rsid w:val="00B67451"/>
    <w:rsid w:val="00B674B1"/>
    <w:rsid w:val="00B6798C"/>
    <w:rsid w:val="00B67CB3"/>
    <w:rsid w:val="00B67DC8"/>
    <w:rsid w:val="00B707B3"/>
    <w:rsid w:val="00B70A10"/>
    <w:rsid w:val="00B7128B"/>
    <w:rsid w:val="00B722FD"/>
    <w:rsid w:val="00B723D6"/>
    <w:rsid w:val="00B7296A"/>
    <w:rsid w:val="00B72EC7"/>
    <w:rsid w:val="00B7426D"/>
    <w:rsid w:val="00B75B25"/>
    <w:rsid w:val="00B75CD3"/>
    <w:rsid w:val="00B76007"/>
    <w:rsid w:val="00B7609B"/>
    <w:rsid w:val="00B76943"/>
    <w:rsid w:val="00B76A43"/>
    <w:rsid w:val="00B7739E"/>
    <w:rsid w:val="00B773BA"/>
    <w:rsid w:val="00B77437"/>
    <w:rsid w:val="00B77873"/>
    <w:rsid w:val="00B77A4A"/>
    <w:rsid w:val="00B77EF9"/>
    <w:rsid w:val="00B80645"/>
    <w:rsid w:val="00B80D73"/>
    <w:rsid w:val="00B80FC4"/>
    <w:rsid w:val="00B810D7"/>
    <w:rsid w:val="00B811F4"/>
    <w:rsid w:val="00B81ADC"/>
    <w:rsid w:val="00B81B3E"/>
    <w:rsid w:val="00B81B47"/>
    <w:rsid w:val="00B81E18"/>
    <w:rsid w:val="00B82199"/>
    <w:rsid w:val="00B82B0A"/>
    <w:rsid w:val="00B82F26"/>
    <w:rsid w:val="00B8303D"/>
    <w:rsid w:val="00B83207"/>
    <w:rsid w:val="00B8329E"/>
    <w:rsid w:val="00B833D7"/>
    <w:rsid w:val="00B836CB"/>
    <w:rsid w:val="00B83AE0"/>
    <w:rsid w:val="00B8532F"/>
    <w:rsid w:val="00B858D6"/>
    <w:rsid w:val="00B85CAD"/>
    <w:rsid w:val="00B861B6"/>
    <w:rsid w:val="00B862BA"/>
    <w:rsid w:val="00B867BA"/>
    <w:rsid w:val="00B86B94"/>
    <w:rsid w:val="00B86E90"/>
    <w:rsid w:val="00B86F77"/>
    <w:rsid w:val="00B8712A"/>
    <w:rsid w:val="00B874DC"/>
    <w:rsid w:val="00B87A38"/>
    <w:rsid w:val="00B90426"/>
    <w:rsid w:val="00B90482"/>
    <w:rsid w:val="00B9064C"/>
    <w:rsid w:val="00B90A59"/>
    <w:rsid w:val="00B90AF2"/>
    <w:rsid w:val="00B90D35"/>
    <w:rsid w:val="00B90D75"/>
    <w:rsid w:val="00B912DB"/>
    <w:rsid w:val="00B915CD"/>
    <w:rsid w:val="00B91DAA"/>
    <w:rsid w:val="00B920C2"/>
    <w:rsid w:val="00B9255D"/>
    <w:rsid w:val="00B92998"/>
    <w:rsid w:val="00B930B4"/>
    <w:rsid w:val="00B9357C"/>
    <w:rsid w:val="00B942EC"/>
    <w:rsid w:val="00B94944"/>
    <w:rsid w:val="00B949D8"/>
    <w:rsid w:val="00B953A6"/>
    <w:rsid w:val="00B95A63"/>
    <w:rsid w:val="00B95D8C"/>
    <w:rsid w:val="00B962D3"/>
    <w:rsid w:val="00B967A8"/>
    <w:rsid w:val="00B96815"/>
    <w:rsid w:val="00B9689F"/>
    <w:rsid w:val="00B97047"/>
    <w:rsid w:val="00B9730A"/>
    <w:rsid w:val="00B9742E"/>
    <w:rsid w:val="00B97430"/>
    <w:rsid w:val="00B97B53"/>
    <w:rsid w:val="00B97C03"/>
    <w:rsid w:val="00B97C8E"/>
    <w:rsid w:val="00BA0067"/>
    <w:rsid w:val="00BA00B7"/>
    <w:rsid w:val="00BA061B"/>
    <w:rsid w:val="00BA0683"/>
    <w:rsid w:val="00BA0A82"/>
    <w:rsid w:val="00BA0DFA"/>
    <w:rsid w:val="00BA0EC4"/>
    <w:rsid w:val="00BA0ED4"/>
    <w:rsid w:val="00BA11BA"/>
    <w:rsid w:val="00BA15AF"/>
    <w:rsid w:val="00BA2AA3"/>
    <w:rsid w:val="00BA36F1"/>
    <w:rsid w:val="00BA39B2"/>
    <w:rsid w:val="00BA5953"/>
    <w:rsid w:val="00BA5CC5"/>
    <w:rsid w:val="00BA6747"/>
    <w:rsid w:val="00BA67AB"/>
    <w:rsid w:val="00BA69A8"/>
    <w:rsid w:val="00BB01C2"/>
    <w:rsid w:val="00BB090E"/>
    <w:rsid w:val="00BB0B1C"/>
    <w:rsid w:val="00BB0E5B"/>
    <w:rsid w:val="00BB0EF5"/>
    <w:rsid w:val="00BB111E"/>
    <w:rsid w:val="00BB15E5"/>
    <w:rsid w:val="00BB19B4"/>
    <w:rsid w:val="00BB1E75"/>
    <w:rsid w:val="00BB219F"/>
    <w:rsid w:val="00BB21A4"/>
    <w:rsid w:val="00BB2345"/>
    <w:rsid w:val="00BB2564"/>
    <w:rsid w:val="00BB2AA5"/>
    <w:rsid w:val="00BB2D8D"/>
    <w:rsid w:val="00BB2EB6"/>
    <w:rsid w:val="00BB3134"/>
    <w:rsid w:val="00BB3277"/>
    <w:rsid w:val="00BB395D"/>
    <w:rsid w:val="00BB3DE4"/>
    <w:rsid w:val="00BB3DEE"/>
    <w:rsid w:val="00BB4559"/>
    <w:rsid w:val="00BB47A0"/>
    <w:rsid w:val="00BB4BC2"/>
    <w:rsid w:val="00BB501B"/>
    <w:rsid w:val="00BB5EDB"/>
    <w:rsid w:val="00BB611D"/>
    <w:rsid w:val="00BB6396"/>
    <w:rsid w:val="00BB6F5A"/>
    <w:rsid w:val="00BB7520"/>
    <w:rsid w:val="00BB7ACA"/>
    <w:rsid w:val="00BC05B3"/>
    <w:rsid w:val="00BC1158"/>
    <w:rsid w:val="00BC143B"/>
    <w:rsid w:val="00BC1503"/>
    <w:rsid w:val="00BC20E8"/>
    <w:rsid w:val="00BC2656"/>
    <w:rsid w:val="00BC2C0F"/>
    <w:rsid w:val="00BC2FCA"/>
    <w:rsid w:val="00BC30CC"/>
    <w:rsid w:val="00BC3AEA"/>
    <w:rsid w:val="00BC4075"/>
    <w:rsid w:val="00BC40A9"/>
    <w:rsid w:val="00BC491C"/>
    <w:rsid w:val="00BC4A05"/>
    <w:rsid w:val="00BC4E3C"/>
    <w:rsid w:val="00BC4FE4"/>
    <w:rsid w:val="00BC4FFF"/>
    <w:rsid w:val="00BC50B6"/>
    <w:rsid w:val="00BC512A"/>
    <w:rsid w:val="00BC5A38"/>
    <w:rsid w:val="00BC6E39"/>
    <w:rsid w:val="00BC74E0"/>
    <w:rsid w:val="00BC7EFA"/>
    <w:rsid w:val="00BD0133"/>
    <w:rsid w:val="00BD0241"/>
    <w:rsid w:val="00BD0249"/>
    <w:rsid w:val="00BD036A"/>
    <w:rsid w:val="00BD051C"/>
    <w:rsid w:val="00BD15FD"/>
    <w:rsid w:val="00BD17B2"/>
    <w:rsid w:val="00BD1D9C"/>
    <w:rsid w:val="00BD1FE3"/>
    <w:rsid w:val="00BD2245"/>
    <w:rsid w:val="00BD26E4"/>
    <w:rsid w:val="00BD2EFD"/>
    <w:rsid w:val="00BD2F72"/>
    <w:rsid w:val="00BD31EB"/>
    <w:rsid w:val="00BD3A39"/>
    <w:rsid w:val="00BD409E"/>
    <w:rsid w:val="00BD45CA"/>
    <w:rsid w:val="00BD472F"/>
    <w:rsid w:val="00BD4779"/>
    <w:rsid w:val="00BD47CD"/>
    <w:rsid w:val="00BD5F30"/>
    <w:rsid w:val="00BD6067"/>
    <w:rsid w:val="00BD6C1D"/>
    <w:rsid w:val="00BD6DB9"/>
    <w:rsid w:val="00BD7051"/>
    <w:rsid w:val="00BD71B9"/>
    <w:rsid w:val="00BD7399"/>
    <w:rsid w:val="00BD7548"/>
    <w:rsid w:val="00BD78DF"/>
    <w:rsid w:val="00BD791F"/>
    <w:rsid w:val="00BD7B0C"/>
    <w:rsid w:val="00BD7B1E"/>
    <w:rsid w:val="00BD7B72"/>
    <w:rsid w:val="00BE0046"/>
    <w:rsid w:val="00BE00A1"/>
    <w:rsid w:val="00BE16BF"/>
    <w:rsid w:val="00BE19F2"/>
    <w:rsid w:val="00BE1B6C"/>
    <w:rsid w:val="00BE26E3"/>
    <w:rsid w:val="00BE2A96"/>
    <w:rsid w:val="00BE306A"/>
    <w:rsid w:val="00BE311F"/>
    <w:rsid w:val="00BE31B6"/>
    <w:rsid w:val="00BE3483"/>
    <w:rsid w:val="00BE3BA6"/>
    <w:rsid w:val="00BE4005"/>
    <w:rsid w:val="00BE507B"/>
    <w:rsid w:val="00BE56C7"/>
    <w:rsid w:val="00BE618D"/>
    <w:rsid w:val="00BE6423"/>
    <w:rsid w:val="00BE65B2"/>
    <w:rsid w:val="00BE6C34"/>
    <w:rsid w:val="00BE79FF"/>
    <w:rsid w:val="00BE7C4B"/>
    <w:rsid w:val="00BF08DB"/>
    <w:rsid w:val="00BF0942"/>
    <w:rsid w:val="00BF0A26"/>
    <w:rsid w:val="00BF15D8"/>
    <w:rsid w:val="00BF1715"/>
    <w:rsid w:val="00BF1FF2"/>
    <w:rsid w:val="00BF271B"/>
    <w:rsid w:val="00BF2AC1"/>
    <w:rsid w:val="00BF2B81"/>
    <w:rsid w:val="00BF2E2F"/>
    <w:rsid w:val="00BF3684"/>
    <w:rsid w:val="00BF38B7"/>
    <w:rsid w:val="00BF3A2C"/>
    <w:rsid w:val="00BF4DD1"/>
    <w:rsid w:val="00BF55D1"/>
    <w:rsid w:val="00BF569E"/>
    <w:rsid w:val="00BF5AFE"/>
    <w:rsid w:val="00BF5F15"/>
    <w:rsid w:val="00BF6143"/>
    <w:rsid w:val="00BF642B"/>
    <w:rsid w:val="00BF652C"/>
    <w:rsid w:val="00BF70F7"/>
    <w:rsid w:val="00BF746D"/>
    <w:rsid w:val="00BF7623"/>
    <w:rsid w:val="00BF78E7"/>
    <w:rsid w:val="00BF79F1"/>
    <w:rsid w:val="00BF7D3F"/>
    <w:rsid w:val="00C00C42"/>
    <w:rsid w:val="00C00EE5"/>
    <w:rsid w:val="00C01503"/>
    <w:rsid w:val="00C0157D"/>
    <w:rsid w:val="00C028DB"/>
    <w:rsid w:val="00C02B38"/>
    <w:rsid w:val="00C0310E"/>
    <w:rsid w:val="00C0315B"/>
    <w:rsid w:val="00C03449"/>
    <w:rsid w:val="00C03481"/>
    <w:rsid w:val="00C03B55"/>
    <w:rsid w:val="00C03F62"/>
    <w:rsid w:val="00C04081"/>
    <w:rsid w:val="00C045E7"/>
    <w:rsid w:val="00C04A25"/>
    <w:rsid w:val="00C04B5A"/>
    <w:rsid w:val="00C05DCF"/>
    <w:rsid w:val="00C05E06"/>
    <w:rsid w:val="00C05FAD"/>
    <w:rsid w:val="00C06A0D"/>
    <w:rsid w:val="00C06DEC"/>
    <w:rsid w:val="00C07315"/>
    <w:rsid w:val="00C07365"/>
    <w:rsid w:val="00C07B68"/>
    <w:rsid w:val="00C108E4"/>
    <w:rsid w:val="00C10E20"/>
    <w:rsid w:val="00C11FB5"/>
    <w:rsid w:val="00C1212E"/>
    <w:rsid w:val="00C12524"/>
    <w:rsid w:val="00C1271B"/>
    <w:rsid w:val="00C1284D"/>
    <w:rsid w:val="00C12CEF"/>
    <w:rsid w:val="00C135A1"/>
    <w:rsid w:val="00C138F4"/>
    <w:rsid w:val="00C13A91"/>
    <w:rsid w:val="00C13AD4"/>
    <w:rsid w:val="00C14152"/>
    <w:rsid w:val="00C142C5"/>
    <w:rsid w:val="00C144F9"/>
    <w:rsid w:val="00C14FA3"/>
    <w:rsid w:val="00C150A4"/>
    <w:rsid w:val="00C15413"/>
    <w:rsid w:val="00C15611"/>
    <w:rsid w:val="00C15A36"/>
    <w:rsid w:val="00C15CAE"/>
    <w:rsid w:val="00C162B4"/>
    <w:rsid w:val="00C1631B"/>
    <w:rsid w:val="00C16CAB"/>
    <w:rsid w:val="00C17127"/>
    <w:rsid w:val="00C178B7"/>
    <w:rsid w:val="00C17D4F"/>
    <w:rsid w:val="00C17F7A"/>
    <w:rsid w:val="00C20427"/>
    <w:rsid w:val="00C205FA"/>
    <w:rsid w:val="00C21B34"/>
    <w:rsid w:val="00C21DEC"/>
    <w:rsid w:val="00C2208A"/>
    <w:rsid w:val="00C22303"/>
    <w:rsid w:val="00C223CD"/>
    <w:rsid w:val="00C22B4A"/>
    <w:rsid w:val="00C231CB"/>
    <w:rsid w:val="00C24826"/>
    <w:rsid w:val="00C24E91"/>
    <w:rsid w:val="00C25153"/>
    <w:rsid w:val="00C255D4"/>
    <w:rsid w:val="00C26046"/>
    <w:rsid w:val="00C26134"/>
    <w:rsid w:val="00C2649B"/>
    <w:rsid w:val="00C2651E"/>
    <w:rsid w:val="00C2672E"/>
    <w:rsid w:val="00C26DA6"/>
    <w:rsid w:val="00C26EC7"/>
    <w:rsid w:val="00C27A8C"/>
    <w:rsid w:val="00C30327"/>
    <w:rsid w:val="00C30730"/>
    <w:rsid w:val="00C30BD8"/>
    <w:rsid w:val="00C31076"/>
    <w:rsid w:val="00C312D1"/>
    <w:rsid w:val="00C3131E"/>
    <w:rsid w:val="00C3140E"/>
    <w:rsid w:val="00C314DA"/>
    <w:rsid w:val="00C31FAA"/>
    <w:rsid w:val="00C32220"/>
    <w:rsid w:val="00C32A28"/>
    <w:rsid w:val="00C32B83"/>
    <w:rsid w:val="00C32BC7"/>
    <w:rsid w:val="00C3306F"/>
    <w:rsid w:val="00C33692"/>
    <w:rsid w:val="00C33BEC"/>
    <w:rsid w:val="00C33DC4"/>
    <w:rsid w:val="00C346D1"/>
    <w:rsid w:val="00C34DF5"/>
    <w:rsid w:val="00C3514D"/>
    <w:rsid w:val="00C352C2"/>
    <w:rsid w:val="00C354A6"/>
    <w:rsid w:val="00C358BB"/>
    <w:rsid w:val="00C35B6A"/>
    <w:rsid w:val="00C3655B"/>
    <w:rsid w:val="00C36AF2"/>
    <w:rsid w:val="00C36DC0"/>
    <w:rsid w:val="00C374C4"/>
    <w:rsid w:val="00C37C21"/>
    <w:rsid w:val="00C41963"/>
    <w:rsid w:val="00C41B42"/>
    <w:rsid w:val="00C41D8D"/>
    <w:rsid w:val="00C41E41"/>
    <w:rsid w:val="00C4253A"/>
    <w:rsid w:val="00C428C5"/>
    <w:rsid w:val="00C42D4C"/>
    <w:rsid w:val="00C431B0"/>
    <w:rsid w:val="00C431C2"/>
    <w:rsid w:val="00C43601"/>
    <w:rsid w:val="00C43E1C"/>
    <w:rsid w:val="00C442D2"/>
    <w:rsid w:val="00C4462C"/>
    <w:rsid w:val="00C449B5"/>
    <w:rsid w:val="00C45220"/>
    <w:rsid w:val="00C452EA"/>
    <w:rsid w:val="00C45856"/>
    <w:rsid w:val="00C45AAA"/>
    <w:rsid w:val="00C46494"/>
    <w:rsid w:val="00C46C84"/>
    <w:rsid w:val="00C46D2A"/>
    <w:rsid w:val="00C475B6"/>
    <w:rsid w:val="00C47B89"/>
    <w:rsid w:val="00C5004A"/>
    <w:rsid w:val="00C50226"/>
    <w:rsid w:val="00C50C8F"/>
    <w:rsid w:val="00C5113B"/>
    <w:rsid w:val="00C516BE"/>
    <w:rsid w:val="00C51B5B"/>
    <w:rsid w:val="00C51DC9"/>
    <w:rsid w:val="00C51FF3"/>
    <w:rsid w:val="00C52AF6"/>
    <w:rsid w:val="00C52BEA"/>
    <w:rsid w:val="00C52FBE"/>
    <w:rsid w:val="00C53277"/>
    <w:rsid w:val="00C54892"/>
    <w:rsid w:val="00C55037"/>
    <w:rsid w:val="00C55263"/>
    <w:rsid w:val="00C552A3"/>
    <w:rsid w:val="00C553FF"/>
    <w:rsid w:val="00C554F8"/>
    <w:rsid w:val="00C5572B"/>
    <w:rsid w:val="00C55E89"/>
    <w:rsid w:val="00C56152"/>
    <w:rsid w:val="00C564B8"/>
    <w:rsid w:val="00C568B4"/>
    <w:rsid w:val="00C56B8F"/>
    <w:rsid w:val="00C575B8"/>
    <w:rsid w:val="00C57887"/>
    <w:rsid w:val="00C57DD8"/>
    <w:rsid w:val="00C57FAB"/>
    <w:rsid w:val="00C60799"/>
    <w:rsid w:val="00C60850"/>
    <w:rsid w:val="00C60978"/>
    <w:rsid w:val="00C60D2A"/>
    <w:rsid w:val="00C60D55"/>
    <w:rsid w:val="00C60FBB"/>
    <w:rsid w:val="00C61434"/>
    <w:rsid w:val="00C6148B"/>
    <w:rsid w:val="00C61717"/>
    <w:rsid w:val="00C619CF"/>
    <w:rsid w:val="00C61CB8"/>
    <w:rsid w:val="00C6232D"/>
    <w:rsid w:val="00C6277D"/>
    <w:rsid w:val="00C6296A"/>
    <w:rsid w:val="00C62994"/>
    <w:rsid w:val="00C63018"/>
    <w:rsid w:val="00C630D9"/>
    <w:rsid w:val="00C632DB"/>
    <w:rsid w:val="00C632E2"/>
    <w:rsid w:val="00C63EDB"/>
    <w:rsid w:val="00C64087"/>
    <w:rsid w:val="00C6412D"/>
    <w:rsid w:val="00C65278"/>
    <w:rsid w:val="00C65644"/>
    <w:rsid w:val="00C65840"/>
    <w:rsid w:val="00C658DD"/>
    <w:rsid w:val="00C65A06"/>
    <w:rsid w:val="00C65BD1"/>
    <w:rsid w:val="00C66074"/>
    <w:rsid w:val="00C66106"/>
    <w:rsid w:val="00C6620D"/>
    <w:rsid w:val="00C66696"/>
    <w:rsid w:val="00C66750"/>
    <w:rsid w:val="00C66CCB"/>
    <w:rsid w:val="00C67343"/>
    <w:rsid w:val="00C67884"/>
    <w:rsid w:val="00C67BA7"/>
    <w:rsid w:val="00C67E52"/>
    <w:rsid w:val="00C67F07"/>
    <w:rsid w:val="00C70344"/>
    <w:rsid w:val="00C707E3"/>
    <w:rsid w:val="00C70E05"/>
    <w:rsid w:val="00C711E0"/>
    <w:rsid w:val="00C716C7"/>
    <w:rsid w:val="00C72636"/>
    <w:rsid w:val="00C73707"/>
    <w:rsid w:val="00C73994"/>
    <w:rsid w:val="00C73E1E"/>
    <w:rsid w:val="00C74062"/>
    <w:rsid w:val="00C74ABE"/>
    <w:rsid w:val="00C74DC4"/>
    <w:rsid w:val="00C74E03"/>
    <w:rsid w:val="00C756CC"/>
    <w:rsid w:val="00C759CC"/>
    <w:rsid w:val="00C75F42"/>
    <w:rsid w:val="00C7639F"/>
    <w:rsid w:val="00C76FEF"/>
    <w:rsid w:val="00C77EB1"/>
    <w:rsid w:val="00C8039F"/>
    <w:rsid w:val="00C805DD"/>
    <w:rsid w:val="00C806AF"/>
    <w:rsid w:val="00C815C0"/>
    <w:rsid w:val="00C818DC"/>
    <w:rsid w:val="00C81FE0"/>
    <w:rsid w:val="00C820DD"/>
    <w:rsid w:val="00C82861"/>
    <w:rsid w:val="00C833C3"/>
    <w:rsid w:val="00C83DAF"/>
    <w:rsid w:val="00C83F4F"/>
    <w:rsid w:val="00C8419F"/>
    <w:rsid w:val="00C84875"/>
    <w:rsid w:val="00C84EE5"/>
    <w:rsid w:val="00C8510E"/>
    <w:rsid w:val="00C853B1"/>
    <w:rsid w:val="00C859D8"/>
    <w:rsid w:val="00C85BAA"/>
    <w:rsid w:val="00C861DE"/>
    <w:rsid w:val="00C8630C"/>
    <w:rsid w:val="00C8646D"/>
    <w:rsid w:val="00C868AA"/>
    <w:rsid w:val="00C86932"/>
    <w:rsid w:val="00C86D50"/>
    <w:rsid w:val="00C86F04"/>
    <w:rsid w:val="00C871B5"/>
    <w:rsid w:val="00C87556"/>
    <w:rsid w:val="00C902FF"/>
    <w:rsid w:val="00C90463"/>
    <w:rsid w:val="00C90629"/>
    <w:rsid w:val="00C90BB3"/>
    <w:rsid w:val="00C90E31"/>
    <w:rsid w:val="00C914B2"/>
    <w:rsid w:val="00C91761"/>
    <w:rsid w:val="00C91EA0"/>
    <w:rsid w:val="00C925B9"/>
    <w:rsid w:val="00C929D2"/>
    <w:rsid w:val="00C92FAC"/>
    <w:rsid w:val="00C93C65"/>
    <w:rsid w:val="00C93E09"/>
    <w:rsid w:val="00C94305"/>
    <w:rsid w:val="00C94307"/>
    <w:rsid w:val="00C9445F"/>
    <w:rsid w:val="00C9516B"/>
    <w:rsid w:val="00C95247"/>
    <w:rsid w:val="00C954BB"/>
    <w:rsid w:val="00C95A50"/>
    <w:rsid w:val="00C95A69"/>
    <w:rsid w:val="00C96853"/>
    <w:rsid w:val="00C96A6A"/>
    <w:rsid w:val="00C96C37"/>
    <w:rsid w:val="00C96FA5"/>
    <w:rsid w:val="00C97A5D"/>
    <w:rsid w:val="00C97B68"/>
    <w:rsid w:val="00CA0228"/>
    <w:rsid w:val="00CA048C"/>
    <w:rsid w:val="00CA0D83"/>
    <w:rsid w:val="00CA0E8D"/>
    <w:rsid w:val="00CA113D"/>
    <w:rsid w:val="00CA116F"/>
    <w:rsid w:val="00CA1228"/>
    <w:rsid w:val="00CA1637"/>
    <w:rsid w:val="00CA1BE4"/>
    <w:rsid w:val="00CA1DCB"/>
    <w:rsid w:val="00CA20DF"/>
    <w:rsid w:val="00CA2AFC"/>
    <w:rsid w:val="00CA2BF8"/>
    <w:rsid w:val="00CA2C2A"/>
    <w:rsid w:val="00CA2DB5"/>
    <w:rsid w:val="00CA31E5"/>
    <w:rsid w:val="00CA32D7"/>
    <w:rsid w:val="00CA39CD"/>
    <w:rsid w:val="00CA3BA3"/>
    <w:rsid w:val="00CA41EE"/>
    <w:rsid w:val="00CA438C"/>
    <w:rsid w:val="00CA4590"/>
    <w:rsid w:val="00CA46E2"/>
    <w:rsid w:val="00CA4962"/>
    <w:rsid w:val="00CA4DB6"/>
    <w:rsid w:val="00CA4E0F"/>
    <w:rsid w:val="00CA526D"/>
    <w:rsid w:val="00CA5A53"/>
    <w:rsid w:val="00CA6655"/>
    <w:rsid w:val="00CA694A"/>
    <w:rsid w:val="00CA6B59"/>
    <w:rsid w:val="00CA6E93"/>
    <w:rsid w:val="00CA7777"/>
    <w:rsid w:val="00CB001B"/>
    <w:rsid w:val="00CB0025"/>
    <w:rsid w:val="00CB0135"/>
    <w:rsid w:val="00CB01E1"/>
    <w:rsid w:val="00CB0D0A"/>
    <w:rsid w:val="00CB0F74"/>
    <w:rsid w:val="00CB0FE0"/>
    <w:rsid w:val="00CB1334"/>
    <w:rsid w:val="00CB14D8"/>
    <w:rsid w:val="00CB1B02"/>
    <w:rsid w:val="00CB1CAD"/>
    <w:rsid w:val="00CB1F97"/>
    <w:rsid w:val="00CB219C"/>
    <w:rsid w:val="00CB24E3"/>
    <w:rsid w:val="00CB273E"/>
    <w:rsid w:val="00CB2A60"/>
    <w:rsid w:val="00CB2CD7"/>
    <w:rsid w:val="00CB2DEE"/>
    <w:rsid w:val="00CB3588"/>
    <w:rsid w:val="00CB35A8"/>
    <w:rsid w:val="00CB3744"/>
    <w:rsid w:val="00CB3AAE"/>
    <w:rsid w:val="00CB3ED3"/>
    <w:rsid w:val="00CB4198"/>
    <w:rsid w:val="00CB42FF"/>
    <w:rsid w:val="00CB4E76"/>
    <w:rsid w:val="00CB5029"/>
    <w:rsid w:val="00CB537D"/>
    <w:rsid w:val="00CB5E84"/>
    <w:rsid w:val="00CB645D"/>
    <w:rsid w:val="00CB6644"/>
    <w:rsid w:val="00CB669D"/>
    <w:rsid w:val="00CB66BA"/>
    <w:rsid w:val="00CB6A31"/>
    <w:rsid w:val="00CB74C7"/>
    <w:rsid w:val="00CB77C7"/>
    <w:rsid w:val="00CB78C8"/>
    <w:rsid w:val="00CC0125"/>
    <w:rsid w:val="00CC03E6"/>
    <w:rsid w:val="00CC12EF"/>
    <w:rsid w:val="00CC1E35"/>
    <w:rsid w:val="00CC1EA4"/>
    <w:rsid w:val="00CC20A0"/>
    <w:rsid w:val="00CC2397"/>
    <w:rsid w:val="00CC2FED"/>
    <w:rsid w:val="00CC3163"/>
    <w:rsid w:val="00CC317B"/>
    <w:rsid w:val="00CC326B"/>
    <w:rsid w:val="00CC3871"/>
    <w:rsid w:val="00CC39E6"/>
    <w:rsid w:val="00CC3D20"/>
    <w:rsid w:val="00CC3E22"/>
    <w:rsid w:val="00CC4AB7"/>
    <w:rsid w:val="00CC4CC7"/>
    <w:rsid w:val="00CC4D91"/>
    <w:rsid w:val="00CC5146"/>
    <w:rsid w:val="00CC578E"/>
    <w:rsid w:val="00CC5F23"/>
    <w:rsid w:val="00CC616C"/>
    <w:rsid w:val="00CC6518"/>
    <w:rsid w:val="00CC6B87"/>
    <w:rsid w:val="00CC6D02"/>
    <w:rsid w:val="00CC72AC"/>
    <w:rsid w:val="00CC7755"/>
    <w:rsid w:val="00CC7CEE"/>
    <w:rsid w:val="00CC7EED"/>
    <w:rsid w:val="00CD02D5"/>
    <w:rsid w:val="00CD05DC"/>
    <w:rsid w:val="00CD0CD1"/>
    <w:rsid w:val="00CD0FE3"/>
    <w:rsid w:val="00CD1270"/>
    <w:rsid w:val="00CD128B"/>
    <w:rsid w:val="00CD181F"/>
    <w:rsid w:val="00CD1828"/>
    <w:rsid w:val="00CD2C29"/>
    <w:rsid w:val="00CD305E"/>
    <w:rsid w:val="00CD3095"/>
    <w:rsid w:val="00CD3114"/>
    <w:rsid w:val="00CD365A"/>
    <w:rsid w:val="00CD3770"/>
    <w:rsid w:val="00CD3B93"/>
    <w:rsid w:val="00CD49F7"/>
    <w:rsid w:val="00CD4DBE"/>
    <w:rsid w:val="00CD4EAA"/>
    <w:rsid w:val="00CD526D"/>
    <w:rsid w:val="00CD5295"/>
    <w:rsid w:val="00CD5B6F"/>
    <w:rsid w:val="00CD5B9F"/>
    <w:rsid w:val="00CD5BB2"/>
    <w:rsid w:val="00CD5F83"/>
    <w:rsid w:val="00CD6482"/>
    <w:rsid w:val="00CD675E"/>
    <w:rsid w:val="00CD6930"/>
    <w:rsid w:val="00CD6B96"/>
    <w:rsid w:val="00CD774D"/>
    <w:rsid w:val="00CD7797"/>
    <w:rsid w:val="00CD7D34"/>
    <w:rsid w:val="00CE0485"/>
    <w:rsid w:val="00CE0918"/>
    <w:rsid w:val="00CE0CDA"/>
    <w:rsid w:val="00CE1BB4"/>
    <w:rsid w:val="00CE2459"/>
    <w:rsid w:val="00CE2B68"/>
    <w:rsid w:val="00CE33A8"/>
    <w:rsid w:val="00CE466D"/>
    <w:rsid w:val="00CE49E7"/>
    <w:rsid w:val="00CE4D28"/>
    <w:rsid w:val="00CE5489"/>
    <w:rsid w:val="00CE6386"/>
    <w:rsid w:val="00CE6594"/>
    <w:rsid w:val="00CE6628"/>
    <w:rsid w:val="00CE6B71"/>
    <w:rsid w:val="00CE6BE8"/>
    <w:rsid w:val="00CE766E"/>
    <w:rsid w:val="00CE77A5"/>
    <w:rsid w:val="00CE7A36"/>
    <w:rsid w:val="00CE7C83"/>
    <w:rsid w:val="00CF07F3"/>
    <w:rsid w:val="00CF0A60"/>
    <w:rsid w:val="00CF0B47"/>
    <w:rsid w:val="00CF1DE6"/>
    <w:rsid w:val="00CF1DF2"/>
    <w:rsid w:val="00CF2312"/>
    <w:rsid w:val="00CF29A2"/>
    <w:rsid w:val="00CF2F23"/>
    <w:rsid w:val="00CF3579"/>
    <w:rsid w:val="00CF3E31"/>
    <w:rsid w:val="00CF4B3D"/>
    <w:rsid w:val="00CF4B82"/>
    <w:rsid w:val="00CF4CC0"/>
    <w:rsid w:val="00CF51C1"/>
    <w:rsid w:val="00CF54B3"/>
    <w:rsid w:val="00CF55F4"/>
    <w:rsid w:val="00CF5667"/>
    <w:rsid w:val="00CF5C67"/>
    <w:rsid w:val="00CF6661"/>
    <w:rsid w:val="00CF678A"/>
    <w:rsid w:val="00CF68B9"/>
    <w:rsid w:val="00CF6E41"/>
    <w:rsid w:val="00CF70B6"/>
    <w:rsid w:val="00CF7738"/>
    <w:rsid w:val="00CF7ABD"/>
    <w:rsid w:val="00CF7D5E"/>
    <w:rsid w:val="00CF7E66"/>
    <w:rsid w:val="00CF7EFC"/>
    <w:rsid w:val="00D0076D"/>
    <w:rsid w:val="00D0077A"/>
    <w:rsid w:val="00D008B7"/>
    <w:rsid w:val="00D00B6B"/>
    <w:rsid w:val="00D0111B"/>
    <w:rsid w:val="00D01B49"/>
    <w:rsid w:val="00D01DF1"/>
    <w:rsid w:val="00D01EF2"/>
    <w:rsid w:val="00D037C6"/>
    <w:rsid w:val="00D03D1F"/>
    <w:rsid w:val="00D03DF1"/>
    <w:rsid w:val="00D044C1"/>
    <w:rsid w:val="00D04CB1"/>
    <w:rsid w:val="00D0507F"/>
    <w:rsid w:val="00D058C6"/>
    <w:rsid w:val="00D05D29"/>
    <w:rsid w:val="00D05D92"/>
    <w:rsid w:val="00D0610B"/>
    <w:rsid w:val="00D0682C"/>
    <w:rsid w:val="00D074AC"/>
    <w:rsid w:val="00D07BE8"/>
    <w:rsid w:val="00D07C67"/>
    <w:rsid w:val="00D07E45"/>
    <w:rsid w:val="00D10522"/>
    <w:rsid w:val="00D10826"/>
    <w:rsid w:val="00D10C17"/>
    <w:rsid w:val="00D10F07"/>
    <w:rsid w:val="00D11570"/>
    <w:rsid w:val="00D11ABE"/>
    <w:rsid w:val="00D12522"/>
    <w:rsid w:val="00D12843"/>
    <w:rsid w:val="00D12975"/>
    <w:rsid w:val="00D12F5C"/>
    <w:rsid w:val="00D134AE"/>
    <w:rsid w:val="00D139A2"/>
    <w:rsid w:val="00D13E68"/>
    <w:rsid w:val="00D14101"/>
    <w:rsid w:val="00D1418C"/>
    <w:rsid w:val="00D143FA"/>
    <w:rsid w:val="00D1448F"/>
    <w:rsid w:val="00D14913"/>
    <w:rsid w:val="00D14ACE"/>
    <w:rsid w:val="00D14E3F"/>
    <w:rsid w:val="00D15CA7"/>
    <w:rsid w:val="00D16031"/>
    <w:rsid w:val="00D164BE"/>
    <w:rsid w:val="00D1653C"/>
    <w:rsid w:val="00D16918"/>
    <w:rsid w:val="00D1723B"/>
    <w:rsid w:val="00D17BC5"/>
    <w:rsid w:val="00D17D61"/>
    <w:rsid w:val="00D17D65"/>
    <w:rsid w:val="00D17FA9"/>
    <w:rsid w:val="00D20153"/>
    <w:rsid w:val="00D20C6B"/>
    <w:rsid w:val="00D210D8"/>
    <w:rsid w:val="00D215EF"/>
    <w:rsid w:val="00D21CED"/>
    <w:rsid w:val="00D22934"/>
    <w:rsid w:val="00D229E0"/>
    <w:rsid w:val="00D22B20"/>
    <w:rsid w:val="00D22B85"/>
    <w:rsid w:val="00D22E40"/>
    <w:rsid w:val="00D22EB3"/>
    <w:rsid w:val="00D2305C"/>
    <w:rsid w:val="00D2332F"/>
    <w:rsid w:val="00D2337A"/>
    <w:rsid w:val="00D23412"/>
    <w:rsid w:val="00D2353C"/>
    <w:rsid w:val="00D2360B"/>
    <w:rsid w:val="00D237A7"/>
    <w:rsid w:val="00D237F0"/>
    <w:rsid w:val="00D23C08"/>
    <w:rsid w:val="00D23C48"/>
    <w:rsid w:val="00D244AB"/>
    <w:rsid w:val="00D25A33"/>
    <w:rsid w:val="00D25F9E"/>
    <w:rsid w:val="00D26362"/>
    <w:rsid w:val="00D26489"/>
    <w:rsid w:val="00D270EE"/>
    <w:rsid w:val="00D272D1"/>
    <w:rsid w:val="00D30020"/>
    <w:rsid w:val="00D30A40"/>
    <w:rsid w:val="00D30AA8"/>
    <w:rsid w:val="00D30C49"/>
    <w:rsid w:val="00D30E00"/>
    <w:rsid w:val="00D31457"/>
    <w:rsid w:val="00D32317"/>
    <w:rsid w:val="00D3237D"/>
    <w:rsid w:val="00D32D05"/>
    <w:rsid w:val="00D32E58"/>
    <w:rsid w:val="00D32F12"/>
    <w:rsid w:val="00D3308B"/>
    <w:rsid w:val="00D33AE6"/>
    <w:rsid w:val="00D33BFB"/>
    <w:rsid w:val="00D34012"/>
    <w:rsid w:val="00D343D4"/>
    <w:rsid w:val="00D34457"/>
    <w:rsid w:val="00D34C47"/>
    <w:rsid w:val="00D34CDC"/>
    <w:rsid w:val="00D34D0E"/>
    <w:rsid w:val="00D35AFD"/>
    <w:rsid w:val="00D35EC4"/>
    <w:rsid w:val="00D3632E"/>
    <w:rsid w:val="00D36A23"/>
    <w:rsid w:val="00D37600"/>
    <w:rsid w:val="00D37B45"/>
    <w:rsid w:val="00D37DD0"/>
    <w:rsid w:val="00D37ED1"/>
    <w:rsid w:val="00D40A65"/>
    <w:rsid w:val="00D4137F"/>
    <w:rsid w:val="00D41D6E"/>
    <w:rsid w:val="00D41F8C"/>
    <w:rsid w:val="00D432F5"/>
    <w:rsid w:val="00D439B2"/>
    <w:rsid w:val="00D43AC7"/>
    <w:rsid w:val="00D43B1D"/>
    <w:rsid w:val="00D44445"/>
    <w:rsid w:val="00D44E1E"/>
    <w:rsid w:val="00D44FB5"/>
    <w:rsid w:val="00D45344"/>
    <w:rsid w:val="00D4593E"/>
    <w:rsid w:val="00D45A64"/>
    <w:rsid w:val="00D4635A"/>
    <w:rsid w:val="00D46522"/>
    <w:rsid w:val="00D4664B"/>
    <w:rsid w:val="00D46C65"/>
    <w:rsid w:val="00D4705A"/>
    <w:rsid w:val="00D4714A"/>
    <w:rsid w:val="00D47477"/>
    <w:rsid w:val="00D47588"/>
    <w:rsid w:val="00D47A91"/>
    <w:rsid w:val="00D47B5D"/>
    <w:rsid w:val="00D47BA5"/>
    <w:rsid w:val="00D47BDE"/>
    <w:rsid w:val="00D47CF5"/>
    <w:rsid w:val="00D50AC7"/>
    <w:rsid w:val="00D51206"/>
    <w:rsid w:val="00D51284"/>
    <w:rsid w:val="00D513FD"/>
    <w:rsid w:val="00D51531"/>
    <w:rsid w:val="00D518BF"/>
    <w:rsid w:val="00D51A97"/>
    <w:rsid w:val="00D51BE2"/>
    <w:rsid w:val="00D525D6"/>
    <w:rsid w:val="00D52951"/>
    <w:rsid w:val="00D52DB5"/>
    <w:rsid w:val="00D52DCF"/>
    <w:rsid w:val="00D532F9"/>
    <w:rsid w:val="00D5340F"/>
    <w:rsid w:val="00D535A6"/>
    <w:rsid w:val="00D53654"/>
    <w:rsid w:val="00D53787"/>
    <w:rsid w:val="00D537B6"/>
    <w:rsid w:val="00D5380F"/>
    <w:rsid w:val="00D543CD"/>
    <w:rsid w:val="00D545A6"/>
    <w:rsid w:val="00D54982"/>
    <w:rsid w:val="00D54C71"/>
    <w:rsid w:val="00D553FF"/>
    <w:rsid w:val="00D555BD"/>
    <w:rsid w:val="00D555EC"/>
    <w:rsid w:val="00D56265"/>
    <w:rsid w:val="00D563E6"/>
    <w:rsid w:val="00D56AA6"/>
    <w:rsid w:val="00D56F6A"/>
    <w:rsid w:val="00D57049"/>
    <w:rsid w:val="00D57091"/>
    <w:rsid w:val="00D57F5E"/>
    <w:rsid w:val="00D601AE"/>
    <w:rsid w:val="00D60370"/>
    <w:rsid w:val="00D60A1F"/>
    <w:rsid w:val="00D60AFF"/>
    <w:rsid w:val="00D60E7D"/>
    <w:rsid w:val="00D610D8"/>
    <w:rsid w:val="00D611B7"/>
    <w:rsid w:val="00D616C5"/>
    <w:rsid w:val="00D6175E"/>
    <w:rsid w:val="00D6322D"/>
    <w:rsid w:val="00D635EB"/>
    <w:rsid w:val="00D63656"/>
    <w:rsid w:val="00D639AF"/>
    <w:rsid w:val="00D63A66"/>
    <w:rsid w:val="00D64837"/>
    <w:rsid w:val="00D64B16"/>
    <w:rsid w:val="00D652AB"/>
    <w:rsid w:val="00D65DF0"/>
    <w:rsid w:val="00D66268"/>
    <w:rsid w:val="00D66566"/>
    <w:rsid w:val="00D66A9F"/>
    <w:rsid w:val="00D67D24"/>
    <w:rsid w:val="00D7074E"/>
    <w:rsid w:val="00D70E87"/>
    <w:rsid w:val="00D713D7"/>
    <w:rsid w:val="00D718EE"/>
    <w:rsid w:val="00D719C8"/>
    <w:rsid w:val="00D72757"/>
    <w:rsid w:val="00D72D31"/>
    <w:rsid w:val="00D74C11"/>
    <w:rsid w:val="00D74EF5"/>
    <w:rsid w:val="00D74FCF"/>
    <w:rsid w:val="00D75672"/>
    <w:rsid w:val="00D75790"/>
    <w:rsid w:val="00D75831"/>
    <w:rsid w:val="00D76037"/>
    <w:rsid w:val="00D7726F"/>
    <w:rsid w:val="00D774F2"/>
    <w:rsid w:val="00D77E6A"/>
    <w:rsid w:val="00D808BF"/>
    <w:rsid w:val="00D80BF1"/>
    <w:rsid w:val="00D813DB"/>
    <w:rsid w:val="00D81847"/>
    <w:rsid w:val="00D81D8A"/>
    <w:rsid w:val="00D81EF8"/>
    <w:rsid w:val="00D8307F"/>
    <w:rsid w:val="00D833B3"/>
    <w:rsid w:val="00D83F91"/>
    <w:rsid w:val="00D845ED"/>
    <w:rsid w:val="00D84D5E"/>
    <w:rsid w:val="00D851D5"/>
    <w:rsid w:val="00D851E8"/>
    <w:rsid w:val="00D852AA"/>
    <w:rsid w:val="00D8602A"/>
    <w:rsid w:val="00D863DD"/>
    <w:rsid w:val="00D86461"/>
    <w:rsid w:val="00D86480"/>
    <w:rsid w:val="00D86913"/>
    <w:rsid w:val="00D86DEC"/>
    <w:rsid w:val="00D87027"/>
    <w:rsid w:val="00D872E4"/>
    <w:rsid w:val="00D87618"/>
    <w:rsid w:val="00D879D9"/>
    <w:rsid w:val="00D905DD"/>
    <w:rsid w:val="00D90B7F"/>
    <w:rsid w:val="00D90D2F"/>
    <w:rsid w:val="00D910FF"/>
    <w:rsid w:val="00D9111A"/>
    <w:rsid w:val="00D911AC"/>
    <w:rsid w:val="00D912B5"/>
    <w:rsid w:val="00D91B78"/>
    <w:rsid w:val="00D91B9B"/>
    <w:rsid w:val="00D9235F"/>
    <w:rsid w:val="00D92458"/>
    <w:rsid w:val="00D92584"/>
    <w:rsid w:val="00D9292E"/>
    <w:rsid w:val="00D92ABB"/>
    <w:rsid w:val="00D92D1A"/>
    <w:rsid w:val="00D92DCE"/>
    <w:rsid w:val="00D9312F"/>
    <w:rsid w:val="00D936A1"/>
    <w:rsid w:val="00D9435A"/>
    <w:rsid w:val="00D94A55"/>
    <w:rsid w:val="00D94CA1"/>
    <w:rsid w:val="00D9507B"/>
    <w:rsid w:val="00D95303"/>
    <w:rsid w:val="00D95E7C"/>
    <w:rsid w:val="00D96932"/>
    <w:rsid w:val="00D96FE2"/>
    <w:rsid w:val="00DA0C9D"/>
    <w:rsid w:val="00DA0F85"/>
    <w:rsid w:val="00DA1157"/>
    <w:rsid w:val="00DA1387"/>
    <w:rsid w:val="00DA15BF"/>
    <w:rsid w:val="00DA19D0"/>
    <w:rsid w:val="00DA1A1D"/>
    <w:rsid w:val="00DA1BFF"/>
    <w:rsid w:val="00DA2155"/>
    <w:rsid w:val="00DA2703"/>
    <w:rsid w:val="00DA4174"/>
    <w:rsid w:val="00DA4216"/>
    <w:rsid w:val="00DA46C7"/>
    <w:rsid w:val="00DA4786"/>
    <w:rsid w:val="00DA4BD4"/>
    <w:rsid w:val="00DA4D97"/>
    <w:rsid w:val="00DA4E3E"/>
    <w:rsid w:val="00DA5F69"/>
    <w:rsid w:val="00DA605A"/>
    <w:rsid w:val="00DA65DD"/>
    <w:rsid w:val="00DA750A"/>
    <w:rsid w:val="00DA7E2E"/>
    <w:rsid w:val="00DB03BA"/>
    <w:rsid w:val="00DB07F9"/>
    <w:rsid w:val="00DB1495"/>
    <w:rsid w:val="00DB16CA"/>
    <w:rsid w:val="00DB2465"/>
    <w:rsid w:val="00DB2583"/>
    <w:rsid w:val="00DB2C6C"/>
    <w:rsid w:val="00DB309E"/>
    <w:rsid w:val="00DB3A2F"/>
    <w:rsid w:val="00DB3C35"/>
    <w:rsid w:val="00DB3EE0"/>
    <w:rsid w:val="00DB4026"/>
    <w:rsid w:val="00DB483E"/>
    <w:rsid w:val="00DB4D6C"/>
    <w:rsid w:val="00DB5379"/>
    <w:rsid w:val="00DB5B3E"/>
    <w:rsid w:val="00DB62D6"/>
    <w:rsid w:val="00DB692B"/>
    <w:rsid w:val="00DB798B"/>
    <w:rsid w:val="00DB7C94"/>
    <w:rsid w:val="00DC0356"/>
    <w:rsid w:val="00DC0E01"/>
    <w:rsid w:val="00DC1016"/>
    <w:rsid w:val="00DC108D"/>
    <w:rsid w:val="00DC1280"/>
    <w:rsid w:val="00DC1473"/>
    <w:rsid w:val="00DC15D1"/>
    <w:rsid w:val="00DC21A6"/>
    <w:rsid w:val="00DC21B0"/>
    <w:rsid w:val="00DC2286"/>
    <w:rsid w:val="00DC2465"/>
    <w:rsid w:val="00DC2B24"/>
    <w:rsid w:val="00DC324B"/>
    <w:rsid w:val="00DC35C2"/>
    <w:rsid w:val="00DC392F"/>
    <w:rsid w:val="00DC3AFA"/>
    <w:rsid w:val="00DC416D"/>
    <w:rsid w:val="00DC446C"/>
    <w:rsid w:val="00DC4962"/>
    <w:rsid w:val="00DC4B4C"/>
    <w:rsid w:val="00DC4F5B"/>
    <w:rsid w:val="00DC5036"/>
    <w:rsid w:val="00DC5CDE"/>
    <w:rsid w:val="00DC6306"/>
    <w:rsid w:val="00DC676E"/>
    <w:rsid w:val="00DC75F8"/>
    <w:rsid w:val="00DC7A02"/>
    <w:rsid w:val="00DC7E1F"/>
    <w:rsid w:val="00DD0196"/>
    <w:rsid w:val="00DD0CF6"/>
    <w:rsid w:val="00DD0D97"/>
    <w:rsid w:val="00DD124E"/>
    <w:rsid w:val="00DD15CF"/>
    <w:rsid w:val="00DD15DC"/>
    <w:rsid w:val="00DD2048"/>
    <w:rsid w:val="00DD2FD2"/>
    <w:rsid w:val="00DD3092"/>
    <w:rsid w:val="00DD47EC"/>
    <w:rsid w:val="00DD4FA1"/>
    <w:rsid w:val="00DD547A"/>
    <w:rsid w:val="00DD62B4"/>
    <w:rsid w:val="00DD6D87"/>
    <w:rsid w:val="00DE0378"/>
    <w:rsid w:val="00DE096B"/>
    <w:rsid w:val="00DE0985"/>
    <w:rsid w:val="00DE1032"/>
    <w:rsid w:val="00DE11E5"/>
    <w:rsid w:val="00DE12F1"/>
    <w:rsid w:val="00DE14CC"/>
    <w:rsid w:val="00DE1950"/>
    <w:rsid w:val="00DE2700"/>
    <w:rsid w:val="00DE3892"/>
    <w:rsid w:val="00DE41AD"/>
    <w:rsid w:val="00DE4566"/>
    <w:rsid w:val="00DE4AF1"/>
    <w:rsid w:val="00DE505C"/>
    <w:rsid w:val="00DE52E3"/>
    <w:rsid w:val="00DE5763"/>
    <w:rsid w:val="00DE7010"/>
    <w:rsid w:val="00DE7629"/>
    <w:rsid w:val="00DE7AEA"/>
    <w:rsid w:val="00DF02B8"/>
    <w:rsid w:val="00DF02D8"/>
    <w:rsid w:val="00DF0417"/>
    <w:rsid w:val="00DF0A2D"/>
    <w:rsid w:val="00DF1149"/>
    <w:rsid w:val="00DF181A"/>
    <w:rsid w:val="00DF1E25"/>
    <w:rsid w:val="00DF2518"/>
    <w:rsid w:val="00DF2FAD"/>
    <w:rsid w:val="00DF31EF"/>
    <w:rsid w:val="00DF3463"/>
    <w:rsid w:val="00DF369A"/>
    <w:rsid w:val="00DF3DC1"/>
    <w:rsid w:val="00DF4182"/>
    <w:rsid w:val="00DF4248"/>
    <w:rsid w:val="00DF4938"/>
    <w:rsid w:val="00DF4AF6"/>
    <w:rsid w:val="00DF4DE8"/>
    <w:rsid w:val="00DF4DF3"/>
    <w:rsid w:val="00DF4E63"/>
    <w:rsid w:val="00DF5936"/>
    <w:rsid w:val="00DF5978"/>
    <w:rsid w:val="00DF5B9E"/>
    <w:rsid w:val="00DF62FF"/>
    <w:rsid w:val="00DF631A"/>
    <w:rsid w:val="00DF6730"/>
    <w:rsid w:val="00DF67A2"/>
    <w:rsid w:val="00DF6906"/>
    <w:rsid w:val="00DF7412"/>
    <w:rsid w:val="00DF75B3"/>
    <w:rsid w:val="00DF771F"/>
    <w:rsid w:val="00DF7833"/>
    <w:rsid w:val="00DF7845"/>
    <w:rsid w:val="00E004BF"/>
    <w:rsid w:val="00E00903"/>
    <w:rsid w:val="00E01061"/>
    <w:rsid w:val="00E010E5"/>
    <w:rsid w:val="00E01807"/>
    <w:rsid w:val="00E01840"/>
    <w:rsid w:val="00E01873"/>
    <w:rsid w:val="00E02022"/>
    <w:rsid w:val="00E021E3"/>
    <w:rsid w:val="00E02320"/>
    <w:rsid w:val="00E027C9"/>
    <w:rsid w:val="00E02DC9"/>
    <w:rsid w:val="00E02EE8"/>
    <w:rsid w:val="00E02F0A"/>
    <w:rsid w:val="00E031D5"/>
    <w:rsid w:val="00E040D9"/>
    <w:rsid w:val="00E04CD0"/>
    <w:rsid w:val="00E0523C"/>
    <w:rsid w:val="00E0542B"/>
    <w:rsid w:val="00E0546B"/>
    <w:rsid w:val="00E054F3"/>
    <w:rsid w:val="00E06B7E"/>
    <w:rsid w:val="00E073DD"/>
    <w:rsid w:val="00E07404"/>
    <w:rsid w:val="00E07E42"/>
    <w:rsid w:val="00E07EE5"/>
    <w:rsid w:val="00E10DFC"/>
    <w:rsid w:val="00E11070"/>
    <w:rsid w:val="00E1125F"/>
    <w:rsid w:val="00E112FE"/>
    <w:rsid w:val="00E11448"/>
    <w:rsid w:val="00E11685"/>
    <w:rsid w:val="00E11864"/>
    <w:rsid w:val="00E11B70"/>
    <w:rsid w:val="00E11DD2"/>
    <w:rsid w:val="00E11E4A"/>
    <w:rsid w:val="00E11FA4"/>
    <w:rsid w:val="00E120DD"/>
    <w:rsid w:val="00E12DD4"/>
    <w:rsid w:val="00E130FC"/>
    <w:rsid w:val="00E1328F"/>
    <w:rsid w:val="00E133B4"/>
    <w:rsid w:val="00E137D7"/>
    <w:rsid w:val="00E142B6"/>
    <w:rsid w:val="00E151CB"/>
    <w:rsid w:val="00E15ED3"/>
    <w:rsid w:val="00E15FED"/>
    <w:rsid w:val="00E16117"/>
    <w:rsid w:val="00E1633C"/>
    <w:rsid w:val="00E164F6"/>
    <w:rsid w:val="00E16766"/>
    <w:rsid w:val="00E16959"/>
    <w:rsid w:val="00E16E22"/>
    <w:rsid w:val="00E171E4"/>
    <w:rsid w:val="00E171FC"/>
    <w:rsid w:val="00E173EF"/>
    <w:rsid w:val="00E1791E"/>
    <w:rsid w:val="00E202C7"/>
    <w:rsid w:val="00E20467"/>
    <w:rsid w:val="00E20CF5"/>
    <w:rsid w:val="00E21DC8"/>
    <w:rsid w:val="00E22226"/>
    <w:rsid w:val="00E223A0"/>
    <w:rsid w:val="00E225BA"/>
    <w:rsid w:val="00E22656"/>
    <w:rsid w:val="00E22991"/>
    <w:rsid w:val="00E22BC2"/>
    <w:rsid w:val="00E24112"/>
    <w:rsid w:val="00E25179"/>
    <w:rsid w:val="00E253B6"/>
    <w:rsid w:val="00E256DF"/>
    <w:rsid w:val="00E259D9"/>
    <w:rsid w:val="00E25EC1"/>
    <w:rsid w:val="00E2605F"/>
    <w:rsid w:val="00E2652A"/>
    <w:rsid w:val="00E26702"/>
    <w:rsid w:val="00E26A3C"/>
    <w:rsid w:val="00E27429"/>
    <w:rsid w:val="00E275A8"/>
    <w:rsid w:val="00E276CB"/>
    <w:rsid w:val="00E27787"/>
    <w:rsid w:val="00E27993"/>
    <w:rsid w:val="00E27B77"/>
    <w:rsid w:val="00E3020B"/>
    <w:rsid w:val="00E30453"/>
    <w:rsid w:val="00E30AE6"/>
    <w:rsid w:val="00E311C0"/>
    <w:rsid w:val="00E31BE9"/>
    <w:rsid w:val="00E31BED"/>
    <w:rsid w:val="00E31E33"/>
    <w:rsid w:val="00E31F9B"/>
    <w:rsid w:val="00E32890"/>
    <w:rsid w:val="00E3295F"/>
    <w:rsid w:val="00E33713"/>
    <w:rsid w:val="00E34BE9"/>
    <w:rsid w:val="00E352AF"/>
    <w:rsid w:val="00E35A65"/>
    <w:rsid w:val="00E35FCA"/>
    <w:rsid w:val="00E360D9"/>
    <w:rsid w:val="00E363D7"/>
    <w:rsid w:val="00E364A1"/>
    <w:rsid w:val="00E364B3"/>
    <w:rsid w:val="00E376FA"/>
    <w:rsid w:val="00E3798E"/>
    <w:rsid w:val="00E4039D"/>
    <w:rsid w:val="00E40EF0"/>
    <w:rsid w:val="00E411B0"/>
    <w:rsid w:val="00E41C25"/>
    <w:rsid w:val="00E41D19"/>
    <w:rsid w:val="00E41D91"/>
    <w:rsid w:val="00E4247B"/>
    <w:rsid w:val="00E424DA"/>
    <w:rsid w:val="00E42640"/>
    <w:rsid w:val="00E428BE"/>
    <w:rsid w:val="00E429E5"/>
    <w:rsid w:val="00E42E4C"/>
    <w:rsid w:val="00E43157"/>
    <w:rsid w:val="00E43830"/>
    <w:rsid w:val="00E43E78"/>
    <w:rsid w:val="00E44295"/>
    <w:rsid w:val="00E442D0"/>
    <w:rsid w:val="00E44693"/>
    <w:rsid w:val="00E44EAC"/>
    <w:rsid w:val="00E4553C"/>
    <w:rsid w:val="00E45C87"/>
    <w:rsid w:val="00E45DD6"/>
    <w:rsid w:val="00E460BC"/>
    <w:rsid w:val="00E461CD"/>
    <w:rsid w:val="00E469A2"/>
    <w:rsid w:val="00E471CC"/>
    <w:rsid w:val="00E47342"/>
    <w:rsid w:val="00E47407"/>
    <w:rsid w:val="00E477EC"/>
    <w:rsid w:val="00E47D80"/>
    <w:rsid w:val="00E47F8F"/>
    <w:rsid w:val="00E5064C"/>
    <w:rsid w:val="00E513AD"/>
    <w:rsid w:val="00E51925"/>
    <w:rsid w:val="00E51D58"/>
    <w:rsid w:val="00E52143"/>
    <w:rsid w:val="00E52BE0"/>
    <w:rsid w:val="00E52F99"/>
    <w:rsid w:val="00E5370A"/>
    <w:rsid w:val="00E53794"/>
    <w:rsid w:val="00E5380D"/>
    <w:rsid w:val="00E541AB"/>
    <w:rsid w:val="00E541FE"/>
    <w:rsid w:val="00E54287"/>
    <w:rsid w:val="00E549F9"/>
    <w:rsid w:val="00E54E07"/>
    <w:rsid w:val="00E553E1"/>
    <w:rsid w:val="00E55984"/>
    <w:rsid w:val="00E55A49"/>
    <w:rsid w:val="00E56197"/>
    <w:rsid w:val="00E567A0"/>
    <w:rsid w:val="00E57E0F"/>
    <w:rsid w:val="00E60144"/>
    <w:rsid w:val="00E604AC"/>
    <w:rsid w:val="00E604C8"/>
    <w:rsid w:val="00E60C6C"/>
    <w:rsid w:val="00E6107A"/>
    <w:rsid w:val="00E610B0"/>
    <w:rsid w:val="00E61894"/>
    <w:rsid w:val="00E61AA5"/>
    <w:rsid w:val="00E61D59"/>
    <w:rsid w:val="00E62488"/>
    <w:rsid w:val="00E627F2"/>
    <w:rsid w:val="00E62A49"/>
    <w:rsid w:val="00E62C3F"/>
    <w:rsid w:val="00E62C83"/>
    <w:rsid w:val="00E62F09"/>
    <w:rsid w:val="00E6322A"/>
    <w:rsid w:val="00E6345B"/>
    <w:rsid w:val="00E638CD"/>
    <w:rsid w:val="00E639B8"/>
    <w:rsid w:val="00E63D01"/>
    <w:rsid w:val="00E6497E"/>
    <w:rsid w:val="00E65243"/>
    <w:rsid w:val="00E65F3A"/>
    <w:rsid w:val="00E66696"/>
    <w:rsid w:val="00E66875"/>
    <w:rsid w:val="00E66AA6"/>
    <w:rsid w:val="00E66EBD"/>
    <w:rsid w:val="00E67C84"/>
    <w:rsid w:val="00E67F2B"/>
    <w:rsid w:val="00E67F48"/>
    <w:rsid w:val="00E700F1"/>
    <w:rsid w:val="00E70139"/>
    <w:rsid w:val="00E7021F"/>
    <w:rsid w:val="00E70517"/>
    <w:rsid w:val="00E706D9"/>
    <w:rsid w:val="00E70ABE"/>
    <w:rsid w:val="00E70EE1"/>
    <w:rsid w:val="00E70F5F"/>
    <w:rsid w:val="00E711A3"/>
    <w:rsid w:val="00E71DB5"/>
    <w:rsid w:val="00E71F08"/>
    <w:rsid w:val="00E72872"/>
    <w:rsid w:val="00E72D19"/>
    <w:rsid w:val="00E738FA"/>
    <w:rsid w:val="00E73A73"/>
    <w:rsid w:val="00E73B78"/>
    <w:rsid w:val="00E742B7"/>
    <w:rsid w:val="00E74A9A"/>
    <w:rsid w:val="00E75309"/>
    <w:rsid w:val="00E75591"/>
    <w:rsid w:val="00E75667"/>
    <w:rsid w:val="00E7593D"/>
    <w:rsid w:val="00E75E6A"/>
    <w:rsid w:val="00E75EFB"/>
    <w:rsid w:val="00E76214"/>
    <w:rsid w:val="00E7625A"/>
    <w:rsid w:val="00E76291"/>
    <w:rsid w:val="00E76585"/>
    <w:rsid w:val="00E772D1"/>
    <w:rsid w:val="00E7742E"/>
    <w:rsid w:val="00E779D3"/>
    <w:rsid w:val="00E77F1B"/>
    <w:rsid w:val="00E80D7A"/>
    <w:rsid w:val="00E80E26"/>
    <w:rsid w:val="00E81734"/>
    <w:rsid w:val="00E82C0A"/>
    <w:rsid w:val="00E82C4C"/>
    <w:rsid w:val="00E82E5D"/>
    <w:rsid w:val="00E8343D"/>
    <w:rsid w:val="00E839EA"/>
    <w:rsid w:val="00E83AFE"/>
    <w:rsid w:val="00E83B1E"/>
    <w:rsid w:val="00E8478F"/>
    <w:rsid w:val="00E84D96"/>
    <w:rsid w:val="00E85041"/>
    <w:rsid w:val="00E85843"/>
    <w:rsid w:val="00E8620D"/>
    <w:rsid w:val="00E863DB"/>
    <w:rsid w:val="00E8690B"/>
    <w:rsid w:val="00E86D35"/>
    <w:rsid w:val="00E86F14"/>
    <w:rsid w:val="00E87B7E"/>
    <w:rsid w:val="00E87D66"/>
    <w:rsid w:val="00E90117"/>
    <w:rsid w:val="00E906AE"/>
    <w:rsid w:val="00E90904"/>
    <w:rsid w:val="00E90DA4"/>
    <w:rsid w:val="00E91101"/>
    <w:rsid w:val="00E915A3"/>
    <w:rsid w:val="00E92104"/>
    <w:rsid w:val="00E92D58"/>
    <w:rsid w:val="00E92E71"/>
    <w:rsid w:val="00E93443"/>
    <w:rsid w:val="00E93891"/>
    <w:rsid w:val="00E946C3"/>
    <w:rsid w:val="00E9509E"/>
    <w:rsid w:val="00E95B4E"/>
    <w:rsid w:val="00E95D7E"/>
    <w:rsid w:val="00E960B0"/>
    <w:rsid w:val="00E96918"/>
    <w:rsid w:val="00E96932"/>
    <w:rsid w:val="00E96FD3"/>
    <w:rsid w:val="00E97AD1"/>
    <w:rsid w:val="00E97B29"/>
    <w:rsid w:val="00EA031A"/>
    <w:rsid w:val="00EA0390"/>
    <w:rsid w:val="00EA10C9"/>
    <w:rsid w:val="00EA1318"/>
    <w:rsid w:val="00EA152B"/>
    <w:rsid w:val="00EA174F"/>
    <w:rsid w:val="00EA1B67"/>
    <w:rsid w:val="00EA2B6F"/>
    <w:rsid w:val="00EA2DF5"/>
    <w:rsid w:val="00EA3A36"/>
    <w:rsid w:val="00EA3FFF"/>
    <w:rsid w:val="00EA4054"/>
    <w:rsid w:val="00EA4D20"/>
    <w:rsid w:val="00EA4E3B"/>
    <w:rsid w:val="00EA5C67"/>
    <w:rsid w:val="00EA5D1C"/>
    <w:rsid w:val="00EA7555"/>
    <w:rsid w:val="00EA7989"/>
    <w:rsid w:val="00EB00D7"/>
    <w:rsid w:val="00EB01D6"/>
    <w:rsid w:val="00EB0645"/>
    <w:rsid w:val="00EB0842"/>
    <w:rsid w:val="00EB10DE"/>
    <w:rsid w:val="00EB15B0"/>
    <w:rsid w:val="00EB1D72"/>
    <w:rsid w:val="00EB211D"/>
    <w:rsid w:val="00EB21CE"/>
    <w:rsid w:val="00EB2E02"/>
    <w:rsid w:val="00EB3015"/>
    <w:rsid w:val="00EB378F"/>
    <w:rsid w:val="00EB3AF4"/>
    <w:rsid w:val="00EB3BBC"/>
    <w:rsid w:val="00EB49EB"/>
    <w:rsid w:val="00EB4B1A"/>
    <w:rsid w:val="00EB4B8D"/>
    <w:rsid w:val="00EB4CB6"/>
    <w:rsid w:val="00EB54D0"/>
    <w:rsid w:val="00EB5A7F"/>
    <w:rsid w:val="00EB63B4"/>
    <w:rsid w:val="00EB666C"/>
    <w:rsid w:val="00EB7280"/>
    <w:rsid w:val="00EB7432"/>
    <w:rsid w:val="00EB7895"/>
    <w:rsid w:val="00EB7A6C"/>
    <w:rsid w:val="00EC0374"/>
    <w:rsid w:val="00EC073E"/>
    <w:rsid w:val="00EC1143"/>
    <w:rsid w:val="00EC1531"/>
    <w:rsid w:val="00EC1835"/>
    <w:rsid w:val="00EC1CFB"/>
    <w:rsid w:val="00EC1F28"/>
    <w:rsid w:val="00EC2476"/>
    <w:rsid w:val="00EC247B"/>
    <w:rsid w:val="00EC2567"/>
    <w:rsid w:val="00EC325E"/>
    <w:rsid w:val="00EC3491"/>
    <w:rsid w:val="00EC42AD"/>
    <w:rsid w:val="00EC5050"/>
    <w:rsid w:val="00EC5B96"/>
    <w:rsid w:val="00EC5F7F"/>
    <w:rsid w:val="00EC619E"/>
    <w:rsid w:val="00EC61F3"/>
    <w:rsid w:val="00EC636F"/>
    <w:rsid w:val="00EC63B4"/>
    <w:rsid w:val="00EC665D"/>
    <w:rsid w:val="00EC6A59"/>
    <w:rsid w:val="00EC6BE2"/>
    <w:rsid w:val="00EC70BF"/>
    <w:rsid w:val="00EC730B"/>
    <w:rsid w:val="00EC7522"/>
    <w:rsid w:val="00EC75DC"/>
    <w:rsid w:val="00EC78EB"/>
    <w:rsid w:val="00EC7EBF"/>
    <w:rsid w:val="00EC7F14"/>
    <w:rsid w:val="00ED0379"/>
    <w:rsid w:val="00ED08B5"/>
    <w:rsid w:val="00ED0B4B"/>
    <w:rsid w:val="00ED0C82"/>
    <w:rsid w:val="00ED1035"/>
    <w:rsid w:val="00ED2C3C"/>
    <w:rsid w:val="00ED302F"/>
    <w:rsid w:val="00ED3560"/>
    <w:rsid w:val="00ED3D2C"/>
    <w:rsid w:val="00ED4007"/>
    <w:rsid w:val="00ED4687"/>
    <w:rsid w:val="00ED4815"/>
    <w:rsid w:val="00ED4D40"/>
    <w:rsid w:val="00ED4F93"/>
    <w:rsid w:val="00ED5458"/>
    <w:rsid w:val="00ED555C"/>
    <w:rsid w:val="00ED591D"/>
    <w:rsid w:val="00ED5AD9"/>
    <w:rsid w:val="00ED6404"/>
    <w:rsid w:val="00ED67F3"/>
    <w:rsid w:val="00ED6A47"/>
    <w:rsid w:val="00ED6B5F"/>
    <w:rsid w:val="00ED6B6C"/>
    <w:rsid w:val="00ED79EE"/>
    <w:rsid w:val="00ED7FD8"/>
    <w:rsid w:val="00EE0606"/>
    <w:rsid w:val="00EE0A74"/>
    <w:rsid w:val="00EE121D"/>
    <w:rsid w:val="00EE183D"/>
    <w:rsid w:val="00EE1947"/>
    <w:rsid w:val="00EE1A37"/>
    <w:rsid w:val="00EE1B3B"/>
    <w:rsid w:val="00EE228A"/>
    <w:rsid w:val="00EE281B"/>
    <w:rsid w:val="00EE2F4B"/>
    <w:rsid w:val="00EE320E"/>
    <w:rsid w:val="00EE33E5"/>
    <w:rsid w:val="00EE38E7"/>
    <w:rsid w:val="00EE3F7A"/>
    <w:rsid w:val="00EE42F6"/>
    <w:rsid w:val="00EE4BBB"/>
    <w:rsid w:val="00EE503B"/>
    <w:rsid w:val="00EE5237"/>
    <w:rsid w:val="00EE5569"/>
    <w:rsid w:val="00EE6104"/>
    <w:rsid w:val="00EE63EB"/>
    <w:rsid w:val="00EE6BED"/>
    <w:rsid w:val="00EE7146"/>
    <w:rsid w:val="00EE75BC"/>
    <w:rsid w:val="00EE77D5"/>
    <w:rsid w:val="00EE7AB9"/>
    <w:rsid w:val="00EF0762"/>
    <w:rsid w:val="00EF09E5"/>
    <w:rsid w:val="00EF0ACF"/>
    <w:rsid w:val="00EF0AE1"/>
    <w:rsid w:val="00EF0C97"/>
    <w:rsid w:val="00EF0E41"/>
    <w:rsid w:val="00EF0F95"/>
    <w:rsid w:val="00EF10F9"/>
    <w:rsid w:val="00EF11BE"/>
    <w:rsid w:val="00EF1354"/>
    <w:rsid w:val="00EF1C18"/>
    <w:rsid w:val="00EF24E7"/>
    <w:rsid w:val="00EF3226"/>
    <w:rsid w:val="00EF3A24"/>
    <w:rsid w:val="00EF462A"/>
    <w:rsid w:val="00EF476D"/>
    <w:rsid w:val="00EF5730"/>
    <w:rsid w:val="00EF5A80"/>
    <w:rsid w:val="00EF613A"/>
    <w:rsid w:val="00EF62ED"/>
    <w:rsid w:val="00EF6EED"/>
    <w:rsid w:val="00EF74A8"/>
    <w:rsid w:val="00EF7608"/>
    <w:rsid w:val="00F00260"/>
    <w:rsid w:val="00F002A1"/>
    <w:rsid w:val="00F003AD"/>
    <w:rsid w:val="00F0089F"/>
    <w:rsid w:val="00F008A3"/>
    <w:rsid w:val="00F00CF2"/>
    <w:rsid w:val="00F01A6D"/>
    <w:rsid w:val="00F03197"/>
    <w:rsid w:val="00F03435"/>
    <w:rsid w:val="00F034C1"/>
    <w:rsid w:val="00F044E7"/>
    <w:rsid w:val="00F0452E"/>
    <w:rsid w:val="00F0517D"/>
    <w:rsid w:val="00F052D3"/>
    <w:rsid w:val="00F05FB4"/>
    <w:rsid w:val="00F060AD"/>
    <w:rsid w:val="00F06226"/>
    <w:rsid w:val="00F0680C"/>
    <w:rsid w:val="00F07454"/>
    <w:rsid w:val="00F07492"/>
    <w:rsid w:val="00F07A6C"/>
    <w:rsid w:val="00F10265"/>
    <w:rsid w:val="00F11333"/>
    <w:rsid w:val="00F116E3"/>
    <w:rsid w:val="00F11D81"/>
    <w:rsid w:val="00F11E98"/>
    <w:rsid w:val="00F1204C"/>
    <w:rsid w:val="00F1223F"/>
    <w:rsid w:val="00F12A78"/>
    <w:rsid w:val="00F12ABC"/>
    <w:rsid w:val="00F13242"/>
    <w:rsid w:val="00F132A8"/>
    <w:rsid w:val="00F133E6"/>
    <w:rsid w:val="00F1367D"/>
    <w:rsid w:val="00F14046"/>
    <w:rsid w:val="00F143F6"/>
    <w:rsid w:val="00F1449E"/>
    <w:rsid w:val="00F14FA9"/>
    <w:rsid w:val="00F15172"/>
    <w:rsid w:val="00F15685"/>
    <w:rsid w:val="00F157C0"/>
    <w:rsid w:val="00F158BC"/>
    <w:rsid w:val="00F15AFD"/>
    <w:rsid w:val="00F15E99"/>
    <w:rsid w:val="00F16B7C"/>
    <w:rsid w:val="00F17532"/>
    <w:rsid w:val="00F17630"/>
    <w:rsid w:val="00F17802"/>
    <w:rsid w:val="00F17A43"/>
    <w:rsid w:val="00F17EC1"/>
    <w:rsid w:val="00F17FC3"/>
    <w:rsid w:val="00F17FC8"/>
    <w:rsid w:val="00F20A7F"/>
    <w:rsid w:val="00F216B1"/>
    <w:rsid w:val="00F21901"/>
    <w:rsid w:val="00F21C31"/>
    <w:rsid w:val="00F21F84"/>
    <w:rsid w:val="00F22054"/>
    <w:rsid w:val="00F2337F"/>
    <w:rsid w:val="00F23DD5"/>
    <w:rsid w:val="00F23F78"/>
    <w:rsid w:val="00F240FA"/>
    <w:rsid w:val="00F24436"/>
    <w:rsid w:val="00F24779"/>
    <w:rsid w:val="00F25424"/>
    <w:rsid w:val="00F2593D"/>
    <w:rsid w:val="00F259CA"/>
    <w:rsid w:val="00F25CA9"/>
    <w:rsid w:val="00F26BBE"/>
    <w:rsid w:val="00F26D1F"/>
    <w:rsid w:val="00F26FCF"/>
    <w:rsid w:val="00F2767C"/>
    <w:rsid w:val="00F3031C"/>
    <w:rsid w:val="00F306D9"/>
    <w:rsid w:val="00F30796"/>
    <w:rsid w:val="00F30AFD"/>
    <w:rsid w:val="00F30E8A"/>
    <w:rsid w:val="00F31223"/>
    <w:rsid w:val="00F3158A"/>
    <w:rsid w:val="00F317C8"/>
    <w:rsid w:val="00F31E40"/>
    <w:rsid w:val="00F320A0"/>
    <w:rsid w:val="00F32147"/>
    <w:rsid w:val="00F32ED2"/>
    <w:rsid w:val="00F33188"/>
    <w:rsid w:val="00F3345F"/>
    <w:rsid w:val="00F3350E"/>
    <w:rsid w:val="00F3357C"/>
    <w:rsid w:val="00F33665"/>
    <w:rsid w:val="00F33967"/>
    <w:rsid w:val="00F342B4"/>
    <w:rsid w:val="00F3446B"/>
    <w:rsid w:val="00F347B1"/>
    <w:rsid w:val="00F34B56"/>
    <w:rsid w:val="00F34CB8"/>
    <w:rsid w:val="00F34D1F"/>
    <w:rsid w:val="00F34E0C"/>
    <w:rsid w:val="00F35359"/>
    <w:rsid w:val="00F35E98"/>
    <w:rsid w:val="00F3603A"/>
    <w:rsid w:val="00F36277"/>
    <w:rsid w:val="00F362AE"/>
    <w:rsid w:val="00F36479"/>
    <w:rsid w:val="00F36920"/>
    <w:rsid w:val="00F36FE1"/>
    <w:rsid w:val="00F37106"/>
    <w:rsid w:val="00F37255"/>
    <w:rsid w:val="00F374F7"/>
    <w:rsid w:val="00F37EA7"/>
    <w:rsid w:val="00F40728"/>
    <w:rsid w:val="00F40BF9"/>
    <w:rsid w:val="00F4128E"/>
    <w:rsid w:val="00F417D5"/>
    <w:rsid w:val="00F41D87"/>
    <w:rsid w:val="00F42D4D"/>
    <w:rsid w:val="00F4304A"/>
    <w:rsid w:val="00F43423"/>
    <w:rsid w:val="00F43D2B"/>
    <w:rsid w:val="00F448A7"/>
    <w:rsid w:val="00F44923"/>
    <w:rsid w:val="00F44C00"/>
    <w:rsid w:val="00F4526D"/>
    <w:rsid w:val="00F456CE"/>
    <w:rsid w:val="00F45702"/>
    <w:rsid w:val="00F45A2B"/>
    <w:rsid w:val="00F46481"/>
    <w:rsid w:val="00F466CA"/>
    <w:rsid w:val="00F46854"/>
    <w:rsid w:val="00F470C6"/>
    <w:rsid w:val="00F470E3"/>
    <w:rsid w:val="00F4786C"/>
    <w:rsid w:val="00F47AB3"/>
    <w:rsid w:val="00F47BDE"/>
    <w:rsid w:val="00F47E9A"/>
    <w:rsid w:val="00F505E8"/>
    <w:rsid w:val="00F5075D"/>
    <w:rsid w:val="00F51150"/>
    <w:rsid w:val="00F513E4"/>
    <w:rsid w:val="00F516DB"/>
    <w:rsid w:val="00F5176A"/>
    <w:rsid w:val="00F521DD"/>
    <w:rsid w:val="00F52475"/>
    <w:rsid w:val="00F525A4"/>
    <w:rsid w:val="00F53121"/>
    <w:rsid w:val="00F531C4"/>
    <w:rsid w:val="00F53230"/>
    <w:rsid w:val="00F53544"/>
    <w:rsid w:val="00F535B9"/>
    <w:rsid w:val="00F548F3"/>
    <w:rsid w:val="00F54950"/>
    <w:rsid w:val="00F54AAF"/>
    <w:rsid w:val="00F54B7D"/>
    <w:rsid w:val="00F54FA4"/>
    <w:rsid w:val="00F55E13"/>
    <w:rsid w:val="00F55F50"/>
    <w:rsid w:val="00F568E5"/>
    <w:rsid w:val="00F56D92"/>
    <w:rsid w:val="00F570CC"/>
    <w:rsid w:val="00F572AD"/>
    <w:rsid w:val="00F574FC"/>
    <w:rsid w:val="00F57974"/>
    <w:rsid w:val="00F579A0"/>
    <w:rsid w:val="00F57B51"/>
    <w:rsid w:val="00F57D2E"/>
    <w:rsid w:val="00F601E1"/>
    <w:rsid w:val="00F60357"/>
    <w:rsid w:val="00F604D6"/>
    <w:rsid w:val="00F60AC4"/>
    <w:rsid w:val="00F6244B"/>
    <w:rsid w:val="00F6284E"/>
    <w:rsid w:val="00F62FDF"/>
    <w:rsid w:val="00F63403"/>
    <w:rsid w:val="00F63425"/>
    <w:rsid w:val="00F63BDE"/>
    <w:rsid w:val="00F63DB5"/>
    <w:rsid w:val="00F63F5C"/>
    <w:rsid w:val="00F64969"/>
    <w:rsid w:val="00F64CD6"/>
    <w:rsid w:val="00F64CF6"/>
    <w:rsid w:val="00F6553F"/>
    <w:rsid w:val="00F659C5"/>
    <w:rsid w:val="00F66024"/>
    <w:rsid w:val="00F66574"/>
    <w:rsid w:val="00F66600"/>
    <w:rsid w:val="00F669A5"/>
    <w:rsid w:val="00F66DAF"/>
    <w:rsid w:val="00F6733C"/>
    <w:rsid w:val="00F673FE"/>
    <w:rsid w:val="00F677A4"/>
    <w:rsid w:val="00F67909"/>
    <w:rsid w:val="00F67F13"/>
    <w:rsid w:val="00F70006"/>
    <w:rsid w:val="00F704D7"/>
    <w:rsid w:val="00F71082"/>
    <w:rsid w:val="00F71540"/>
    <w:rsid w:val="00F71C62"/>
    <w:rsid w:val="00F7222E"/>
    <w:rsid w:val="00F7223C"/>
    <w:rsid w:val="00F7311E"/>
    <w:rsid w:val="00F73337"/>
    <w:rsid w:val="00F73396"/>
    <w:rsid w:val="00F73C6C"/>
    <w:rsid w:val="00F743DB"/>
    <w:rsid w:val="00F74B04"/>
    <w:rsid w:val="00F751E4"/>
    <w:rsid w:val="00F754B3"/>
    <w:rsid w:val="00F7603C"/>
    <w:rsid w:val="00F77253"/>
    <w:rsid w:val="00F7757A"/>
    <w:rsid w:val="00F77930"/>
    <w:rsid w:val="00F80CC3"/>
    <w:rsid w:val="00F80DBA"/>
    <w:rsid w:val="00F81495"/>
    <w:rsid w:val="00F824B1"/>
    <w:rsid w:val="00F82A6F"/>
    <w:rsid w:val="00F82F49"/>
    <w:rsid w:val="00F830BF"/>
    <w:rsid w:val="00F83179"/>
    <w:rsid w:val="00F8323B"/>
    <w:rsid w:val="00F834AF"/>
    <w:rsid w:val="00F83A93"/>
    <w:rsid w:val="00F84CC6"/>
    <w:rsid w:val="00F84F20"/>
    <w:rsid w:val="00F8574D"/>
    <w:rsid w:val="00F85763"/>
    <w:rsid w:val="00F857C2"/>
    <w:rsid w:val="00F85D96"/>
    <w:rsid w:val="00F85F30"/>
    <w:rsid w:val="00F865F9"/>
    <w:rsid w:val="00F866BF"/>
    <w:rsid w:val="00F86789"/>
    <w:rsid w:val="00F868C7"/>
    <w:rsid w:val="00F86B72"/>
    <w:rsid w:val="00F86BFD"/>
    <w:rsid w:val="00F8730E"/>
    <w:rsid w:val="00F873B1"/>
    <w:rsid w:val="00F87FA9"/>
    <w:rsid w:val="00F9035A"/>
    <w:rsid w:val="00F90380"/>
    <w:rsid w:val="00F90684"/>
    <w:rsid w:val="00F928C1"/>
    <w:rsid w:val="00F92902"/>
    <w:rsid w:val="00F93B68"/>
    <w:rsid w:val="00F947C6"/>
    <w:rsid w:val="00F947D0"/>
    <w:rsid w:val="00F95150"/>
    <w:rsid w:val="00F95418"/>
    <w:rsid w:val="00F95A48"/>
    <w:rsid w:val="00F95A86"/>
    <w:rsid w:val="00F95CE3"/>
    <w:rsid w:val="00F95D44"/>
    <w:rsid w:val="00F96410"/>
    <w:rsid w:val="00F9667E"/>
    <w:rsid w:val="00F966C6"/>
    <w:rsid w:val="00F969E1"/>
    <w:rsid w:val="00F96AFF"/>
    <w:rsid w:val="00F96B74"/>
    <w:rsid w:val="00F96BDD"/>
    <w:rsid w:val="00F96F41"/>
    <w:rsid w:val="00F979E6"/>
    <w:rsid w:val="00F97BCE"/>
    <w:rsid w:val="00F97FB3"/>
    <w:rsid w:val="00FA00A3"/>
    <w:rsid w:val="00FA0381"/>
    <w:rsid w:val="00FA0B53"/>
    <w:rsid w:val="00FA10CA"/>
    <w:rsid w:val="00FA16A0"/>
    <w:rsid w:val="00FA1711"/>
    <w:rsid w:val="00FA1A17"/>
    <w:rsid w:val="00FA1CF1"/>
    <w:rsid w:val="00FA2246"/>
    <w:rsid w:val="00FA22CD"/>
    <w:rsid w:val="00FA2308"/>
    <w:rsid w:val="00FA2743"/>
    <w:rsid w:val="00FA3726"/>
    <w:rsid w:val="00FA3DF2"/>
    <w:rsid w:val="00FA43E5"/>
    <w:rsid w:val="00FA524B"/>
    <w:rsid w:val="00FA53A5"/>
    <w:rsid w:val="00FA557A"/>
    <w:rsid w:val="00FA61B2"/>
    <w:rsid w:val="00FA6CB6"/>
    <w:rsid w:val="00FA793F"/>
    <w:rsid w:val="00FA7B03"/>
    <w:rsid w:val="00FB0278"/>
    <w:rsid w:val="00FB11E6"/>
    <w:rsid w:val="00FB146A"/>
    <w:rsid w:val="00FB19AF"/>
    <w:rsid w:val="00FB1DF9"/>
    <w:rsid w:val="00FB1FFA"/>
    <w:rsid w:val="00FB2304"/>
    <w:rsid w:val="00FB237D"/>
    <w:rsid w:val="00FB2CC3"/>
    <w:rsid w:val="00FB30A8"/>
    <w:rsid w:val="00FB3243"/>
    <w:rsid w:val="00FB39A2"/>
    <w:rsid w:val="00FB3C58"/>
    <w:rsid w:val="00FB424C"/>
    <w:rsid w:val="00FB4BB6"/>
    <w:rsid w:val="00FB4F8C"/>
    <w:rsid w:val="00FB4FDA"/>
    <w:rsid w:val="00FB5169"/>
    <w:rsid w:val="00FB5442"/>
    <w:rsid w:val="00FB5953"/>
    <w:rsid w:val="00FB5A59"/>
    <w:rsid w:val="00FB63D1"/>
    <w:rsid w:val="00FB6D2F"/>
    <w:rsid w:val="00FB7219"/>
    <w:rsid w:val="00FB783B"/>
    <w:rsid w:val="00FB7A2D"/>
    <w:rsid w:val="00FB7AF6"/>
    <w:rsid w:val="00FB7F8D"/>
    <w:rsid w:val="00FC0437"/>
    <w:rsid w:val="00FC0D4E"/>
    <w:rsid w:val="00FC1DDF"/>
    <w:rsid w:val="00FC213C"/>
    <w:rsid w:val="00FC2FE3"/>
    <w:rsid w:val="00FC32C6"/>
    <w:rsid w:val="00FC333B"/>
    <w:rsid w:val="00FC349B"/>
    <w:rsid w:val="00FC401C"/>
    <w:rsid w:val="00FC4116"/>
    <w:rsid w:val="00FC4414"/>
    <w:rsid w:val="00FC49D1"/>
    <w:rsid w:val="00FC4E6A"/>
    <w:rsid w:val="00FC5724"/>
    <w:rsid w:val="00FC5F62"/>
    <w:rsid w:val="00FC6B5E"/>
    <w:rsid w:val="00FC6B6B"/>
    <w:rsid w:val="00FC6E93"/>
    <w:rsid w:val="00FC6FD4"/>
    <w:rsid w:val="00FC740D"/>
    <w:rsid w:val="00FC76D9"/>
    <w:rsid w:val="00FD08C5"/>
    <w:rsid w:val="00FD0912"/>
    <w:rsid w:val="00FD0B98"/>
    <w:rsid w:val="00FD0C3D"/>
    <w:rsid w:val="00FD0F83"/>
    <w:rsid w:val="00FD1095"/>
    <w:rsid w:val="00FD16FD"/>
    <w:rsid w:val="00FD19F1"/>
    <w:rsid w:val="00FD2019"/>
    <w:rsid w:val="00FD2725"/>
    <w:rsid w:val="00FD2F4F"/>
    <w:rsid w:val="00FD316E"/>
    <w:rsid w:val="00FD31F1"/>
    <w:rsid w:val="00FD3622"/>
    <w:rsid w:val="00FD39CD"/>
    <w:rsid w:val="00FD3DAF"/>
    <w:rsid w:val="00FD3F48"/>
    <w:rsid w:val="00FD4035"/>
    <w:rsid w:val="00FD4A92"/>
    <w:rsid w:val="00FD4D8A"/>
    <w:rsid w:val="00FD5178"/>
    <w:rsid w:val="00FD5D94"/>
    <w:rsid w:val="00FD6438"/>
    <w:rsid w:val="00FD6470"/>
    <w:rsid w:val="00FD6566"/>
    <w:rsid w:val="00FD6D43"/>
    <w:rsid w:val="00FD7270"/>
    <w:rsid w:val="00FD7329"/>
    <w:rsid w:val="00FD79A6"/>
    <w:rsid w:val="00FE0007"/>
    <w:rsid w:val="00FE0554"/>
    <w:rsid w:val="00FE070B"/>
    <w:rsid w:val="00FE12D8"/>
    <w:rsid w:val="00FE1F4B"/>
    <w:rsid w:val="00FE1FB5"/>
    <w:rsid w:val="00FE2A28"/>
    <w:rsid w:val="00FE34B1"/>
    <w:rsid w:val="00FE376A"/>
    <w:rsid w:val="00FE3795"/>
    <w:rsid w:val="00FE3BB4"/>
    <w:rsid w:val="00FE3FDB"/>
    <w:rsid w:val="00FE4033"/>
    <w:rsid w:val="00FE4B41"/>
    <w:rsid w:val="00FE5317"/>
    <w:rsid w:val="00FE55F6"/>
    <w:rsid w:val="00FE60A0"/>
    <w:rsid w:val="00FE6194"/>
    <w:rsid w:val="00FE652F"/>
    <w:rsid w:val="00FE66D0"/>
    <w:rsid w:val="00FE672B"/>
    <w:rsid w:val="00FE67D7"/>
    <w:rsid w:val="00FE67E8"/>
    <w:rsid w:val="00FE6945"/>
    <w:rsid w:val="00FE7494"/>
    <w:rsid w:val="00FE7A0C"/>
    <w:rsid w:val="00FE7CE5"/>
    <w:rsid w:val="00FF029B"/>
    <w:rsid w:val="00FF0E67"/>
    <w:rsid w:val="00FF0EB6"/>
    <w:rsid w:val="00FF1099"/>
    <w:rsid w:val="00FF1168"/>
    <w:rsid w:val="00FF16AD"/>
    <w:rsid w:val="00FF1762"/>
    <w:rsid w:val="00FF1AE7"/>
    <w:rsid w:val="00FF28F1"/>
    <w:rsid w:val="00FF29EF"/>
    <w:rsid w:val="00FF2D45"/>
    <w:rsid w:val="00FF312D"/>
    <w:rsid w:val="00FF32AF"/>
    <w:rsid w:val="00FF3821"/>
    <w:rsid w:val="00FF408D"/>
    <w:rsid w:val="00FF453D"/>
    <w:rsid w:val="00FF5298"/>
    <w:rsid w:val="00FF547F"/>
    <w:rsid w:val="00FF6063"/>
    <w:rsid w:val="00FF6634"/>
    <w:rsid w:val="00FF698D"/>
    <w:rsid w:val="00FF6D0A"/>
    <w:rsid w:val="00FF6F91"/>
    <w:rsid w:val="00FF7A6A"/>
    <w:rsid w:val="00FF7C0C"/>
    <w:rsid w:val="00FF7D84"/>
    <w:rsid w:val="01653751"/>
    <w:rsid w:val="03473980"/>
    <w:rsid w:val="04C868E1"/>
    <w:rsid w:val="051B3E61"/>
    <w:rsid w:val="073262BE"/>
    <w:rsid w:val="084028C1"/>
    <w:rsid w:val="09573AC5"/>
    <w:rsid w:val="0A4C4CC0"/>
    <w:rsid w:val="0A7713FF"/>
    <w:rsid w:val="0B9171DD"/>
    <w:rsid w:val="0D48115C"/>
    <w:rsid w:val="0E674D19"/>
    <w:rsid w:val="0E9656DB"/>
    <w:rsid w:val="0F531D3C"/>
    <w:rsid w:val="137F63B4"/>
    <w:rsid w:val="1A104801"/>
    <w:rsid w:val="1EBD2E56"/>
    <w:rsid w:val="1F4A48CC"/>
    <w:rsid w:val="1F5C4098"/>
    <w:rsid w:val="201A7212"/>
    <w:rsid w:val="269144D8"/>
    <w:rsid w:val="27B816B4"/>
    <w:rsid w:val="28132F8E"/>
    <w:rsid w:val="2A2D247C"/>
    <w:rsid w:val="2A6549D8"/>
    <w:rsid w:val="2ADB571C"/>
    <w:rsid w:val="2C255176"/>
    <w:rsid w:val="2C623D3B"/>
    <w:rsid w:val="2D536238"/>
    <w:rsid w:val="2E46732E"/>
    <w:rsid w:val="308933EC"/>
    <w:rsid w:val="30A374A6"/>
    <w:rsid w:val="330D4D2E"/>
    <w:rsid w:val="33374622"/>
    <w:rsid w:val="3384532B"/>
    <w:rsid w:val="35883AD8"/>
    <w:rsid w:val="3C1E0EE9"/>
    <w:rsid w:val="3D9731BB"/>
    <w:rsid w:val="3E8C1FCF"/>
    <w:rsid w:val="3EED2082"/>
    <w:rsid w:val="41010EC8"/>
    <w:rsid w:val="410240EC"/>
    <w:rsid w:val="41207E31"/>
    <w:rsid w:val="416200AE"/>
    <w:rsid w:val="432F0696"/>
    <w:rsid w:val="43485C3B"/>
    <w:rsid w:val="438D2007"/>
    <w:rsid w:val="43AD15B6"/>
    <w:rsid w:val="45A70778"/>
    <w:rsid w:val="47C1088D"/>
    <w:rsid w:val="48C75639"/>
    <w:rsid w:val="49665FA1"/>
    <w:rsid w:val="49B321F5"/>
    <w:rsid w:val="49D840AA"/>
    <w:rsid w:val="4CD75F98"/>
    <w:rsid w:val="4E10608B"/>
    <w:rsid w:val="4E261535"/>
    <w:rsid w:val="50FC6F9E"/>
    <w:rsid w:val="56004302"/>
    <w:rsid w:val="56542E20"/>
    <w:rsid w:val="57AF6C74"/>
    <w:rsid w:val="583F55FC"/>
    <w:rsid w:val="59223DB2"/>
    <w:rsid w:val="5CBA3295"/>
    <w:rsid w:val="5D3545BE"/>
    <w:rsid w:val="5D555CF6"/>
    <w:rsid w:val="5D8C56AA"/>
    <w:rsid w:val="61193C97"/>
    <w:rsid w:val="673E33DC"/>
    <w:rsid w:val="694A38A9"/>
    <w:rsid w:val="6CFC41A6"/>
    <w:rsid w:val="6F090C28"/>
    <w:rsid w:val="72356FCC"/>
    <w:rsid w:val="73C17D49"/>
    <w:rsid w:val="7632027B"/>
    <w:rsid w:val="76A6312F"/>
    <w:rsid w:val="76C42FF8"/>
    <w:rsid w:val="79B0603F"/>
    <w:rsid w:val="7C1940BD"/>
    <w:rsid w:val="7E985DDD"/>
    <w:rsid w:val="7F81235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nhideWhenUsed="0" w:uiPriority="0" w:semiHidden="0" w:name="heading 4"/>
    <w:lsdException w:qFormat="1" w:uiPriority="9"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semiHidden="0" w:name="toc 4"/>
    <w:lsdException w:uiPriority="39" w:semiHidden="0" w:name="toc 5"/>
    <w:lsdException w:uiPriority="39" w:semiHidden="0" w:name="toc 6"/>
    <w:lsdException w:uiPriority="39" w:semiHidden="0" w:name="toc 7"/>
    <w:lsdException w:uiPriority="39" w:semiHidden="0" w:name="toc 8"/>
    <w:lsdException w:uiPriority="39" w:semiHidden="0" w:name="toc 9"/>
    <w:lsdException w:qFormat="1" w:unhideWhenUsed="0" w:uiPriority="0" w:semiHidden="0" w:name="Normal Indent"/>
    <w:lsdException w:qFormat="1" w:uiPriority="99" w:name="footnote text"/>
    <w:lsdException w:qFormat="1" w:uiPriority="0" w:semiHidden="0" w:name="annotation text"/>
    <w:lsdException w:qFormat="1" w:uiPriority="0" w:semiHidden="0" w:name="header"/>
    <w:lsdException w:qFormat="1" w:uiPriority="99" w:semiHidden="0" w:name="footer"/>
    <w:lsdException w:uiPriority="99" w:name="index heading"/>
    <w:lsdException w:qFormat="1" w:unhideWhenUsed="0" w:uiPriority="0" w:semiHidden="0" w:name="caption"/>
    <w:lsdException w:qFormat="1" w:unhideWhenUsed="0" w:uiPriority="0" w:semiHidden="0" w:name="table of figures"/>
    <w:lsdException w:uiPriority="99" w:name="envelope address"/>
    <w:lsdException w:uiPriority="99" w:name="envelope return"/>
    <w:lsdException w:qFormat="1" w:uiPriority="99" w:name="footnote reference"/>
    <w:lsdException w:qFormat="1" w:uiPriority="99" w:semiHidden="0" w:name="annotation reference"/>
    <w:lsdException w:uiPriority="99" w:name="line number"/>
    <w:lsdException w:qFormat="1" w:unhideWhenUsed="0" w:uiPriority="99" w:semiHidden="0" w:name="page number"/>
    <w:lsdException w:uiPriority="99" w:name="endnote reference"/>
    <w:lsdException w:uiPriority="99" w:name="endnote text"/>
    <w:lsdException w:qFormat="1" w:uiPriority="0" w:name="table of authorities"/>
    <w:lsdException w:uiPriority="99" w:name="macro"/>
    <w:lsdException w:qFormat="1" w:unhideWhenUsed="0" w:uiPriority="99" w:semiHidden="0" w:name="toa heading"/>
    <w:lsdException w:qFormat="1" w:uiPriority="99" w:semiHidden="0" w:name="List"/>
    <w:lsdException w:uiPriority="99" w:name="List Bullet"/>
    <w:lsdException w:uiPriority="99" w:name="List Number"/>
    <w:lsdException w:qFormat="1" w:uiPriority="0" w:name="List 2"/>
    <w:lsdException w:qFormat="1" w:uiPriority="0" w:name="List 3"/>
    <w:lsdException w:uiPriority="99" w:name="List 4"/>
    <w:lsdException w:qFormat="1" w:uiPriority="99" w:name="List 5"/>
    <w:lsdException w:uiPriority="99" w:name="List Bullet 2"/>
    <w:lsdException w:qFormat="1" w:uiPriority="0" w:name="List Bullet 3"/>
    <w:lsdException w:uiPriority="99" w:name="List Bullet 4"/>
    <w:lsdException w:uiPriority="99" w:name="List Bullet 5"/>
    <w:lsdException w:uiPriority="99" w:name="List Number 2"/>
    <w:lsdException w:uiPriority="99" w:name="List Number 3"/>
    <w:lsdException w:uiPriority="99" w:name="List Number 4"/>
    <w:lsdException w:qFormat="1" w:unhideWhenUsed="0" w:uiPriority="0" w:semiHidden="0"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unhideWhenUsed="0" w:uiPriority="11" w:semiHidden="0" w:name="Subtitle"/>
    <w:lsdException w:qFormat="1" w:uiPriority="0" w:name="Salutation"/>
    <w:lsdException w:qFormat="1" w:unhideWhenUsed="0" w:uiPriority="99" w:name="Date"/>
    <w:lsdException w:qFormat="1" w:uiPriority="0" w:name="Body Text First Indent"/>
    <w:lsdException w:qFormat="1" w:unhideWhenUsed="0" w:uiPriority="99" w:semiHidden="0" w:name="Body Text First Indent 2"/>
    <w:lsdException w:qFormat="1" w:unhideWhenUsed="0" w:uiPriority="99" w:name="Note Heading"/>
    <w:lsdException w:unhideWhenUsed="0" w:uiPriority="0" w:semiHidden="0" w:name="Body Text 2"/>
    <w:lsdException w:qFormat="1" w:uiPriority="99" w:semiHidden="0" w:name="Body Text 3"/>
    <w:lsdException w:qFormat="1" w:unhideWhenUsed="0" w:uiPriority="99" w:semiHidden="0" w:name="Body Text Indent 2"/>
    <w:lsdException w:unhideWhenUsed="0" w:uiPriority="0" w:semiHidden="0" w:name="Body Text Indent 3"/>
    <w:lsdException w:qFormat="1" w:uiPriority="0" w:name="Block Text"/>
    <w:lsdException w:qFormat="1" w:unhideWhenUsed="0" w:uiPriority="99" w:semiHidden="0" w:name="Hyperlink"/>
    <w:lsdException w:qFormat="1" w:uiPriority="99" w:semiHidden="0" w:name="FollowedHyperlink"/>
    <w:lsdException w:unhideWhenUsed="0" w:uiPriority="0" w:semiHidden="0" w:name="Strong"/>
    <w:lsdException w:unhideWhenUsed="0" w:uiPriority="0" w:semiHidden="0" w:name="Emphasis"/>
    <w:lsdException w:qFormat="1" w:uiPriority="99" w:semiHidden="0"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0" w:name="HTML Cite"/>
    <w:lsdException w:uiPriority="99" w:name="HTML Code"/>
    <w:lsdException w:uiPriority="99" w:name="HTML Definition"/>
    <w:lsdException w:uiPriority="99" w:name="HTML Keyboard"/>
    <w:lsdException w:uiPriority="0"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qFormat="1" w:uiPriority="0"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99" w:semiHidden="0" w:name="Table Grid"/>
    <w:lsdException w:qFormat="1" w:unhideWhenUsed="0" w:uiPriority="0" w:semiHidden="0" w:name="Table Theme"/>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adjustRightInd w:val="0"/>
      <w:snapToGrid w:val="0"/>
      <w:spacing w:line="360" w:lineRule="auto"/>
      <w:ind w:firstLine="200" w:firstLineChars="200"/>
      <w:jc w:val="both"/>
    </w:pPr>
    <w:rPr>
      <w:rFonts w:ascii="Times New Roman" w:hAnsi="Times New Roman" w:eastAsia="宋体" w:cstheme="minorBidi"/>
      <w:kern w:val="2"/>
      <w:sz w:val="24"/>
      <w:szCs w:val="22"/>
      <w:lang w:val="en-US" w:eastAsia="zh-CN" w:bidi="ar-SA"/>
    </w:rPr>
  </w:style>
  <w:style w:type="paragraph" w:styleId="3">
    <w:name w:val="heading 1"/>
    <w:next w:val="1"/>
    <w:link w:val="51"/>
    <w:qFormat/>
    <w:uiPriority w:val="9"/>
    <w:pPr>
      <w:keepNext/>
      <w:keepLines/>
      <w:numPr>
        <w:ilvl w:val="0"/>
        <w:numId w:val="1"/>
      </w:numPr>
      <w:adjustRightInd w:val="0"/>
      <w:snapToGrid w:val="0"/>
      <w:spacing w:before="340" w:after="330" w:line="360" w:lineRule="auto"/>
      <w:jc w:val="center"/>
      <w:outlineLvl w:val="0"/>
    </w:pPr>
    <w:rPr>
      <w:rFonts w:ascii="Times New Roman" w:hAnsi="Times New Roman" w:eastAsia="黑体" w:cs="Times New Roman"/>
      <w:bCs/>
      <w:kern w:val="44"/>
      <w:sz w:val="32"/>
      <w:szCs w:val="44"/>
      <w:lang w:val="en-US" w:eastAsia="en-US" w:bidi="ar-SA"/>
    </w:rPr>
  </w:style>
  <w:style w:type="paragraph" w:styleId="4">
    <w:name w:val="heading 2"/>
    <w:next w:val="1"/>
    <w:link w:val="50"/>
    <w:unhideWhenUsed/>
    <w:qFormat/>
    <w:uiPriority w:val="9"/>
    <w:pPr>
      <w:keepNext/>
      <w:keepLines/>
      <w:numPr>
        <w:ilvl w:val="1"/>
        <w:numId w:val="1"/>
      </w:numPr>
      <w:adjustRightInd w:val="0"/>
      <w:snapToGrid w:val="0"/>
      <w:spacing w:before="50" w:beforeLines="50" w:line="360" w:lineRule="auto"/>
      <w:outlineLvl w:val="1"/>
    </w:pPr>
    <w:rPr>
      <w:rFonts w:ascii="Times New Roman" w:hAnsi="Times New Roman" w:eastAsia="黑体" w:cs="Times New Roman"/>
      <w:bCs/>
      <w:sz w:val="28"/>
      <w:szCs w:val="32"/>
      <w:lang w:val="en-US" w:eastAsia="en-US" w:bidi="ar-SA"/>
    </w:rPr>
  </w:style>
  <w:style w:type="paragraph" w:styleId="5">
    <w:name w:val="heading 3"/>
    <w:basedOn w:val="1"/>
    <w:next w:val="1"/>
    <w:link w:val="52"/>
    <w:unhideWhenUsed/>
    <w:qFormat/>
    <w:uiPriority w:val="9"/>
    <w:pPr>
      <w:keepNext/>
      <w:keepLines/>
      <w:numPr>
        <w:ilvl w:val="2"/>
        <w:numId w:val="1"/>
      </w:numPr>
      <w:spacing w:before="50" w:beforeLines="50"/>
      <w:outlineLvl w:val="2"/>
    </w:pPr>
    <w:rPr>
      <w:rFonts w:eastAsia="黑体" w:cs="Times New Roman"/>
      <w:bCs/>
      <w:szCs w:val="32"/>
      <w:lang w:eastAsia="en-US"/>
    </w:rPr>
  </w:style>
  <w:style w:type="paragraph" w:styleId="6">
    <w:name w:val="heading 4"/>
    <w:basedOn w:val="1"/>
    <w:next w:val="1"/>
    <w:link w:val="53"/>
    <w:qFormat/>
    <w:uiPriority w:val="0"/>
    <w:pPr>
      <w:keepNext/>
      <w:keepLines/>
      <w:numPr>
        <w:ilvl w:val="3"/>
        <w:numId w:val="1"/>
      </w:numPr>
      <w:spacing w:before="50" w:beforeLines="50"/>
      <w:ind w:firstLineChars="0"/>
      <w:outlineLvl w:val="3"/>
    </w:pPr>
    <w:rPr>
      <w:rFonts w:eastAsia="黑体" w:cs="Times New Roman"/>
      <w:bCs/>
      <w:szCs w:val="24"/>
    </w:rPr>
  </w:style>
  <w:style w:type="paragraph" w:styleId="7">
    <w:name w:val="heading 5"/>
    <w:basedOn w:val="1"/>
    <w:next w:val="1"/>
    <w:link w:val="54"/>
    <w:unhideWhenUsed/>
    <w:qFormat/>
    <w:uiPriority w:val="9"/>
    <w:pPr>
      <w:keepNext/>
      <w:keepLines/>
      <w:widowControl/>
      <w:spacing w:before="280" w:after="290" w:line="376" w:lineRule="auto"/>
      <w:jc w:val="left"/>
      <w:outlineLvl w:val="4"/>
    </w:pPr>
    <w:rPr>
      <w:rFonts w:ascii="Calibri" w:hAnsi="Calibri" w:cs="Times New Roman"/>
      <w:b/>
      <w:bCs/>
      <w:kern w:val="0"/>
      <w:sz w:val="28"/>
      <w:szCs w:val="28"/>
      <w:lang w:eastAsia="en-US"/>
    </w:rPr>
  </w:style>
  <w:style w:type="paragraph" w:styleId="8">
    <w:name w:val="heading 6"/>
    <w:basedOn w:val="1"/>
    <w:next w:val="1"/>
    <w:link w:val="55"/>
    <w:qFormat/>
    <w:uiPriority w:val="0"/>
    <w:pPr>
      <w:ind w:left="740"/>
      <w:outlineLvl w:val="5"/>
    </w:pPr>
    <w:rPr>
      <w:rFonts w:ascii="宋体" w:hAnsi="宋体" w:cs="宋体"/>
      <w:b/>
      <w:bCs/>
      <w:szCs w:val="24"/>
      <w:lang w:val="zh-CN" w:bidi="zh-CN"/>
    </w:rPr>
  </w:style>
  <w:style w:type="paragraph" w:styleId="9">
    <w:name w:val="heading 7"/>
    <w:basedOn w:val="1"/>
    <w:next w:val="1"/>
    <w:link w:val="119"/>
    <w:qFormat/>
    <w:uiPriority w:val="0"/>
    <w:pPr>
      <w:keepNext/>
      <w:keepLines/>
      <w:spacing w:before="240" w:after="64" w:line="319" w:lineRule="auto"/>
      <w:outlineLvl w:val="6"/>
    </w:pPr>
    <w:rPr>
      <w:rFonts w:cs="Times New Roman"/>
      <w:b/>
      <w:bCs/>
      <w:szCs w:val="24"/>
    </w:rPr>
  </w:style>
  <w:style w:type="paragraph" w:styleId="10">
    <w:name w:val="heading 8"/>
    <w:basedOn w:val="1"/>
    <w:next w:val="1"/>
    <w:link w:val="222"/>
    <w:qFormat/>
    <w:uiPriority w:val="0"/>
    <w:pPr>
      <w:keepNext/>
      <w:keepLines/>
      <w:tabs>
        <w:tab w:val="left" w:pos="1440"/>
      </w:tabs>
      <w:spacing w:before="240" w:after="64" w:line="320" w:lineRule="auto"/>
      <w:ind w:left="1440" w:hanging="1440"/>
      <w:outlineLvl w:val="7"/>
    </w:pPr>
    <w:rPr>
      <w:rFonts w:ascii="Arial" w:hAnsi="Arial" w:eastAsia="黑体" w:cs="Arial"/>
      <w:snapToGrid w:val="0"/>
      <w:kern w:val="0"/>
      <w:szCs w:val="24"/>
    </w:rPr>
  </w:style>
  <w:style w:type="paragraph" w:styleId="11">
    <w:name w:val="heading 9"/>
    <w:basedOn w:val="1"/>
    <w:next w:val="1"/>
    <w:link w:val="223"/>
    <w:qFormat/>
    <w:uiPriority w:val="0"/>
    <w:pPr>
      <w:keepNext/>
      <w:keepLines/>
      <w:tabs>
        <w:tab w:val="left" w:pos="1584"/>
      </w:tabs>
      <w:spacing w:before="240" w:after="64" w:line="320" w:lineRule="auto"/>
      <w:ind w:left="1584" w:hanging="1584"/>
      <w:outlineLvl w:val="8"/>
    </w:pPr>
    <w:rPr>
      <w:rFonts w:ascii="Arial" w:hAnsi="Arial" w:eastAsia="黑体" w:cs="Arial"/>
      <w:snapToGrid w:val="0"/>
      <w:kern w:val="0"/>
      <w:sz w:val="21"/>
      <w:szCs w:val="21"/>
    </w:rPr>
  </w:style>
  <w:style w:type="character" w:default="1" w:styleId="44">
    <w:name w:val="Default Paragraph Font"/>
    <w:semiHidden/>
    <w:unhideWhenUsed/>
    <w:qFormat/>
    <w:uiPriority w:val="1"/>
  </w:style>
  <w:style w:type="table" w:default="1" w:styleId="41">
    <w:name w:val="Normal Table"/>
    <w:semiHidden/>
    <w:unhideWhenUsed/>
    <w:qFormat/>
    <w:uiPriority w:val="99"/>
    <w:tblPr>
      <w:tblCellMar>
        <w:top w:w="0" w:type="dxa"/>
        <w:left w:w="108" w:type="dxa"/>
        <w:bottom w:w="0" w:type="dxa"/>
        <w:right w:w="108" w:type="dxa"/>
      </w:tblCellMar>
    </w:tblPr>
  </w:style>
  <w:style w:type="paragraph" w:styleId="2">
    <w:name w:val="No Spacing"/>
    <w:basedOn w:val="1"/>
    <w:link w:val="384"/>
    <w:qFormat/>
    <w:uiPriority w:val="1"/>
    <w:pPr>
      <w:widowControl w:val="0"/>
      <w:jc w:val="center"/>
    </w:pPr>
    <w:rPr>
      <w:rFonts w:ascii="Times New Roman" w:hAnsi="Times New Roman" w:eastAsia="宋体" w:cs="Times New Roman"/>
      <w:sz w:val="24"/>
      <w:szCs w:val="22"/>
      <w:lang w:val="en-US" w:eastAsia="zh-CN" w:bidi="ar-SA"/>
    </w:rPr>
  </w:style>
  <w:style w:type="paragraph" w:styleId="12">
    <w:name w:val="Note Heading"/>
    <w:basedOn w:val="1"/>
    <w:next w:val="1"/>
    <w:link w:val="225"/>
    <w:semiHidden/>
    <w:qFormat/>
    <w:uiPriority w:val="99"/>
    <w:pPr>
      <w:spacing w:line="240" w:lineRule="auto"/>
      <w:ind w:firstLine="0"/>
      <w:jc w:val="center"/>
    </w:pPr>
    <w:rPr>
      <w:rFonts w:ascii="仿宋_GB2312" w:hAnsi="仿宋_GB2312" w:cs="Times New Roman"/>
      <w:kern w:val="0"/>
      <w:sz w:val="20"/>
      <w:szCs w:val="20"/>
    </w:rPr>
  </w:style>
  <w:style w:type="paragraph" w:styleId="13">
    <w:name w:val="Normal Indent"/>
    <w:basedOn w:val="1"/>
    <w:link w:val="214"/>
    <w:qFormat/>
    <w:uiPriority w:val="0"/>
    <w:pPr>
      <w:widowControl/>
      <w:snapToGrid/>
      <w:spacing w:line="300" w:lineRule="auto"/>
      <w:ind w:firstLine="0" w:firstLineChars="0"/>
      <w:jc w:val="left"/>
    </w:pPr>
    <w:rPr>
      <w:rFonts w:ascii="宋体" w:hAnsi="Calibri" w:cs="Times New Roman"/>
      <w:sz w:val="28"/>
    </w:rPr>
  </w:style>
  <w:style w:type="paragraph" w:styleId="14">
    <w:name w:val="caption"/>
    <w:basedOn w:val="1"/>
    <w:next w:val="1"/>
    <w:link w:val="56"/>
    <w:qFormat/>
    <w:uiPriority w:val="0"/>
    <w:pPr>
      <w:keepNext/>
      <w:spacing w:before="120" w:beforeLines="50" w:line="240" w:lineRule="auto"/>
      <w:ind w:firstLine="0" w:firstLineChars="0"/>
      <w:jc w:val="center"/>
    </w:pPr>
    <w:rPr>
      <w:rFonts w:eastAsia="黑体" w:cs="Times New Roman"/>
      <w:sz w:val="22"/>
      <w:szCs w:val="24"/>
    </w:rPr>
  </w:style>
  <w:style w:type="paragraph" w:styleId="15">
    <w:name w:val="Document Map"/>
    <w:basedOn w:val="1"/>
    <w:link w:val="226"/>
    <w:unhideWhenUsed/>
    <w:qFormat/>
    <w:uiPriority w:val="99"/>
    <w:rPr>
      <w:rFonts w:ascii="宋体" w:cs="Times New Roman"/>
      <w:kern w:val="0"/>
      <w:sz w:val="18"/>
      <w:szCs w:val="18"/>
    </w:rPr>
  </w:style>
  <w:style w:type="paragraph" w:styleId="16">
    <w:name w:val="toa heading"/>
    <w:basedOn w:val="1"/>
    <w:next w:val="1"/>
    <w:qFormat/>
    <w:uiPriority w:val="99"/>
    <w:pPr>
      <w:adjustRightInd/>
      <w:snapToGrid/>
      <w:spacing w:before="120"/>
      <w:jc w:val="left"/>
    </w:pPr>
    <w:rPr>
      <w:rFonts w:ascii="Arial" w:hAnsi="Arial" w:cs="Arial"/>
      <w:szCs w:val="24"/>
    </w:rPr>
  </w:style>
  <w:style w:type="paragraph" w:styleId="17">
    <w:name w:val="annotation text"/>
    <w:basedOn w:val="1"/>
    <w:link w:val="57"/>
    <w:unhideWhenUsed/>
    <w:qFormat/>
    <w:uiPriority w:val="0"/>
    <w:pPr>
      <w:widowControl/>
      <w:jc w:val="left"/>
    </w:pPr>
    <w:rPr>
      <w:rFonts w:ascii="Calibri" w:hAnsi="Calibri" w:cs="Times New Roman"/>
      <w:kern w:val="0"/>
      <w:sz w:val="22"/>
      <w:lang w:eastAsia="en-US"/>
    </w:rPr>
  </w:style>
  <w:style w:type="paragraph" w:styleId="18">
    <w:name w:val="Body Text 3"/>
    <w:basedOn w:val="1"/>
    <w:link w:val="227"/>
    <w:unhideWhenUsed/>
    <w:qFormat/>
    <w:uiPriority w:val="99"/>
    <w:pPr>
      <w:spacing w:after="120"/>
    </w:pPr>
    <w:rPr>
      <w:rFonts w:cs="Times New Roman"/>
      <w:kern w:val="0"/>
      <w:sz w:val="16"/>
      <w:szCs w:val="16"/>
    </w:rPr>
  </w:style>
  <w:style w:type="paragraph" w:styleId="19">
    <w:name w:val="Body Text"/>
    <w:basedOn w:val="1"/>
    <w:next w:val="1"/>
    <w:link w:val="201"/>
    <w:qFormat/>
    <w:uiPriority w:val="0"/>
    <w:pPr>
      <w:widowControl/>
      <w:adjustRightInd/>
      <w:snapToGrid/>
      <w:spacing w:before="35" w:line="240" w:lineRule="auto"/>
      <w:ind w:left="138" w:firstLine="0" w:firstLineChars="0"/>
      <w:jc w:val="left"/>
    </w:pPr>
    <w:rPr>
      <w:rFonts w:ascii="宋体" w:hAnsi="宋体" w:cs="Times New Roman"/>
      <w:kern w:val="0"/>
      <w:szCs w:val="24"/>
      <w:lang w:eastAsia="en-US"/>
    </w:rPr>
  </w:style>
  <w:style w:type="paragraph" w:styleId="20">
    <w:name w:val="Body Text Indent"/>
    <w:basedOn w:val="1"/>
    <w:link w:val="228"/>
    <w:unhideWhenUsed/>
    <w:qFormat/>
    <w:uiPriority w:val="99"/>
    <w:pPr>
      <w:spacing w:after="120"/>
      <w:ind w:left="420" w:leftChars="200"/>
    </w:pPr>
    <w:rPr>
      <w:rFonts w:cs="Times New Roman"/>
      <w:kern w:val="0"/>
      <w:szCs w:val="24"/>
    </w:rPr>
  </w:style>
  <w:style w:type="paragraph" w:styleId="21">
    <w:name w:val="toc 3"/>
    <w:basedOn w:val="1"/>
    <w:next w:val="1"/>
    <w:unhideWhenUsed/>
    <w:qFormat/>
    <w:uiPriority w:val="39"/>
    <w:pPr>
      <w:widowControl/>
      <w:ind w:left="840" w:leftChars="400"/>
      <w:jc w:val="left"/>
    </w:pPr>
    <w:rPr>
      <w:rFonts w:cs="Times New Roman"/>
      <w:kern w:val="0"/>
      <w:szCs w:val="24"/>
    </w:rPr>
  </w:style>
  <w:style w:type="paragraph" w:styleId="22">
    <w:name w:val="Plain Text"/>
    <w:basedOn w:val="1"/>
    <w:link w:val="206"/>
    <w:qFormat/>
    <w:uiPriority w:val="0"/>
    <w:pPr>
      <w:snapToGrid/>
      <w:spacing w:line="315" w:lineRule="atLeast"/>
      <w:ind w:firstLine="0" w:firstLineChars="0"/>
      <w:jc w:val="left"/>
      <w:textAlignment w:val="baseline"/>
    </w:pPr>
    <w:rPr>
      <w:rFonts w:ascii="宋体" w:hAnsi="Courier New" w:eastAsia="Calibri" w:cs="Times New Roman"/>
      <w:kern w:val="0"/>
      <w:szCs w:val="20"/>
    </w:rPr>
  </w:style>
  <w:style w:type="paragraph" w:styleId="23">
    <w:name w:val="Date"/>
    <w:basedOn w:val="1"/>
    <w:next w:val="1"/>
    <w:link w:val="231"/>
    <w:semiHidden/>
    <w:qFormat/>
    <w:uiPriority w:val="99"/>
    <w:pPr>
      <w:ind w:left="100" w:leftChars="2500"/>
    </w:pPr>
    <w:rPr>
      <w:rFonts w:cs="Times New Roman"/>
      <w:kern w:val="0"/>
      <w:szCs w:val="24"/>
    </w:rPr>
  </w:style>
  <w:style w:type="paragraph" w:styleId="24">
    <w:name w:val="Body Text Indent 2"/>
    <w:basedOn w:val="1"/>
    <w:link w:val="204"/>
    <w:qFormat/>
    <w:uiPriority w:val="99"/>
    <w:pPr>
      <w:spacing w:after="120" w:line="480" w:lineRule="auto"/>
      <w:ind w:left="420" w:leftChars="200"/>
    </w:pPr>
  </w:style>
  <w:style w:type="paragraph" w:styleId="25">
    <w:name w:val="Balloon Text"/>
    <w:basedOn w:val="1"/>
    <w:link w:val="58"/>
    <w:unhideWhenUsed/>
    <w:qFormat/>
    <w:uiPriority w:val="99"/>
    <w:pPr>
      <w:widowControl/>
      <w:jc w:val="left"/>
    </w:pPr>
    <w:rPr>
      <w:rFonts w:ascii="Calibri" w:hAnsi="Calibri" w:cs="Times New Roman"/>
      <w:kern w:val="0"/>
      <w:sz w:val="18"/>
      <w:szCs w:val="18"/>
      <w:lang w:eastAsia="en-US"/>
    </w:rPr>
  </w:style>
  <w:style w:type="paragraph" w:styleId="26">
    <w:name w:val="footer"/>
    <w:basedOn w:val="1"/>
    <w:link w:val="369"/>
    <w:unhideWhenUsed/>
    <w:qFormat/>
    <w:uiPriority w:val="99"/>
    <w:pPr>
      <w:tabs>
        <w:tab w:val="center" w:pos="4153"/>
        <w:tab w:val="right" w:pos="8306"/>
      </w:tabs>
      <w:spacing w:line="240" w:lineRule="auto"/>
      <w:jc w:val="left"/>
    </w:pPr>
    <w:rPr>
      <w:sz w:val="18"/>
      <w:szCs w:val="18"/>
    </w:rPr>
  </w:style>
  <w:style w:type="paragraph" w:styleId="27">
    <w:name w:val="header"/>
    <w:basedOn w:val="1"/>
    <w:link w:val="370"/>
    <w:unhideWhenUsed/>
    <w:qFormat/>
    <w:uiPriority w:val="0"/>
    <w:pPr>
      <w:tabs>
        <w:tab w:val="center" w:pos="4153"/>
        <w:tab w:val="right" w:pos="8306"/>
      </w:tabs>
      <w:spacing w:line="240" w:lineRule="auto"/>
      <w:jc w:val="center"/>
    </w:pPr>
    <w:rPr>
      <w:sz w:val="18"/>
      <w:szCs w:val="18"/>
    </w:rPr>
  </w:style>
  <w:style w:type="paragraph" w:styleId="28">
    <w:name w:val="toc 1"/>
    <w:basedOn w:val="1"/>
    <w:next w:val="1"/>
    <w:unhideWhenUsed/>
    <w:qFormat/>
    <w:uiPriority w:val="39"/>
    <w:pPr>
      <w:widowControl/>
      <w:jc w:val="left"/>
    </w:pPr>
    <w:rPr>
      <w:rFonts w:cs="Times New Roman"/>
      <w:kern w:val="0"/>
      <w:szCs w:val="24"/>
    </w:rPr>
  </w:style>
  <w:style w:type="paragraph" w:styleId="29">
    <w:name w:val="List Number 5"/>
    <w:basedOn w:val="1"/>
    <w:qFormat/>
    <w:uiPriority w:val="0"/>
    <w:pPr>
      <w:numPr>
        <w:ilvl w:val="0"/>
        <w:numId w:val="2"/>
      </w:numPr>
      <w:tabs>
        <w:tab w:val="left" w:pos="2040"/>
      </w:tabs>
    </w:pPr>
    <w:rPr>
      <w:rFonts w:cs="Times New Roman"/>
      <w:szCs w:val="24"/>
    </w:rPr>
  </w:style>
  <w:style w:type="paragraph" w:styleId="30">
    <w:name w:val="List"/>
    <w:basedOn w:val="1"/>
    <w:unhideWhenUsed/>
    <w:qFormat/>
    <w:uiPriority w:val="99"/>
    <w:pPr>
      <w:ind w:left="200" w:hanging="200" w:hangingChars="200"/>
      <w:contextualSpacing/>
    </w:pPr>
    <w:rPr>
      <w:rFonts w:cs="Times New Roman"/>
      <w:snapToGrid w:val="0"/>
      <w:kern w:val="0"/>
      <w:szCs w:val="24"/>
    </w:rPr>
  </w:style>
  <w:style w:type="paragraph" w:styleId="31">
    <w:name w:val="footnote text"/>
    <w:basedOn w:val="1"/>
    <w:link w:val="235"/>
    <w:semiHidden/>
    <w:unhideWhenUsed/>
    <w:qFormat/>
    <w:uiPriority w:val="99"/>
    <w:pPr>
      <w:widowControl/>
      <w:jc w:val="left"/>
    </w:pPr>
    <w:rPr>
      <w:rFonts w:cs="Times New Roman"/>
      <w:kern w:val="0"/>
      <w:sz w:val="18"/>
      <w:szCs w:val="18"/>
    </w:rPr>
  </w:style>
  <w:style w:type="paragraph" w:styleId="32">
    <w:name w:val="List 5"/>
    <w:basedOn w:val="1"/>
    <w:semiHidden/>
    <w:unhideWhenUsed/>
    <w:qFormat/>
    <w:uiPriority w:val="99"/>
    <w:pPr>
      <w:ind w:left="100" w:leftChars="800" w:hanging="200" w:hangingChars="200"/>
      <w:contextualSpacing/>
    </w:pPr>
  </w:style>
  <w:style w:type="paragraph" w:styleId="33">
    <w:name w:val="table of figures"/>
    <w:basedOn w:val="1"/>
    <w:next w:val="1"/>
    <w:qFormat/>
    <w:uiPriority w:val="0"/>
    <w:pPr>
      <w:ind w:left="420" w:hanging="420"/>
      <w:jc w:val="left"/>
    </w:pPr>
    <w:rPr>
      <w:rFonts w:cs="Times New Roman"/>
      <w:smallCaps/>
      <w:sz w:val="20"/>
      <w:szCs w:val="20"/>
    </w:rPr>
  </w:style>
  <w:style w:type="paragraph" w:styleId="34">
    <w:name w:val="toc 2"/>
    <w:basedOn w:val="1"/>
    <w:next w:val="1"/>
    <w:unhideWhenUsed/>
    <w:qFormat/>
    <w:uiPriority w:val="39"/>
    <w:pPr>
      <w:widowControl/>
      <w:ind w:left="420" w:leftChars="200"/>
      <w:jc w:val="left"/>
    </w:pPr>
    <w:rPr>
      <w:rFonts w:cs="Times New Roman"/>
      <w:kern w:val="0"/>
      <w:szCs w:val="24"/>
    </w:rPr>
  </w:style>
  <w:style w:type="paragraph" w:styleId="35">
    <w:name w:val="Normal (Web)"/>
    <w:basedOn w:val="1"/>
    <w:link w:val="216"/>
    <w:qFormat/>
    <w:uiPriority w:val="0"/>
    <w:pPr>
      <w:widowControl/>
      <w:adjustRightInd/>
      <w:snapToGrid/>
      <w:spacing w:before="100" w:beforeAutospacing="1" w:after="100" w:afterAutospacing="1" w:line="240" w:lineRule="auto"/>
      <w:ind w:firstLine="0" w:firstLineChars="0"/>
      <w:jc w:val="left"/>
    </w:pPr>
    <w:rPr>
      <w:rFonts w:ascii="宋体" w:hAnsi="宋体" w:cs="Times New Roman"/>
      <w:kern w:val="0"/>
      <w:szCs w:val="24"/>
    </w:rPr>
  </w:style>
  <w:style w:type="paragraph" w:styleId="36">
    <w:name w:val="index 1"/>
    <w:basedOn w:val="1"/>
    <w:next w:val="1"/>
    <w:qFormat/>
    <w:uiPriority w:val="0"/>
    <w:pPr>
      <w:jc w:val="center"/>
    </w:pPr>
    <w:rPr>
      <w:rFonts w:cs="Times New Roman"/>
      <w:szCs w:val="24"/>
    </w:rPr>
  </w:style>
  <w:style w:type="paragraph" w:styleId="37">
    <w:name w:val="Title"/>
    <w:basedOn w:val="1"/>
    <w:link w:val="104"/>
    <w:qFormat/>
    <w:uiPriority w:val="10"/>
    <w:pPr>
      <w:spacing w:before="240" w:after="60" w:line="312" w:lineRule="atLeast"/>
      <w:jc w:val="center"/>
      <w:textAlignment w:val="baseline"/>
      <w:outlineLvl w:val="0"/>
    </w:pPr>
    <w:rPr>
      <w:rFonts w:ascii="Arial" w:hAnsi="Arial" w:cs="Times New Roman"/>
      <w:b/>
      <w:kern w:val="0"/>
      <w:sz w:val="32"/>
      <w:szCs w:val="20"/>
    </w:rPr>
  </w:style>
  <w:style w:type="paragraph" w:styleId="38">
    <w:name w:val="annotation subject"/>
    <w:basedOn w:val="17"/>
    <w:next w:val="17"/>
    <w:link w:val="59"/>
    <w:unhideWhenUsed/>
    <w:qFormat/>
    <w:uiPriority w:val="99"/>
    <w:rPr>
      <w:b/>
      <w:bCs/>
    </w:rPr>
  </w:style>
  <w:style w:type="paragraph" w:styleId="39">
    <w:name w:val="Body Text First Indent"/>
    <w:basedOn w:val="19"/>
    <w:link w:val="208"/>
    <w:semiHidden/>
    <w:unhideWhenUsed/>
    <w:qFormat/>
    <w:uiPriority w:val="0"/>
    <w:pPr>
      <w:widowControl w:val="0"/>
      <w:adjustRightInd w:val="0"/>
      <w:snapToGrid w:val="0"/>
      <w:spacing w:before="0" w:after="120" w:line="360" w:lineRule="auto"/>
      <w:ind w:left="0" w:firstLine="420" w:firstLineChars="100"/>
      <w:jc w:val="both"/>
    </w:pPr>
    <w:rPr>
      <w:rFonts w:ascii="Times New Roman" w:hAnsi="Times New Roman" w:cstheme="minorBidi"/>
      <w:kern w:val="2"/>
      <w:szCs w:val="22"/>
      <w:lang w:eastAsia="zh-CN"/>
    </w:rPr>
  </w:style>
  <w:style w:type="paragraph" w:styleId="40">
    <w:name w:val="Body Text First Indent 2"/>
    <w:basedOn w:val="20"/>
    <w:link w:val="239"/>
    <w:qFormat/>
    <w:uiPriority w:val="99"/>
    <w:pPr>
      <w:ind w:firstLine="420"/>
    </w:pPr>
    <w:rPr>
      <w:szCs w:val="22"/>
    </w:rPr>
  </w:style>
  <w:style w:type="table" w:styleId="42">
    <w:name w:val="Table Grid"/>
    <w:basedOn w:val="41"/>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43">
    <w:name w:val="Table Theme"/>
    <w:basedOn w:val="4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5">
    <w:name w:val="page number"/>
    <w:basedOn w:val="44"/>
    <w:qFormat/>
    <w:uiPriority w:val="99"/>
  </w:style>
  <w:style w:type="character" w:styleId="46">
    <w:name w:val="FollowedHyperlink"/>
    <w:basedOn w:val="44"/>
    <w:unhideWhenUsed/>
    <w:qFormat/>
    <w:uiPriority w:val="99"/>
    <w:rPr>
      <w:color w:val="954F72"/>
      <w:u w:val="single"/>
    </w:rPr>
  </w:style>
  <w:style w:type="character" w:styleId="47">
    <w:name w:val="Hyperlink"/>
    <w:basedOn w:val="44"/>
    <w:qFormat/>
    <w:uiPriority w:val="99"/>
    <w:rPr>
      <w:color w:val="0563C1"/>
      <w:u w:val="single"/>
    </w:rPr>
  </w:style>
  <w:style w:type="character" w:styleId="48">
    <w:name w:val="annotation reference"/>
    <w:unhideWhenUsed/>
    <w:qFormat/>
    <w:uiPriority w:val="99"/>
    <w:rPr>
      <w:sz w:val="21"/>
      <w:szCs w:val="21"/>
    </w:rPr>
  </w:style>
  <w:style w:type="character" w:styleId="49">
    <w:name w:val="footnote reference"/>
    <w:basedOn w:val="44"/>
    <w:semiHidden/>
    <w:unhideWhenUsed/>
    <w:qFormat/>
    <w:uiPriority w:val="99"/>
    <w:rPr>
      <w:vertAlign w:val="superscript"/>
    </w:rPr>
  </w:style>
  <w:style w:type="character" w:customStyle="1" w:styleId="50">
    <w:name w:val="标题 2 字符"/>
    <w:link w:val="4"/>
    <w:qFormat/>
    <w:uiPriority w:val="0"/>
    <w:rPr>
      <w:rFonts w:eastAsia="黑体"/>
      <w:bCs/>
      <w:sz w:val="28"/>
      <w:szCs w:val="32"/>
      <w:lang w:eastAsia="en-US"/>
    </w:rPr>
  </w:style>
  <w:style w:type="character" w:customStyle="1" w:styleId="51">
    <w:name w:val="标题 1 字符"/>
    <w:link w:val="3"/>
    <w:qFormat/>
    <w:uiPriority w:val="0"/>
    <w:rPr>
      <w:rFonts w:eastAsia="黑体"/>
      <w:bCs/>
      <w:kern w:val="44"/>
      <w:sz w:val="32"/>
      <w:szCs w:val="44"/>
      <w:lang w:eastAsia="en-US"/>
    </w:rPr>
  </w:style>
  <w:style w:type="character" w:customStyle="1" w:styleId="52">
    <w:name w:val="标题 3 字符"/>
    <w:link w:val="5"/>
    <w:qFormat/>
    <w:uiPriority w:val="9"/>
    <w:rPr>
      <w:rFonts w:eastAsia="黑体"/>
      <w:bCs/>
      <w:sz w:val="24"/>
      <w:szCs w:val="32"/>
      <w:lang w:eastAsia="en-US"/>
    </w:rPr>
  </w:style>
  <w:style w:type="character" w:customStyle="1" w:styleId="53">
    <w:name w:val="标题 4 字符"/>
    <w:basedOn w:val="44"/>
    <w:link w:val="6"/>
    <w:qFormat/>
    <w:uiPriority w:val="0"/>
    <w:rPr>
      <w:rFonts w:eastAsia="黑体"/>
      <w:bCs/>
      <w:kern w:val="2"/>
      <w:sz w:val="24"/>
      <w:szCs w:val="24"/>
    </w:rPr>
  </w:style>
  <w:style w:type="character" w:customStyle="1" w:styleId="54">
    <w:name w:val="标题 5 字符"/>
    <w:basedOn w:val="44"/>
    <w:link w:val="7"/>
    <w:qFormat/>
    <w:uiPriority w:val="9"/>
    <w:rPr>
      <w:b/>
      <w:bCs/>
      <w:sz w:val="28"/>
      <w:szCs w:val="28"/>
      <w:lang w:eastAsia="en-US"/>
    </w:rPr>
  </w:style>
  <w:style w:type="character" w:customStyle="1" w:styleId="55">
    <w:name w:val="标题 6 字符"/>
    <w:basedOn w:val="44"/>
    <w:link w:val="8"/>
    <w:qFormat/>
    <w:uiPriority w:val="0"/>
    <w:rPr>
      <w:rFonts w:ascii="宋体" w:hAnsi="宋体" w:cs="宋体"/>
      <w:b/>
      <w:bCs/>
      <w:kern w:val="2"/>
      <w:sz w:val="24"/>
      <w:szCs w:val="24"/>
      <w:lang w:val="zh-CN" w:bidi="zh-CN"/>
    </w:rPr>
  </w:style>
  <w:style w:type="character" w:customStyle="1" w:styleId="56">
    <w:name w:val="题注 字符"/>
    <w:link w:val="14"/>
    <w:qFormat/>
    <w:uiPriority w:val="0"/>
    <w:rPr>
      <w:rFonts w:eastAsia="黑体"/>
      <w:kern w:val="2"/>
      <w:sz w:val="22"/>
      <w:szCs w:val="24"/>
    </w:rPr>
  </w:style>
  <w:style w:type="character" w:customStyle="1" w:styleId="57">
    <w:name w:val="批注文字 字符"/>
    <w:basedOn w:val="44"/>
    <w:link w:val="17"/>
    <w:qFormat/>
    <w:uiPriority w:val="0"/>
  </w:style>
  <w:style w:type="character" w:customStyle="1" w:styleId="58">
    <w:name w:val="批注框文本 字符"/>
    <w:link w:val="25"/>
    <w:qFormat/>
    <w:uiPriority w:val="99"/>
    <w:rPr>
      <w:sz w:val="18"/>
      <w:szCs w:val="18"/>
    </w:rPr>
  </w:style>
  <w:style w:type="character" w:customStyle="1" w:styleId="59">
    <w:name w:val="批注主题 字符"/>
    <w:link w:val="38"/>
    <w:qFormat/>
    <w:uiPriority w:val="99"/>
    <w:rPr>
      <w:b/>
      <w:bCs/>
    </w:rPr>
  </w:style>
  <w:style w:type="paragraph" w:customStyle="1" w:styleId="60">
    <w:name w:val="图片居中"/>
    <w:link w:val="191"/>
    <w:qFormat/>
    <w:uiPriority w:val="0"/>
    <w:pPr>
      <w:adjustRightInd w:val="0"/>
      <w:snapToGrid w:val="0"/>
      <w:jc w:val="center"/>
    </w:pPr>
    <w:rPr>
      <w:rFonts w:ascii="Times New Roman" w:hAnsi="Times New Roman" w:eastAsia="Times New Roman" w:cs="Times New Roman"/>
      <w:sz w:val="29"/>
      <w:szCs w:val="29"/>
      <w:lang w:val="en-US" w:eastAsia="en-US" w:bidi="ar-SA"/>
    </w:rPr>
  </w:style>
  <w:style w:type="paragraph" w:customStyle="1" w:styleId="61">
    <w:name w:val="标题 21"/>
    <w:basedOn w:val="1"/>
    <w:qFormat/>
    <w:uiPriority w:val="1"/>
    <w:pPr>
      <w:widowControl/>
      <w:spacing w:before="13"/>
      <w:ind w:left="138"/>
      <w:jc w:val="left"/>
      <w:outlineLvl w:val="2"/>
    </w:pPr>
    <w:rPr>
      <w:rFonts w:ascii="黑体" w:hAnsi="黑体" w:eastAsia="黑体" w:cs="Times New Roman"/>
      <w:kern w:val="0"/>
      <w:sz w:val="28"/>
      <w:szCs w:val="28"/>
      <w:lang w:eastAsia="en-US"/>
    </w:rPr>
  </w:style>
  <w:style w:type="paragraph" w:customStyle="1" w:styleId="62">
    <w:name w:val="标题 31"/>
    <w:basedOn w:val="1"/>
    <w:qFormat/>
    <w:uiPriority w:val="1"/>
    <w:pPr>
      <w:widowControl/>
      <w:spacing w:before="134"/>
      <w:ind w:left="620"/>
      <w:jc w:val="left"/>
      <w:outlineLvl w:val="3"/>
    </w:pPr>
    <w:rPr>
      <w:rFonts w:ascii="宋体" w:hAnsi="宋体" w:cs="Times New Roman"/>
      <w:b/>
      <w:bCs/>
      <w:kern w:val="0"/>
      <w:szCs w:val="24"/>
      <w:lang w:eastAsia="en-US"/>
    </w:rPr>
  </w:style>
  <w:style w:type="character" w:customStyle="1" w:styleId="63">
    <w:name w:val="报告书正文 Char"/>
    <w:basedOn w:val="44"/>
    <w:link w:val="64"/>
    <w:qFormat/>
    <w:uiPriority w:val="0"/>
    <w:rPr>
      <w:kern w:val="2"/>
      <w:sz w:val="24"/>
    </w:rPr>
  </w:style>
  <w:style w:type="paragraph" w:customStyle="1" w:styleId="64">
    <w:name w:val="报告书正文"/>
    <w:basedOn w:val="1"/>
    <w:link w:val="63"/>
    <w:qFormat/>
    <w:uiPriority w:val="0"/>
    <w:pPr>
      <w:spacing w:line="300" w:lineRule="auto"/>
    </w:pPr>
    <w:rPr>
      <w:rFonts w:ascii="Calibri" w:hAnsi="Calibri" w:cs="Times New Roman"/>
      <w:szCs w:val="20"/>
    </w:rPr>
  </w:style>
  <w:style w:type="paragraph" w:customStyle="1" w:styleId="65">
    <w:name w:val="表ma"/>
    <w:basedOn w:val="1"/>
    <w:qFormat/>
    <w:uiPriority w:val="0"/>
    <w:pPr>
      <w:widowControl/>
    </w:pPr>
    <w:rPr>
      <w:rFonts w:cs="Times New Roman"/>
      <w:kern w:val="0"/>
      <w:szCs w:val="20"/>
    </w:rPr>
  </w:style>
  <w:style w:type="paragraph" w:customStyle="1" w:styleId="66">
    <w:name w:val="表文"/>
    <w:basedOn w:val="1"/>
    <w:link w:val="67"/>
    <w:qFormat/>
    <w:uiPriority w:val="0"/>
    <w:pPr>
      <w:spacing w:before="20"/>
      <w:jc w:val="center"/>
    </w:pPr>
    <w:rPr>
      <w:rFonts w:cs="Times New Roman"/>
      <w:bCs/>
      <w:sz w:val="18"/>
      <w:szCs w:val="24"/>
    </w:rPr>
  </w:style>
  <w:style w:type="character" w:customStyle="1" w:styleId="67">
    <w:name w:val="表文 Char"/>
    <w:link w:val="66"/>
    <w:qFormat/>
    <w:uiPriority w:val="0"/>
    <w:rPr>
      <w:rFonts w:ascii="Times New Roman" w:hAnsi="Times New Roman"/>
      <w:bCs/>
      <w:kern w:val="2"/>
      <w:sz w:val="18"/>
      <w:szCs w:val="24"/>
    </w:rPr>
  </w:style>
  <w:style w:type="paragraph" w:customStyle="1" w:styleId="68">
    <w:name w:val="表号"/>
    <w:basedOn w:val="1"/>
    <w:link w:val="138"/>
    <w:qFormat/>
    <w:uiPriority w:val="0"/>
    <w:pPr>
      <w:overflowPunct w:val="0"/>
      <w:ind w:firstLine="113"/>
      <w:outlineLvl w:val="6"/>
    </w:pPr>
    <w:rPr>
      <w:rFonts w:cs="Times New Roman"/>
      <w:szCs w:val="24"/>
    </w:rPr>
  </w:style>
  <w:style w:type="paragraph" w:customStyle="1" w:styleId="69">
    <w:name w:val="表名"/>
    <w:basedOn w:val="1"/>
    <w:qFormat/>
    <w:uiPriority w:val="0"/>
    <w:pPr>
      <w:spacing w:before="163"/>
      <w:jc w:val="center"/>
    </w:pPr>
    <w:rPr>
      <w:rFonts w:ascii="Arial" w:hAnsi="Arial" w:eastAsia="黑体" w:cs="Times New Roman"/>
      <w:szCs w:val="24"/>
    </w:rPr>
  </w:style>
  <w:style w:type="paragraph" w:customStyle="1" w:styleId="70">
    <w:name w:val="表左对齐"/>
    <w:basedOn w:val="65"/>
    <w:qFormat/>
    <w:uiPriority w:val="0"/>
    <w:pPr>
      <w:widowControl w:val="0"/>
      <w:jc w:val="left"/>
    </w:pPr>
    <w:rPr>
      <w:rFonts w:cs="宋体"/>
      <w:sz w:val="21"/>
    </w:rPr>
  </w:style>
  <w:style w:type="paragraph" w:customStyle="1" w:styleId="71">
    <w:name w:val="首行缩进:2 字符"/>
    <w:basedOn w:val="1"/>
    <w:qFormat/>
    <w:uiPriority w:val="0"/>
    <w:pPr>
      <w:ind w:firstLine="560"/>
    </w:pPr>
    <w:rPr>
      <w:rFonts w:cs="Times New Roman"/>
      <w:sz w:val="28"/>
      <w:szCs w:val="20"/>
    </w:rPr>
  </w:style>
  <w:style w:type="paragraph" w:customStyle="1" w:styleId="72">
    <w:name w:val="标题4"/>
    <w:basedOn w:val="6"/>
    <w:link w:val="267"/>
    <w:qFormat/>
    <w:uiPriority w:val="0"/>
  </w:style>
  <w:style w:type="table" w:customStyle="1" w:styleId="73">
    <w:name w:val="报告表格式新建"/>
    <w:basedOn w:val="41"/>
    <w:qFormat/>
    <w:uiPriority w:val="99"/>
    <w:pPr>
      <w:jc w:val="center"/>
    </w:pPr>
    <w:rPr>
      <w:sz w:val="18"/>
    </w:rPr>
    <w:tblPr>
      <w:tblBorders>
        <w:top w:val="single" w:color="auto" w:sz="12" w:space="0"/>
        <w:bottom w:val="single" w:color="auto" w:sz="12" w:space="0"/>
        <w:insideH w:val="single" w:color="auto" w:sz="8" w:space="0"/>
        <w:insideV w:val="single" w:color="auto" w:sz="8" w:space="0"/>
      </w:tblBorders>
    </w:tblPr>
    <w:tcPr>
      <w:vAlign w:val="center"/>
    </w:tcPr>
  </w:style>
  <w:style w:type="paragraph" w:customStyle="1" w:styleId="74">
    <w:name w:val="报告表格内容"/>
    <w:basedOn w:val="1"/>
    <w:next w:val="1"/>
    <w:qFormat/>
    <w:uiPriority w:val="0"/>
    <w:pPr>
      <w:autoSpaceDE w:val="0"/>
      <w:autoSpaceDN w:val="0"/>
      <w:jc w:val="center"/>
      <w:textAlignment w:val="bottom"/>
    </w:pPr>
    <w:rPr>
      <w:rFonts w:cs="Times New Roman"/>
      <w:kern w:val="0"/>
      <w:szCs w:val="20"/>
    </w:rPr>
  </w:style>
  <w:style w:type="paragraph" w:customStyle="1" w:styleId="75">
    <w:name w:val="表格样式"/>
    <w:basedOn w:val="1"/>
    <w:qFormat/>
    <w:uiPriority w:val="0"/>
    <w:pPr>
      <w:jc w:val="center"/>
      <w:textAlignment w:val="center"/>
    </w:pPr>
    <w:rPr>
      <w:rFonts w:cs="Times New Roman"/>
      <w:sz w:val="28"/>
      <w:szCs w:val="24"/>
    </w:rPr>
  </w:style>
  <w:style w:type="paragraph" w:customStyle="1" w:styleId="76">
    <w:name w:val="图标题11"/>
    <w:basedOn w:val="1"/>
    <w:next w:val="1"/>
    <w:link w:val="77"/>
    <w:qFormat/>
    <w:uiPriority w:val="99"/>
    <w:pPr>
      <w:ind w:firstLine="0" w:firstLineChars="0"/>
      <w:jc w:val="center"/>
    </w:pPr>
    <w:rPr>
      <w:rFonts w:eastAsia="黑体" w:cs="Times New Roman"/>
      <w:sz w:val="21"/>
      <w:szCs w:val="28"/>
    </w:rPr>
  </w:style>
  <w:style w:type="character" w:customStyle="1" w:styleId="77">
    <w:name w:val="图标题11 字符"/>
    <w:basedOn w:val="44"/>
    <w:link w:val="76"/>
    <w:qFormat/>
    <w:uiPriority w:val="99"/>
    <w:rPr>
      <w:rFonts w:eastAsia="黑体"/>
      <w:kern w:val="2"/>
      <w:sz w:val="21"/>
      <w:szCs w:val="28"/>
    </w:rPr>
  </w:style>
  <w:style w:type="paragraph" w:customStyle="1" w:styleId="78">
    <w:name w:val="表头"/>
    <w:basedOn w:val="1"/>
    <w:link w:val="79"/>
    <w:qFormat/>
    <w:uiPriority w:val="0"/>
    <w:pPr>
      <w:spacing w:before="50" w:beforeLines="50"/>
      <w:jc w:val="center"/>
    </w:pPr>
    <w:rPr>
      <w:rFonts w:cs="Times New Roman"/>
      <w:b/>
      <w:szCs w:val="21"/>
    </w:rPr>
  </w:style>
  <w:style w:type="character" w:customStyle="1" w:styleId="79">
    <w:name w:val="表头 Char Char"/>
    <w:link w:val="78"/>
    <w:qFormat/>
    <w:uiPriority w:val="0"/>
    <w:rPr>
      <w:rFonts w:ascii="Times New Roman" w:hAnsi="Times New Roman"/>
      <w:b/>
      <w:kern w:val="2"/>
      <w:sz w:val="21"/>
      <w:szCs w:val="21"/>
    </w:rPr>
  </w:style>
  <w:style w:type="paragraph" w:customStyle="1" w:styleId="80">
    <w:name w:val="表格内文字"/>
    <w:basedOn w:val="1"/>
    <w:qFormat/>
    <w:uiPriority w:val="0"/>
    <w:pPr>
      <w:jc w:val="center"/>
    </w:pPr>
    <w:rPr>
      <w:rFonts w:cs="Times New Roman"/>
      <w:szCs w:val="21"/>
    </w:rPr>
  </w:style>
  <w:style w:type="character" w:customStyle="1" w:styleId="81">
    <w:name w:val="报告正文（小四） Char Char"/>
    <w:link w:val="82"/>
    <w:qFormat/>
    <w:uiPriority w:val="0"/>
    <w:rPr>
      <w:rFonts w:ascii="宋体" w:hAnsi="宋体" w:cs="宋体"/>
      <w:kern w:val="2"/>
      <w:sz w:val="24"/>
      <w:szCs w:val="24"/>
    </w:rPr>
  </w:style>
  <w:style w:type="paragraph" w:customStyle="1" w:styleId="82">
    <w:name w:val="报告正文（小四）"/>
    <w:basedOn w:val="1"/>
    <w:link w:val="81"/>
    <w:qFormat/>
    <w:uiPriority w:val="0"/>
    <w:pPr>
      <w:ind w:firstLine="480"/>
    </w:pPr>
    <w:rPr>
      <w:rFonts w:ascii="宋体" w:hAnsi="宋体" w:cs="宋体"/>
      <w:szCs w:val="24"/>
    </w:rPr>
  </w:style>
  <w:style w:type="character" w:customStyle="1" w:styleId="83">
    <w:name w:val="报告表正文 Char"/>
    <w:link w:val="84"/>
    <w:qFormat/>
    <w:uiPriority w:val="0"/>
    <w:rPr>
      <w:sz w:val="24"/>
    </w:rPr>
  </w:style>
  <w:style w:type="paragraph" w:customStyle="1" w:styleId="84">
    <w:name w:val="报告表正文"/>
    <w:basedOn w:val="1"/>
    <w:link w:val="83"/>
    <w:qFormat/>
    <w:uiPriority w:val="0"/>
    <w:pPr>
      <w:spacing w:line="312" w:lineRule="auto"/>
      <w:ind w:left="113" w:right="113" w:firstLine="482"/>
      <w:jc w:val="left"/>
      <w:textAlignment w:val="baseline"/>
    </w:pPr>
    <w:rPr>
      <w:rFonts w:ascii="Calibri" w:hAnsi="Calibri" w:cs="Times New Roman"/>
      <w:kern w:val="0"/>
      <w:szCs w:val="20"/>
    </w:rPr>
  </w:style>
  <w:style w:type="character" w:customStyle="1" w:styleId="85">
    <w:name w:val="标题 2 Char"/>
    <w:qFormat/>
    <w:uiPriority w:val="0"/>
    <w:rPr>
      <w:rFonts w:ascii="宋体" w:hAnsi="宋体" w:eastAsia="宋体"/>
      <w:kern w:val="2"/>
      <w:sz w:val="28"/>
      <w:szCs w:val="24"/>
      <w:lang w:val="en-US" w:eastAsia="zh-CN" w:bidi="ar-SA"/>
    </w:rPr>
  </w:style>
  <w:style w:type="character" w:customStyle="1" w:styleId="86">
    <w:name w:val="表格文字 Char Char"/>
    <w:qFormat/>
    <w:uiPriority w:val="0"/>
    <w:rPr>
      <w:rFonts w:ascii="宋体"/>
      <w:color w:val="000000"/>
      <w:sz w:val="24"/>
      <w:lang w:val="en-US" w:eastAsia="zh-CN" w:bidi="ar-SA"/>
    </w:rPr>
  </w:style>
  <w:style w:type="character" w:customStyle="1" w:styleId="87">
    <w:name w:val="表中文字[858D7CFB-ED40-4347-BF05-701D383B685F]"/>
    <w:link w:val="88"/>
    <w:qFormat/>
    <w:uiPriority w:val="0"/>
    <w:rPr>
      <w:kern w:val="2"/>
      <w:sz w:val="21"/>
    </w:rPr>
  </w:style>
  <w:style w:type="paragraph" w:customStyle="1" w:styleId="88">
    <w:name w:val="表中文字"/>
    <w:basedOn w:val="1"/>
    <w:link w:val="87"/>
    <w:qFormat/>
    <w:uiPriority w:val="0"/>
    <w:pPr>
      <w:jc w:val="center"/>
    </w:pPr>
    <w:rPr>
      <w:rFonts w:ascii="Calibri" w:hAnsi="Calibri" w:cs="Times New Roman"/>
      <w:szCs w:val="20"/>
    </w:rPr>
  </w:style>
  <w:style w:type="character" w:customStyle="1" w:styleId="89">
    <w:name w:val="表格文字2 Char"/>
    <w:link w:val="90"/>
    <w:qFormat/>
    <w:uiPriority w:val="0"/>
    <w:rPr>
      <w:rFonts w:ascii="宋体"/>
      <w:sz w:val="24"/>
    </w:rPr>
  </w:style>
  <w:style w:type="paragraph" w:customStyle="1" w:styleId="90">
    <w:name w:val="表格文字2"/>
    <w:basedOn w:val="1"/>
    <w:link w:val="89"/>
    <w:qFormat/>
    <w:uiPriority w:val="0"/>
    <w:pPr>
      <w:spacing w:before="60" w:line="240" w:lineRule="auto"/>
      <w:jc w:val="center"/>
      <w:textAlignment w:val="baseline"/>
    </w:pPr>
    <w:rPr>
      <w:rFonts w:ascii="宋体" w:hAnsi="Calibri" w:cs="Times New Roman"/>
      <w:kern w:val="0"/>
      <w:szCs w:val="20"/>
    </w:rPr>
  </w:style>
  <w:style w:type="character" w:customStyle="1" w:styleId="91">
    <w:name w:val="报告书 Char"/>
    <w:link w:val="92"/>
    <w:qFormat/>
    <w:uiPriority w:val="0"/>
    <w:rPr>
      <w:rFonts w:ascii="宋体" w:hAnsi="宋体" w:cs="宋体"/>
      <w:color w:val="0000FF"/>
      <w:sz w:val="24"/>
    </w:rPr>
  </w:style>
  <w:style w:type="paragraph" w:customStyle="1" w:styleId="92">
    <w:name w:val="报告书"/>
    <w:basedOn w:val="1"/>
    <w:link w:val="91"/>
    <w:qFormat/>
    <w:uiPriority w:val="0"/>
    <w:pPr>
      <w:autoSpaceDE w:val="0"/>
      <w:autoSpaceDN w:val="0"/>
      <w:spacing w:line="520" w:lineRule="exact"/>
      <w:ind w:firstLine="480"/>
      <w:jc w:val="left"/>
      <w:textAlignment w:val="bottom"/>
    </w:pPr>
    <w:rPr>
      <w:rFonts w:ascii="宋体" w:hAnsi="宋体" w:cs="宋体"/>
      <w:color w:val="0000FF"/>
      <w:kern w:val="0"/>
      <w:szCs w:val="20"/>
    </w:rPr>
  </w:style>
  <w:style w:type="paragraph" w:customStyle="1" w:styleId="93">
    <w:name w:val="表"/>
    <w:basedOn w:val="1"/>
    <w:qFormat/>
    <w:uiPriority w:val="0"/>
    <w:pPr>
      <w:jc w:val="center"/>
    </w:pPr>
    <w:rPr>
      <w:rFonts w:hAnsi="宋体" w:eastAsia="黑体" w:cs="Times New Roman"/>
      <w:color w:val="000000"/>
      <w:szCs w:val="24"/>
    </w:rPr>
  </w:style>
  <w:style w:type="paragraph" w:customStyle="1" w:styleId="94">
    <w:name w:val="报告书表格"/>
    <w:basedOn w:val="1"/>
    <w:qFormat/>
    <w:uiPriority w:val="0"/>
    <w:pPr>
      <w:spacing w:before="60" w:after="60" w:line="240" w:lineRule="atLeast"/>
      <w:jc w:val="center"/>
      <w:textAlignment w:val="baseline"/>
    </w:pPr>
    <w:rPr>
      <w:rFonts w:cs="Times New Roman"/>
      <w:kern w:val="0"/>
      <w:szCs w:val="20"/>
    </w:rPr>
  </w:style>
  <w:style w:type="paragraph" w:customStyle="1" w:styleId="95">
    <w:name w:val="表格式"/>
    <w:basedOn w:val="1"/>
    <w:qFormat/>
    <w:uiPriority w:val="0"/>
    <w:pPr>
      <w:spacing w:line="400" w:lineRule="exact"/>
      <w:ind w:firstLine="0" w:firstLineChars="0"/>
      <w:jc w:val="center"/>
    </w:pPr>
    <w:rPr>
      <w:rFonts w:ascii="宋体" w:cs="Times New Roman"/>
      <w:szCs w:val="20"/>
    </w:rPr>
  </w:style>
  <w:style w:type="paragraph" w:customStyle="1" w:styleId="96">
    <w:name w:val="表格标题11"/>
    <w:next w:val="97"/>
    <w:qFormat/>
    <w:uiPriority w:val="0"/>
    <w:pPr>
      <w:keepNext/>
      <w:adjustRightInd w:val="0"/>
      <w:snapToGrid w:val="0"/>
      <w:spacing w:before="50" w:beforeLines="50"/>
      <w:jc w:val="center"/>
      <w:textAlignment w:val="baseline"/>
    </w:pPr>
    <w:rPr>
      <w:rFonts w:ascii="Times New Roman" w:hAnsi="Times New Roman" w:eastAsia="黑体" w:cs="Times New Roman"/>
      <w:kern w:val="2"/>
      <w:sz w:val="21"/>
      <w:szCs w:val="21"/>
      <w:lang w:val="en-US" w:eastAsia="zh-CN" w:bidi="ar-SA"/>
    </w:rPr>
  </w:style>
  <w:style w:type="paragraph" w:customStyle="1" w:styleId="97">
    <w:name w:val="报告表格"/>
    <w:basedOn w:val="1"/>
    <w:qFormat/>
    <w:uiPriority w:val="0"/>
    <w:pPr>
      <w:autoSpaceDE w:val="0"/>
      <w:autoSpaceDN w:val="0"/>
      <w:spacing w:before="40" w:after="40"/>
      <w:jc w:val="center"/>
      <w:textAlignment w:val="bottom"/>
    </w:pPr>
    <w:rPr>
      <w:rFonts w:cs="Times New Roman"/>
      <w:kern w:val="0"/>
      <w:szCs w:val="20"/>
    </w:rPr>
  </w:style>
  <w:style w:type="paragraph" w:customStyle="1" w:styleId="98">
    <w:name w:val="报告"/>
    <w:basedOn w:val="1"/>
    <w:qFormat/>
    <w:uiPriority w:val="0"/>
    <w:pPr>
      <w:ind w:firstLine="505"/>
      <w:textAlignment w:val="baseline"/>
    </w:pPr>
    <w:rPr>
      <w:rFonts w:cs="Times New Roman"/>
      <w:kern w:val="0"/>
      <w:szCs w:val="20"/>
    </w:rPr>
  </w:style>
  <w:style w:type="character" w:customStyle="1" w:styleId="99">
    <w:name w:val="题注 Char"/>
    <w:qFormat/>
    <w:uiPriority w:val="0"/>
    <w:rPr>
      <w:rFonts w:ascii="Calibri" w:hAnsi="Calibri" w:cs="黑体"/>
      <w:kern w:val="2"/>
      <w:sz w:val="21"/>
      <w:szCs w:val="24"/>
      <w:lang w:val="en-US" w:eastAsia="zh-CN" w:bidi="ar-SA"/>
    </w:rPr>
  </w:style>
  <w:style w:type="paragraph" w:customStyle="1" w:styleId="100">
    <w:name w:val="本正文"/>
    <w:basedOn w:val="1"/>
    <w:qFormat/>
    <w:uiPriority w:val="0"/>
    <w:pPr>
      <w:widowControl/>
      <w:spacing w:before="35" w:line="300" w:lineRule="auto"/>
      <w:ind w:left="138" w:firstLine="420"/>
      <w:jc w:val="left"/>
    </w:pPr>
    <w:rPr>
      <w:rFonts w:ascii="宋体" w:hAnsi="宋体" w:cs="Times New Roman"/>
      <w:kern w:val="0"/>
      <w:szCs w:val="21"/>
      <w:lang w:eastAsia="en-US"/>
    </w:rPr>
  </w:style>
  <w:style w:type="paragraph" w:customStyle="1" w:styleId="101">
    <w:name w:val="图名使用"/>
    <w:basedOn w:val="1"/>
    <w:qFormat/>
    <w:uiPriority w:val="0"/>
    <w:pPr>
      <w:widowControl/>
      <w:spacing w:line="440" w:lineRule="exact"/>
      <w:jc w:val="center"/>
    </w:pPr>
    <w:rPr>
      <w:rFonts w:ascii="Calibri" w:hAnsi="Calibri" w:eastAsia="黑体" w:cs="Times New Roman"/>
      <w:sz w:val="22"/>
      <w:szCs w:val="21"/>
      <w:lang w:eastAsia="en-US"/>
    </w:rPr>
  </w:style>
  <w:style w:type="paragraph" w:customStyle="1" w:styleId="102">
    <w:name w:val="表头使用"/>
    <w:basedOn w:val="1"/>
    <w:qFormat/>
    <w:uiPriority w:val="0"/>
    <w:pPr>
      <w:widowControl/>
      <w:jc w:val="right"/>
    </w:pPr>
    <w:rPr>
      <w:rFonts w:ascii="Calibri" w:hAnsi="Calibri" w:eastAsia="黑体" w:cs="Times New Roman"/>
      <w:kern w:val="0"/>
      <w:sz w:val="22"/>
      <w:szCs w:val="24"/>
      <w:lang w:eastAsia="en-US"/>
    </w:rPr>
  </w:style>
  <w:style w:type="character" w:customStyle="1" w:styleId="103">
    <w:name w:val="批注文字 Char1"/>
    <w:qFormat/>
    <w:uiPriority w:val="0"/>
    <w:rPr>
      <w:rFonts w:ascii="Times New Roman" w:hAnsi="Times New Roman" w:eastAsia="宋体" w:cs="Times New Roman"/>
      <w:szCs w:val="24"/>
    </w:rPr>
  </w:style>
  <w:style w:type="character" w:customStyle="1" w:styleId="104">
    <w:name w:val="标题 字符"/>
    <w:basedOn w:val="44"/>
    <w:link w:val="37"/>
    <w:qFormat/>
    <w:uiPriority w:val="10"/>
    <w:rPr>
      <w:rFonts w:ascii="Arial" w:hAnsi="Arial"/>
      <w:b/>
      <w:sz w:val="32"/>
    </w:rPr>
  </w:style>
  <w:style w:type="paragraph" w:customStyle="1" w:styleId="105">
    <w:name w:val="表格内格式"/>
    <w:basedOn w:val="1"/>
    <w:next w:val="1"/>
    <w:qFormat/>
    <w:uiPriority w:val="0"/>
    <w:pPr>
      <w:autoSpaceDE w:val="0"/>
      <w:autoSpaceDN w:val="0"/>
      <w:jc w:val="center"/>
      <w:textAlignment w:val="baseline"/>
    </w:pPr>
    <w:rPr>
      <w:rFonts w:cs="Times New Roman"/>
      <w:kern w:val="0"/>
      <w:szCs w:val="20"/>
    </w:rPr>
  </w:style>
  <w:style w:type="paragraph" w:customStyle="1" w:styleId="106">
    <w:name w:val="表标题名"/>
    <w:basedOn w:val="69"/>
    <w:link w:val="107"/>
    <w:qFormat/>
    <w:uiPriority w:val="0"/>
    <w:pPr>
      <w:tabs>
        <w:tab w:val="left" w:pos="1350"/>
      </w:tabs>
      <w:autoSpaceDE w:val="0"/>
      <w:autoSpaceDN w:val="0"/>
      <w:spacing w:before="0"/>
    </w:pPr>
    <w:rPr>
      <w:rFonts w:ascii="Times New Roman" w:hAnsi="Times New Roman" w:eastAsia="宋体"/>
      <w:shd w:val="clear" w:color="auto" w:fill="FFFFFF"/>
    </w:rPr>
  </w:style>
  <w:style w:type="character" w:customStyle="1" w:styleId="107">
    <w:name w:val="表标题名 Char"/>
    <w:link w:val="106"/>
    <w:qFormat/>
    <w:uiPriority w:val="0"/>
    <w:rPr>
      <w:kern w:val="2"/>
      <w:sz w:val="21"/>
      <w:szCs w:val="24"/>
    </w:rPr>
  </w:style>
  <w:style w:type="table" w:customStyle="1" w:styleId="108">
    <w:name w:val="表格正文"/>
    <w:basedOn w:val="41"/>
    <w:qFormat/>
    <w:uiPriority w:val="99"/>
    <w:pPr>
      <w:jc w:val="center"/>
    </w:pPr>
    <w:rPr>
      <w:rFonts w:eastAsiaTheme="minorEastAsia" w:cstheme="minorBidi"/>
      <w:sz w:val="21"/>
      <w:szCs w:val="21"/>
    </w:r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jc w:val="center"/>
    </w:trPr>
    <w:tcPr>
      <w:vAlign w:val="center"/>
    </w:tcPr>
  </w:style>
  <w:style w:type="table" w:customStyle="1" w:styleId="109">
    <w:name w:val="表格标题行"/>
    <w:basedOn w:val="41"/>
    <w:qFormat/>
    <w:uiPriority w:val="99"/>
    <w:rPr>
      <w:rFonts w:asciiTheme="minorHAnsi" w:hAnsiTheme="minorHAnsi" w:eastAsiaTheme="minorEastAsia" w:cstheme="minorBidi"/>
      <w:kern w:val="2"/>
      <w:sz w:val="21"/>
      <w:szCs w:val="21"/>
    </w:rPr>
    <w:tblStylePr w:type="firstRow">
      <w:pPr>
        <w:wordWrap/>
        <w:spacing w:line="240" w:lineRule="auto"/>
      </w:pPr>
      <w:rPr>
        <w:rFonts w:ascii="Times New Roman" w:hAnsi="Times New Roman" w:eastAsia="宋体"/>
        <w:b/>
        <w:i w:val="0"/>
        <w:sz w:val="21"/>
      </w:rPr>
      <w:tblPr>
        <w:jc w:val="center"/>
      </w:tblPr>
      <w:trPr>
        <w:jc w:val="center"/>
      </w:trPr>
      <w:tcPr>
        <w:tcBorders>
          <w:top w:val="nil"/>
          <w:left w:val="nil"/>
          <w:bottom w:val="nil"/>
          <w:right w:val="nil"/>
          <w:insideH w:val="nil"/>
          <w:insideV w:val="nil"/>
        </w:tcBorders>
        <w:vAlign w:val="center"/>
      </w:tcPr>
    </w:tblStylePr>
  </w:style>
  <w:style w:type="paragraph" w:customStyle="1" w:styleId="110">
    <w:name w:val="表格标题"/>
    <w:basedOn w:val="1"/>
    <w:link w:val="111"/>
    <w:qFormat/>
    <w:uiPriority w:val="0"/>
    <w:pPr>
      <w:jc w:val="center"/>
    </w:pPr>
    <w:rPr>
      <w:kern w:val="0"/>
      <w:szCs w:val="21"/>
    </w:rPr>
  </w:style>
  <w:style w:type="character" w:customStyle="1" w:styleId="111">
    <w:name w:val="表格标题 字符"/>
    <w:basedOn w:val="44"/>
    <w:link w:val="110"/>
    <w:qFormat/>
    <w:uiPriority w:val="0"/>
    <w:rPr>
      <w:rFonts w:cstheme="minorBidi"/>
      <w:sz w:val="24"/>
      <w:szCs w:val="21"/>
    </w:rPr>
  </w:style>
  <w:style w:type="table" w:customStyle="1" w:styleId="112">
    <w:name w:val="表格内容V"/>
    <w:basedOn w:val="41"/>
    <w:qFormat/>
    <w:uiPriority w:val="99"/>
    <w:rPr>
      <w:rFonts w:asciiTheme="minorHAnsi" w:hAnsiTheme="minorHAnsi" w:eastAsiaTheme="minorEastAsia" w:cstheme="minorBidi"/>
      <w:kern w:val="2"/>
      <w:sz w:val="21"/>
      <w:szCs w:val="21"/>
    </w:rPr>
    <w:tblPr>
      <w:jc w:val="center"/>
      <w:tblCellSpacing w:w="11" w:type="dxa"/>
    </w:tblPr>
    <w:trPr>
      <w:tblCellSpacing w:w="11" w:type="dxa"/>
      <w:jc w:val="center"/>
    </w:trPr>
    <w:tcPr>
      <w:vAlign w:val="center"/>
    </w:tcPr>
  </w:style>
  <w:style w:type="table" w:customStyle="1" w:styleId="113">
    <w:name w:val="表格正文1"/>
    <w:basedOn w:val="41"/>
    <w:qFormat/>
    <w:uiPriority w:val="99"/>
    <w:pPr>
      <w:jc w:val="center"/>
    </w:pPr>
    <w:rPr>
      <w:rFonts w:eastAsiaTheme="minorEastAsia" w:cstheme="minorBidi"/>
      <w:sz w:val="21"/>
      <w:szCs w:val="21"/>
    </w:r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jc w:val="center"/>
    </w:trPr>
    <w:tcPr>
      <w:vAlign w:val="center"/>
    </w:tcPr>
  </w:style>
  <w:style w:type="table" w:customStyle="1" w:styleId="114">
    <w:name w:val="表格正文2"/>
    <w:basedOn w:val="41"/>
    <w:qFormat/>
    <w:uiPriority w:val="99"/>
    <w:pPr>
      <w:jc w:val="center"/>
    </w:pPr>
    <w:rPr>
      <w:rFonts w:eastAsiaTheme="minorEastAsia" w:cstheme="minorBidi"/>
      <w:sz w:val="21"/>
      <w:szCs w:val="21"/>
    </w:r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jc w:val="center"/>
    </w:trPr>
    <w:tcPr>
      <w:vAlign w:val="center"/>
    </w:tcPr>
  </w:style>
  <w:style w:type="character" w:customStyle="1" w:styleId="115">
    <w:name w:val="表格 Char Char"/>
    <w:link w:val="116"/>
    <w:qFormat/>
    <w:uiPriority w:val="0"/>
    <w:rPr>
      <w:rFonts w:ascii="宋体" w:hAnsi="宋体" w:cs="宋体"/>
      <w:sz w:val="24"/>
    </w:rPr>
  </w:style>
  <w:style w:type="paragraph" w:customStyle="1" w:styleId="116">
    <w:name w:val="表格"/>
    <w:basedOn w:val="1"/>
    <w:link w:val="115"/>
    <w:qFormat/>
    <w:uiPriority w:val="0"/>
    <w:pPr>
      <w:widowControl/>
      <w:jc w:val="center"/>
      <w:textAlignment w:val="baseline"/>
    </w:pPr>
    <w:rPr>
      <w:rFonts w:ascii="宋体" w:hAnsi="宋体" w:cs="宋体"/>
      <w:kern w:val="0"/>
      <w:szCs w:val="20"/>
    </w:rPr>
  </w:style>
  <w:style w:type="paragraph" w:customStyle="1" w:styleId="117">
    <w:name w:val="表内文字"/>
    <w:basedOn w:val="1"/>
    <w:qFormat/>
    <w:uiPriority w:val="0"/>
    <w:pPr>
      <w:widowControl/>
      <w:ind w:left="57" w:right="57"/>
      <w:jc w:val="center"/>
    </w:pPr>
    <w:rPr>
      <w:rFonts w:ascii="Times" w:hAnsi="Times" w:cs="Times"/>
      <w:snapToGrid w:val="0"/>
      <w:spacing w:val="-20"/>
      <w:kern w:val="0"/>
      <w:szCs w:val="21"/>
    </w:rPr>
  </w:style>
  <w:style w:type="paragraph" w:customStyle="1" w:styleId="118">
    <w:name w:val="表格内容11"/>
    <w:next w:val="19"/>
    <w:qFormat/>
    <w:uiPriority w:val="0"/>
    <w:pPr>
      <w:widowControl w:val="0"/>
      <w:autoSpaceDE w:val="0"/>
      <w:autoSpaceDN w:val="0"/>
      <w:adjustRightInd w:val="0"/>
      <w:snapToGrid w:val="0"/>
      <w:jc w:val="center"/>
      <w:textAlignment w:val="baseline"/>
    </w:pPr>
    <w:rPr>
      <w:rFonts w:ascii="Times New Roman" w:hAnsi="Times New Roman" w:eastAsia="宋体" w:cs="Times New Roman"/>
      <w:kern w:val="2"/>
      <w:sz w:val="21"/>
      <w:lang w:val="en-US" w:eastAsia="zh-CN" w:bidi="ar-SA"/>
    </w:rPr>
  </w:style>
  <w:style w:type="character" w:customStyle="1" w:styleId="119">
    <w:name w:val="标题 7 字符"/>
    <w:basedOn w:val="44"/>
    <w:link w:val="9"/>
    <w:qFormat/>
    <w:uiPriority w:val="0"/>
    <w:rPr>
      <w:b/>
      <w:bCs/>
      <w:kern w:val="2"/>
      <w:sz w:val="24"/>
      <w:szCs w:val="24"/>
    </w:rPr>
  </w:style>
  <w:style w:type="paragraph" w:customStyle="1" w:styleId="120">
    <w:name w:val="报告正文"/>
    <w:basedOn w:val="1"/>
    <w:qFormat/>
    <w:uiPriority w:val="0"/>
    <w:pPr>
      <w:spacing w:after="120"/>
      <w:ind w:firstLine="480"/>
    </w:pPr>
    <w:rPr>
      <w:rFonts w:ascii="宋体" w:hAnsi="宋体" w:cs="Times New Roman"/>
      <w:szCs w:val="24"/>
    </w:rPr>
  </w:style>
  <w:style w:type="character" w:customStyle="1" w:styleId="121">
    <w:name w:val="标准样式 Char Char"/>
    <w:qFormat/>
    <w:uiPriority w:val="0"/>
    <w:rPr>
      <w:rFonts w:eastAsia="宋体"/>
      <w:kern w:val="2"/>
      <w:sz w:val="28"/>
      <w:lang w:val="en-US" w:eastAsia="zh-CN" w:bidi="ar-SA"/>
    </w:rPr>
  </w:style>
  <w:style w:type="character" w:customStyle="1" w:styleId="122">
    <w:name w:val="标准样式 Char1"/>
    <w:link w:val="123"/>
    <w:qFormat/>
    <w:uiPriority w:val="0"/>
    <w:rPr>
      <w:rFonts w:ascii="宋体"/>
      <w:sz w:val="28"/>
    </w:rPr>
  </w:style>
  <w:style w:type="paragraph" w:customStyle="1" w:styleId="123">
    <w:name w:val="标准样式"/>
    <w:link w:val="122"/>
    <w:qFormat/>
    <w:uiPriority w:val="0"/>
    <w:pPr>
      <w:widowControl w:val="0"/>
      <w:spacing w:line="600" w:lineRule="exact"/>
      <w:ind w:firstLine="567"/>
      <w:jc w:val="both"/>
    </w:pPr>
    <w:rPr>
      <w:rFonts w:ascii="宋体" w:hAnsi="Times New Roman" w:eastAsia="宋体" w:cs="Times New Roman"/>
      <w:sz w:val="28"/>
      <w:lang w:val="en-US" w:eastAsia="zh-CN" w:bidi="ar-SA"/>
    </w:rPr>
  </w:style>
  <w:style w:type="character" w:customStyle="1" w:styleId="124">
    <w:name w:val="标题节 Char"/>
    <w:qFormat/>
    <w:uiPriority w:val="0"/>
    <w:rPr>
      <w:rFonts w:eastAsia="宋体"/>
      <w:b/>
      <w:kern w:val="2"/>
      <w:sz w:val="26"/>
      <w:szCs w:val="32"/>
      <w:lang w:val="en-US" w:eastAsia="zh-CN" w:bidi="ar-SA"/>
    </w:rPr>
  </w:style>
  <w:style w:type="character" w:customStyle="1" w:styleId="125">
    <w:name w:val="三级标题 Char"/>
    <w:qFormat/>
    <w:uiPriority w:val="0"/>
    <w:rPr>
      <w:rFonts w:eastAsia="宋体"/>
      <w:b/>
      <w:kern w:val="2"/>
      <w:sz w:val="26"/>
      <w:szCs w:val="26"/>
      <w:lang w:val="en-US" w:eastAsia="zh-CN" w:bidi="ar-SA"/>
    </w:rPr>
  </w:style>
  <w:style w:type="character" w:customStyle="1" w:styleId="126">
    <w:name w:val="表头排版 Char"/>
    <w:link w:val="127"/>
    <w:qFormat/>
    <w:uiPriority w:val="0"/>
    <w:rPr>
      <w:kern w:val="2"/>
      <w:sz w:val="26"/>
      <w:szCs w:val="21"/>
    </w:rPr>
  </w:style>
  <w:style w:type="paragraph" w:customStyle="1" w:styleId="127">
    <w:name w:val="表头排版"/>
    <w:basedOn w:val="1"/>
    <w:link w:val="126"/>
    <w:qFormat/>
    <w:uiPriority w:val="0"/>
    <w:pPr>
      <w:spacing w:line="480" w:lineRule="exact"/>
      <w:jc w:val="right"/>
    </w:pPr>
    <w:rPr>
      <w:rFonts w:cs="Times New Roman"/>
      <w:sz w:val="26"/>
      <w:szCs w:val="21"/>
    </w:rPr>
  </w:style>
  <w:style w:type="character" w:customStyle="1" w:styleId="128">
    <w:name w:val="标题1"/>
    <w:basedOn w:val="44"/>
    <w:qFormat/>
    <w:uiPriority w:val="0"/>
  </w:style>
  <w:style w:type="character" w:customStyle="1" w:styleId="129">
    <w:name w:val="表格 Char"/>
    <w:qFormat/>
    <w:uiPriority w:val="0"/>
    <w:rPr>
      <w:kern w:val="2"/>
      <w:sz w:val="22"/>
      <w:szCs w:val="22"/>
      <w:lang w:val="en-US" w:eastAsia="zh-CN" w:bidi="ar-SA"/>
    </w:rPr>
  </w:style>
  <w:style w:type="character" w:customStyle="1" w:styleId="130">
    <w:name w:val="排版正文 Char"/>
    <w:qFormat/>
    <w:uiPriority w:val="0"/>
    <w:rPr>
      <w:szCs w:val="24"/>
    </w:rPr>
  </w:style>
  <w:style w:type="character" w:customStyle="1" w:styleId="131">
    <w:name w:val="表头 Char1"/>
    <w:qFormat/>
    <w:uiPriority w:val="0"/>
    <w:rPr>
      <w:rFonts w:eastAsia="宋体"/>
      <w:spacing w:val="2"/>
      <w:kern w:val="2"/>
      <w:sz w:val="26"/>
      <w:szCs w:val="26"/>
      <w:lang w:val="en-US" w:eastAsia="zh-CN" w:bidi="ar-SA"/>
    </w:rPr>
  </w:style>
  <w:style w:type="character" w:customStyle="1" w:styleId="132">
    <w:name w:val="标准样式1 Char"/>
    <w:link w:val="133"/>
    <w:qFormat/>
    <w:uiPriority w:val="0"/>
    <w:rPr>
      <w:rFonts w:ascii="宋体" w:hAnsi="宋体"/>
      <w:bCs/>
      <w:kern w:val="2"/>
      <w:sz w:val="28"/>
      <w:szCs w:val="24"/>
    </w:rPr>
  </w:style>
  <w:style w:type="paragraph" w:customStyle="1" w:styleId="133">
    <w:name w:val="标准样式1"/>
    <w:basedOn w:val="1"/>
    <w:link w:val="132"/>
    <w:qFormat/>
    <w:uiPriority w:val="0"/>
    <w:pPr>
      <w:spacing w:line="600" w:lineRule="exact"/>
      <w:ind w:firstLine="150" w:firstLineChars="150"/>
    </w:pPr>
    <w:rPr>
      <w:rFonts w:ascii="宋体" w:hAnsi="宋体" w:cs="Times New Roman"/>
      <w:bCs/>
      <w:sz w:val="28"/>
      <w:szCs w:val="24"/>
    </w:rPr>
  </w:style>
  <w:style w:type="character" w:customStyle="1" w:styleId="134">
    <w:name w:val="表文字 Char"/>
    <w:link w:val="135"/>
    <w:qFormat/>
    <w:uiPriority w:val="0"/>
    <w:rPr>
      <w:kern w:val="2"/>
      <w:sz w:val="21"/>
      <w:szCs w:val="21"/>
    </w:rPr>
  </w:style>
  <w:style w:type="paragraph" w:customStyle="1" w:styleId="135">
    <w:name w:val="表文字"/>
    <w:basedOn w:val="1"/>
    <w:link w:val="134"/>
    <w:qFormat/>
    <w:uiPriority w:val="0"/>
    <w:pPr>
      <w:topLinePunct/>
      <w:spacing w:line="240" w:lineRule="exact"/>
      <w:textAlignment w:val="baseline"/>
    </w:pPr>
    <w:rPr>
      <w:rFonts w:cs="Times New Roman"/>
      <w:szCs w:val="21"/>
    </w:rPr>
  </w:style>
  <w:style w:type="character" w:customStyle="1" w:styleId="136">
    <w:name w:val="表内字 Char Char"/>
    <w:link w:val="137"/>
    <w:qFormat/>
    <w:uiPriority w:val="0"/>
    <w:rPr>
      <w:rFonts w:ascii="Tahoma" w:hAnsi="Tahoma"/>
      <w:sz w:val="21"/>
      <w:szCs w:val="21"/>
    </w:rPr>
  </w:style>
  <w:style w:type="paragraph" w:customStyle="1" w:styleId="137">
    <w:name w:val="表内字"/>
    <w:basedOn w:val="1"/>
    <w:link w:val="136"/>
    <w:qFormat/>
    <w:uiPriority w:val="0"/>
    <w:pPr>
      <w:autoSpaceDE w:val="0"/>
      <w:autoSpaceDN w:val="0"/>
      <w:ind w:firstLine="0" w:firstLineChars="0"/>
      <w:jc w:val="center"/>
    </w:pPr>
    <w:rPr>
      <w:rFonts w:ascii="Tahoma" w:hAnsi="Tahoma" w:cs="Times New Roman"/>
      <w:kern w:val="0"/>
      <w:szCs w:val="21"/>
    </w:rPr>
  </w:style>
  <w:style w:type="character" w:customStyle="1" w:styleId="138">
    <w:name w:val="表号 Char"/>
    <w:link w:val="68"/>
    <w:qFormat/>
    <w:locked/>
    <w:uiPriority w:val="0"/>
    <w:rPr>
      <w:kern w:val="2"/>
      <w:sz w:val="21"/>
      <w:szCs w:val="24"/>
    </w:rPr>
  </w:style>
  <w:style w:type="character" w:customStyle="1" w:styleId="139">
    <w:name w:val="标准样式 Char"/>
    <w:qFormat/>
    <w:uiPriority w:val="0"/>
    <w:rPr>
      <w:rFonts w:ascii="宋体" w:eastAsia="宋体"/>
      <w:sz w:val="28"/>
      <w:szCs w:val="28"/>
      <w:lang w:val="en-US" w:eastAsia="zh-CN" w:bidi="ar-SA"/>
    </w:rPr>
  </w:style>
  <w:style w:type="character" w:customStyle="1" w:styleId="140">
    <w:name w:val="标题 3 Char Char Char"/>
    <w:qFormat/>
    <w:uiPriority w:val="0"/>
    <w:rPr>
      <w:rFonts w:eastAsia="宋体"/>
      <w:b/>
      <w:sz w:val="26"/>
      <w:szCs w:val="28"/>
      <w:lang w:val="en-US" w:eastAsia="zh-CN" w:bidi="ar-SA"/>
    </w:rPr>
  </w:style>
  <w:style w:type="character" w:customStyle="1" w:styleId="141">
    <w:name w:val="表头 Char"/>
    <w:qFormat/>
    <w:uiPriority w:val="0"/>
    <w:rPr>
      <w:rFonts w:eastAsia="宋体"/>
      <w:spacing w:val="2"/>
      <w:kern w:val="2"/>
      <w:sz w:val="26"/>
      <w:szCs w:val="26"/>
      <w:lang w:val="en-US" w:eastAsia="zh-CN" w:bidi="ar-SA"/>
    </w:rPr>
  </w:style>
  <w:style w:type="character" w:customStyle="1" w:styleId="142">
    <w:name w:val="标题11"/>
    <w:basedOn w:val="44"/>
    <w:qFormat/>
    <w:uiPriority w:val="0"/>
  </w:style>
  <w:style w:type="character" w:customStyle="1" w:styleId="143">
    <w:name w:val="标题 3 Char1"/>
    <w:qFormat/>
    <w:uiPriority w:val="0"/>
    <w:rPr>
      <w:rFonts w:eastAsia="宋体"/>
      <w:b/>
      <w:sz w:val="26"/>
      <w:szCs w:val="28"/>
      <w:lang w:val="en-US" w:eastAsia="zh-CN" w:bidi="ar-SA"/>
    </w:rPr>
  </w:style>
  <w:style w:type="character" w:customStyle="1" w:styleId="144">
    <w:name w:val="标题 Char"/>
    <w:qFormat/>
    <w:uiPriority w:val="0"/>
    <w:rPr>
      <w:rFonts w:ascii="Arial" w:hAnsi="Arial"/>
      <w:bCs/>
      <w:kern w:val="2"/>
      <w:sz w:val="24"/>
      <w:szCs w:val="32"/>
    </w:rPr>
  </w:style>
  <w:style w:type="character" w:customStyle="1" w:styleId="145">
    <w:name w:val="标题 1 Char"/>
    <w:qFormat/>
    <w:uiPriority w:val="0"/>
    <w:rPr>
      <w:rFonts w:ascii="宋体" w:hAnsi="宋体" w:eastAsia="宋体"/>
      <w:b/>
      <w:bCs/>
      <w:kern w:val="2"/>
      <w:sz w:val="36"/>
      <w:szCs w:val="24"/>
      <w:lang w:val="en-US" w:eastAsia="zh-CN" w:bidi="ar-SA"/>
    </w:rPr>
  </w:style>
  <w:style w:type="paragraph" w:customStyle="1" w:styleId="146">
    <w:name w:val="章"/>
    <w:basedOn w:val="1"/>
    <w:qFormat/>
    <w:uiPriority w:val="0"/>
    <w:pPr>
      <w:keepNext/>
      <w:keepLines/>
      <w:ind w:firstLine="0" w:firstLineChars="0"/>
      <w:jc w:val="center"/>
      <w:outlineLvl w:val="0"/>
    </w:pPr>
    <w:rPr>
      <w:rFonts w:ascii="黑体" w:hAnsi="宋体" w:eastAsia="黑体" w:cs="Times New Roman"/>
      <w:kern w:val="44"/>
      <w:sz w:val="32"/>
      <w:szCs w:val="32"/>
    </w:rPr>
  </w:style>
  <w:style w:type="paragraph" w:customStyle="1" w:styleId="147">
    <w:name w:val="排版正文"/>
    <w:basedOn w:val="1"/>
    <w:qFormat/>
    <w:uiPriority w:val="0"/>
    <w:pPr>
      <w:spacing w:line="460" w:lineRule="exact"/>
      <w:ind w:firstLine="560"/>
    </w:pPr>
    <w:rPr>
      <w:rFonts w:cs="Times New Roman"/>
      <w:color w:val="000000"/>
      <w:sz w:val="28"/>
      <w:szCs w:val="24"/>
    </w:rPr>
  </w:style>
  <w:style w:type="paragraph" w:customStyle="1" w:styleId="148">
    <w:name w:val="表文排版"/>
    <w:basedOn w:val="1"/>
    <w:next w:val="1"/>
    <w:qFormat/>
    <w:uiPriority w:val="0"/>
    <w:pPr>
      <w:jc w:val="center"/>
    </w:pPr>
    <w:rPr>
      <w:rFonts w:cs="Times New Roman"/>
      <w:sz w:val="22"/>
      <w:szCs w:val="24"/>
    </w:rPr>
  </w:style>
  <w:style w:type="paragraph" w:customStyle="1" w:styleId="149">
    <w:name w:val="标书标题1"/>
    <w:basedOn w:val="3"/>
    <w:qFormat/>
    <w:uiPriority w:val="0"/>
    <w:pPr>
      <w:keepNext w:val="0"/>
      <w:keepLines w:val="0"/>
      <w:widowControl w:val="0"/>
      <w:tabs>
        <w:tab w:val="left" w:pos="360"/>
      </w:tabs>
      <w:spacing w:before="480" w:beforeLines="100" w:after="240" w:afterLines="100" w:line="460" w:lineRule="exact"/>
      <w:ind w:left="284" w:hanging="284"/>
    </w:pPr>
    <w:rPr>
      <w:rFonts w:ascii="Arial Narrow" w:hAnsi="Arial Narrow"/>
      <w:b/>
      <w:bCs w:val="0"/>
      <w:snapToGrid w:val="0"/>
      <w:kern w:val="0"/>
      <w:sz w:val="30"/>
      <w:lang w:eastAsia="zh-CN"/>
    </w:rPr>
  </w:style>
  <w:style w:type="paragraph" w:customStyle="1" w:styleId="150">
    <w:name w:val="标书标题4"/>
    <w:basedOn w:val="6"/>
    <w:qFormat/>
    <w:uiPriority w:val="0"/>
    <w:pPr>
      <w:keepNext w:val="0"/>
      <w:keepLines w:val="0"/>
      <w:numPr>
        <w:ilvl w:val="0"/>
        <w:numId w:val="0"/>
      </w:numPr>
      <w:tabs>
        <w:tab w:val="left" w:pos="851"/>
      </w:tabs>
      <w:spacing w:before="0" w:line="300" w:lineRule="auto"/>
      <w:ind w:left="851" w:hanging="851" w:firstLineChars="200"/>
    </w:pPr>
    <w:rPr>
      <w:rFonts w:ascii="Arial Narrow" w:hAnsi="Arial Narrow" w:eastAsia="仿宋_GB2312"/>
      <w:b/>
      <w:bCs w:val="0"/>
      <w:kern w:val="0"/>
      <w:sz w:val="28"/>
      <w:szCs w:val="20"/>
    </w:rPr>
  </w:style>
  <w:style w:type="paragraph" w:customStyle="1" w:styleId="151">
    <w:name w:val="标书标题3"/>
    <w:basedOn w:val="5"/>
    <w:qFormat/>
    <w:uiPriority w:val="0"/>
    <w:pPr>
      <w:keepNext w:val="0"/>
      <w:keepLines w:val="0"/>
      <w:spacing w:before="120" w:after="60" w:line="300" w:lineRule="auto"/>
      <w:ind w:firstLine="522"/>
    </w:pPr>
    <w:rPr>
      <w:rFonts w:ascii="宋体" w:hAnsi="宋体"/>
      <w:color w:val="000000"/>
      <w:sz w:val="26"/>
      <w:szCs w:val="26"/>
      <w:lang w:eastAsia="zh-CN"/>
    </w:rPr>
  </w:style>
  <w:style w:type="paragraph" w:customStyle="1" w:styleId="152">
    <w:name w:val="标书标题2"/>
    <w:basedOn w:val="4"/>
    <w:qFormat/>
    <w:uiPriority w:val="0"/>
    <w:pPr>
      <w:keepNext w:val="0"/>
      <w:keepLines w:val="0"/>
      <w:widowControl w:val="0"/>
      <w:tabs>
        <w:tab w:val="left" w:pos="574"/>
      </w:tabs>
      <w:spacing w:before="240" w:after="120" w:line="300" w:lineRule="auto"/>
      <w:ind w:firstLine="200"/>
    </w:pPr>
    <w:rPr>
      <w:rFonts w:ascii="Arial Narrow" w:hAnsi="Arial Narrow" w:eastAsia="宋体"/>
      <w:b/>
      <w:bCs w:val="0"/>
      <w:lang w:eastAsia="zh-CN"/>
    </w:rPr>
  </w:style>
  <w:style w:type="paragraph" w:customStyle="1" w:styleId="153">
    <w:name w:val="正 文"/>
    <w:basedOn w:val="1"/>
    <w:qFormat/>
    <w:uiPriority w:val="0"/>
    <w:pPr>
      <w:spacing w:line="440" w:lineRule="exact"/>
    </w:pPr>
    <w:rPr>
      <w:rFonts w:hAnsi="宋体" w:cs="Times New Roman"/>
      <w:szCs w:val="24"/>
    </w:rPr>
  </w:style>
  <w:style w:type="paragraph" w:customStyle="1" w:styleId="154">
    <w:name w:val="表格中的文字"/>
    <w:basedOn w:val="1"/>
    <w:qFormat/>
    <w:uiPriority w:val="0"/>
    <w:pPr>
      <w:jc w:val="center"/>
    </w:pPr>
    <w:rPr>
      <w:rFonts w:cs="Times New Roman"/>
    </w:rPr>
  </w:style>
  <w:style w:type="paragraph" w:customStyle="1" w:styleId="155">
    <w:name w:val="表格体"/>
    <w:basedOn w:val="1"/>
    <w:qFormat/>
    <w:uiPriority w:val="0"/>
    <w:pPr>
      <w:spacing w:line="240" w:lineRule="auto"/>
      <w:jc w:val="center"/>
    </w:pPr>
    <w:rPr>
      <w:rFonts w:cs="Times New Roman"/>
      <w:sz w:val="21"/>
    </w:rPr>
  </w:style>
  <w:style w:type="paragraph" w:customStyle="1" w:styleId="156">
    <w:name w:val="编号正文"/>
    <w:basedOn w:val="1"/>
    <w:qFormat/>
    <w:uiPriority w:val="0"/>
    <w:pPr>
      <w:tabs>
        <w:tab w:val="left" w:pos="1260"/>
      </w:tabs>
      <w:spacing w:after="50" w:afterLines="50" w:line="300" w:lineRule="auto"/>
      <w:ind w:left="1260" w:hanging="806"/>
    </w:pPr>
    <w:rPr>
      <w:rFonts w:ascii="Arial Narrow" w:hAnsi="Arial Narrow" w:eastAsia="仿宋_GB2312" w:cs="Times New Roman"/>
      <w:sz w:val="28"/>
      <w:szCs w:val="28"/>
    </w:rPr>
  </w:style>
  <w:style w:type="paragraph" w:customStyle="1" w:styleId="157">
    <w:name w:val="表格文字居中"/>
    <w:basedOn w:val="1"/>
    <w:next w:val="1"/>
    <w:qFormat/>
    <w:uiPriority w:val="0"/>
    <w:pPr>
      <w:spacing w:line="460" w:lineRule="exact"/>
      <w:jc w:val="center"/>
    </w:pPr>
    <w:rPr>
      <w:rFonts w:cs="Times New Roman"/>
      <w:color w:val="000000"/>
      <w:sz w:val="22"/>
    </w:rPr>
  </w:style>
  <w:style w:type="paragraph" w:customStyle="1" w:styleId="158">
    <w:name w:val="正"/>
    <w:qFormat/>
    <w:uiPriority w:val="0"/>
    <w:pPr>
      <w:spacing w:line="480" w:lineRule="exact"/>
      <w:ind w:firstLine="470" w:firstLineChars="196"/>
    </w:pPr>
    <w:rPr>
      <w:rFonts w:ascii="Times New Roman" w:hAnsi="Times New Roman" w:eastAsia="宋体" w:cs="Times New Roman"/>
      <w:bCs/>
      <w:kern w:val="2"/>
      <w:sz w:val="24"/>
      <w:szCs w:val="24"/>
      <w:lang w:val="en-US" w:eastAsia="zh-CN" w:bidi="ar-SA"/>
    </w:rPr>
  </w:style>
  <w:style w:type="paragraph" w:customStyle="1" w:styleId="159">
    <w:name w:val="表格文字-hao-居中"/>
    <w:qFormat/>
    <w:uiPriority w:val="99"/>
    <w:pPr>
      <w:adjustRightInd w:val="0"/>
      <w:snapToGrid w:val="0"/>
      <w:spacing w:beforeLines="20" w:afterLines="10" w:line="264" w:lineRule="auto"/>
      <w:jc w:val="center"/>
      <w:textAlignment w:val="center"/>
    </w:pPr>
    <w:rPr>
      <w:rFonts w:ascii="Times New Roman" w:hAnsi="Times New Roman" w:eastAsia="宋体" w:cs="Times New Roman"/>
      <w:szCs w:val="24"/>
      <w:lang w:val="en-US" w:eastAsia="zh-CN" w:bidi="ar-SA"/>
    </w:rPr>
  </w:style>
  <w:style w:type="paragraph" w:customStyle="1" w:styleId="160">
    <w:name w:val="表格1"/>
    <w:basedOn w:val="1"/>
    <w:qFormat/>
    <w:uiPriority w:val="0"/>
    <w:pPr>
      <w:spacing w:line="360" w:lineRule="exact"/>
      <w:jc w:val="center"/>
    </w:pPr>
    <w:rPr>
      <w:rFonts w:cs="Times New Roman"/>
      <w:color w:val="000000"/>
      <w:szCs w:val="24"/>
    </w:rPr>
  </w:style>
  <w:style w:type="paragraph" w:customStyle="1" w:styleId="161">
    <w:name w:val="三级标题"/>
    <w:basedOn w:val="1"/>
    <w:next w:val="1"/>
    <w:semiHidden/>
    <w:qFormat/>
    <w:uiPriority w:val="0"/>
    <w:pPr>
      <w:outlineLvl w:val="2"/>
    </w:pPr>
    <w:rPr>
      <w:rFonts w:cs="Times New Roman"/>
      <w:b/>
      <w:sz w:val="26"/>
      <w:szCs w:val="26"/>
    </w:rPr>
  </w:style>
  <w:style w:type="paragraph" w:customStyle="1" w:styleId="162">
    <w:name w:val="一级标题"/>
    <w:basedOn w:val="1"/>
    <w:next w:val="1"/>
    <w:qFormat/>
    <w:uiPriority w:val="0"/>
    <w:pPr>
      <w:spacing w:before="100" w:beforeAutospacing="1" w:after="156" w:afterLines="50" w:line="460" w:lineRule="exact"/>
      <w:jc w:val="center"/>
      <w:outlineLvl w:val="0"/>
    </w:pPr>
    <w:rPr>
      <w:rFonts w:cs="Times New Roman"/>
      <w:b/>
      <w:bCs/>
      <w:sz w:val="32"/>
      <w:szCs w:val="32"/>
    </w:rPr>
  </w:style>
  <w:style w:type="paragraph" w:customStyle="1" w:styleId="163">
    <w:name w:val="环评表头"/>
    <w:basedOn w:val="1"/>
    <w:link w:val="280"/>
    <w:qFormat/>
    <w:uiPriority w:val="0"/>
    <w:pPr>
      <w:spacing w:line="440" w:lineRule="exact"/>
      <w:jc w:val="center"/>
    </w:pPr>
    <w:rPr>
      <w:rFonts w:ascii="黑体" w:hAnsi="Arial" w:eastAsia="黑体" w:cs="Arial"/>
      <w:b/>
      <w:color w:val="000000"/>
      <w:szCs w:val="24"/>
    </w:rPr>
  </w:style>
  <w:style w:type="paragraph" w:customStyle="1" w:styleId="164">
    <w:name w:val="环评标题"/>
    <w:basedOn w:val="1"/>
    <w:qFormat/>
    <w:uiPriority w:val="0"/>
    <w:pPr>
      <w:spacing w:line="440" w:lineRule="exact"/>
      <w:ind w:firstLine="482"/>
    </w:pPr>
    <w:rPr>
      <w:rFonts w:ascii="黑体" w:hAnsi="宋体" w:eastAsia="黑体" w:cs="Times New Roman"/>
      <w:b/>
      <w:color w:val="000000"/>
      <w:szCs w:val="24"/>
    </w:rPr>
  </w:style>
  <w:style w:type="paragraph" w:customStyle="1" w:styleId="165">
    <w:name w:val="表格文字"/>
    <w:basedOn w:val="1"/>
    <w:next w:val="1"/>
    <w:qFormat/>
    <w:uiPriority w:val="0"/>
    <w:pPr>
      <w:spacing w:before="60" w:after="60" w:line="460" w:lineRule="exact"/>
    </w:pPr>
    <w:rPr>
      <w:rFonts w:cs="Times New Roman"/>
      <w:sz w:val="26"/>
      <w:szCs w:val="20"/>
    </w:rPr>
  </w:style>
  <w:style w:type="paragraph" w:customStyle="1" w:styleId="166">
    <w:name w:val="标题3"/>
    <w:basedOn w:val="1"/>
    <w:qFormat/>
    <w:uiPriority w:val="0"/>
    <w:pPr>
      <w:ind w:firstLine="482"/>
    </w:pPr>
    <w:rPr>
      <w:rFonts w:ascii="仿宋_GB2312" w:eastAsia="仿宋_GB2312" w:cs="Times New Roman"/>
      <w:b/>
      <w:szCs w:val="24"/>
    </w:rPr>
  </w:style>
  <w:style w:type="paragraph" w:customStyle="1" w:styleId="167">
    <w:name w:val="标题03"/>
    <w:basedOn w:val="1"/>
    <w:next w:val="1"/>
    <w:qFormat/>
    <w:uiPriority w:val="0"/>
    <w:pPr>
      <w:spacing w:line="480" w:lineRule="atLeast"/>
      <w:ind w:firstLine="480"/>
    </w:pPr>
    <w:rPr>
      <w:rFonts w:cs="Times New Roman"/>
      <w:b/>
      <w:szCs w:val="20"/>
    </w:rPr>
  </w:style>
  <w:style w:type="paragraph" w:customStyle="1" w:styleId="168">
    <w:name w:val="表标题"/>
    <w:basedOn w:val="7"/>
    <w:link w:val="187"/>
    <w:qFormat/>
    <w:uiPriority w:val="0"/>
    <w:pPr>
      <w:widowControl w:val="0"/>
      <w:spacing w:before="60" w:after="60" w:line="377" w:lineRule="auto"/>
      <w:ind w:firstLine="520"/>
      <w:jc w:val="center"/>
    </w:pPr>
    <w:rPr>
      <w:rFonts w:ascii="Times New Roman" w:hAnsi="Times New Roman" w:eastAsia="黑体"/>
      <w:kern w:val="2"/>
      <w:sz w:val="24"/>
      <w:lang w:eastAsia="zh-CN"/>
    </w:rPr>
  </w:style>
  <w:style w:type="paragraph" w:customStyle="1" w:styleId="169">
    <w:name w:val="标准样式 Char Char2"/>
    <w:basedOn w:val="1"/>
    <w:qFormat/>
    <w:uiPriority w:val="0"/>
    <w:pPr>
      <w:spacing w:line="600" w:lineRule="exact"/>
      <w:ind w:firstLine="567"/>
    </w:pPr>
    <w:rPr>
      <w:rFonts w:ascii="宋体" w:hAnsi="宋体" w:cs="Times New Roman"/>
      <w:sz w:val="28"/>
      <w:szCs w:val="20"/>
    </w:rPr>
  </w:style>
  <w:style w:type="paragraph" w:customStyle="1" w:styleId="170">
    <w:name w:val="图"/>
    <w:basedOn w:val="93"/>
    <w:qFormat/>
    <w:uiPriority w:val="0"/>
    <w:pPr>
      <w:spacing w:line="240" w:lineRule="auto"/>
    </w:pPr>
    <w:rPr>
      <w:rFonts w:hAnsi="Times New Roman"/>
      <w:bCs/>
      <w:color w:val="auto"/>
      <w:szCs w:val="22"/>
    </w:rPr>
  </w:style>
  <w:style w:type="paragraph" w:customStyle="1" w:styleId="171">
    <w:name w:val="表签"/>
    <w:basedOn w:val="1"/>
    <w:qFormat/>
    <w:uiPriority w:val="0"/>
    <w:pPr>
      <w:jc w:val="center"/>
    </w:pPr>
    <w:rPr>
      <w:rFonts w:cs="Times New Roman"/>
      <w:b/>
      <w:szCs w:val="24"/>
    </w:rPr>
  </w:style>
  <w:style w:type="paragraph" w:customStyle="1" w:styleId="172">
    <w:name w:val="表格样式1"/>
    <w:basedOn w:val="1"/>
    <w:qFormat/>
    <w:uiPriority w:val="0"/>
    <w:pPr>
      <w:ind w:firstLine="0" w:firstLineChars="0"/>
      <w:jc w:val="center"/>
    </w:pPr>
    <w:rPr>
      <w:rFonts w:cs="Times New Roman"/>
      <w:color w:val="000000"/>
      <w:kern w:val="0"/>
      <w:szCs w:val="24"/>
      <w:lang w:bidi="en-US"/>
    </w:rPr>
  </w:style>
  <w:style w:type="paragraph" w:customStyle="1" w:styleId="173">
    <w:name w:val="表格文字1"/>
    <w:basedOn w:val="37"/>
    <w:qFormat/>
    <w:uiPriority w:val="0"/>
    <w:pPr>
      <w:spacing w:before="0" w:after="0" w:line="240" w:lineRule="auto"/>
      <w:jc w:val="left"/>
      <w:outlineLvl w:val="9"/>
    </w:pPr>
    <w:rPr>
      <w:b w:val="0"/>
      <w:kern w:val="72"/>
      <w:sz w:val="21"/>
      <w:szCs w:val="72"/>
    </w:rPr>
  </w:style>
  <w:style w:type="paragraph" w:customStyle="1" w:styleId="174">
    <w:name w:val="表体"/>
    <w:basedOn w:val="1"/>
    <w:qFormat/>
    <w:uiPriority w:val="0"/>
    <w:pPr>
      <w:spacing w:line="240" w:lineRule="atLeast"/>
      <w:ind w:left="-63" w:leftChars="-30" w:right="-63" w:rightChars="-30"/>
      <w:jc w:val="center"/>
    </w:pPr>
    <w:rPr>
      <w:rFonts w:cs="Times New Roman"/>
      <w:color w:val="000000"/>
      <w:kern w:val="0"/>
      <w:sz w:val="18"/>
      <w:szCs w:val="18"/>
    </w:rPr>
  </w:style>
  <w:style w:type="paragraph" w:customStyle="1" w:styleId="175">
    <w:name w:val="表内容-L"/>
    <w:basedOn w:val="176"/>
    <w:qFormat/>
    <w:uiPriority w:val="0"/>
    <w:rPr>
      <w:kern w:val="0"/>
    </w:rPr>
  </w:style>
  <w:style w:type="paragraph" w:customStyle="1" w:styleId="176">
    <w:name w:val="表格内居中"/>
    <w:basedOn w:val="1"/>
    <w:qFormat/>
    <w:uiPriority w:val="0"/>
    <w:pPr>
      <w:jc w:val="center"/>
    </w:pPr>
    <w:rPr>
      <w:rFonts w:cs="Times New Roman"/>
      <w:szCs w:val="20"/>
    </w:rPr>
  </w:style>
  <w:style w:type="paragraph" w:customStyle="1" w:styleId="177">
    <w:name w:val="表-表图题-L"/>
    <w:basedOn w:val="1"/>
    <w:qFormat/>
    <w:uiPriority w:val="0"/>
    <w:pPr>
      <w:jc w:val="center"/>
    </w:pPr>
    <w:rPr>
      <w:rFonts w:cs="Times New Roman"/>
      <w:b/>
      <w:szCs w:val="24"/>
    </w:rPr>
  </w:style>
  <w:style w:type="table" w:customStyle="1" w:styleId="178">
    <w:name w:val="常用"/>
    <w:basedOn w:val="41"/>
    <w:qFormat/>
    <w:uiPriority w:val="99"/>
    <w:pPr>
      <w:jc w:val="center"/>
    </w:pPr>
    <w:rPr>
      <w:rFonts w:eastAsia="Times New Roman"/>
    </w:rPr>
    <w:tblPr>
      <w:tblBorders>
        <w:top w:val="single" w:color="auto" w:sz="12" w:space="0"/>
        <w:bottom w:val="single" w:color="auto" w:sz="12" w:space="0"/>
        <w:insideH w:val="single" w:color="auto" w:sz="2" w:space="0"/>
        <w:insideV w:val="single" w:color="auto" w:sz="2" w:space="0"/>
      </w:tblBorders>
    </w:tblPr>
    <w:tcPr>
      <w:vAlign w:val="center"/>
    </w:tcPr>
  </w:style>
  <w:style w:type="table" w:customStyle="1" w:styleId="179">
    <w:name w:val="表格样式LLL"/>
    <w:basedOn w:val="41"/>
    <w:qFormat/>
    <w:uiPriority w:val="0"/>
    <w:pPr>
      <w:widowControl w:val="0"/>
      <w:jc w:val="center"/>
    </w:pPr>
    <w:tblPr>
      <w:tblBorders>
        <w:top w:val="single" w:color="auto" w:sz="12" w:space="0"/>
        <w:bottom w:val="single" w:color="auto" w:sz="12" w:space="0"/>
        <w:insideH w:val="single" w:color="auto" w:sz="2" w:space="0"/>
        <w:insideV w:val="single" w:color="auto" w:sz="2" w:space="0"/>
      </w:tblBorders>
    </w:tblPr>
    <w:tcPr>
      <w:shd w:val="clear" w:color="auto" w:fill="auto"/>
      <w:vAlign w:val="center"/>
    </w:tcPr>
    <w:tblStylePr w:type="firstRow">
      <w:rPr>
        <w:b/>
        <w:bCs/>
        <w:color w:val="000080"/>
      </w:rPr>
      <w:tcPr>
        <w:tcBorders>
          <w:bottom w:val="single" w:color="000000" w:sz="12" w:space="0"/>
          <w:tl2br w:val="nil"/>
          <w:tr2bl w:val="nil"/>
        </w:tcBorders>
      </w:tcPr>
    </w:tblStylePr>
    <w:tblStylePr w:type="lastRow">
      <w:tcPr>
        <w:tcBorders>
          <w:top w:val="single" w:color="000000" w:sz="12" w:space="0"/>
          <w:tl2br w:val="nil"/>
          <w:tr2bl w:val="nil"/>
        </w:tcBorders>
      </w:tcPr>
    </w:tblStylePr>
    <w:tblStylePr w:type="swCell">
      <w:rPr>
        <w:i/>
        <w:iCs/>
        <w:color w:val="000080"/>
      </w:rPr>
      <w:tcPr>
        <w:tcBorders>
          <w:tl2br w:val="nil"/>
          <w:tr2bl w:val="nil"/>
        </w:tcBorders>
      </w:tcPr>
    </w:tblStylePr>
  </w:style>
  <w:style w:type="paragraph" w:customStyle="1" w:styleId="180">
    <w:name w:val="三级标题样式"/>
    <w:basedOn w:val="1"/>
    <w:next w:val="1"/>
    <w:link w:val="181"/>
    <w:qFormat/>
    <w:uiPriority w:val="0"/>
    <w:pPr>
      <w:jc w:val="left"/>
    </w:pPr>
    <w:rPr>
      <w:rFonts w:ascii="宋体" w:eastAsia="黑体" w:cs="Times New Roman"/>
      <w:kern w:val="0"/>
      <w:sz w:val="30"/>
      <w:szCs w:val="20"/>
    </w:rPr>
  </w:style>
  <w:style w:type="character" w:customStyle="1" w:styleId="181">
    <w:name w:val="三级标题样式 Char"/>
    <w:link w:val="180"/>
    <w:qFormat/>
    <w:uiPriority w:val="0"/>
    <w:rPr>
      <w:rFonts w:ascii="宋体" w:eastAsia="黑体"/>
      <w:sz w:val="30"/>
    </w:rPr>
  </w:style>
  <w:style w:type="character" w:customStyle="1" w:styleId="182">
    <w:name w:val="标题2"/>
    <w:basedOn w:val="44"/>
    <w:semiHidden/>
    <w:qFormat/>
    <w:uiPriority w:val="0"/>
  </w:style>
  <w:style w:type="paragraph" w:customStyle="1" w:styleId="183">
    <w:name w:val="修订1"/>
    <w:hidden/>
    <w:semiHidden/>
    <w:qFormat/>
    <w:uiPriority w:val="99"/>
    <w:rPr>
      <w:rFonts w:asciiTheme="minorHAnsi" w:hAnsiTheme="minorHAnsi" w:eastAsiaTheme="minorEastAsia" w:cstheme="minorBidi"/>
      <w:kern w:val="2"/>
      <w:sz w:val="21"/>
      <w:szCs w:val="22"/>
      <w:lang w:val="en-US" w:eastAsia="zh-CN" w:bidi="ar-SA"/>
    </w:rPr>
  </w:style>
  <w:style w:type="table" w:customStyle="1" w:styleId="184">
    <w:name w:val="双线表"/>
    <w:basedOn w:val="41"/>
    <w:qFormat/>
    <w:uiPriority w:val="99"/>
    <w:pPr>
      <w:spacing w:line="360" w:lineRule="auto"/>
      <w:ind w:firstLine="200"/>
      <w:jc w:val="center"/>
    </w:pPr>
    <w:rPr>
      <w:rFonts w:eastAsia="Times New Roman"/>
      <w:kern w:val="2"/>
      <w:sz w:val="24"/>
      <w14:ligatures w14:val="standardContextual"/>
    </w:rPr>
    <w:tblP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
    <w:tcPr>
      <w:vAlign w:val="center"/>
    </w:tcPr>
  </w:style>
  <w:style w:type="paragraph" w:customStyle="1" w:styleId="185">
    <w:name w:val="表格内容"/>
    <w:link w:val="186"/>
    <w:qFormat/>
    <w:uiPriority w:val="0"/>
    <w:pPr>
      <w:widowControl w:val="0"/>
      <w:adjustRightInd w:val="0"/>
      <w:snapToGrid w:val="0"/>
      <w:jc w:val="center"/>
    </w:pPr>
    <w:rPr>
      <w:rFonts w:ascii="Times New Roman" w:hAnsi="Times New Roman" w:eastAsia="宋体" w:cstheme="majorBidi"/>
      <w:sz w:val="21"/>
      <w:szCs w:val="21"/>
      <w:lang w:val="en-US" w:eastAsia="zh-CN" w:bidi="ar-SA"/>
    </w:rPr>
  </w:style>
  <w:style w:type="character" w:customStyle="1" w:styleId="186">
    <w:name w:val="表格内容 字符"/>
    <w:basedOn w:val="44"/>
    <w:link w:val="185"/>
    <w:qFormat/>
    <w:uiPriority w:val="0"/>
    <w:rPr>
      <w:rFonts w:cstheme="majorBidi"/>
      <w:sz w:val="21"/>
      <w:szCs w:val="21"/>
    </w:rPr>
  </w:style>
  <w:style w:type="character" w:customStyle="1" w:styleId="187">
    <w:name w:val="表标题 字符"/>
    <w:basedOn w:val="44"/>
    <w:link w:val="168"/>
    <w:qFormat/>
    <w:uiPriority w:val="0"/>
    <w:rPr>
      <w:rFonts w:eastAsia="黑体"/>
      <w:b/>
      <w:bCs/>
      <w:kern w:val="2"/>
      <w:sz w:val="24"/>
      <w:szCs w:val="28"/>
    </w:rPr>
  </w:style>
  <w:style w:type="paragraph" w:customStyle="1" w:styleId="188">
    <w:name w:val="图标题"/>
    <w:basedOn w:val="14"/>
    <w:link w:val="189"/>
    <w:qFormat/>
    <w:uiPriority w:val="0"/>
    <w:pPr>
      <w:ind w:firstLine="482"/>
      <w:outlineLvl w:val="4"/>
    </w:pPr>
    <w:rPr>
      <w:sz w:val="24"/>
    </w:rPr>
  </w:style>
  <w:style w:type="character" w:customStyle="1" w:styleId="189">
    <w:name w:val="图标题 字符"/>
    <w:basedOn w:val="56"/>
    <w:link w:val="188"/>
    <w:qFormat/>
    <w:uiPriority w:val="0"/>
    <w:rPr>
      <w:rFonts w:eastAsia="黑体"/>
      <w:kern w:val="2"/>
      <w:sz w:val="24"/>
      <w:szCs w:val="24"/>
    </w:rPr>
  </w:style>
  <w:style w:type="table" w:customStyle="1" w:styleId="190">
    <w:name w:val="双线框"/>
    <w:basedOn w:val="41"/>
    <w:qFormat/>
    <w:uiPriority w:val="99"/>
    <w:pPr>
      <w:jc w:val="center"/>
    </w:pPr>
    <w:rPr>
      <w:rFonts w:eastAsia="Times New Roman" w:asciiTheme="minorHAnsi" w:hAnsiTheme="minorHAnsi" w:cstheme="minorBidi"/>
      <w:kern w:val="2"/>
      <w:sz w:val="21"/>
      <w:szCs w:val="21"/>
    </w:rPr>
    <w:tblP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
    <w:tcPr>
      <w:vAlign w:val="center"/>
    </w:tcPr>
  </w:style>
  <w:style w:type="character" w:customStyle="1" w:styleId="191">
    <w:name w:val="图片居中 字符"/>
    <w:basedOn w:val="44"/>
    <w:link w:val="60"/>
    <w:qFormat/>
    <w:uiPriority w:val="0"/>
    <w:rPr>
      <w:rFonts w:eastAsia="Times New Roman"/>
      <w:sz w:val="29"/>
      <w:szCs w:val="29"/>
      <w:lang w:eastAsia="en-US"/>
    </w:rPr>
  </w:style>
  <w:style w:type="paragraph" w:customStyle="1" w:styleId="192">
    <w:name w:val="目录"/>
    <w:next w:val="1"/>
    <w:link w:val="193"/>
    <w:qFormat/>
    <w:uiPriority w:val="0"/>
    <w:pPr>
      <w:tabs>
        <w:tab w:val="right" w:leader="dot" w:pos="8300"/>
      </w:tabs>
      <w:ind w:left="480" w:firstLine="440"/>
    </w:pPr>
    <w:rPr>
      <w:rFonts w:ascii="Times New Roman" w:hAnsi="Times New Roman" w:eastAsia="宋体" w:cs="Times New Roman"/>
      <w:sz w:val="22"/>
      <w:szCs w:val="22"/>
      <w:lang w:val="en-US" w:eastAsia="en-US" w:bidi="ar-SA"/>
    </w:rPr>
  </w:style>
  <w:style w:type="character" w:customStyle="1" w:styleId="193">
    <w:name w:val="目录 字符"/>
    <w:basedOn w:val="44"/>
    <w:link w:val="192"/>
    <w:qFormat/>
    <w:uiPriority w:val="0"/>
    <w:rPr>
      <w:sz w:val="22"/>
      <w:szCs w:val="22"/>
      <w:lang w:eastAsia="en-US"/>
    </w:rPr>
  </w:style>
  <w:style w:type="paragraph" w:customStyle="1" w:styleId="194">
    <w:name w:val="图表内容"/>
    <w:basedOn w:val="1"/>
    <w:next w:val="1"/>
    <w:qFormat/>
    <w:uiPriority w:val="0"/>
    <w:pPr>
      <w:snapToGrid/>
      <w:spacing w:line="240" w:lineRule="auto"/>
      <w:ind w:firstLine="0" w:firstLineChars="0"/>
      <w:jc w:val="center"/>
      <w:textAlignment w:val="baseline"/>
    </w:pPr>
    <w:rPr>
      <w:rFonts w:ascii="宋体" w:cs="Times New Roman" w:hAnsiTheme="minorHAnsi" w:eastAsiaTheme="minorEastAsia"/>
      <w:sz w:val="21"/>
      <w:szCs w:val="20"/>
    </w:rPr>
  </w:style>
  <w:style w:type="paragraph" w:customStyle="1" w:styleId="195">
    <w:name w:val="正法律法规0"/>
    <w:basedOn w:val="1"/>
    <w:qFormat/>
    <w:uiPriority w:val="0"/>
    <w:pPr>
      <w:numPr>
        <w:ilvl w:val="0"/>
        <w:numId w:val="3"/>
      </w:numPr>
      <w:ind w:firstLine="0" w:firstLineChars="0"/>
    </w:pPr>
    <w:rPr>
      <w:rFonts w:cs="Times New Roman"/>
      <w:color w:val="000000" w:themeColor="text1"/>
      <w:kern w:val="0"/>
      <w:szCs w:val="24"/>
      <w14:textFill>
        <w14:solidFill>
          <w14:schemeClr w14:val="tx1"/>
        </w14:solidFill>
      </w14:textFill>
    </w:rPr>
  </w:style>
  <w:style w:type="paragraph" w:customStyle="1" w:styleId="196">
    <w:name w:val="图表标题"/>
    <w:basedOn w:val="1"/>
    <w:next w:val="97"/>
    <w:link w:val="288"/>
    <w:qFormat/>
    <w:uiPriority w:val="0"/>
    <w:pPr>
      <w:spacing w:line="560" w:lineRule="exact"/>
      <w:ind w:firstLine="0" w:firstLineChars="0"/>
      <w:jc w:val="center"/>
      <w:textAlignment w:val="baseline"/>
    </w:pPr>
    <w:rPr>
      <w:rFonts w:ascii="黑体" w:eastAsia="黑体" w:cs="Times New Roman"/>
      <w:sz w:val="21"/>
      <w:szCs w:val="21"/>
    </w:rPr>
  </w:style>
  <w:style w:type="paragraph" w:customStyle="1" w:styleId="197">
    <w:name w:val="标题 11"/>
    <w:basedOn w:val="1"/>
    <w:qFormat/>
    <w:uiPriority w:val="1"/>
    <w:pPr>
      <w:widowControl/>
      <w:adjustRightInd/>
      <w:snapToGrid/>
      <w:spacing w:line="240" w:lineRule="auto"/>
      <w:ind w:firstLine="0" w:firstLineChars="0"/>
      <w:jc w:val="left"/>
      <w:outlineLvl w:val="1"/>
    </w:pPr>
    <w:rPr>
      <w:rFonts w:eastAsia="Times New Roman" w:cs="Times New Roman"/>
      <w:kern w:val="0"/>
      <w:sz w:val="29"/>
      <w:szCs w:val="29"/>
      <w:lang w:eastAsia="en-US"/>
    </w:rPr>
  </w:style>
  <w:style w:type="paragraph" w:customStyle="1" w:styleId="198">
    <w:name w:val="图表名称"/>
    <w:basedOn w:val="1"/>
    <w:next w:val="1"/>
    <w:link w:val="199"/>
    <w:qFormat/>
    <w:uiPriority w:val="99"/>
    <w:pPr>
      <w:adjustRightInd/>
      <w:snapToGrid/>
      <w:spacing w:beforeLines="50" w:line="240" w:lineRule="auto"/>
      <w:ind w:firstLine="0" w:firstLineChars="0"/>
      <w:jc w:val="center"/>
    </w:pPr>
    <w:rPr>
      <w:rFonts w:eastAsia="仿宋_GB2312" w:cs="Times New Roman"/>
      <w:b/>
      <w:szCs w:val="28"/>
    </w:rPr>
  </w:style>
  <w:style w:type="character" w:customStyle="1" w:styleId="199">
    <w:name w:val="图表名称 字符"/>
    <w:basedOn w:val="44"/>
    <w:link w:val="198"/>
    <w:qFormat/>
    <w:uiPriority w:val="99"/>
    <w:rPr>
      <w:rFonts w:eastAsia="仿宋_GB2312"/>
      <w:b/>
      <w:kern w:val="2"/>
      <w:sz w:val="24"/>
      <w:szCs w:val="28"/>
    </w:rPr>
  </w:style>
  <w:style w:type="table" w:customStyle="1" w:styleId="200">
    <w:name w:val="表格样式LLL1"/>
    <w:basedOn w:val="41"/>
    <w:qFormat/>
    <w:uiPriority w:val="0"/>
    <w:pPr>
      <w:widowControl w:val="0"/>
      <w:jc w:val="center"/>
    </w:pPr>
    <w:tblPr>
      <w:tblBorders>
        <w:top w:val="single" w:color="auto" w:sz="12" w:space="0"/>
        <w:bottom w:val="single" w:color="auto" w:sz="12" w:space="0"/>
        <w:insideH w:val="single" w:color="auto" w:sz="2" w:space="0"/>
        <w:insideV w:val="single" w:color="auto" w:sz="2" w:space="0"/>
      </w:tblBorders>
    </w:tblPr>
    <w:tcPr>
      <w:shd w:val="clear" w:color="auto" w:fill="auto"/>
      <w:vAlign w:val="center"/>
    </w:tcPr>
    <w:tblStylePr w:type="firstRow">
      <w:rPr>
        <w:b/>
        <w:bCs/>
        <w:color w:val="000080"/>
      </w:rPr>
      <w:tcPr>
        <w:tcBorders>
          <w:bottom w:val="single" w:color="000000" w:sz="12" w:space="0"/>
          <w:tl2br w:val="nil"/>
          <w:tr2bl w:val="nil"/>
        </w:tcBorders>
      </w:tcPr>
    </w:tblStylePr>
    <w:tblStylePr w:type="lastRow">
      <w:tcPr>
        <w:tcBorders>
          <w:top w:val="single" w:color="000000" w:sz="12" w:space="0"/>
          <w:tl2br w:val="nil"/>
          <w:tr2bl w:val="nil"/>
        </w:tcBorders>
      </w:tcPr>
    </w:tblStylePr>
    <w:tblStylePr w:type="swCell">
      <w:rPr>
        <w:i/>
        <w:iCs/>
        <w:color w:val="000080"/>
      </w:rPr>
      <w:tcPr>
        <w:tcBorders>
          <w:tl2br w:val="nil"/>
          <w:tr2bl w:val="nil"/>
        </w:tcBorders>
      </w:tcPr>
    </w:tblStylePr>
  </w:style>
  <w:style w:type="character" w:customStyle="1" w:styleId="201">
    <w:name w:val="正文文本 字符"/>
    <w:basedOn w:val="44"/>
    <w:link w:val="19"/>
    <w:qFormat/>
    <w:uiPriority w:val="99"/>
    <w:rPr>
      <w:rFonts w:ascii="宋体" w:hAnsi="宋体"/>
      <w:sz w:val="24"/>
      <w:szCs w:val="24"/>
      <w:lang w:eastAsia="en-US"/>
    </w:rPr>
  </w:style>
  <w:style w:type="paragraph" w:customStyle="1" w:styleId="202">
    <w:name w:val="0表格正文"/>
    <w:link w:val="203"/>
    <w:qFormat/>
    <w:uiPriority w:val="0"/>
    <w:pPr>
      <w:jc w:val="center"/>
    </w:pPr>
    <w:rPr>
      <w:rFonts w:ascii="Times New Roman" w:hAnsi="Times New Roman" w:eastAsia="宋体" w:cstheme="minorBidi"/>
      <w:sz w:val="21"/>
      <w:szCs w:val="21"/>
      <w:lang w:val="en-US" w:eastAsia="zh-CN" w:bidi="ar-SA"/>
    </w:rPr>
  </w:style>
  <w:style w:type="character" w:customStyle="1" w:styleId="203">
    <w:name w:val="0表格正文 字符"/>
    <w:basedOn w:val="44"/>
    <w:link w:val="202"/>
    <w:qFormat/>
    <w:uiPriority w:val="0"/>
    <w:rPr>
      <w:rFonts w:cstheme="minorBidi"/>
      <w:sz w:val="21"/>
      <w:szCs w:val="21"/>
    </w:rPr>
  </w:style>
  <w:style w:type="character" w:customStyle="1" w:styleId="204">
    <w:name w:val="正文文本缩进 2 字符"/>
    <w:basedOn w:val="44"/>
    <w:link w:val="24"/>
    <w:qFormat/>
    <w:uiPriority w:val="99"/>
    <w:rPr>
      <w:rFonts w:cstheme="minorBidi"/>
      <w:kern w:val="2"/>
      <w:sz w:val="24"/>
      <w:szCs w:val="22"/>
    </w:rPr>
  </w:style>
  <w:style w:type="character" w:customStyle="1" w:styleId="205">
    <w:name w:val="fontstyle01"/>
    <w:basedOn w:val="44"/>
    <w:qFormat/>
    <w:uiPriority w:val="0"/>
    <w:rPr>
      <w:rFonts w:hint="eastAsia" w:ascii="宋体" w:hAnsi="宋体" w:eastAsia="宋体"/>
      <w:color w:val="000000"/>
      <w:sz w:val="24"/>
      <w:szCs w:val="24"/>
    </w:rPr>
  </w:style>
  <w:style w:type="character" w:customStyle="1" w:styleId="206">
    <w:name w:val="纯文本 字符"/>
    <w:basedOn w:val="44"/>
    <w:link w:val="22"/>
    <w:qFormat/>
    <w:uiPriority w:val="0"/>
    <w:rPr>
      <w:rFonts w:ascii="宋体" w:hAnsi="Courier New" w:eastAsia="Calibri"/>
      <w:sz w:val="24"/>
    </w:rPr>
  </w:style>
  <w:style w:type="paragraph" w:customStyle="1" w:styleId="207">
    <w:name w:val="_Style 2"/>
    <w:basedOn w:val="1"/>
    <w:qFormat/>
    <w:uiPriority w:val="34"/>
    <w:pPr>
      <w:adjustRightInd/>
      <w:snapToGrid/>
      <w:spacing w:line="240" w:lineRule="auto"/>
      <w:ind w:firstLine="420"/>
    </w:pPr>
    <w:rPr>
      <w:rFonts w:cs="Times New Roman"/>
      <w:sz w:val="21"/>
      <w:szCs w:val="24"/>
    </w:rPr>
  </w:style>
  <w:style w:type="character" w:customStyle="1" w:styleId="208">
    <w:name w:val="正文文本首行缩进 字符"/>
    <w:basedOn w:val="201"/>
    <w:link w:val="39"/>
    <w:semiHidden/>
    <w:qFormat/>
    <w:uiPriority w:val="0"/>
    <w:rPr>
      <w:rFonts w:ascii="宋体" w:hAnsi="宋体" w:cstheme="minorBidi"/>
      <w:kern w:val="2"/>
      <w:sz w:val="24"/>
      <w:szCs w:val="22"/>
      <w:lang w:eastAsia="en-US"/>
    </w:rPr>
  </w:style>
  <w:style w:type="table" w:customStyle="1" w:styleId="209">
    <w:name w:val="网格型1"/>
    <w:basedOn w:val="41"/>
    <w:unhideWhenUsed/>
    <w:qFormat/>
    <w:uiPriority w:val="99"/>
    <w:pPr>
      <w:widowControl w:val="0"/>
      <w:autoSpaceDE w:val="0"/>
      <w:autoSpaceDN w:val="0"/>
      <w:jc w:val="both"/>
    </w:pPr>
    <w:rPr>
      <w:rFonts w:ascii="Calibri" w:hAnsi="Calibri" w:eastAsia="Times New Roman"/>
      <w:sz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10">
    <w:name w:val="网格型2"/>
    <w:basedOn w:val="41"/>
    <w:unhideWhenUsed/>
    <w:qFormat/>
    <w:uiPriority w:val="99"/>
    <w:pPr>
      <w:widowControl w:val="0"/>
      <w:autoSpaceDE w:val="0"/>
      <w:autoSpaceDN w:val="0"/>
      <w:jc w:val="both"/>
    </w:pPr>
    <w:rPr>
      <w:rFonts w:ascii="Calibri" w:hAnsi="Calibri" w:eastAsia="Times New Roman"/>
      <w:sz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11">
    <w:name w:val="Default"/>
    <w:basedOn w:val="1"/>
    <w:qFormat/>
    <w:uiPriority w:val="0"/>
    <w:pPr>
      <w:autoSpaceDE w:val="0"/>
      <w:autoSpaceDN w:val="0"/>
      <w:snapToGrid/>
      <w:spacing w:line="315" w:lineRule="atLeast"/>
      <w:ind w:firstLine="0" w:firstLineChars="0"/>
      <w:jc w:val="left"/>
      <w:textAlignment w:val="baseline"/>
    </w:pPr>
    <w:rPr>
      <w:rFonts w:ascii="宋体" w:hAnsi="宋体" w:cs="宋体"/>
      <w:color w:val="000000"/>
      <w:kern w:val="0"/>
      <w:szCs w:val="24"/>
    </w:rPr>
  </w:style>
  <w:style w:type="paragraph" w:customStyle="1" w:styleId="212">
    <w:name w:val="表头图名"/>
    <w:next w:val="1"/>
    <w:qFormat/>
    <w:uiPriority w:val="0"/>
    <w:pPr>
      <w:spacing w:line="360" w:lineRule="auto"/>
      <w:jc w:val="center"/>
    </w:pPr>
    <w:rPr>
      <w:rFonts w:ascii="Times New Roman" w:hAnsi="Times New Roman" w:eastAsia="黑体" w:cs="Times New Roman"/>
      <w:sz w:val="24"/>
      <w:lang w:val="en-US" w:eastAsia="zh-CN" w:bidi="ar-SA"/>
    </w:rPr>
  </w:style>
  <w:style w:type="paragraph" w:customStyle="1" w:styleId="213">
    <w:name w:val="【正文】"/>
    <w:qFormat/>
    <w:uiPriority w:val="0"/>
    <w:pPr>
      <w:adjustRightInd w:val="0"/>
      <w:snapToGrid w:val="0"/>
      <w:spacing w:line="360" w:lineRule="auto"/>
      <w:ind w:firstLine="200" w:firstLineChars="200"/>
      <w:jc w:val="both"/>
    </w:pPr>
    <w:rPr>
      <w:rFonts w:ascii="Calibri" w:hAnsi="Calibri" w:eastAsia="Times New Roman" w:cs="宋体"/>
      <w:color w:val="0000CC"/>
      <w:kern w:val="2"/>
      <w:sz w:val="24"/>
      <w:szCs w:val="22"/>
      <w:lang w:val="en-US" w:eastAsia="zh-CN" w:bidi="ar-SA"/>
    </w:rPr>
  </w:style>
  <w:style w:type="character" w:customStyle="1" w:styleId="214">
    <w:name w:val="正文缩进 字符"/>
    <w:link w:val="13"/>
    <w:qFormat/>
    <w:uiPriority w:val="0"/>
    <w:rPr>
      <w:rFonts w:ascii="宋体" w:hAnsi="Calibri"/>
      <w:kern w:val="2"/>
      <w:sz w:val="28"/>
      <w:szCs w:val="22"/>
    </w:rPr>
  </w:style>
  <w:style w:type="table" w:customStyle="1" w:styleId="215">
    <w:name w:val="网格型3"/>
    <w:basedOn w:val="41"/>
    <w:unhideWhenUsed/>
    <w:qFormat/>
    <w:uiPriority w:val="99"/>
    <w:pPr>
      <w:widowControl w:val="0"/>
      <w:autoSpaceDE w:val="0"/>
      <w:autoSpaceDN w:val="0"/>
      <w:jc w:val="both"/>
    </w:pPr>
    <w:rPr>
      <w:rFonts w:ascii="Calibri" w:hAnsi="Calibri" w:eastAsia="Times New Roman"/>
      <w:sz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16">
    <w:name w:val="普通(网站) 字符"/>
    <w:link w:val="35"/>
    <w:qFormat/>
    <w:uiPriority w:val="0"/>
    <w:rPr>
      <w:rFonts w:ascii="宋体" w:hAnsi="宋体"/>
      <w:sz w:val="24"/>
      <w:szCs w:val="24"/>
    </w:rPr>
  </w:style>
  <w:style w:type="paragraph" w:customStyle="1" w:styleId="217">
    <w:name w:val="WJ表内文字"/>
    <w:basedOn w:val="1"/>
    <w:link w:val="218"/>
    <w:qFormat/>
    <w:uiPriority w:val="0"/>
    <w:pPr>
      <w:spacing w:line="360" w:lineRule="exact"/>
      <w:ind w:firstLine="0" w:firstLineChars="0"/>
      <w:jc w:val="center"/>
    </w:pPr>
    <w:rPr>
      <w:rFonts w:ascii="宋体" w:hAnsi="宋体" w:cs="Times New Roman"/>
      <w:b/>
      <w:bCs/>
      <w:kern w:val="0"/>
      <w:sz w:val="21"/>
      <w:szCs w:val="21"/>
    </w:rPr>
  </w:style>
  <w:style w:type="character" w:customStyle="1" w:styleId="218">
    <w:name w:val="WJ表内文字 Char"/>
    <w:link w:val="217"/>
    <w:qFormat/>
    <w:uiPriority w:val="0"/>
    <w:rPr>
      <w:rFonts w:ascii="宋体" w:hAnsi="宋体"/>
      <w:b/>
      <w:bCs/>
      <w:sz w:val="21"/>
      <w:szCs w:val="21"/>
    </w:rPr>
  </w:style>
  <w:style w:type="table" w:customStyle="1" w:styleId="219">
    <w:name w:val="双线表6"/>
    <w:basedOn w:val="41"/>
    <w:qFormat/>
    <w:uiPriority w:val="99"/>
    <w:pPr>
      <w:jc w:val="center"/>
    </w:pPr>
    <w:rPr>
      <w:rFonts w:eastAsia="Times New Roman"/>
      <w:snapToGrid w:val="0"/>
    </w:rPr>
    <w:tblP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
    <w:tcPr>
      <w:vAlign w:val="center"/>
    </w:tcPr>
  </w:style>
  <w:style w:type="paragraph" w:customStyle="1" w:styleId="220">
    <w:name w:val="0表头"/>
    <w:basedOn w:val="202"/>
    <w:link w:val="221"/>
    <w:qFormat/>
    <w:uiPriority w:val="0"/>
    <w:rPr>
      <w:rFonts w:eastAsia="黑体"/>
      <w:b/>
    </w:rPr>
  </w:style>
  <w:style w:type="character" w:customStyle="1" w:styleId="221">
    <w:name w:val="0表头 字符"/>
    <w:basedOn w:val="203"/>
    <w:link w:val="220"/>
    <w:qFormat/>
    <w:uiPriority w:val="0"/>
    <w:rPr>
      <w:rFonts w:eastAsia="黑体" w:cstheme="minorBidi"/>
      <w:b/>
      <w:sz w:val="21"/>
      <w:szCs w:val="21"/>
    </w:rPr>
  </w:style>
  <w:style w:type="character" w:customStyle="1" w:styleId="222">
    <w:name w:val="标题 8 字符"/>
    <w:basedOn w:val="44"/>
    <w:link w:val="10"/>
    <w:qFormat/>
    <w:uiPriority w:val="0"/>
    <w:rPr>
      <w:rFonts w:ascii="Arial" w:hAnsi="Arial" w:eastAsia="黑体" w:cs="Arial"/>
      <w:snapToGrid w:val="0"/>
      <w:sz w:val="24"/>
      <w:szCs w:val="24"/>
    </w:rPr>
  </w:style>
  <w:style w:type="character" w:customStyle="1" w:styleId="223">
    <w:name w:val="标题 9 字符"/>
    <w:basedOn w:val="44"/>
    <w:link w:val="11"/>
    <w:qFormat/>
    <w:uiPriority w:val="0"/>
    <w:rPr>
      <w:rFonts w:ascii="Arial" w:hAnsi="Arial" w:eastAsia="黑体" w:cs="Arial"/>
      <w:snapToGrid w:val="0"/>
      <w:sz w:val="21"/>
      <w:szCs w:val="21"/>
    </w:rPr>
  </w:style>
  <w:style w:type="paragraph" w:customStyle="1" w:styleId="224">
    <w:name w:val="TOC 71"/>
    <w:basedOn w:val="1"/>
    <w:next w:val="1"/>
    <w:unhideWhenUsed/>
    <w:qFormat/>
    <w:uiPriority w:val="39"/>
    <w:pPr>
      <w:adjustRightInd/>
      <w:snapToGrid/>
      <w:spacing w:line="240" w:lineRule="auto"/>
      <w:ind w:left="2520" w:leftChars="1200" w:firstLine="0" w:firstLineChars="0"/>
    </w:pPr>
    <w:rPr>
      <w:sz w:val="21"/>
      <w14:ligatures w14:val="standardContextual"/>
    </w:rPr>
  </w:style>
  <w:style w:type="character" w:customStyle="1" w:styleId="225">
    <w:name w:val="注释标题 字符"/>
    <w:basedOn w:val="44"/>
    <w:link w:val="12"/>
    <w:semiHidden/>
    <w:qFormat/>
    <w:uiPriority w:val="99"/>
    <w:rPr>
      <w:rFonts w:ascii="仿宋_GB2312" w:hAnsi="仿宋_GB2312"/>
    </w:rPr>
  </w:style>
  <w:style w:type="character" w:customStyle="1" w:styleId="226">
    <w:name w:val="文档结构图 字符"/>
    <w:basedOn w:val="44"/>
    <w:link w:val="15"/>
    <w:qFormat/>
    <w:uiPriority w:val="99"/>
    <w:rPr>
      <w:rFonts w:ascii="宋体"/>
      <w:sz w:val="18"/>
      <w:szCs w:val="18"/>
    </w:rPr>
  </w:style>
  <w:style w:type="character" w:customStyle="1" w:styleId="227">
    <w:name w:val="正文文本 3 字符"/>
    <w:basedOn w:val="44"/>
    <w:link w:val="18"/>
    <w:qFormat/>
    <w:uiPriority w:val="99"/>
    <w:rPr>
      <w:sz w:val="16"/>
      <w:szCs w:val="16"/>
    </w:rPr>
  </w:style>
  <w:style w:type="character" w:customStyle="1" w:styleId="228">
    <w:name w:val="正文文本缩进 字符"/>
    <w:basedOn w:val="44"/>
    <w:link w:val="20"/>
    <w:qFormat/>
    <w:uiPriority w:val="99"/>
    <w:rPr>
      <w:sz w:val="24"/>
      <w:szCs w:val="24"/>
    </w:rPr>
  </w:style>
  <w:style w:type="paragraph" w:customStyle="1" w:styleId="229">
    <w:name w:val="TOC 51"/>
    <w:basedOn w:val="1"/>
    <w:next w:val="1"/>
    <w:unhideWhenUsed/>
    <w:qFormat/>
    <w:uiPriority w:val="39"/>
    <w:pPr>
      <w:adjustRightInd/>
      <w:snapToGrid/>
      <w:spacing w:line="240" w:lineRule="auto"/>
      <w:ind w:left="1680" w:leftChars="800" w:firstLine="0" w:firstLineChars="0"/>
    </w:pPr>
    <w:rPr>
      <w:sz w:val="21"/>
      <w14:ligatures w14:val="standardContextual"/>
    </w:rPr>
  </w:style>
  <w:style w:type="paragraph" w:customStyle="1" w:styleId="230">
    <w:name w:val="TOC 81"/>
    <w:basedOn w:val="1"/>
    <w:next w:val="1"/>
    <w:unhideWhenUsed/>
    <w:qFormat/>
    <w:uiPriority w:val="39"/>
    <w:pPr>
      <w:adjustRightInd/>
      <w:snapToGrid/>
      <w:spacing w:line="240" w:lineRule="auto"/>
      <w:ind w:left="2940" w:leftChars="1400" w:firstLine="0" w:firstLineChars="0"/>
    </w:pPr>
    <w:rPr>
      <w:sz w:val="21"/>
      <w14:ligatures w14:val="standardContextual"/>
    </w:rPr>
  </w:style>
  <w:style w:type="character" w:customStyle="1" w:styleId="231">
    <w:name w:val="日期 字符"/>
    <w:basedOn w:val="44"/>
    <w:link w:val="23"/>
    <w:semiHidden/>
    <w:qFormat/>
    <w:uiPriority w:val="99"/>
    <w:rPr>
      <w:sz w:val="24"/>
      <w:szCs w:val="24"/>
    </w:rPr>
  </w:style>
  <w:style w:type="paragraph" w:customStyle="1" w:styleId="232">
    <w:name w:val="页脚1"/>
    <w:basedOn w:val="1"/>
    <w:next w:val="26"/>
    <w:link w:val="243"/>
    <w:qFormat/>
    <w:uiPriority w:val="99"/>
    <w:pPr>
      <w:tabs>
        <w:tab w:val="center" w:pos="4153"/>
        <w:tab w:val="right" w:pos="8306"/>
      </w:tabs>
      <w:jc w:val="left"/>
    </w:pPr>
    <w:rPr>
      <w:rFonts w:cs="Times New Roman"/>
      <w:snapToGrid w:val="0"/>
      <w:kern w:val="0"/>
      <w:sz w:val="18"/>
      <w:szCs w:val="18"/>
    </w:rPr>
  </w:style>
  <w:style w:type="paragraph" w:customStyle="1" w:styleId="233">
    <w:name w:val="页眉1"/>
    <w:basedOn w:val="1"/>
    <w:next w:val="27"/>
    <w:link w:val="244"/>
    <w:qFormat/>
    <w:uiPriority w:val="99"/>
    <w:pPr>
      <w:pBdr>
        <w:bottom w:val="single" w:color="auto" w:sz="6" w:space="1"/>
      </w:pBdr>
      <w:tabs>
        <w:tab w:val="center" w:pos="4153"/>
        <w:tab w:val="right" w:pos="8306"/>
      </w:tabs>
      <w:jc w:val="center"/>
    </w:pPr>
    <w:rPr>
      <w:rFonts w:cs="Times New Roman"/>
      <w:snapToGrid w:val="0"/>
      <w:kern w:val="0"/>
      <w:sz w:val="18"/>
      <w:szCs w:val="18"/>
    </w:rPr>
  </w:style>
  <w:style w:type="paragraph" w:customStyle="1" w:styleId="234">
    <w:name w:val="TOC 41"/>
    <w:basedOn w:val="1"/>
    <w:next w:val="1"/>
    <w:unhideWhenUsed/>
    <w:qFormat/>
    <w:uiPriority w:val="39"/>
    <w:pPr>
      <w:adjustRightInd/>
      <w:snapToGrid/>
      <w:spacing w:line="240" w:lineRule="auto"/>
      <w:ind w:left="1260" w:leftChars="600" w:firstLine="0" w:firstLineChars="0"/>
    </w:pPr>
    <w:rPr>
      <w:sz w:val="21"/>
      <w14:ligatures w14:val="standardContextual"/>
    </w:rPr>
  </w:style>
  <w:style w:type="character" w:customStyle="1" w:styleId="235">
    <w:name w:val="脚注文本 字符"/>
    <w:basedOn w:val="44"/>
    <w:link w:val="31"/>
    <w:semiHidden/>
    <w:qFormat/>
    <w:uiPriority w:val="99"/>
    <w:rPr>
      <w:sz w:val="18"/>
      <w:szCs w:val="18"/>
    </w:rPr>
  </w:style>
  <w:style w:type="paragraph" w:customStyle="1" w:styleId="236">
    <w:name w:val="TOC 61"/>
    <w:basedOn w:val="1"/>
    <w:next w:val="1"/>
    <w:unhideWhenUsed/>
    <w:qFormat/>
    <w:uiPriority w:val="39"/>
    <w:pPr>
      <w:adjustRightInd/>
      <w:snapToGrid/>
      <w:spacing w:line="240" w:lineRule="auto"/>
      <w:ind w:left="2100" w:leftChars="1000" w:firstLine="0" w:firstLineChars="0"/>
    </w:pPr>
    <w:rPr>
      <w:sz w:val="21"/>
      <w14:ligatures w14:val="standardContextual"/>
    </w:rPr>
  </w:style>
  <w:style w:type="paragraph" w:customStyle="1" w:styleId="237">
    <w:name w:val="列表 51"/>
    <w:basedOn w:val="1"/>
    <w:next w:val="32"/>
    <w:semiHidden/>
    <w:qFormat/>
    <w:uiPriority w:val="99"/>
    <w:pPr>
      <w:ind w:left="100" w:leftChars="800" w:hanging="200" w:hangingChars="200"/>
      <w:contextualSpacing/>
    </w:pPr>
    <w:rPr>
      <w:snapToGrid w:val="0"/>
      <w:kern w:val="0"/>
      <w:szCs w:val="21"/>
    </w:rPr>
  </w:style>
  <w:style w:type="paragraph" w:customStyle="1" w:styleId="238">
    <w:name w:val="TOC 91"/>
    <w:basedOn w:val="1"/>
    <w:next w:val="1"/>
    <w:unhideWhenUsed/>
    <w:qFormat/>
    <w:uiPriority w:val="39"/>
    <w:pPr>
      <w:adjustRightInd/>
      <w:snapToGrid/>
      <w:spacing w:line="240" w:lineRule="auto"/>
      <w:ind w:left="3360" w:leftChars="1600" w:firstLine="0" w:firstLineChars="0"/>
    </w:pPr>
    <w:rPr>
      <w:sz w:val="21"/>
      <w14:ligatures w14:val="standardContextual"/>
    </w:rPr>
  </w:style>
  <w:style w:type="character" w:customStyle="1" w:styleId="239">
    <w:name w:val="正文文本首行缩进 2 字符"/>
    <w:basedOn w:val="228"/>
    <w:link w:val="40"/>
    <w:qFormat/>
    <w:uiPriority w:val="99"/>
    <w:rPr>
      <w:sz w:val="24"/>
      <w:szCs w:val="22"/>
    </w:rPr>
  </w:style>
  <w:style w:type="table" w:customStyle="1" w:styleId="240">
    <w:name w:val="网格型4"/>
    <w:basedOn w:val="41"/>
    <w:qFormat/>
    <w:uiPriority w:val="0"/>
    <w:tblPr>
      <w:tblBorders>
        <w:top w:val="single" w:color="auto" w:sz="12" w:space="0"/>
        <w:bottom w:val="single" w:color="auto" w:sz="12" w:space="0"/>
        <w:insideH w:val="single" w:color="auto" w:sz="4" w:space="0"/>
        <w:insideV w:val="single" w:color="auto" w:sz="4" w:space="0"/>
      </w:tblBorders>
    </w:tblPr>
    <w:tcPr>
      <w:vAlign w:val="center"/>
    </w:tcPr>
    <w:tblStylePr w:type="firstRow">
      <w:tcPr>
        <w:tcBorders>
          <w:top w:val="single" w:color="auto" w:sz="12" w:space="0"/>
        </w:tcBorders>
      </w:tcPr>
    </w:tblStylePr>
    <w:tblStylePr w:type="lastRow">
      <w:tcPr>
        <w:tcBorders>
          <w:bottom w:val="single" w:color="auto" w:sz="12" w:space="0"/>
        </w:tcBorders>
      </w:tcPr>
    </w:tblStylePr>
    <w:tblStylePr w:type="firstCol">
      <w:tcPr>
        <w:tcBorders>
          <w:left w:val="nil"/>
        </w:tcBorders>
      </w:tcPr>
    </w:tblStylePr>
    <w:tblStylePr w:type="lastCol">
      <w:tcPr>
        <w:tcBorders>
          <w:right w:val="nil"/>
        </w:tcBorders>
      </w:tcPr>
    </w:tblStylePr>
  </w:style>
  <w:style w:type="paragraph" w:customStyle="1" w:styleId="241">
    <w:name w:val="图   标题"/>
    <w:link w:val="242"/>
    <w:qFormat/>
    <w:uiPriority w:val="0"/>
    <w:pPr>
      <w:widowControl w:val="0"/>
      <w:spacing w:line="360" w:lineRule="auto"/>
      <w:jc w:val="center"/>
      <w:outlineLvl w:val="5"/>
    </w:pPr>
    <w:rPr>
      <w:rFonts w:ascii="宋体" w:hAnsi="宋体" w:eastAsia="宋体" w:cs="宋体"/>
      <w:sz w:val="22"/>
      <w:szCs w:val="24"/>
      <w:lang w:val="en-US" w:eastAsia="zh-CN" w:bidi="ar-SA"/>
    </w:rPr>
  </w:style>
  <w:style w:type="character" w:customStyle="1" w:styleId="242">
    <w:name w:val="图   标题 字符"/>
    <w:basedOn w:val="44"/>
    <w:link w:val="241"/>
    <w:qFormat/>
    <w:uiPriority w:val="0"/>
    <w:rPr>
      <w:rFonts w:ascii="宋体" w:hAnsi="宋体" w:cs="宋体"/>
      <w:sz w:val="22"/>
      <w:szCs w:val="24"/>
    </w:rPr>
  </w:style>
  <w:style w:type="character" w:customStyle="1" w:styleId="243">
    <w:name w:val="页脚 字符"/>
    <w:basedOn w:val="44"/>
    <w:link w:val="232"/>
    <w:qFormat/>
    <w:uiPriority w:val="99"/>
    <w:rPr>
      <w:rFonts w:cs="Times New Roman"/>
      <w:snapToGrid w:val="0"/>
      <w:sz w:val="18"/>
      <w:szCs w:val="18"/>
      <w14:ligatures w14:val="none"/>
    </w:rPr>
  </w:style>
  <w:style w:type="character" w:customStyle="1" w:styleId="244">
    <w:name w:val="页眉 字符"/>
    <w:basedOn w:val="44"/>
    <w:link w:val="233"/>
    <w:qFormat/>
    <w:uiPriority w:val="0"/>
    <w:rPr>
      <w:rFonts w:cs="Times New Roman"/>
      <w:snapToGrid w:val="0"/>
      <w:sz w:val="18"/>
      <w:szCs w:val="18"/>
      <w14:ligatures w14:val="none"/>
    </w:rPr>
  </w:style>
  <w:style w:type="paragraph" w:customStyle="1" w:styleId="245">
    <w:name w:val="列表段落1"/>
    <w:basedOn w:val="1"/>
    <w:next w:val="246"/>
    <w:link w:val="328"/>
    <w:qFormat/>
    <w:uiPriority w:val="1"/>
    <w:pPr>
      <w:ind w:firstLine="420"/>
    </w:pPr>
    <w:rPr>
      <w:snapToGrid w:val="0"/>
      <w:kern w:val="0"/>
      <w:szCs w:val="21"/>
    </w:rPr>
  </w:style>
  <w:style w:type="paragraph" w:styleId="246">
    <w:name w:val="List Paragraph"/>
    <w:basedOn w:val="1"/>
    <w:semiHidden/>
    <w:unhideWhenUsed/>
    <w:qFormat/>
    <w:uiPriority w:val="99"/>
    <w:pPr>
      <w:ind w:firstLine="420"/>
    </w:pPr>
  </w:style>
  <w:style w:type="paragraph" w:customStyle="1" w:styleId="247">
    <w:name w:val="封皮"/>
    <w:basedOn w:val="1"/>
    <w:link w:val="248"/>
    <w:qFormat/>
    <w:uiPriority w:val="0"/>
    <w:pPr>
      <w:spacing w:beforeLines="100" w:afterLines="100"/>
      <w:jc w:val="center"/>
    </w:pPr>
    <w:rPr>
      <w:rFonts w:cs="Times New Roman"/>
      <w:b/>
      <w:snapToGrid w:val="0"/>
      <w:color w:val="000000"/>
      <w:kern w:val="0"/>
      <w:sz w:val="48"/>
      <w:szCs w:val="24"/>
    </w:rPr>
  </w:style>
  <w:style w:type="character" w:customStyle="1" w:styleId="248">
    <w:name w:val="封皮 字符"/>
    <w:basedOn w:val="44"/>
    <w:link w:val="247"/>
    <w:qFormat/>
    <w:uiPriority w:val="0"/>
    <w:rPr>
      <w:b/>
      <w:snapToGrid w:val="0"/>
      <w:color w:val="000000"/>
      <w:sz w:val="48"/>
      <w:szCs w:val="24"/>
    </w:rPr>
  </w:style>
  <w:style w:type="paragraph" w:customStyle="1" w:styleId="249">
    <w:name w:val="正文（粗）"/>
    <w:basedOn w:val="1"/>
    <w:link w:val="250"/>
    <w:qFormat/>
    <w:uiPriority w:val="0"/>
    <w:pPr>
      <w:keepNext/>
      <w:jc w:val="left"/>
    </w:pPr>
    <w:rPr>
      <w:rFonts w:cs="Times New Roman"/>
      <w:b/>
      <w:snapToGrid w:val="0"/>
      <w:color w:val="000000"/>
      <w:kern w:val="0"/>
      <w:szCs w:val="24"/>
      <w:lang w:val="zh-CN"/>
    </w:rPr>
  </w:style>
  <w:style w:type="character" w:customStyle="1" w:styleId="250">
    <w:name w:val="正文（粗） 字符"/>
    <w:basedOn w:val="44"/>
    <w:link w:val="249"/>
    <w:qFormat/>
    <w:uiPriority w:val="0"/>
    <w:rPr>
      <w:b/>
      <w:snapToGrid w:val="0"/>
      <w:color w:val="000000"/>
      <w:sz w:val="24"/>
      <w:szCs w:val="24"/>
      <w:lang w:val="zh-CN"/>
    </w:rPr>
  </w:style>
  <w:style w:type="paragraph" w:customStyle="1" w:styleId="251">
    <w:name w:val="前言"/>
    <w:basedOn w:val="1"/>
    <w:link w:val="252"/>
    <w:qFormat/>
    <w:uiPriority w:val="0"/>
    <w:pPr>
      <w:keepNext/>
    </w:pPr>
    <w:rPr>
      <w:snapToGrid w:val="0"/>
      <w:kern w:val="0"/>
      <w:szCs w:val="21"/>
    </w:rPr>
  </w:style>
  <w:style w:type="character" w:customStyle="1" w:styleId="252">
    <w:name w:val="前言 字符"/>
    <w:basedOn w:val="44"/>
    <w:link w:val="251"/>
    <w:qFormat/>
    <w:uiPriority w:val="0"/>
    <w:rPr>
      <w:rFonts w:cstheme="minorBidi"/>
      <w:snapToGrid w:val="0"/>
      <w:sz w:val="24"/>
      <w:szCs w:val="21"/>
    </w:rPr>
  </w:style>
  <w:style w:type="paragraph" w:customStyle="1" w:styleId="253">
    <w:name w:val="图片"/>
    <w:basedOn w:val="1"/>
    <w:link w:val="254"/>
    <w:semiHidden/>
    <w:qFormat/>
    <w:uiPriority w:val="0"/>
    <w:pPr>
      <w:spacing w:line="240" w:lineRule="auto"/>
      <w:ind w:firstLine="0"/>
      <w:jc w:val="center"/>
    </w:pPr>
    <w:rPr>
      <w:rFonts w:cs="Times New Roman"/>
      <w:kern w:val="0"/>
      <w:sz w:val="18"/>
      <w:szCs w:val="24"/>
    </w:rPr>
  </w:style>
  <w:style w:type="character" w:customStyle="1" w:styleId="254">
    <w:name w:val="图片 字符"/>
    <w:basedOn w:val="44"/>
    <w:link w:val="253"/>
    <w:semiHidden/>
    <w:qFormat/>
    <w:uiPriority w:val="0"/>
    <w:rPr>
      <w:sz w:val="18"/>
      <w:szCs w:val="24"/>
    </w:rPr>
  </w:style>
  <w:style w:type="character" w:customStyle="1" w:styleId="255">
    <w:name w:val="表格内容 Char"/>
    <w:semiHidden/>
    <w:qFormat/>
    <w:locked/>
    <w:uiPriority w:val="0"/>
    <w:rPr>
      <w:rFonts w:ascii="Times New Roman" w:hAnsi="Times New Roman"/>
      <w:kern w:val="2"/>
      <w:sz w:val="21"/>
      <w:szCs w:val="21"/>
    </w:rPr>
  </w:style>
  <w:style w:type="character" w:customStyle="1" w:styleId="256">
    <w:name w:val="正  文 Char"/>
    <w:basedOn w:val="44"/>
    <w:link w:val="257"/>
    <w:semiHidden/>
    <w:qFormat/>
    <w:uiPriority w:val="0"/>
    <w:rPr>
      <w:rFonts w:ascii="宋体" w:hAnsi="宋体"/>
    </w:rPr>
  </w:style>
  <w:style w:type="paragraph" w:customStyle="1" w:styleId="257">
    <w:name w:val="正  文"/>
    <w:basedOn w:val="1"/>
    <w:next w:val="1"/>
    <w:link w:val="256"/>
    <w:semiHidden/>
    <w:qFormat/>
    <w:uiPriority w:val="0"/>
    <w:pPr>
      <w:spacing w:line="400" w:lineRule="exact"/>
    </w:pPr>
    <w:rPr>
      <w:rFonts w:ascii="宋体" w:hAnsi="宋体" w:cs="Times New Roman"/>
      <w:kern w:val="0"/>
      <w:sz w:val="20"/>
      <w:szCs w:val="20"/>
    </w:rPr>
  </w:style>
  <w:style w:type="paragraph" w:customStyle="1" w:styleId="258">
    <w:name w:val="图表名"/>
    <w:basedOn w:val="1"/>
    <w:link w:val="259"/>
    <w:semiHidden/>
    <w:qFormat/>
    <w:uiPriority w:val="0"/>
    <w:pPr>
      <w:spacing w:line="400" w:lineRule="exact"/>
      <w:ind w:firstLine="0"/>
      <w:jc w:val="center"/>
    </w:pPr>
    <w:rPr>
      <w:rFonts w:ascii="黑体" w:eastAsia="黑体" w:cs="Times New Roman"/>
      <w:smallCaps/>
      <w:spacing w:val="5"/>
      <w:kern w:val="0"/>
      <w:sz w:val="21"/>
      <w:szCs w:val="24"/>
    </w:rPr>
  </w:style>
  <w:style w:type="character" w:customStyle="1" w:styleId="259">
    <w:name w:val="图表名 Char"/>
    <w:link w:val="258"/>
    <w:semiHidden/>
    <w:qFormat/>
    <w:uiPriority w:val="0"/>
    <w:rPr>
      <w:rFonts w:ascii="黑体" w:eastAsia="黑体"/>
      <w:smallCaps/>
      <w:spacing w:val="5"/>
      <w:sz w:val="21"/>
      <w:szCs w:val="24"/>
    </w:rPr>
  </w:style>
  <w:style w:type="paragraph" w:customStyle="1" w:styleId="260">
    <w:name w:val="内容"/>
    <w:basedOn w:val="1"/>
    <w:link w:val="261"/>
    <w:semiHidden/>
    <w:qFormat/>
    <w:uiPriority w:val="0"/>
    <w:pPr>
      <w:spacing w:line="400" w:lineRule="exact"/>
    </w:pPr>
    <w:rPr>
      <w:rFonts w:ascii="宋体" w:cs="Times New Roman"/>
      <w:kern w:val="0"/>
      <w:szCs w:val="20"/>
    </w:rPr>
  </w:style>
  <w:style w:type="character" w:customStyle="1" w:styleId="261">
    <w:name w:val="内容 Char"/>
    <w:basedOn w:val="44"/>
    <w:link w:val="260"/>
    <w:semiHidden/>
    <w:qFormat/>
    <w:uiPriority w:val="0"/>
    <w:rPr>
      <w:rFonts w:ascii="宋体"/>
      <w:sz w:val="24"/>
    </w:rPr>
  </w:style>
  <w:style w:type="paragraph" w:customStyle="1" w:styleId="262">
    <w:name w:val="正文文字1"/>
    <w:basedOn w:val="19"/>
    <w:semiHidden/>
    <w:qFormat/>
    <w:uiPriority w:val="0"/>
    <w:pPr>
      <w:widowControl w:val="0"/>
      <w:adjustRightInd w:val="0"/>
      <w:snapToGrid w:val="0"/>
      <w:spacing w:before="0"/>
      <w:ind w:left="-57" w:right="-57"/>
      <w:jc w:val="center"/>
    </w:pPr>
    <w:rPr>
      <w:rFonts w:ascii="Times New Roman" w:hAnsi="Times New Roman"/>
      <w:snapToGrid w:val="0"/>
      <w:sz w:val="18"/>
      <w:szCs w:val="18"/>
      <w:lang w:eastAsia="zh-CN"/>
    </w:rPr>
  </w:style>
  <w:style w:type="paragraph" w:customStyle="1" w:styleId="263">
    <w:name w:val="正文文字3"/>
    <w:basedOn w:val="18"/>
    <w:semiHidden/>
    <w:qFormat/>
    <w:uiPriority w:val="0"/>
    <w:pPr>
      <w:spacing w:after="0" w:line="240" w:lineRule="auto"/>
      <w:ind w:left="-57" w:right="-57" w:firstLine="0" w:firstLineChars="0"/>
      <w:jc w:val="center"/>
    </w:pPr>
    <w:rPr>
      <w:rFonts w:eastAsia="黑体"/>
      <w:snapToGrid w:val="0"/>
      <w:sz w:val="18"/>
      <w:szCs w:val="18"/>
    </w:rPr>
  </w:style>
  <w:style w:type="paragraph" w:customStyle="1" w:styleId="264">
    <w:name w:val="内容正文"/>
    <w:basedOn w:val="1"/>
    <w:link w:val="265"/>
    <w:semiHidden/>
    <w:qFormat/>
    <w:uiPriority w:val="0"/>
    <w:pPr>
      <w:spacing w:line="400" w:lineRule="exact"/>
      <w:ind w:firstLine="480"/>
    </w:pPr>
    <w:rPr>
      <w:rFonts w:ascii="宋体" w:hAnsi="宋体" w:cs="Times New Roman"/>
      <w:kern w:val="0"/>
      <w:szCs w:val="24"/>
    </w:rPr>
  </w:style>
  <w:style w:type="character" w:customStyle="1" w:styleId="265">
    <w:name w:val="内容正文 Char"/>
    <w:basedOn w:val="44"/>
    <w:link w:val="264"/>
    <w:semiHidden/>
    <w:qFormat/>
    <w:uiPriority w:val="0"/>
    <w:rPr>
      <w:rFonts w:ascii="宋体" w:hAnsi="宋体"/>
      <w:sz w:val="24"/>
      <w:szCs w:val="24"/>
    </w:rPr>
  </w:style>
  <w:style w:type="table" w:customStyle="1" w:styleId="266">
    <w:name w:val="外框"/>
    <w:basedOn w:val="41"/>
    <w:qFormat/>
    <w:uiPriority w:val="0"/>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blStylePr w:type="firstRow">
      <w:tcPr>
        <w:tcBorders>
          <w:top w:val="single" w:color="auto" w:sz="12" w:space="0"/>
        </w:tcBorders>
      </w:tcPr>
    </w:tblStylePr>
    <w:tblStylePr w:type="lastRow">
      <w:tcPr>
        <w:tcBorders>
          <w:bottom w:val="single" w:color="auto" w:sz="18" w:space="0"/>
        </w:tcBorders>
      </w:tcPr>
    </w:tblStylePr>
    <w:tblStylePr w:type="firstCol">
      <w:tcPr>
        <w:tcBorders>
          <w:left w:val="single" w:color="auto" w:sz="12" w:space="0"/>
        </w:tcBorders>
      </w:tcPr>
    </w:tblStylePr>
    <w:tblStylePr w:type="lastCol">
      <w:tcPr>
        <w:tcBorders>
          <w:right w:val="single" w:color="auto" w:sz="18" w:space="0"/>
        </w:tcBorders>
      </w:tcPr>
    </w:tblStylePr>
  </w:style>
  <w:style w:type="character" w:customStyle="1" w:styleId="267">
    <w:name w:val="标题4 字符"/>
    <w:basedOn w:val="44"/>
    <w:link w:val="72"/>
    <w:qFormat/>
    <w:locked/>
    <w:uiPriority w:val="0"/>
    <w:rPr>
      <w:rFonts w:eastAsia="黑体"/>
      <w:bCs/>
      <w:kern w:val="2"/>
      <w:sz w:val="24"/>
      <w:szCs w:val="24"/>
    </w:rPr>
  </w:style>
  <w:style w:type="character" w:customStyle="1" w:styleId="268">
    <w:name w:val="图表标题 Char"/>
    <w:semiHidden/>
    <w:qFormat/>
    <w:locked/>
    <w:uiPriority w:val="0"/>
    <w:rPr>
      <w:rFonts w:eastAsia="楷体"/>
      <w:b/>
      <w:bCs/>
      <w:sz w:val="24"/>
    </w:rPr>
  </w:style>
  <w:style w:type="character" w:styleId="269">
    <w:name w:val="Placeholder Text"/>
    <w:basedOn w:val="44"/>
    <w:semiHidden/>
    <w:qFormat/>
    <w:uiPriority w:val="99"/>
    <w:rPr>
      <w:color w:val="808080"/>
    </w:rPr>
  </w:style>
  <w:style w:type="table" w:customStyle="1" w:styleId="270">
    <w:name w:val="网格型11"/>
    <w:basedOn w:val="41"/>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1">
    <w:name w:val="网格型21"/>
    <w:basedOn w:val="4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72">
    <w:name w:val="正文缩进（自定义）"/>
    <w:basedOn w:val="1"/>
    <w:semiHidden/>
    <w:qFormat/>
    <w:uiPriority w:val="0"/>
    <w:pPr>
      <w:spacing w:before="120" w:after="120"/>
      <w:ind w:firstLine="480"/>
    </w:pPr>
    <w:rPr>
      <w:rFonts w:ascii="Century Gothic" w:hAnsi="Century Gothic" w:cs="Times New Roman"/>
      <w:kern w:val="0"/>
      <w:szCs w:val="24"/>
    </w:rPr>
  </w:style>
  <w:style w:type="paragraph" w:customStyle="1" w:styleId="273">
    <w:name w:val="文本"/>
    <w:basedOn w:val="1"/>
    <w:next w:val="13"/>
    <w:semiHidden/>
    <w:qFormat/>
    <w:uiPriority w:val="0"/>
    <w:pPr>
      <w:ind w:firstLine="480"/>
    </w:pPr>
    <w:rPr>
      <w:rFonts w:cs="Times New Roman"/>
      <w:kern w:val="0"/>
      <w:szCs w:val="24"/>
    </w:rPr>
  </w:style>
  <w:style w:type="character" w:customStyle="1" w:styleId="274">
    <w:name w:val="样式 正文 首行缩进:  2 字符 SL CON + 首行缩进:  2 字符 Char"/>
    <w:link w:val="275"/>
    <w:qFormat/>
    <w:locked/>
    <w:uiPriority w:val="0"/>
    <w:rPr>
      <w:bCs/>
      <w:color w:val="000000" w:themeColor="text1"/>
      <w:kern w:val="2"/>
      <w:sz w:val="24"/>
      <w:szCs w:val="36"/>
      <w14:textFill>
        <w14:solidFill>
          <w14:schemeClr w14:val="tx1"/>
        </w14:solidFill>
      </w14:textFill>
    </w:rPr>
  </w:style>
  <w:style w:type="paragraph" w:customStyle="1" w:styleId="275">
    <w:name w:val="样式 正文 首行缩进:  2 字符 SL CON + 首行缩进:  2 字符"/>
    <w:basedOn w:val="1"/>
    <w:link w:val="274"/>
    <w:qFormat/>
    <w:uiPriority w:val="0"/>
    <w:pPr>
      <w:ind w:firstLine="480"/>
    </w:pPr>
    <w:rPr>
      <w:rFonts w:cs="Times New Roman"/>
      <w:bCs/>
      <w:color w:val="000000" w:themeColor="text1"/>
      <w:szCs w:val="36"/>
      <w14:textFill>
        <w14:solidFill>
          <w14:schemeClr w14:val="tx1"/>
        </w14:solidFill>
      </w14:textFill>
    </w:rPr>
  </w:style>
  <w:style w:type="paragraph" w:customStyle="1" w:styleId="276">
    <w:name w:val="一级标题样式"/>
    <w:basedOn w:val="1"/>
    <w:semiHidden/>
    <w:qFormat/>
    <w:uiPriority w:val="0"/>
    <w:pPr>
      <w:widowControl/>
      <w:spacing w:line="240" w:lineRule="auto"/>
      <w:ind w:firstLine="0"/>
      <w:jc w:val="center"/>
    </w:pPr>
    <w:rPr>
      <w:rFonts w:ascii="宋体" w:hAnsi="宋体" w:eastAsia="黑体" w:cs="Times New Roman"/>
      <w:b/>
      <w:kern w:val="0"/>
      <w:sz w:val="36"/>
      <w:szCs w:val="36"/>
    </w:rPr>
  </w:style>
  <w:style w:type="paragraph" w:customStyle="1" w:styleId="277">
    <w:name w:val="样式 居中"/>
    <w:basedOn w:val="1"/>
    <w:semiHidden/>
    <w:qFormat/>
    <w:uiPriority w:val="0"/>
    <w:pPr>
      <w:spacing w:before="100" w:beforeAutospacing="1" w:after="100" w:afterAutospacing="1" w:line="240" w:lineRule="auto"/>
      <w:ind w:left="-9" w:leftChars="-12" w:hanging="16"/>
      <w:jc w:val="center"/>
    </w:pPr>
    <w:rPr>
      <w:rFonts w:ascii="宋体" w:hAnsi="宋体" w:cs="Times New Roman"/>
      <w:kern w:val="0"/>
      <w:sz w:val="21"/>
      <w:szCs w:val="24"/>
    </w:rPr>
  </w:style>
  <w:style w:type="character" w:customStyle="1" w:styleId="278">
    <w:name w:val="正文格式 Char"/>
    <w:link w:val="279"/>
    <w:semiHidden/>
    <w:qFormat/>
    <w:uiPriority w:val="0"/>
    <w:rPr>
      <w:szCs w:val="22"/>
    </w:rPr>
  </w:style>
  <w:style w:type="paragraph" w:customStyle="1" w:styleId="279">
    <w:name w:val="正文格式"/>
    <w:basedOn w:val="1"/>
    <w:link w:val="278"/>
    <w:semiHidden/>
    <w:qFormat/>
    <w:uiPriority w:val="0"/>
    <w:pPr>
      <w:ind w:firstLine="480"/>
    </w:pPr>
    <w:rPr>
      <w:rFonts w:cs="Times New Roman"/>
      <w:kern w:val="0"/>
      <w:sz w:val="20"/>
    </w:rPr>
  </w:style>
  <w:style w:type="character" w:customStyle="1" w:styleId="280">
    <w:name w:val="环评表头 Char"/>
    <w:link w:val="163"/>
    <w:qFormat/>
    <w:uiPriority w:val="0"/>
    <w:rPr>
      <w:rFonts w:ascii="黑体" w:hAnsi="Arial" w:eastAsia="黑体" w:cs="Arial"/>
      <w:b/>
      <w:color w:val="000000"/>
      <w:kern w:val="2"/>
      <w:sz w:val="24"/>
      <w:szCs w:val="24"/>
    </w:rPr>
  </w:style>
  <w:style w:type="character" w:customStyle="1" w:styleId="281">
    <w:name w:val="日期 字符1"/>
    <w:basedOn w:val="44"/>
    <w:semiHidden/>
    <w:qFormat/>
    <w:uiPriority w:val="99"/>
    <w:rPr>
      <w:b/>
      <w:kern w:val="2"/>
      <w:sz w:val="28"/>
    </w:rPr>
  </w:style>
  <w:style w:type="paragraph" w:customStyle="1" w:styleId="282">
    <w:name w:val="样式7"/>
    <w:basedOn w:val="1"/>
    <w:semiHidden/>
    <w:qFormat/>
    <w:uiPriority w:val="0"/>
    <w:pPr>
      <w:spacing w:line="480" w:lineRule="exact"/>
    </w:pPr>
    <w:rPr>
      <w:rFonts w:cs="Times New Roman"/>
      <w:kern w:val="0"/>
      <w:sz w:val="26"/>
      <w:szCs w:val="26"/>
    </w:rPr>
  </w:style>
  <w:style w:type="paragraph" w:customStyle="1" w:styleId="283">
    <w:name w:val="标题头"/>
    <w:basedOn w:val="37"/>
    <w:semiHidden/>
    <w:qFormat/>
    <w:uiPriority w:val="0"/>
    <w:pPr>
      <w:spacing w:before="0" w:after="0" w:line="480" w:lineRule="atLeast"/>
      <w:jc w:val="left"/>
      <w:textAlignment w:val="auto"/>
    </w:pPr>
    <w:rPr>
      <w:rFonts w:ascii="Times New Roman" w:hAnsi="Times New Roman" w:cs="宋体"/>
      <w:bCs/>
      <w:sz w:val="24"/>
      <w:szCs w:val="32"/>
    </w:rPr>
  </w:style>
  <w:style w:type="character" w:customStyle="1" w:styleId="284">
    <w:name w:val="未处理的提及1"/>
    <w:basedOn w:val="44"/>
    <w:semiHidden/>
    <w:unhideWhenUsed/>
    <w:qFormat/>
    <w:uiPriority w:val="99"/>
    <w:rPr>
      <w:color w:val="605E5C"/>
      <w:shd w:val="clear" w:color="auto" w:fill="E1DFDD"/>
    </w:rPr>
  </w:style>
  <w:style w:type="character" w:customStyle="1" w:styleId="285">
    <w:name w:val="未处理的提及11"/>
    <w:basedOn w:val="44"/>
    <w:semiHidden/>
    <w:unhideWhenUsed/>
    <w:qFormat/>
    <w:uiPriority w:val="99"/>
    <w:rPr>
      <w:color w:val="605E5C"/>
      <w:shd w:val="clear" w:color="auto" w:fill="E1DFDD"/>
    </w:rPr>
  </w:style>
  <w:style w:type="paragraph" w:customStyle="1" w:styleId="286">
    <w:name w:val="图    表标题"/>
    <w:basedOn w:val="1"/>
    <w:semiHidden/>
    <w:qFormat/>
    <w:uiPriority w:val="0"/>
    <w:pPr>
      <w:keepNext/>
      <w:ind w:firstLine="0"/>
      <w:jc w:val="center"/>
      <w:outlineLvl w:val="5"/>
    </w:pPr>
    <w:rPr>
      <w:rFonts w:eastAsia="楷体" w:cs="Times New Roman"/>
      <w:b/>
      <w:kern w:val="0"/>
      <w:sz w:val="22"/>
      <w:szCs w:val="24"/>
    </w:rPr>
  </w:style>
  <w:style w:type="table" w:customStyle="1" w:styleId="287">
    <w:name w:val="网格型31"/>
    <w:basedOn w:val="41"/>
    <w:qFormat/>
    <w:uiPriority w:val="59"/>
    <w:tblPr>
      <w:tblBorders>
        <w:top w:val="single" w:color="auto" w:sz="12" w:space="0"/>
        <w:bottom w:val="single" w:color="auto" w:sz="12" w:space="0"/>
        <w:insideH w:val="single" w:color="auto" w:sz="4" w:space="0"/>
        <w:insideV w:val="single" w:color="auto" w:sz="4" w:space="0"/>
      </w:tblBorders>
    </w:tblPr>
    <w:tcPr>
      <w:vAlign w:val="center"/>
    </w:tcPr>
    <w:tblStylePr w:type="firstRow">
      <w:tcPr>
        <w:tcBorders>
          <w:top w:val="single" w:color="auto" w:sz="12" w:space="0"/>
        </w:tcBorders>
      </w:tcPr>
    </w:tblStylePr>
    <w:tblStylePr w:type="lastRow">
      <w:tcPr>
        <w:tcBorders>
          <w:bottom w:val="single" w:color="auto" w:sz="12" w:space="0"/>
        </w:tcBorders>
      </w:tcPr>
    </w:tblStylePr>
    <w:tblStylePr w:type="firstCol">
      <w:tcPr>
        <w:tcBorders>
          <w:left w:val="nil"/>
        </w:tcBorders>
      </w:tcPr>
    </w:tblStylePr>
    <w:tblStylePr w:type="lastCol">
      <w:tcPr>
        <w:tcBorders>
          <w:right w:val="nil"/>
        </w:tcBorders>
      </w:tcPr>
    </w:tblStylePr>
  </w:style>
  <w:style w:type="character" w:customStyle="1" w:styleId="288">
    <w:name w:val="图表标题 字符"/>
    <w:basedOn w:val="254"/>
    <w:link w:val="196"/>
    <w:qFormat/>
    <w:uiPriority w:val="0"/>
    <w:rPr>
      <w:rFonts w:ascii="黑体" w:eastAsia="黑体"/>
      <w:kern w:val="2"/>
      <w:sz w:val="21"/>
      <w:szCs w:val="21"/>
    </w:rPr>
  </w:style>
  <w:style w:type="paragraph" w:customStyle="1" w:styleId="289">
    <w:name w:val="图（表）标题"/>
    <w:basedOn w:val="196"/>
    <w:semiHidden/>
    <w:qFormat/>
    <w:uiPriority w:val="0"/>
    <w:pPr>
      <w:keepNext/>
      <w:spacing w:line="360" w:lineRule="auto"/>
      <w:ind w:firstLine="200" w:firstLineChars="200"/>
      <w:textAlignment w:val="auto"/>
      <w:outlineLvl w:val="5"/>
    </w:pPr>
    <w:rPr>
      <w:rFonts w:ascii="Times New Roman" w:eastAsia="楷体"/>
      <w:b/>
      <w:color w:val="000000"/>
      <w:kern w:val="0"/>
      <w:sz w:val="22"/>
      <w:szCs w:val="24"/>
    </w:rPr>
  </w:style>
  <w:style w:type="paragraph" w:customStyle="1" w:styleId="290">
    <w:name w:val="样式 小四 首行缩进:  2 字符 行距: 固定值 20 磅"/>
    <w:basedOn w:val="1"/>
    <w:semiHidden/>
    <w:qFormat/>
    <w:uiPriority w:val="0"/>
    <w:pPr>
      <w:widowControl/>
      <w:spacing w:line="400" w:lineRule="exact"/>
      <w:jc w:val="left"/>
    </w:pPr>
    <w:rPr>
      <w:rFonts w:eastAsia="仿宋" w:cs="Times New Roman"/>
      <w:kern w:val="0"/>
      <w:szCs w:val="20"/>
    </w:rPr>
  </w:style>
  <w:style w:type="table" w:customStyle="1" w:styleId="291">
    <w:name w:val="双线表1"/>
    <w:basedOn w:val="41"/>
    <w:qFormat/>
    <w:uiPriority w:val="99"/>
    <w:pPr>
      <w:jc w:val="center"/>
    </w:pPr>
    <w:rPr>
      <w:rFonts w:eastAsia="Times New Roman"/>
      <w:snapToGrid w:val="0"/>
    </w:rPr>
    <w:tblP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
    <w:tcPr>
      <w:vAlign w:val="center"/>
    </w:tcPr>
  </w:style>
  <w:style w:type="character" w:customStyle="1" w:styleId="292">
    <w:name w:val="纯文本 字符3"/>
    <w:qFormat/>
    <w:uiPriority w:val="0"/>
    <w:rPr>
      <w:rFonts w:ascii="宋体" w:hAnsi="Courier New"/>
      <w:kern w:val="2"/>
      <w:sz w:val="26"/>
    </w:rPr>
  </w:style>
  <w:style w:type="table" w:customStyle="1" w:styleId="293">
    <w:name w:val="双线框1"/>
    <w:basedOn w:val="41"/>
    <w:qFormat/>
    <w:uiPriority w:val="99"/>
    <w:pPr>
      <w:jc w:val="center"/>
    </w:pPr>
    <w:rPr>
      <w:rFonts w:eastAsia="Times New Roman"/>
      <w:snapToGrid w:val="0"/>
      <w:sz w:val="21"/>
      <w:szCs w:val="21"/>
    </w:rPr>
    <w:tblP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
    <w:tcPr>
      <w:vAlign w:val="center"/>
    </w:tcPr>
  </w:style>
  <w:style w:type="table" w:customStyle="1" w:styleId="294">
    <w:name w:val="网格表 1 浅色1"/>
    <w:basedOn w:val="41"/>
    <w:qFormat/>
    <w:uiPriority w:val="46"/>
    <w:rPr>
      <w:rFonts w:eastAsia="Times New Roman"/>
      <w:snapToGrid w:val="0"/>
    </w:rPr>
    <w:tblPr>
      <w:tblBorders>
        <w:top w:val="single" w:color="999999" w:sz="4" w:space="0"/>
        <w:left w:val="single" w:color="999999" w:sz="4" w:space="0"/>
        <w:bottom w:val="single" w:color="999999" w:sz="4" w:space="0"/>
        <w:right w:val="single" w:color="999999" w:sz="4" w:space="0"/>
        <w:insideH w:val="single" w:color="999999" w:sz="4" w:space="0"/>
        <w:insideV w:val="single" w:color="999999" w:sz="4" w:space="0"/>
      </w:tblBorders>
    </w:tblPr>
    <w:tblStylePr w:type="firstRow">
      <w:rPr>
        <w:b/>
        <w:bCs/>
      </w:rPr>
      <w:tcPr>
        <w:tcBorders>
          <w:bottom w:val="single" w:color="666666" w:sz="12" w:space="0"/>
        </w:tcBorders>
      </w:tcPr>
    </w:tblStylePr>
    <w:tblStylePr w:type="lastRow">
      <w:rPr>
        <w:b/>
        <w:bCs/>
      </w:rPr>
      <w:tcPr>
        <w:tcBorders>
          <w:top w:val="double" w:color="666666" w:sz="2" w:space="0"/>
        </w:tcBorders>
      </w:tcPr>
    </w:tblStylePr>
    <w:tblStylePr w:type="firstCol">
      <w:rPr>
        <w:b/>
        <w:bCs/>
      </w:rPr>
    </w:tblStylePr>
    <w:tblStylePr w:type="lastCol">
      <w:rPr>
        <w:b/>
        <w:bCs/>
      </w:rPr>
    </w:tblStylePr>
  </w:style>
  <w:style w:type="table" w:customStyle="1" w:styleId="295">
    <w:name w:val="无格式表格 11"/>
    <w:basedOn w:val="41"/>
    <w:qFormat/>
    <w:uiPriority w:val="41"/>
    <w:rPr>
      <w:snapToGrid w:val="0"/>
    </w:rPr>
    <w:tblPr>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Pr>
    <w:tblStylePr w:type="firstRow">
      <w:rPr>
        <w:b/>
        <w:bCs/>
      </w:rPr>
    </w:tblStylePr>
    <w:tblStylePr w:type="lastRow">
      <w:rPr>
        <w:b/>
        <w:bCs/>
      </w:rPr>
      <w:tcPr>
        <w:tcBorders>
          <w:top w:val="double" w:color="BFBFBF" w:sz="4" w:space="0"/>
        </w:tcBorders>
      </w:tcPr>
    </w:tblStylePr>
    <w:tblStylePr w:type="firstCol">
      <w:rPr>
        <w:b/>
        <w:bCs/>
      </w:rPr>
    </w:tblStylePr>
    <w:tblStylePr w:type="lastCol">
      <w:rPr>
        <w:b/>
        <w:bCs/>
      </w:rPr>
    </w:tblStylePr>
    <w:tblStylePr w:type="band1Vert">
      <w:tcPr>
        <w:shd w:val="clear" w:color="auto" w:fill="F2F2F2"/>
      </w:tcPr>
    </w:tblStylePr>
    <w:tblStylePr w:type="band1Horz">
      <w:tcPr>
        <w:shd w:val="clear" w:color="auto" w:fill="F2F2F2"/>
      </w:tcPr>
    </w:tblStylePr>
  </w:style>
  <w:style w:type="paragraph" w:customStyle="1" w:styleId="296">
    <w:name w:val="表名、图名"/>
    <w:basedOn w:val="1"/>
    <w:qFormat/>
    <w:uiPriority w:val="0"/>
    <w:pPr>
      <w:widowControl/>
      <w:spacing w:line="400" w:lineRule="exact"/>
      <w:ind w:firstLine="420"/>
      <w:jc w:val="center"/>
    </w:pPr>
    <w:rPr>
      <w:rFonts w:ascii="黑体" w:eastAsia="黑体" w:cs="Times New Roman"/>
      <w:snapToGrid w:val="0"/>
      <w:kern w:val="0"/>
      <w:szCs w:val="24"/>
    </w:rPr>
  </w:style>
  <w:style w:type="character" w:customStyle="1" w:styleId="297">
    <w:name w:val="未处理的提及2"/>
    <w:basedOn w:val="44"/>
    <w:semiHidden/>
    <w:qFormat/>
    <w:uiPriority w:val="99"/>
    <w:rPr>
      <w:color w:val="605E5C"/>
      <w:shd w:val="clear" w:color="auto" w:fill="E1DFDD"/>
    </w:rPr>
  </w:style>
  <w:style w:type="character" w:customStyle="1" w:styleId="298">
    <w:name w:val="未处理的提及3"/>
    <w:basedOn w:val="44"/>
    <w:semiHidden/>
    <w:qFormat/>
    <w:uiPriority w:val="99"/>
    <w:rPr>
      <w:color w:val="605E5C"/>
      <w:shd w:val="clear" w:color="auto" w:fill="E1DFDD"/>
    </w:rPr>
  </w:style>
  <w:style w:type="character" w:customStyle="1" w:styleId="299">
    <w:name w:val="未处理的提及4"/>
    <w:basedOn w:val="44"/>
    <w:semiHidden/>
    <w:qFormat/>
    <w:uiPriority w:val="99"/>
    <w:rPr>
      <w:color w:val="605E5C"/>
      <w:shd w:val="clear" w:color="auto" w:fill="E1DFDD"/>
    </w:rPr>
  </w:style>
  <w:style w:type="character" w:customStyle="1" w:styleId="300">
    <w:name w:val="未处理的提及5"/>
    <w:basedOn w:val="44"/>
    <w:semiHidden/>
    <w:qFormat/>
    <w:uiPriority w:val="99"/>
    <w:rPr>
      <w:color w:val="605E5C"/>
      <w:shd w:val="clear" w:color="auto" w:fill="E1DFDD"/>
    </w:rPr>
  </w:style>
  <w:style w:type="character" w:customStyle="1" w:styleId="301">
    <w:name w:val="未处理的提及6"/>
    <w:basedOn w:val="44"/>
    <w:semiHidden/>
    <w:qFormat/>
    <w:uiPriority w:val="99"/>
    <w:rPr>
      <w:color w:val="605E5C"/>
      <w:shd w:val="clear" w:color="auto" w:fill="E1DFDD"/>
    </w:rPr>
  </w:style>
  <w:style w:type="character" w:customStyle="1" w:styleId="302">
    <w:name w:val="未处理的提及7"/>
    <w:basedOn w:val="44"/>
    <w:semiHidden/>
    <w:qFormat/>
    <w:uiPriority w:val="99"/>
    <w:rPr>
      <w:color w:val="605E5C"/>
      <w:shd w:val="clear" w:color="auto" w:fill="E1DFDD"/>
    </w:rPr>
  </w:style>
  <w:style w:type="paragraph" w:customStyle="1" w:styleId="303">
    <w:name w:val="正文1.4倍行间距"/>
    <w:basedOn w:val="1"/>
    <w:qFormat/>
    <w:uiPriority w:val="0"/>
    <w:pPr>
      <w:widowControl/>
      <w:spacing w:line="336" w:lineRule="auto"/>
      <w:jc w:val="left"/>
    </w:pPr>
    <w:rPr>
      <w:rFonts w:cs="Times New Roman"/>
      <w:snapToGrid w:val="0"/>
      <w:kern w:val="0"/>
      <w:szCs w:val="24"/>
    </w:rPr>
  </w:style>
  <w:style w:type="character" w:customStyle="1" w:styleId="304">
    <w:name w:val="未处理的提及8"/>
    <w:basedOn w:val="44"/>
    <w:semiHidden/>
    <w:unhideWhenUsed/>
    <w:qFormat/>
    <w:uiPriority w:val="99"/>
    <w:rPr>
      <w:color w:val="605E5C"/>
      <w:shd w:val="clear" w:color="auto" w:fill="E1DFDD"/>
    </w:rPr>
  </w:style>
  <w:style w:type="table" w:customStyle="1" w:styleId="305">
    <w:name w:val="双线表11"/>
    <w:basedOn w:val="41"/>
    <w:qFormat/>
    <w:uiPriority w:val="99"/>
    <w:pPr>
      <w:jc w:val="center"/>
    </w:pPr>
    <w:rPr>
      <w:snapToGrid w:val="0"/>
    </w:rPr>
    <w:tblP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
    <w:tcPr>
      <w:vAlign w:val="center"/>
    </w:tcPr>
  </w:style>
  <w:style w:type="paragraph" w:customStyle="1" w:styleId="306">
    <w:name w:val="图 片"/>
    <w:next w:val="188"/>
    <w:link w:val="307"/>
    <w:qFormat/>
    <w:uiPriority w:val="0"/>
    <w:pPr>
      <w:adjustRightInd w:val="0"/>
      <w:snapToGrid w:val="0"/>
      <w:jc w:val="center"/>
    </w:pPr>
    <w:rPr>
      <w:rFonts w:ascii="Times New Roman" w:hAnsi="Times New Roman" w:eastAsia="宋体" w:cs="Times New Roman"/>
      <w:snapToGrid w:val="0"/>
      <w:sz w:val="24"/>
      <w:szCs w:val="24"/>
      <w:lang w:val="en-US" w:eastAsia="zh-CN" w:bidi="ar-SA"/>
    </w:rPr>
  </w:style>
  <w:style w:type="character" w:customStyle="1" w:styleId="307">
    <w:name w:val="图 片 字符"/>
    <w:basedOn w:val="44"/>
    <w:link w:val="306"/>
    <w:qFormat/>
    <w:uiPriority w:val="0"/>
    <w:rPr>
      <w:snapToGrid w:val="0"/>
      <w:sz w:val="24"/>
      <w:szCs w:val="24"/>
    </w:rPr>
  </w:style>
  <w:style w:type="paragraph" w:customStyle="1" w:styleId="308">
    <w:name w:val="标题5"/>
    <w:next w:val="1"/>
    <w:link w:val="309"/>
    <w:qFormat/>
    <w:uiPriority w:val="0"/>
    <w:pPr>
      <w:adjustRightInd w:val="0"/>
      <w:snapToGrid w:val="0"/>
      <w:spacing w:line="360" w:lineRule="auto"/>
      <w:ind w:firstLine="198"/>
    </w:pPr>
    <w:rPr>
      <w:rFonts w:ascii="Times New Roman" w:hAnsi="Times New Roman" w:eastAsia="楷体" w:cs="Times New Roman"/>
      <w:b/>
      <w:bCs/>
      <w:snapToGrid w:val="0"/>
      <w:sz w:val="28"/>
      <w:szCs w:val="28"/>
      <w:lang w:val="en-US" w:eastAsia="zh-CN" w:bidi="ar-SA"/>
    </w:rPr>
  </w:style>
  <w:style w:type="character" w:customStyle="1" w:styleId="309">
    <w:name w:val="标题5 字符"/>
    <w:basedOn w:val="44"/>
    <w:link w:val="308"/>
    <w:qFormat/>
    <w:uiPriority w:val="0"/>
    <w:rPr>
      <w:rFonts w:eastAsia="楷体"/>
      <w:b/>
      <w:bCs/>
      <w:snapToGrid w:val="0"/>
      <w:sz w:val="28"/>
      <w:szCs w:val="28"/>
    </w:rPr>
  </w:style>
  <w:style w:type="table" w:customStyle="1" w:styleId="310">
    <w:name w:val="无格式表格 12"/>
    <w:basedOn w:val="41"/>
    <w:qFormat/>
    <w:uiPriority w:val="41"/>
    <w:rPr>
      <w:snapToGrid w:val="0"/>
    </w:rPr>
    <w:tblPr>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Pr>
    <w:tblStylePr w:type="firstRow">
      <w:rPr>
        <w:b/>
        <w:bCs/>
      </w:rPr>
    </w:tblStylePr>
    <w:tblStylePr w:type="lastRow">
      <w:rPr>
        <w:b/>
        <w:bCs/>
      </w:rPr>
      <w:tcPr>
        <w:tcBorders>
          <w:top w:val="double" w:color="BFBFBF" w:sz="4" w:space="0"/>
        </w:tcBorders>
      </w:tcPr>
    </w:tblStylePr>
    <w:tblStylePr w:type="firstCol">
      <w:rPr>
        <w:b/>
        <w:bCs/>
      </w:rPr>
    </w:tblStylePr>
    <w:tblStylePr w:type="lastCol">
      <w:rPr>
        <w:b/>
        <w:bCs/>
      </w:rPr>
    </w:tblStylePr>
    <w:tblStylePr w:type="band1Vert">
      <w:tcPr>
        <w:shd w:val="clear" w:color="auto" w:fill="F2F2F2"/>
      </w:tcPr>
    </w:tblStylePr>
    <w:tblStylePr w:type="band1Horz">
      <w:tcPr>
        <w:shd w:val="clear" w:color="auto" w:fill="F2F2F2"/>
      </w:tcPr>
    </w:tblStylePr>
  </w:style>
  <w:style w:type="character" w:customStyle="1" w:styleId="311">
    <w:name w:val="未处理的提及12"/>
    <w:basedOn w:val="44"/>
    <w:semiHidden/>
    <w:qFormat/>
    <w:uiPriority w:val="99"/>
    <w:rPr>
      <w:color w:val="605E5C"/>
      <w:shd w:val="clear" w:color="auto" w:fill="E1DFDD"/>
    </w:rPr>
  </w:style>
  <w:style w:type="paragraph" w:customStyle="1" w:styleId="312">
    <w:name w:val="正文1"/>
    <w:semiHidden/>
    <w:qFormat/>
    <w:uiPriority w:val="0"/>
    <w:pPr>
      <w:jc w:val="both"/>
    </w:pPr>
    <w:rPr>
      <w:rFonts w:ascii="Times New Roman" w:hAnsi="Times New Roman" w:eastAsia="宋体" w:cs="Times New Roman"/>
      <w:snapToGrid w:val="0"/>
      <w:sz w:val="21"/>
      <w:szCs w:val="21"/>
      <w:lang w:val="en-US" w:eastAsia="zh-CN" w:bidi="ar-SA"/>
    </w:rPr>
  </w:style>
  <w:style w:type="paragraph" w:customStyle="1" w:styleId="313">
    <w:name w:val="正文2"/>
    <w:semiHidden/>
    <w:qFormat/>
    <w:uiPriority w:val="0"/>
    <w:pPr>
      <w:jc w:val="both"/>
    </w:pPr>
    <w:rPr>
      <w:rFonts w:ascii="Times New Roman" w:hAnsi="Times New Roman" w:eastAsia="宋体" w:cs="Times New Roman"/>
      <w:snapToGrid w:val="0"/>
      <w:sz w:val="21"/>
      <w:szCs w:val="21"/>
      <w:lang w:val="en-US" w:eastAsia="zh-CN" w:bidi="ar-SA"/>
    </w:rPr>
  </w:style>
  <w:style w:type="paragraph" w:customStyle="1" w:styleId="314">
    <w:name w:val="图   表标题"/>
    <w:basedOn w:val="1"/>
    <w:semiHidden/>
    <w:qFormat/>
    <w:uiPriority w:val="0"/>
    <w:pPr>
      <w:keepNext/>
      <w:ind w:firstLine="0"/>
      <w:jc w:val="center"/>
      <w:outlineLvl w:val="5"/>
    </w:pPr>
    <w:rPr>
      <w:rFonts w:eastAsia="楷体" w:cs="Times New Roman"/>
      <w:b/>
      <w:snapToGrid w:val="0"/>
      <w:kern w:val="0"/>
      <w:sz w:val="22"/>
      <w:szCs w:val="24"/>
    </w:rPr>
  </w:style>
  <w:style w:type="character" w:customStyle="1" w:styleId="315">
    <w:name w:val="页脚 字符1"/>
    <w:basedOn w:val="44"/>
    <w:qFormat/>
    <w:uiPriority w:val="99"/>
    <w:rPr>
      <w:sz w:val="18"/>
      <w:szCs w:val="18"/>
    </w:rPr>
  </w:style>
  <w:style w:type="table" w:customStyle="1" w:styleId="316">
    <w:name w:val="双线框11"/>
    <w:basedOn w:val="41"/>
    <w:qFormat/>
    <w:uiPriority w:val="99"/>
    <w:pPr>
      <w:jc w:val="center"/>
    </w:pPr>
    <w:rPr>
      <w:snapToGrid w:val="0"/>
    </w:rPr>
    <w:tblP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
    <w:tcPr>
      <w:vAlign w:val="center"/>
    </w:tcPr>
  </w:style>
  <w:style w:type="paragraph" w:customStyle="1" w:styleId="317">
    <w:name w:val="二级标题样式"/>
    <w:basedOn w:val="1"/>
    <w:semiHidden/>
    <w:qFormat/>
    <w:uiPriority w:val="0"/>
    <w:pPr>
      <w:widowControl/>
      <w:ind w:firstLine="0"/>
      <w:jc w:val="left"/>
    </w:pPr>
    <w:rPr>
      <w:rFonts w:eastAsia="黑体" w:cs="Times New Roman"/>
      <w:snapToGrid w:val="0"/>
      <w:kern w:val="0"/>
      <w:sz w:val="32"/>
      <w:szCs w:val="32"/>
    </w:rPr>
  </w:style>
  <w:style w:type="character" w:customStyle="1" w:styleId="318">
    <w:name w:val="【表内容】 字符"/>
    <w:link w:val="319"/>
    <w:qFormat/>
    <w:uiPriority w:val="0"/>
  </w:style>
  <w:style w:type="paragraph" w:customStyle="1" w:styleId="319">
    <w:name w:val="【表内容】"/>
    <w:basedOn w:val="1"/>
    <w:link w:val="318"/>
    <w:qFormat/>
    <w:uiPriority w:val="0"/>
    <w:pPr>
      <w:spacing w:line="240" w:lineRule="auto"/>
      <w:ind w:firstLine="0"/>
      <w:jc w:val="center"/>
    </w:pPr>
    <w:rPr>
      <w:rFonts w:cs="Times New Roman"/>
      <w:kern w:val="0"/>
      <w:sz w:val="20"/>
      <w:szCs w:val="20"/>
    </w:rPr>
  </w:style>
  <w:style w:type="table" w:customStyle="1" w:styleId="320">
    <w:name w:val="网格型41"/>
    <w:basedOn w:val="41"/>
    <w:qFormat/>
    <w:uiPriority w:val="0"/>
    <w:rPr>
      <w:rFonts w:ascii="等线" w:hAnsi="等线" w:eastAsia="等线"/>
      <w:snapToGrid w:val="0"/>
      <w:sz w:val="21"/>
      <w:szCs w:val="21"/>
    </w:rPr>
    <w:tblPr>
      <w:tblBorders>
        <w:top w:val="single" w:color="auto" w:sz="12" w:space="0"/>
        <w:bottom w:val="single" w:color="auto" w:sz="12" w:space="0"/>
        <w:insideH w:val="single" w:color="auto" w:sz="4" w:space="0"/>
        <w:insideV w:val="single" w:color="auto" w:sz="4" w:space="0"/>
      </w:tblBorders>
    </w:tblPr>
    <w:tblStylePr w:type="firstRow">
      <w:tcPr>
        <w:tcBorders>
          <w:top w:val="single" w:color="auto" w:sz="12" w:space="0"/>
        </w:tcBorders>
      </w:tcPr>
    </w:tblStylePr>
    <w:tblStylePr w:type="lastRow">
      <w:tcPr>
        <w:tcBorders>
          <w:bottom w:val="single" w:color="auto" w:sz="12" w:space="0"/>
        </w:tcBorders>
      </w:tcPr>
    </w:tblStylePr>
    <w:tblStylePr w:type="firstCol">
      <w:tcPr>
        <w:tcBorders>
          <w:left w:val="nil"/>
        </w:tcBorders>
      </w:tcPr>
    </w:tblStylePr>
    <w:tblStylePr w:type="lastCol">
      <w:tcPr>
        <w:tcBorders>
          <w:right w:val="nil"/>
        </w:tcBorders>
      </w:tcPr>
    </w:tblStylePr>
  </w:style>
  <w:style w:type="table" w:customStyle="1" w:styleId="321">
    <w:name w:val="外框1"/>
    <w:basedOn w:val="41"/>
    <w:qFormat/>
    <w:uiPriority w:val="0"/>
    <w:rPr>
      <w:snapToGrid w:val="0"/>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blStylePr w:type="firstRow">
      <w:tcPr>
        <w:tcBorders>
          <w:top w:val="single" w:color="auto" w:sz="12" w:space="0"/>
        </w:tcBorders>
      </w:tcPr>
    </w:tblStylePr>
    <w:tblStylePr w:type="lastRow">
      <w:tcPr>
        <w:tcBorders>
          <w:bottom w:val="single" w:color="auto" w:sz="18" w:space="0"/>
        </w:tcBorders>
      </w:tcPr>
    </w:tblStylePr>
    <w:tblStylePr w:type="firstCol">
      <w:tcPr>
        <w:tcBorders>
          <w:left w:val="single" w:color="auto" w:sz="12" w:space="0"/>
        </w:tcBorders>
      </w:tcPr>
    </w:tblStylePr>
    <w:tblStylePr w:type="lastCol">
      <w:tcPr>
        <w:tcBorders>
          <w:right w:val="single" w:color="auto" w:sz="18" w:space="0"/>
        </w:tcBorders>
      </w:tcPr>
    </w:tblStylePr>
  </w:style>
  <w:style w:type="table" w:customStyle="1" w:styleId="322">
    <w:name w:val="网格型111"/>
    <w:basedOn w:val="41"/>
    <w:qFormat/>
    <w:uiPriority w:val="39"/>
    <w:pPr>
      <w:widowControl w:val="0"/>
      <w:jc w:val="both"/>
    </w:pPr>
    <w:rPr>
      <w:snapToGrid w:val="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3">
    <w:name w:val="网格型211"/>
    <w:basedOn w:val="41"/>
    <w:qFormat/>
    <w:uiPriority w:val="59"/>
    <w:pPr>
      <w:widowControl w:val="0"/>
      <w:jc w:val="both"/>
    </w:pPr>
    <w:rPr>
      <w:snapToGrid w:val="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4">
    <w:name w:val="网格表 1 浅色11"/>
    <w:basedOn w:val="41"/>
    <w:qFormat/>
    <w:uiPriority w:val="46"/>
    <w:rPr>
      <w:rFonts w:ascii="等线" w:hAnsi="等线" w:eastAsia="Times New Roman"/>
      <w:snapToGrid w:val="0"/>
    </w:rPr>
    <w:tblPr>
      <w:tblBorders>
        <w:top w:val="single" w:color="999999" w:sz="4" w:space="0"/>
        <w:left w:val="single" w:color="999999" w:sz="4" w:space="0"/>
        <w:bottom w:val="single" w:color="999999" w:sz="4" w:space="0"/>
        <w:right w:val="single" w:color="999999" w:sz="4" w:space="0"/>
        <w:insideH w:val="single" w:color="999999" w:sz="4" w:space="0"/>
        <w:insideV w:val="single" w:color="999999" w:sz="4" w:space="0"/>
      </w:tblBorders>
    </w:tblPr>
    <w:tblStylePr w:type="firstRow">
      <w:rPr>
        <w:b/>
        <w:bCs/>
      </w:rPr>
      <w:tcPr>
        <w:tcBorders>
          <w:bottom w:val="single" w:color="666666" w:sz="12" w:space="0"/>
        </w:tcBorders>
      </w:tcPr>
    </w:tblStylePr>
    <w:tblStylePr w:type="lastRow">
      <w:rPr>
        <w:b/>
        <w:bCs/>
      </w:rPr>
      <w:tcPr>
        <w:tcBorders>
          <w:top w:val="double" w:color="666666" w:sz="2" w:space="0"/>
        </w:tcBorders>
      </w:tcPr>
    </w:tblStylePr>
    <w:tblStylePr w:type="firstCol">
      <w:rPr>
        <w:b/>
        <w:bCs/>
      </w:rPr>
    </w:tblStylePr>
    <w:tblStylePr w:type="lastCol">
      <w:rPr>
        <w:b/>
        <w:bCs/>
      </w:rPr>
    </w:tblStylePr>
  </w:style>
  <w:style w:type="table" w:customStyle="1" w:styleId="325">
    <w:name w:val="网格型311"/>
    <w:basedOn w:val="41"/>
    <w:qFormat/>
    <w:uiPriority w:val="59"/>
    <w:rPr>
      <w:snapToGrid w:val="0"/>
    </w:rPr>
    <w:tblPr>
      <w:tblBorders>
        <w:top w:val="single" w:color="auto" w:sz="12" w:space="0"/>
        <w:bottom w:val="single" w:color="auto" w:sz="12" w:space="0"/>
        <w:insideH w:val="single" w:color="auto" w:sz="4" w:space="0"/>
        <w:insideV w:val="single" w:color="auto" w:sz="4" w:space="0"/>
      </w:tblBorders>
    </w:tblPr>
    <w:tcPr>
      <w:vAlign w:val="center"/>
    </w:tcPr>
    <w:tblStylePr w:type="firstRow">
      <w:tcPr>
        <w:tcBorders>
          <w:top w:val="single" w:color="auto" w:sz="12" w:space="0"/>
        </w:tcBorders>
      </w:tcPr>
    </w:tblStylePr>
    <w:tblStylePr w:type="lastRow">
      <w:tcPr>
        <w:tcBorders>
          <w:bottom w:val="single" w:color="auto" w:sz="12" w:space="0"/>
        </w:tcBorders>
      </w:tcPr>
    </w:tblStylePr>
    <w:tblStylePr w:type="firstCol">
      <w:tcPr>
        <w:tcBorders>
          <w:left w:val="nil"/>
        </w:tcBorders>
      </w:tcPr>
    </w:tblStylePr>
    <w:tblStylePr w:type="lastCol">
      <w:tcPr>
        <w:tcBorders>
          <w:right w:val="nil"/>
        </w:tcBorders>
      </w:tcPr>
    </w:tblStylePr>
  </w:style>
  <w:style w:type="table" w:customStyle="1" w:styleId="326">
    <w:name w:val="双线表2"/>
    <w:basedOn w:val="41"/>
    <w:qFormat/>
    <w:uiPriority w:val="99"/>
    <w:pPr>
      <w:jc w:val="center"/>
    </w:pPr>
    <w:rPr>
      <w:rFonts w:ascii="等线" w:hAnsi="等线" w:eastAsia="Times New Roman"/>
      <w:snapToGrid w:val="0"/>
      <w:sz w:val="21"/>
      <w:szCs w:val="21"/>
    </w:rPr>
    <w:tblP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
    <w:tcPr>
      <w:vAlign w:val="center"/>
    </w:tcPr>
  </w:style>
  <w:style w:type="table" w:customStyle="1" w:styleId="327">
    <w:name w:val="双线表111"/>
    <w:basedOn w:val="41"/>
    <w:qFormat/>
    <w:uiPriority w:val="99"/>
    <w:pPr>
      <w:jc w:val="center"/>
    </w:pPr>
    <w:rPr>
      <w:rFonts w:eastAsia="Times New Roman"/>
      <w:sz w:val="21"/>
    </w:rPr>
    <w:tblP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
    <w:tcPr>
      <w:vAlign w:val="center"/>
    </w:tcPr>
  </w:style>
  <w:style w:type="character" w:customStyle="1" w:styleId="328">
    <w:name w:val="列表段落 字符"/>
    <w:link w:val="245"/>
    <w:qFormat/>
    <w:uiPriority w:val="0"/>
    <w:rPr>
      <w:rFonts w:cs="Times New Roman"/>
      <w:snapToGrid w:val="0"/>
      <w:szCs w:val="21"/>
      <w14:ligatures w14:val="none"/>
    </w:rPr>
  </w:style>
  <w:style w:type="paragraph" w:customStyle="1" w:styleId="329">
    <w:name w:val="正文缩近"/>
    <w:basedOn w:val="1"/>
    <w:qFormat/>
    <w:uiPriority w:val="0"/>
    <w:pPr>
      <w:ind w:firstLine="560"/>
    </w:pPr>
    <w:rPr>
      <w:rFonts w:ascii="宋体" w:hAnsi="宋体" w:cs="Times New Roman"/>
      <w:snapToGrid w:val="0"/>
      <w:kern w:val="0"/>
      <w:sz w:val="28"/>
      <w:szCs w:val="28"/>
    </w:rPr>
  </w:style>
  <w:style w:type="character" w:customStyle="1" w:styleId="330">
    <w:name w:val="其他_"/>
    <w:basedOn w:val="44"/>
    <w:link w:val="331"/>
    <w:qFormat/>
    <w:uiPriority w:val="0"/>
    <w:rPr>
      <w:rFonts w:eastAsia="Times New Roman"/>
      <w:i/>
      <w:iCs/>
    </w:rPr>
  </w:style>
  <w:style w:type="paragraph" w:customStyle="1" w:styleId="331">
    <w:name w:val="其他"/>
    <w:basedOn w:val="1"/>
    <w:link w:val="330"/>
    <w:qFormat/>
    <w:uiPriority w:val="0"/>
    <w:pPr>
      <w:spacing w:line="240" w:lineRule="auto"/>
      <w:ind w:firstLine="0"/>
      <w:jc w:val="center"/>
    </w:pPr>
    <w:rPr>
      <w:rFonts w:eastAsia="Times New Roman" w:cs="Times New Roman"/>
      <w:i/>
      <w:iCs/>
      <w:kern w:val="0"/>
      <w:sz w:val="20"/>
      <w:szCs w:val="20"/>
    </w:rPr>
  </w:style>
  <w:style w:type="character" w:customStyle="1" w:styleId="332">
    <w:name w:val="表格标题_"/>
    <w:basedOn w:val="44"/>
    <w:qFormat/>
    <w:uiPriority w:val="0"/>
    <w:rPr>
      <w:rFonts w:ascii="宋体" w:hAnsi="宋体" w:eastAsia="宋体" w:cs="宋体"/>
      <w:sz w:val="20"/>
      <w:szCs w:val="20"/>
    </w:rPr>
  </w:style>
  <w:style w:type="character" w:customStyle="1" w:styleId="333">
    <w:name w:val="正文文本 (2)_"/>
    <w:basedOn w:val="44"/>
    <w:link w:val="334"/>
    <w:qFormat/>
    <w:uiPriority w:val="0"/>
    <w:rPr>
      <w:rFonts w:eastAsia="Times New Roman"/>
    </w:rPr>
  </w:style>
  <w:style w:type="paragraph" w:customStyle="1" w:styleId="334">
    <w:name w:val="正文文本 (2)"/>
    <w:basedOn w:val="1"/>
    <w:link w:val="333"/>
    <w:qFormat/>
    <w:uiPriority w:val="0"/>
    <w:pPr>
      <w:spacing w:after="220" w:line="500" w:lineRule="exact"/>
      <w:ind w:left="480" w:firstLine="20"/>
      <w:jc w:val="left"/>
    </w:pPr>
    <w:rPr>
      <w:rFonts w:eastAsia="Times New Roman" w:cs="Times New Roman"/>
      <w:kern w:val="0"/>
      <w:sz w:val="20"/>
      <w:szCs w:val="20"/>
    </w:rPr>
  </w:style>
  <w:style w:type="paragraph" w:customStyle="1" w:styleId="335">
    <w:name w:val="表格内"/>
    <w:basedOn w:val="30"/>
    <w:next w:val="1"/>
    <w:link w:val="336"/>
    <w:qFormat/>
    <w:uiPriority w:val="0"/>
    <w:pPr>
      <w:tabs>
        <w:tab w:val="left" w:pos="3480"/>
      </w:tabs>
      <w:autoSpaceDE w:val="0"/>
      <w:autoSpaceDN w:val="0"/>
      <w:spacing w:beforeLines="50" w:line="360" w:lineRule="exact"/>
      <w:ind w:left="0" w:firstLine="0" w:firstLineChars="0"/>
      <w:contextualSpacing w:val="0"/>
      <w:jc w:val="center"/>
    </w:pPr>
    <w:rPr>
      <w:rFonts w:ascii="宋体" w:hAnsi="宋体" w:eastAsia="黑体" w:cs="宋体"/>
      <w:sz w:val="21"/>
      <w:szCs w:val="21"/>
      <w:lang w:val="zh-CN" w:bidi="zh-CN"/>
    </w:rPr>
  </w:style>
  <w:style w:type="character" w:customStyle="1" w:styleId="336">
    <w:name w:val="表格内 Char"/>
    <w:link w:val="335"/>
    <w:qFormat/>
    <w:uiPriority w:val="0"/>
    <w:rPr>
      <w:rFonts w:ascii="宋体" w:hAnsi="宋体" w:eastAsia="黑体" w:cs="宋体"/>
      <w:snapToGrid w:val="0"/>
      <w:sz w:val="21"/>
      <w:szCs w:val="21"/>
      <w:lang w:val="zh-CN" w:bidi="zh-CN"/>
    </w:rPr>
  </w:style>
  <w:style w:type="table" w:customStyle="1" w:styleId="337">
    <w:name w:val="双线表3"/>
    <w:basedOn w:val="41"/>
    <w:qFormat/>
    <w:uiPriority w:val="99"/>
    <w:pPr>
      <w:jc w:val="center"/>
    </w:pPr>
    <w:rPr>
      <w:snapToGrid w:val="0"/>
    </w:rPr>
    <w:tblP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
    <w:tcPr>
      <w:vAlign w:val="center"/>
    </w:tcPr>
  </w:style>
  <w:style w:type="table" w:customStyle="1" w:styleId="338">
    <w:name w:val="双线表4"/>
    <w:basedOn w:val="41"/>
    <w:qFormat/>
    <w:uiPriority w:val="99"/>
    <w:pPr>
      <w:jc w:val="center"/>
    </w:pPr>
    <w:rPr>
      <w:rFonts w:ascii="等线" w:hAnsi="等线" w:eastAsia="Times New Roman"/>
      <w:snapToGrid w:val="0"/>
      <w:sz w:val="21"/>
      <w:szCs w:val="21"/>
    </w:rPr>
    <w:tblP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
    <w:tcPr>
      <w:vAlign w:val="center"/>
    </w:tcPr>
  </w:style>
  <w:style w:type="paragraph" w:customStyle="1" w:styleId="339">
    <w:name w:val="页眉格式"/>
    <w:basedOn w:val="27"/>
    <w:link w:val="340"/>
    <w:qFormat/>
    <w:uiPriority w:val="0"/>
    <w:pPr>
      <w:pBdr>
        <w:bottom w:val="single" w:color="auto" w:sz="6" w:space="1"/>
      </w:pBdr>
      <w:ind w:firstLine="0" w:firstLineChars="0"/>
    </w:pPr>
    <w:rPr>
      <w:snapToGrid w:val="0"/>
      <w:kern w:val="0"/>
    </w:rPr>
  </w:style>
  <w:style w:type="character" w:customStyle="1" w:styleId="340">
    <w:name w:val="页眉格式 字符"/>
    <w:basedOn w:val="244"/>
    <w:link w:val="339"/>
    <w:qFormat/>
    <w:uiPriority w:val="0"/>
    <w:rPr>
      <w:rFonts w:cstheme="minorBidi"/>
      <w:snapToGrid w:val="0"/>
      <w:sz w:val="18"/>
      <w:szCs w:val="18"/>
      <w14:ligatures w14:val="none"/>
    </w:rPr>
  </w:style>
  <w:style w:type="table" w:customStyle="1" w:styleId="341">
    <w:name w:val="双线表5"/>
    <w:basedOn w:val="41"/>
    <w:qFormat/>
    <w:uiPriority w:val="99"/>
    <w:pPr>
      <w:jc w:val="center"/>
    </w:pPr>
    <w:rPr>
      <w:rFonts w:eastAsia="Times New Roman"/>
      <w:snapToGrid w:val="0"/>
    </w:rPr>
    <w:tblP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
    <w:tcPr>
      <w:vAlign w:val="center"/>
    </w:tcPr>
  </w:style>
  <w:style w:type="table" w:customStyle="1" w:styleId="342">
    <w:name w:val="双线表7"/>
    <w:basedOn w:val="41"/>
    <w:qFormat/>
    <w:uiPriority w:val="99"/>
    <w:pPr>
      <w:jc w:val="center"/>
    </w:pPr>
    <w:rPr>
      <w:rFonts w:eastAsia="Times New Roman"/>
      <w:snapToGrid w:val="0"/>
    </w:rPr>
    <w:tblP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
    <w:tcPr>
      <w:vAlign w:val="center"/>
    </w:tcPr>
  </w:style>
  <w:style w:type="table" w:customStyle="1" w:styleId="343">
    <w:name w:val="双线表8"/>
    <w:basedOn w:val="41"/>
    <w:qFormat/>
    <w:uiPriority w:val="99"/>
    <w:pPr>
      <w:jc w:val="center"/>
    </w:pPr>
    <w:rPr>
      <w:rFonts w:eastAsia="Times New Roman"/>
      <w:snapToGrid w:val="0"/>
    </w:rPr>
    <w:tblP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
    <w:tcPr>
      <w:vAlign w:val="center"/>
    </w:tcPr>
  </w:style>
  <w:style w:type="table" w:customStyle="1" w:styleId="344">
    <w:name w:val="双线表9"/>
    <w:basedOn w:val="41"/>
    <w:qFormat/>
    <w:uiPriority w:val="99"/>
    <w:pPr>
      <w:jc w:val="center"/>
    </w:pPr>
    <w:rPr>
      <w:rFonts w:eastAsia="Times New Roman"/>
      <w:snapToGrid w:val="0"/>
    </w:rPr>
    <w:tblP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
    <w:tcPr>
      <w:vAlign w:val="center"/>
    </w:tcPr>
  </w:style>
  <w:style w:type="table" w:customStyle="1" w:styleId="345">
    <w:name w:val="双线表10"/>
    <w:basedOn w:val="41"/>
    <w:qFormat/>
    <w:uiPriority w:val="99"/>
    <w:pPr>
      <w:jc w:val="center"/>
    </w:pPr>
    <w:rPr>
      <w:rFonts w:eastAsia="Times New Roman"/>
      <w:snapToGrid w:val="0"/>
    </w:rPr>
    <w:tblP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
    <w:tcPr>
      <w:vAlign w:val="center"/>
    </w:tcPr>
  </w:style>
  <w:style w:type="table" w:customStyle="1" w:styleId="346">
    <w:name w:val="网格型5"/>
    <w:basedOn w:val="41"/>
    <w:qFormat/>
    <w:uiPriority w:val="59"/>
    <w:tblPr>
      <w:tblBorders>
        <w:top w:val="single" w:color="auto" w:sz="12" w:space="0"/>
        <w:bottom w:val="single" w:color="auto" w:sz="12" w:space="0"/>
        <w:insideH w:val="single" w:color="auto" w:sz="4" w:space="0"/>
        <w:insideV w:val="single" w:color="auto" w:sz="4" w:space="0"/>
      </w:tblBorders>
    </w:tblPr>
    <w:tcPr>
      <w:vAlign w:val="center"/>
    </w:tcPr>
    <w:tblStylePr w:type="firstRow">
      <w:tcPr>
        <w:tcBorders>
          <w:top w:val="single" w:color="auto" w:sz="12" w:space="0"/>
        </w:tcBorders>
      </w:tcPr>
    </w:tblStylePr>
    <w:tblStylePr w:type="lastRow">
      <w:tcPr>
        <w:tcBorders>
          <w:bottom w:val="single" w:color="auto" w:sz="12" w:space="0"/>
        </w:tcBorders>
      </w:tcPr>
    </w:tblStylePr>
    <w:tblStylePr w:type="firstCol">
      <w:tcPr>
        <w:tcBorders>
          <w:left w:val="nil"/>
        </w:tcBorders>
      </w:tcPr>
    </w:tblStylePr>
    <w:tblStylePr w:type="lastCol">
      <w:tcPr>
        <w:tcBorders>
          <w:right w:val="nil"/>
        </w:tcBorders>
      </w:tcPr>
    </w:tblStylePr>
  </w:style>
  <w:style w:type="table" w:customStyle="1" w:styleId="347">
    <w:name w:val="外框2"/>
    <w:basedOn w:val="41"/>
    <w:qFormat/>
    <w:uiPriority w:val="0"/>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blStylePr w:type="firstRow">
      <w:tcPr>
        <w:tcBorders>
          <w:top w:val="single" w:color="auto" w:sz="12" w:space="0"/>
        </w:tcBorders>
      </w:tcPr>
    </w:tblStylePr>
    <w:tblStylePr w:type="lastRow">
      <w:tcPr>
        <w:tcBorders>
          <w:bottom w:val="single" w:color="auto" w:sz="18" w:space="0"/>
        </w:tcBorders>
      </w:tcPr>
    </w:tblStylePr>
    <w:tblStylePr w:type="firstCol">
      <w:tcPr>
        <w:tcBorders>
          <w:left w:val="single" w:color="auto" w:sz="12" w:space="0"/>
        </w:tcBorders>
      </w:tcPr>
    </w:tblStylePr>
    <w:tblStylePr w:type="lastCol">
      <w:tcPr>
        <w:tcBorders>
          <w:right w:val="single" w:color="auto" w:sz="18" w:space="0"/>
        </w:tcBorders>
      </w:tcPr>
    </w:tblStylePr>
  </w:style>
  <w:style w:type="table" w:customStyle="1" w:styleId="348">
    <w:name w:val="网格型12"/>
    <w:basedOn w:val="41"/>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9">
    <w:name w:val="网格型22"/>
    <w:basedOn w:val="4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0">
    <w:name w:val="网格型32"/>
    <w:basedOn w:val="41"/>
    <w:qFormat/>
    <w:uiPriority w:val="59"/>
    <w:tblPr>
      <w:tblBorders>
        <w:top w:val="single" w:color="auto" w:sz="12" w:space="0"/>
        <w:bottom w:val="single" w:color="auto" w:sz="12" w:space="0"/>
        <w:insideH w:val="single" w:color="auto" w:sz="4" w:space="0"/>
        <w:insideV w:val="single" w:color="auto" w:sz="4" w:space="0"/>
      </w:tblBorders>
    </w:tblPr>
    <w:tcPr>
      <w:vAlign w:val="center"/>
    </w:tcPr>
    <w:tblStylePr w:type="firstRow">
      <w:tcPr>
        <w:tcBorders>
          <w:top w:val="single" w:color="auto" w:sz="12" w:space="0"/>
        </w:tcBorders>
      </w:tcPr>
    </w:tblStylePr>
    <w:tblStylePr w:type="lastRow">
      <w:tcPr>
        <w:tcBorders>
          <w:bottom w:val="single" w:color="auto" w:sz="12" w:space="0"/>
        </w:tcBorders>
      </w:tcPr>
    </w:tblStylePr>
    <w:tblStylePr w:type="firstCol">
      <w:tcPr>
        <w:tcBorders>
          <w:left w:val="nil"/>
        </w:tcBorders>
      </w:tcPr>
    </w:tblStylePr>
    <w:tblStylePr w:type="lastCol">
      <w:tcPr>
        <w:tcBorders>
          <w:right w:val="nil"/>
        </w:tcBorders>
      </w:tcPr>
    </w:tblStylePr>
  </w:style>
  <w:style w:type="table" w:customStyle="1" w:styleId="351">
    <w:name w:val="双线表12"/>
    <w:basedOn w:val="41"/>
    <w:qFormat/>
    <w:uiPriority w:val="99"/>
    <w:pPr>
      <w:jc w:val="center"/>
    </w:pPr>
    <w:rPr>
      <w:rFonts w:eastAsia="Times New Roman"/>
      <w:snapToGrid w:val="0"/>
    </w:rPr>
    <w:tblP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
    <w:tcPr>
      <w:vAlign w:val="center"/>
    </w:tcPr>
  </w:style>
  <w:style w:type="table" w:customStyle="1" w:styleId="352">
    <w:name w:val="无格式表格 121"/>
    <w:basedOn w:val="41"/>
    <w:qFormat/>
    <w:uiPriority w:val="41"/>
    <w:rPr>
      <w:snapToGrid w:val="0"/>
    </w:rPr>
    <w:tblPr>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Pr>
    <w:tblStylePr w:type="firstRow">
      <w:rPr>
        <w:b/>
        <w:bCs/>
      </w:rPr>
    </w:tblStylePr>
    <w:tblStylePr w:type="lastRow">
      <w:rPr>
        <w:b/>
        <w:bCs/>
      </w:rPr>
      <w:tcPr>
        <w:tcBorders>
          <w:top w:val="double" w:color="BFBFBF" w:sz="4" w:space="0"/>
        </w:tcBorders>
      </w:tcPr>
    </w:tblStylePr>
    <w:tblStylePr w:type="firstCol">
      <w:rPr>
        <w:b/>
        <w:bCs/>
      </w:rPr>
    </w:tblStylePr>
    <w:tblStylePr w:type="lastCol">
      <w:rPr>
        <w:b/>
        <w:bCs/>
      </w:rPr>
    </w:tblStylePr>
    <w:tblStylePr w:type="band1Vert">
      <w:tcPr>
        <w:shd w:val="clear" w:color="auto" w:fill="F2F2F2"/>
      </w:tcPr>
    </w:tblStylePr>
    <w:tblStylePr w:type="band1Horz">
      <w:tcPr>
        <w:shd w:val="clear" w:color="auto" w:fill="F2F2F2"/>
      </w:tcPr>
    </w:tblStylePr>
  </w:style>
  <w:style w:type="table" w:customStyle="1" w:styleId="353">
    <w:name w:val="网格型6"/>
    <w:basedOn w:val="41"/>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4">
    <w:name w:val="双线表13"/>
    <w:basedOn w:val="41"/>
    <w:qFormat/>
    <w:uiPriority w:val="99"/>
    <w:pPr>
      <w:jc w:val="center"/>
    </w:pPr>
    <w:rPr>
      <w:rFonts w:eastAsia="Times New Roman"/>
      <w:snapToGrid w:val="0"/>
    </w:rPr>
    <w:tblP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
    <w:tcPr>
      <w:vAlign w:val="center"/>
    </w:tcPr>
  </w:style>
  <w:style w:type="table" w:customStyle="1" w:styleId="355">
    <w:name w:val="双线表14"/>
    <w:basedOn w:val="41"/>
    <w:qFormat/>
    <w:uiPriority w:val="99"/>
    <w:pPr>
      <w:jc w:val="center"/>
    </w:pPr>
    <w:rPr>
      <w:rFonts w:eastAsia="Times New Roman"/>
      <w:snapToGrid w:val="0"/>
    </w:rPr>
    <w:tblP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
    <w:tcPr>
      <w:vAlign w:val="center"/>
    </w:tcPr>
  </w:style>
  <w:style w:type="table" w:customStyle="1" w:styleId="356">
    <w:name w:val="双线表15"/>
    <w:basedOn w:val="41"/>
    <w:qFormat/>
    <w:uiPriority w:val="99"/>
    <w:pPr>
      <w:jc w:val="center"/>
    </w:pPr>
    <w:rPr>
      <w:rFonts w:eastAsia="Times New Roman"/>
      <w:kern w:val="2"/>
      <w14:ligatures w14:val="standardContextual"/>
    </w:rPr>
    <w:tblP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
    <w:tcPr>
      <w:vAlign w:val="center"/>
    </w:tcPr>
  </w:style>
  <w:style w:type="table" w:customStyle="1" w:styleId="357">
    <w:name w:val="双线框2"/>
    <w:basedOn w:val="41"/>
    <w:qFormat/>
    <w:uiPriority w:val="99"/>
    <w:pPr>
      <w:jc w:val="center"/>
    </w:pPr>
    <w:rPr>
      <w:rFonts w:eastAsia="Times New Roman"/>
      <w:kern w:val="2"/>
      <w:sz w:val="21"/>
      <w:szCs w:val="21"/>
    </w:rPr>
    <w:tblP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
    <w:tcPr>
      <w:vAlign w:val="center"/>
    </w:tcPr>
  </w:style>
  <w:style w:type="table" w:customStyle="1" w:styleId="358">
    <w:name w:val="双线表16"/>
    <w:basedOn w:val="41"/>
    <w:qFormat/>
    <w:uiPriority w:val="99"/>
    <w:pPr>
      <w:jc w:val="center"/>
    </w:pPr>
    <w:rPr>
      <w:rFonts w:eastAsia="Times New Roman"/>
      <w:kern w:val="2"/>
      <w14:ligatures w14:val="standardContextual"/>
    </w:rPr>
    <w:tblP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
    <w:tcPr>
      <w:vAlign w:val="center"/>
    </w:tcPr>
  </w:style>
  <w:style w:type="table" w:customStyle="1" w:styleId="359">
    <w:name w:val="双线表17"/>
    <w:basedOn w:val="41"/>
    <w:qFormat/>
    <w:uiPriority w:val="99"/>
    <w:pPr>
      <w:jc w:val="center"/>
    </w:pPr>
    <w:rPr>
      <w:rFonts w:eastAsia="Times New Roman"/>
      <w:kern w:val="2"/>
      <w14:ligatures w14:val="standardContextual"/>
    </w:rPr>
    <w:tblP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
    <w:tcPr>
      <w:vAlign w:val="center"/>
    </w:tcPr>
  </w:style>
  <w:style w:type="table" w:customStyle="1" w:styleId="360">
    <w:name w:val="双线表18"/>
    <w:basedOn w:val="41"/>
    <w:qFormat/>
    <w:uiPriority w:val="99"/>
    <w:pPr>
      <w:jc w:val="center"/>
    </w:pPr>
    <w:rPr>
      <w:rFonts w:eastAsia="Times New Roman"/>
      <w:snapToGrid w:val="0"/>
    </w:rPr>
    <w:tblP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
    <w:tcPr>
      <w:vAlign w:val="center"/>
    </w:tcPr>
  </w:style>
  <w:style w:type="table" w:customStyle="1" w:styleId="361">
    <w:name w:val="网格型13"/>
    <w:basedOn w:val="41"/>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2">
    <w:name w:val="双线表19"/>
    <w:basedOn w:val="41"/>
    <w:qFormat/>
    <w:uiPriority w:val="99"/>
    <w:pPr>
      <w:jc w:val="center"/>
    </w:pPr>
    <w:rPr>
      <w:rFonts w:eastAsia="Times New Roman"/>
      <w:snapToGrid w:val="0"/>
    </w:rPr>
    <w:tblP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
    <w:tcPr>
      <w:vAlign w:val="center"/>
    </w:tcPr>
  </w:style>
  <w:style w:type="table" w:customStyle="1" w:styleId="363">
    <w:name w:val="双线表20"/>
    <w:basedOn w:val="41"/>
    <w:qFormat/>
    <w:uiPriority w:val="99"/>
    <w:pPr>
      <w:jc w:val="center"/>
    </w:pPr>
    <w:rPr>
      <w:rFonts w:eastAsia="Times New Roman"/>
      <w:snapToGrid w:val="0"/>
    </w:rPr>
    <w:tblP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
    <w:tcPr>
      <w:vAlign w:val="center"/>
    </w:tcPr>
  </w:style>
  <w:style w:type="table" w:customStyle="1" w:styleId="364">
    <w:name w:val="双线框3"/>
    <w:basedOn w:val="41"/>
    <w:qFormat/>
    <w:uiPriority w:val="99"/>
    <w:pPr>
      <w:jc w:val="center"/>
    </w:pPr>
    <w:rPr>
      <w:rFonts w:eastAsia="Times New Roman"/>
      <w:snapToGrid w:val="0"/>
      <w:sz w:val="21"/>
      <w:szCs w:val="21"/>
    </w:rPr>
    <w:tblP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
    <w:tcPr>
      <w:vAlign w:val="center"/>
    </w:tcPr>
  </w:style>
  <w:style w:type="table" w:customStyle="1" w:styleId="365">
    <w:name w:val="shuangxianbiao"/>
    <w:basedOn w:val="41"/>
    <w:qFormat/>
    <w:uiPriority w:val="99"/>
    <w:pPr>
      <w:jc w:val="center"/>
    </w:pPr>
    <w:rPr>
      <w:snapToGrid w:val="0"/>
      <w:sz w:val="21"/>
      <w:szCs w:val="21"/>
    </w:rPr>
    <w:tblP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
    <w:tcPr>
      <w:vAlign w:val="center"/>
    </w:tcPr>
  </w:style>
  <w:style w:type="table" w:customStyle="1" w:styleId="366">
    <w:name w:val="shuangxianbiao1"/>
    <w:basedOn w:val="41"/>
    <w:qFormat/>
    <w:uiPriority w:val="99"/>
    <w:pPr>
      <w:jc w:val="center"/>
    </w:pPr>
    <w:rPr>
      <w:snapToGrid w:val="0"/>
      <w:sz w:val="21"/>
      <w:szCs w:val="21"/>
    </w:rPr>
    <w:tblP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
    <w:tcPr>
      <w:vAlign w:val="center"/>
    </w:tcPr>
  </w:style>
  <w:style w:type="character" w:customStyle="1" w:styleId="367">
    <w:name w:val="fontstyle21"/>
    <w:basedOn w:val="44"/>
    <w:qFormat/>
    <w:uiPriority w:val="0"/>
    <w:rPr>
      <w:rFonts w:hint="eastAsia" w:ascii="宋体" w:hAnsi="宋体" w:eastAsia="宋体"/>
      <w:color w:val="000000"/>
      <w:sz w:val="26"/>
      <w:szCs w:val="26"/>
    </w:rPr>
  </w:style>
  <w:style w:type="table" w:customStyle="1" w:styleId="368">
    <w:name w:val="双线表21"/>
    <w:basedOn w:val="41"/>
    <w:qFormat/>
    <w:uiPriority w:val="99"/>
    <w:pPr>
      <w:jc w:val="center"/>
    </w:pPr>
    <w:rPr>
      <w:rFonts w:eastAsia="Times New Roman"/>
      <w:snapToGrid w:val="0"/>
    </w:rPr>
    <w:tblP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
    <w:tcPr>
      <w:vAlign w:val="center"/>
    </w:tcPr>
  </w:style>
  <w:style w:type="character" w:customStyle="1" w:styleId="369">
    <w:name w:val="页脚 字符2"/>
    <w:basedOn w:val="44"/>
    <w:link w:val="26"/>
    <w:qFormat/>
    <w:uiPriority w:val="0"/>
    <w:rPr>
      <w:rFonts w:cstheme="minorBidi"/>
      <w:kern w:val="2"/>
      <w:sz w:val="18"/>
      <w:szCs w:val="18"/>
    </w:rPr>
  </w:style>
  <w:style w:type="character" w:customStyle="1" w:styleId="370">
    <w:name w:val="页眉 字符1"/>
    <w:basedOn w:val="44"/>
    <w:link w:val="27"/>
    <w:qFormat/>
    <w:uiPriority w:val="0"/>
    <w:rPr>
      <w:rFonts w:cstheme="minorBidi"/>
      <w:kern w:val="2"/>
      <w:sz w:val="18"/>
      <w:szCs w:val="18"/>
    </w:rPr>
  </w:style>
  <w:style w:type="table" w:customStyle="1" w:styleId="371">
    <w:name w:val="S表格正文"/>
    <w:basedOn w:val="41"/>
    <w:qFormat/>
    <w:uiPriority w:val="99"/>
    <w:rPr>
      <w:rFonts w:cstheme="minorBidi"/>
      <w:kern w:val="2"/>
      <w:sz w:val="21"/>
      <w:szCs w:val="21"/>
    </w:r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jc w:val="center"/>
    </w:trPr>
    <w:tcPr>
      <w:vAlign w:val="center"/>
    </w:tcPr>
  </w:style>
  <w:style w:type="paragraph" w:customStyle="1" w:styleId="372">
    <w:name w:val="章标题（科宏）"/>
    <w:next w:val="1"/>
    <w:qFormat/>
    <w:uiPriority w:val="99"/>
    <w:pPr>
      <w:pageBreakBefore/>
      <w:widowControl w:val="0"/>
      <w:numPr>
        <w:ilvl w:val="0"/>
        <w:numId w:val="4"/>
      </w:numPr>
      <w:spacing w:before="50" w:beforeLines="50" w:after="50" w:afterLines="50" w:line="360" w:lineRule="auto"/>
      <w:jc w:val="center"/>
      <w:outlineLvl w:val="0"/>
    </w:pPr>
    <w:rPr>
      <w:rFonts w:ascii="Arial" w:hAnsi="Arial" w:eastAsia="仿宋_GB2312" w:cs="Times New Roman"/>
      <w:b/>
      <w:sz w:val="32"/>
      <w:lang w:val="en-US" w:eastAsia="zh-CN" w:bidi="ar-SA"/>
    </w:rPr>
  </w:style>
  <w:style w:type="paragraph" w:customStyle="1" w:styleId="373">
    <w:name w:val="节标题（科宏）"/>
    <w:next w:val="1"/>
    <w:qFormat/>
    <w:uiPriority w:val="0"/>
    <w:pPr>
      <w:widowControl w:val="0"/>
      <w:numPr>
        <w:ilvl w:val="1"/>
        <w:numId w:val="4"/>
      </w:numPr>
      <w:spacing w:before="50" w:beforeLines="50" w:after="50" w:afterLines="50" w:line="360" w:lineRule="auto"/>
      <w:jc w:val="center"/>
      <w:outlineLvl w:val="1"/>
    </w:pPr>
    <w:rPr>
      <w:rFonts w:ascii="Arial" w:hAnsi="Arial" w:eastAsia="仿宋_GB2312" w:cs="Times New Roman"/>
      <w:b/>
      <w:sz w:val="30"/>
      <w:lang w:val="en-US" w:eastAsia="zh-CN" w:bidi="ar-SA"/>
    </w:rPr>
  </w:style>
  <w:style w:type="paragraph" w:customStyle="1" w:styleId="374">
    <w:name w:val="Char Char Char1 Char Char Char Char Char Char Char Char Char Char Char Char Char"/>
    <w:basedOn w:val="6"/>
    <w:qFormat/>
    <w:uiPriority w:val="0"/>
    <w:pPr>
      <w:widowControl/>
      <w:numPr>
        <w:numId w:val="4"/>
      </w:numPr>
      <w:tabs>
        <w:tab w:val="left" w:pos="567"/>
        <w:tab w:val="left" w:pos="1418"/>
      </w:tabs>
      <w:adjustRightInd/>
      <w:snapToGrid/>
      <w:spacing w:before="0" w:beforeLines="0" w:after="120"/>
      <w:ind w:left="1560" w:firstLine="0"/>
      <w:jc w:val="left"/>
    </w:pPr>
    <w:rPr>
      <w:rFonts w:eastAsia="宋体" w:cs="宋体"/>
      <w:b/>
      <w:kern w:val="0"/>
      <w:szCs w:val="28"/>
      <w:lang w:val="zh-CN"/>
    </w:rPr>
  </w:style>
  <w:style w:type="character" w:customStyle="1" w:styleId="375">
    <w:name w:val="WJ正文 Char"/>
    <w:link w:val="376"/>
    <w:qFormat/>
    <w:uiPriority w:val="0"/>
    <w:rPr>
      <w:rFonts w:ascii="宋体" w:hAnsi="宋体"/>
      <w:color w:val="000000"/>
      <w:kern w:val="2"/>
      <w:sz w:val="24"/>
      <w:szCs w:val="24"/>
    </w:rPr>
  </w:style>
  <w:style w:type="paragraph" w:customStyle="1" w:styleId="376">
    <w:name w:val="WJ正文"/>
    <w:basedOn w:val="1"/>
    <w:next w:val="1"/>
    <w:link w:val="375"/>
    <w:qFormat/>
    <w:uiPriority w:val="0"/>
    <w:pPr>
      <w:tabs>
        <w:tab w:val="left" w:pos="600"/>
      </w:tabs>
      <w:adjustRightInd/>
      <w:snapToGrid/>
      <w:spacing w:line="480" w:lineRule="exact"/>
      <w:ind w:firstLine="480"/>
    </w:pPr>
    <w:rPr>
      <w:rFonts w:ascii="宋体" w:hAnsi="宋体" w:cs="Times New Roman"/>
      <w:color w:val="000000"/>
      <w:szCs w:val="24"/>
    </w:rPr>
  </w:style>
  <w:style w:type="paragraph" w:customStyle="1" w:styleId="377">
    <w:name w:val="1、L表名、图名"/>
    <w:basedOn w:val="1"/>
    <w:qFormat/>
    <w:uiPriority w:val="0"/>
    <w:pPr>
      <w:spacing w:line="240" w:lineRule="auto"/>
      <w:ind w:firstLine="0" w:firstLineChars="0"/>
      <w:jc w:val="center"/>
    </w:pPr>
    <w:rPr>
      <w:rFonts w:cs="Times New Roman"/>
      <w:bCs/>
      <w:sz w:val="21"/>
      <w:szCs w:val="18"/>
    </w:rPr>
  </w:style>
  <w:style w:type="table" w:customStyle="1" w:styleId="378">
    <w:name w:val="双线框4"/>
    <w:basedOn w:val="41"/>
    <w:qFormat/>
    <w:uiPriority w:val="99"/>
    <w:pPr>
      <w:jc w:val="center"/>
    </w:pPr>
    <w:rPr>
      <w:rFonts w:eastAsia="Times New Roman"/>
      <w:snapToGrid w:val="0"/>
      <w:sz w:val="21"/>
      <w:szCs w:val="21"/>
    </w:rPr>
    <w:tblP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
    <w:tcPr>
      <w:vAlign w:val="center"/>
    </w:tcPr>
  </w:style>
  <w:style w:type="table" w:customStyle="1" w:styleId="379">
    <w:name w:val="Table Normal"/>
    <w:unhideWhenUsed/>
    <w:qFormat/>
    <w:uiPriority w:val="0"/>
    <w:rPr>
      <w:sz w:val="22"/>
      <w:szCs w:val="22"/>
      <w:lang w:eastAsia="en-US"/>
    </w:rPr>
    <w:tblPr>
      <w:tblCellMar>
        <w:top w:w="0" w:type="dxa"/>
        <w:left w:w="0" w:type="dxa"/>
        <w:bottom w:w="0" w:type="dxa"/>
        <w:right w:w="0" w:type="dxa"/>
      </w:tblCellMar>
    </w:tblPr>
  </w:style>
  <w:style w:type="paragraph" w:customStyle="1" w:styleId="380">
    <w:name w:val="4"/>
    <w:basedOn w:val="1"/>
    <w:qFormat/>
    <w:uiPriority w:val="0"/>
    <w:pPr>
      <w:adjustRightInd/>
      <w:snapToGrid/>
      <w:spacing w:line="240" w:lineRule="auto"/>
      <w:ind w:firstLine="0" w:firstLineChars="0"/>
    </w:pPr>
    <w:rPr>
      <w:rFonts w:cs="Times New Roman"/>
      <w:sz w:val="21"/>
      <w:szCs w:val="20"/>
    </w:rPr>
  </w:style>
  <w:style w:type="table" w:customStyle="1" w:styleId="381">
    <w:name w:val="网格型42"/>
    <w:basedOn w:val="4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2">
    <w:name w:val="网格型43"/>
    <w:basedOn w:val="4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3">
    <w:name w:val="Table Normal24"/>
    <w:unhideWhenUsed/>
    <w:qFormat/>
    <w:uiPriority w:val="0"/>
    <w:tblPr>
      <w:tblCellMar>
        <w:top w:w="0" w:type="dxa"/>
        <w:left w:w="0" w:type="dxa"/>
        <w:bottom w:w="0" w:type="dxa"/>
        <w:right w:w="0" w:type="dxa"/>
      </w:tblCellMar>
    </w:tblPr>
  </w:style>
  <w:style w:type="character" w:customStyle="1" w:styleId="384">
    <w:name w:val="无间隔 字符"/>
    <w:basedOn w:val="44"/>
    <w:link w:val="2"/>
    <w:qFormat/>
    <w:uiPriority w:val="99"/>
    <w:rPr>
      <w:sz w:val="24"/>
      <w:szCs w:val="22"/>
    </w:rPr>
  </w:style>
  <w:style w:type="paragraph" w:customStyle="1" w:styleId="385">
    <w:name w:val="正文样式"/>
    <w:basedOn w:val="1"/>
    <w:link w:val="386"/>
    <w:qFormat/>
    <w:uiPriority w:val="0"/>
    <w:pPr>
      <w:tabs>
        <w:tab w:val="left" w:pos="1440"/>
        <w:tab w:val="left" w:pos="4368"/>
      </w:tabs>
      <w:adjustRightInd/>
      <w:snapToGrid/>
      <w:ind w:firstLine="493" w:firstLineChars="0"/>
    </w:pPr>
    <w:rPr>
      <w:rFonts w:cs="Times New Roman"/>
      <w:color w:val="000000"/>
      <w:szCs w:val="24"/>
    </w:rPr>
  </w:style>
  <w:style w:type="character" w:customStyle="1" w:styleId="386">
    <w:name w:val="正文样式 Char Char"/>
    <w:link w:val="385"/>
    <w:qFormat/>
    <w:uiPriority w:val="0"/>
    <w:rPr>
      <w:color w:val="000000"/>
      <w:kern w:val="2"/>
      <w:sz w:val="24"/>
      <w:szCs w:val="24"/>
    </w:rPr>
  </w:style>
  <w:style w:type="table" w:customStyle="1" w:styleId="387">
    <w:name w:val="网格型7"/>
    <w:basedOn w:val="41"/>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388">
    <w:name w:val="Table Paragraph"/>
    <w:basedOn w:val="1"/>
    <w:qFormat/>
    <w:uiPriority w:val="1"/>
    <w:pPr>
      <w:adjustRightInd/>
      <w:snapToGrid/>
      <w:spacing w:line="240" w:lineRule="auto"/>
      <w:ind w:firstLine="0" w:firstLineChars="0"/>
      <w:jc w:val="center"/>
    </w:pPr>
    <w:rPr>
      <w:rFonts w:eastAsia="Times New Roman" w:cs="Times New Roman"/>
      <w:sz w:val="21"/>
      <w:szCs w:val="24"/>
      <w:lang w:val="zh-CN" w:bidi="zh-CN"/>
    </w:rPr>
  </w:style>
  <w:style w:type="paragraph" w:customStyle="1" w:styleId="389">
    <w:name w:val="Normal_0_0"/>
    <w:qFormat/>
    <w:uiPriority w:val="0"/>
    <w:pPr>
      <w:widowControl w:val="0"/>
      <w:spacing w:line="360" w:lineRule="auto"/>
      <w:ind w:firstLine="200" w:firstLineChars="200"/>
      <w:jc w:val="both"/>
    </w:pPr>
    <w:rPr>
      <w:rFonts w:ascii="Times New Roman" w:hAnsi="Times New Roman" w:eastAsia="仿宋" w:cs="Times New Roman"/>
      <w:kern w:val="2"/>
      <w:sz w:val="28"/>
      <w:szCs w:val="21"/>
      <w:lang w:val="en-US" w:eastAsia="zh-CN" w:bidi="ar-SA"/>
    </w:rPr>
  </w:style>
  <w:style w:type="paragraph" w:customStyle="1" w:styleId="390">
    <w:name w:val="文本正文3"/>
    <w:qFormat/>
    <w:uiPriority w:val="0"/>
    <w:pPr>
      <w:spacing w:line="360" w:lineRule="auto"/>
      <w:ind w:firstLine="177" w:firstLineChars="177"/>
    </w:pPr>
    <w:rPr>
      <w:rFonts w:ascii="Times New Roman" w:hAnsi="Times New Roman" w:eastAsia="宋体" w:cs="Times New Roman"/>
      <w:kern w:val="2"/>
      <w:sz w:val="24"/>
      <w:szCs w:val="21"/>
      <w:lang w:val="en-US" w:eastAsia="zh-CN" w:bidi="ar-SA"/>
    </w:rPr>
  </w:style>
  <w:style w:type="paragraph" w:customStyle="1" w:styleId="391">
    <w:name w:val="+正文"/>
    <w:basedOn w:val="1"/>
    <w:qFormat/>
    <w:uiPriority w:val="0"/>
    <w:pPr>
      <w:adjustRightInd/>
      <w:snapToGrid/>
    </w:pPr>
    <w:rPr>
      <w:rFonts w:hAnsi="Calibri" w:eastAsia="Calibri" w:cs="Times New Roman"/>
      <w:szCs w:val="24"/>
    </w:rPr>
  </w:style>
  <w:style w:type="paragraph" w:customStyle="1" w:styleId="392">
    <w:name w:val="正文（川油）"/>
    <w:qFormat/>
    <w:uiPriority w:val="0"/>
    <w:pPr>
      <w:widowControl w:val="0"/>
      <w:spacing w:line="360" w:lineRule="auto"/>
      <w:ind w:firstLine="200" w:firstLineChars="200"/>
      <w:jc w:val="both"/>
    </w:pPr>
    <w:rPr>
      <w:rFonts w:ascii="Times New Roman" w:hAnsi="Times New Roman" w:eastAsia="宋体" w:cs="Times New Roman"/>
      <w:sz w:val="24"/>
      <w:lang w:val="en-US" w:eastAsia="zh-CN" w:bidi="ar-SA"/>
    </w:rPr>
  </w:style>
  <w:style w:type="table" w:customStyle="1" w:styleId="393">
    <w:name w:val="Table Normal16"/>
    <w:semiHidden/>
    <w:unhideWhenUsed/>
    <w:qFormat/>
    <w:uiPriority w:val="2"/>
    <w:pPr>
      <w:widowControl w:val="0"/>
    </w:pPr>
    <w:rPr>
      <w:sz w:val="22"/>
      <w:szCs w:val="22"/>
      <w:lang w:eastAsia="en-US"/>
    </w:rPr>
    <w:tblPr>
      <w:tblCellMar>
        <w:top w:w="0" w:type="dxa"/>
        <w:left w:w="0" w:type="dxa"/>
        <w:bottom w:w="0" w:type="dxa"/>
        <w:right w:w="0" w:type="dxa"/>
      </w:tblCellMar>
    </w:tblPr>
  </w:style>
  <w:style w:type="paragraph" w:customStyle="1" w:styleId="394">
    <w:name w:val="Revision"/>
    <w:hidden/>
    <w:unhideWhenUsed/>
    <w:qFormat/>
    <w:uiPriority w:val="99"/>
    <w:rPr>
      <w:rFonts w:ascii="Times New Roman" w:hAnsi="Times New Roman" w:eastAsia="宋体" w:cstheme="minorBidi"/>
      <w:kern w:val="2"/>
      <w:sz w:val="24"/>
      <w:szCs w:val="22"/>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77.png"/><Relationship Id="rId98" Type="http://schemas.openxmlformats.org/officeDocument/2006/relationships/image" Target="media/image76.png"/><Relationship Id="rId97" Type="http://schemas.openxmlformats.org/officeDocument/2006/relationships/image" Target="media/image75.png"/><Relationship Id="rId96" Type="http://schemas.openxmlformats.org/officeDocument/2006/relationships/image" Target="media/image74.png"/><Relationship Id="rId95" Type="http://schemas.openxmlformats.org/officeDocument/2006/relationships/image" Target="media/image73.png"/><Relationship Id="rId94" Type="http://schemas.openxmlformats.org/officeDocument/2006/relationships/image" Target="media/image72.png"/><Relationship Id="rId93" Type="http://schemas.openxmlformats.org/officeDocument/2006/relationships/image" Target="media/image71.png"/><Relationship Id="rId92" Type="http://schemas.openxmlformats.org/officeDocument/2006/relationships/image" Target="media/image70.png"/><Relationship Id="rId91" Type="http://schemas.openxmlformats.org/officeDocument/2006/relationships/image" Target="media/image69.png"/><Relationship Id="rId90" Type="http://schemas.openxmlformats.org/officeDocument/2006/relationships/image" Target="media/image68.png"/><Relationship Id="rId9" Type="http://schemas.openxmlformats.org/officeDocument/2006/relationships/footer" Target="footer2.xml"/><Relationship Id="rId89" Type="http://schemas.openxmlformats.org/officeDocument/2006/relationships/image" Target="media/image67.png"/><Relationship Id="rId88" Type="http://schemas.openxmlformats.org/officeDocument/2006/relationships/image" Target="media/image66.png"/><Relationship Id="rId87" Type="http://schemas.openxmlformats.org/officeDocument/2006/relationships/image" Target="media/image65.png"/><Relationship Id="rId86" Type="http://schemas.openxmlformats.org/officeDocument/2006/relationships/image" Target="media/image64.wmf"/><Relationship Id="rId85" Type="http://schemas.openxmlformats.org/officeDocument/2006/relationships/oleObject" Target="embeddings/oleObject3.bin"/><Relationship Id="rId84" Type="http://schemas.openxmlformats.org/officeDocument/2006/relationships/image" Target="media/image63.jpeg"/><Relationship Id="rId83" Type="http://schemas.openxmlformats.org/officeDocument/2006/relationships/image" Target="media/image62.jpeg"/><Relationship Id="rId82" Type="http://schemas.openxmlformats.org/officeDocument/2006/relationships/image" Target="media/image61.wmf"/><Relationship Id="rId81" Type="http://schemas.openxmlformats.org/officeDocument/2006/relationships/image" Target="media/image60.wmf"/><Relationship Id="rId80" Type="http://schemas.openxmlformats.org/officeDocument/2006/relationships/image" Target="media/image59.wmf"/><Relationship Id="rId8" Type="http://schemas.openxmlformats.org/officeDocument/2006/relationships/footer" Target="footer1.xml"/><Relationship Id="rId79" Type="http://schemas.openxmlformats.org/officeDocument/2006/relationships/image" Target="media/image58.wmf"/><Relationship Id="rId78" Type="http://schemas.openxmlformats.org/officeDocument/2006/relationships/image" Target="media/image57.wmf"/><Relationship Id="rId77" Type="http://schemas.openxmlformats.org/officeDocument/2006/relationships/oleObject" Target="embeddings/oleObject2.bin"/><Relationship Id="rId76" Type="http://schemas.openxmlformats.org/officeDocument/2006/relationships/image" Target="media/image56.wmf"/><Relationship Id="rId75" Type="http://schemas.openxmlformats.org/officeDocument/2006/relationships/oleObject" Target="embeddings/oleObject1.bin"/><Relationship Id="rId74" Type="http://schemas.openxmlformats.org/officeDocument/2006/relationships/image" Target="media/image55.png"/><Relationship Id="rId73" Type="http://schemas.openxmlformats.org/officeDocument/2006/relationships/image" Target="media/image54.png"/><Relationship Id="rId72" Type="http://schemas.openxmlformats.org/officeDocument/2006/relationships/image" Target="media/image53.png"/><Relationship Id="rId71" Type="http://schemas.openxmlformats.org/officeDocument/2006/relationships/image" Target="media/image52.png"/><Relationship Id="rId70" Type="http://schemas.openxmlformats.org/officeDocument/2006/relationships/image" Target="media/image51.png"/><Relationship Id="rId7" Type="http://schemas.openxmlformats.org/officeDocument/2006/relationships/header" Target="header3.xml"/><Relationship Id="rId69" Type="http://schemas.openxmlformats.org/officeDocument/2006/relationships/image" Target="media/image50.png"/><Relationship Id="rId68" Type="http://schemas.openxmlformats.org/officeDocument/2006/relationships/image" Target="media/image49.png"/><Relationship Id="rId67" Type="http://schemas.openxmlformats.org/officeDocument/2006/relationships/image" Target="media/image48.png"/><Relationship Id="rId66" Type="http://schemas.openxmlformats.org/officeDocument/2006/relationships/image" Target="media/image47.png"/><Relationship Id="rId65" Type="http://schemas.openxmlformats.org/officeDocument/2006/relationships/image" Target="media/image46.png"/><Relationship Id="rId64" Type="http://schemas.openxmlformats.org/officeDocument/2006/relationships/image" Target="media/image45.png"/><Relationship Id="rId63" Type="http://schemas.openxmlformats.org/officeDocument/2006/relationships/image" Target="media/image44.png"/><Relationship Id="rId62" Type="http://schemas.openxmlformats.org/officeDocument/2006/relationships/image" Target="media/image43.png"/><Relationship Id="rId61" Type="http://schemas.openxmlformats.org/officeDocument/2006/relationships/image" Target="media/image42.png"/><Relationship Id="rId60" Type="http://schemas.openxmlformats.org/officeDocument/2006/relationships/image" Target="media/image41.wmf"/><Relationship Id="rId6" Type="http://schemas.openxmlformats.org/officeDocument/2006/relationships/header" Target="header2.xml"/><Relationship Id="rId59" Type="http://schemas.openxmlformats.org/officeDocument/2006/relationships/image" Target="media/image40.wmf"/><Relationship Id="rId58" Type="http://schemas.openxmlformats.org/officeDocument/2006/relationships/image" Target="media/image39.png"/><Relationship Id="rId57" Type="http://schemas.openxmlformats.org/officeDocument/2006/relationships/image" Target="media/image38.png"/><Relationship Id="rId56" Type="http://schemas.openxmlformats.org/officeDocument/2006/relationships/image" Target="media/image37.png"/><Relationship Id="rId55" Type="http://schemas.openxmlformats.org/officeDocument/2006/relationships/image" Target="media/image36.png"/><Relationship Id="rId54" Type="http://schemas.openxmlformats.org/officeDocument/2006/relationships/image" Target="media/image35.png"/><Relationship Id="rId53" Type="http://schemas.openxmlformats.org/officeDocument/2006/relationships/image" Target="media/image34.emf"/><Relationship Id="rId52" Type="http://schemas.openxmlformats.org/officeDocument/2006/relationships/package" Target="embeddings/Microsoft_Visio___2.vsdx"/><Relationship Id="rId51" Type="http://schemas.openxmlformats.org/officeDocument/2006/relationships/image" Target="media/image33.emf"/><Relationship Id="rId50" Type="http://schemas.openxmlformats.org/officeDocument/2006/relationships/package" Target="embeddings/Microsoft_Visio___1.vsdx"/><Relationship Id="rId5" Type="http://schemas.openxmlformats.org/officeDocument/2006/relationships/header" Target="header1.xml"/><Relationship Id="rId49" Type="http://schemas.openxmlformats.org/officeDocument/2006/relationships/image" Target="media/image32.png"/><Relationship Id="rId48" Type="http://schemas.openxmlformats.org/officeDocument/2006/relationships/image" Target="media/image31.png"/><Relationship Id="rId47" Type="http://schemas.openxmlformats.org/officeDocument/2006/relationships/image" Target="media/image30.png"/><Relationship Id="rId46" Type="http://schemas.openxmlformats.org/officeDocument/2006/relationships/image" Target="media/image29.png"/><Relationship Id="rId45" Type="http://schemas.openxmlformats.org/officeDocument/2006/relationships/image" Target="media/image28.png"/><Relationship Id="rId44" Type="http://schemas.openxmlformats.org/officeDocument/2006/relationships/image" Target="media/image27.png"/><Relationship Id="rId43" Type="http://schemas.openxmlformats.org/officeDocument/2006/relationships/image" Target="media/image26.png"/><Relationship Id="rId42" Type="http://schemas.openxmlformats.org/officeDocument/2006/relationships/image" Target="media/image25.png"/><Relationship Id="rId41" Type="http://schemas.openxmlformats.org/officeDocument/2006/relationships/image" Target="media/image24.png"/><Relationship Id="rId40" Type="http://schemas.openxmlformats.org/officeDocument/2006/relationships/image" Target="media/image23.png"/><Relationship Id="rId4" Type="http://schemas.openxmlformats.org/officeDocument/2006/relationships/endnotes" Target="endnotes.xml"/><Relationship Id="rId39" Type="http://schemas.openxmlformats.org/officeDocument/2006/relationships/image" Target="media/image22.png"/><Relationship Id="rId38" Type="http://schemas.openxmlformats.org/officeDocument/2006/relationships/image" Target="media/image21.png"/><Relationship Id="rId37" Type="http://schemas.openxmlformats.org/officeDocument/2006/relationships/image" Target="media/image20.png"/><Relationship Id="rId36" Type="http://schemas.openxmlformats.org/officeDocument/2006/relationships/image" Target="media/image19.png"/><Relationship Id="rId35" Type="http://schemas.openxmlformats.org/officeDocument/2006/relationships/image" Target="media/image18.png"/><Relationship Id="rId34" Type="http://schemas.openxmlformats.org/officeDocument/2006/relationships/image" Target="media/image17.png"/><Relationship Id="rId33" Type="http://schemas.openxmlformats.org/officeDocument/2006/relationships/image" Target="media/image16.png"/><Relationship Id="rId32" Type="http://schemas.openxmlformats.org/officeDocument/2006/relationships/image" Target="media/image15.png"/><Relationship Id="rId31" Type="http://schemas.openxmlformats.org/officeDocument/2006/relationships/image" Target="media/image14.jpeg"/><Relationship Id="rId30" Type="http://schemas.openxmlformats.org/officeDocument/2006/relationships/image" Target="media/image13.jpeg"/><Relationship Id="rId3" Type="http://schemas.openxmlformats.org/officeDocument/2006/relationships/footnotes" Target="footnotes.xml"/><Relationship Id="rId29" Type="http://schemas.openxmlformats.org/officeDocument/2006/relationships/image" Target="media/image12.jpeg"/><Relationship Id="rId28" Type="http://schemas.openxmlformats.org/officeDocument/2006/relationships/image" Target="media/image11.png"/><Relationship Id="rId27" Type="http://schemas.openxmlformats.org/officeDocument/2006/relationships/image" Target="media/image10.png"/><Relationship Id="rId26" Type="http://schemas.openxmlformats.org/officeDocument/2006/relationships/image" Target="media/image9.png"/><Relationship Id="rId25" Type="http://schemas.openxmlformats.org/officeDocument/2006/relationships/image" Target="media/image8.png"/><Relationship Id="rId24" Type="http://schemas.openxmlformats.org/officeDocument/2006/relationships/image" Target="media/image7.jpeg"/><Relationship Id="rId23" Type="http://schemas.openxmlformats.org/officeDocument/2006/relationships/image" Target="media/image6.png"/><Relationship Id="rId22" Type="http://schemas.openxmlformats.org/officeDocument/2006/relationships/image" Target="media/image5.png"/><Relationship Id="rId21" Type="http://schemas.openxmlformats.org/officeDocument/2006/relationships/image" Target="media/image4.png"/><Relationship Id="rId20" Type="http://schemas.openxmlformats.org/officeDocument/2006/relationships/image" Target="media/image3.png"/><Relationship Id="rId2" Type="http://schemas.openxmlformats.org/officeDocument/2006/relationships/settings" Target="settings.xml"/><Relationship Id="rId19" Type="http://schemas.openxmlformats.org/officeDocument/2006/relationships/image" Target="media/image2.png"/><Relationship Id="rId18" Type="http://schemas.openxmlformats.org/officeDocument/2006/relationships/image" Target="media/image1.jpeg"/><Relationship Id="rId17" Type="http://schemas.openxmlformats.org/officeDocument/2006/relationships/theme" Target="theme/theme1.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header" Target="header5.xml"/><Relationship Id="rId13" Type="http://schemas.openxmlformats.org/officeDocument/2006/relationships/footer" Target="footer5.xml"/><Relationship Id="rId12" Type="http://schemas.openxmlformats.org/officeDocument/2006/relationships/footer" Target="footer4.xml"/><Relationship Id="rId11" Type="http://schemas.openxmlformats.org/officeDocument/2006/relationships/header" Target="header4.xml"/><Relationship Id="rId109" Type="http://schemas.openxmlformats.org/officeDocument/2006/relationships/fontTable" Target="fontTable.xml"/><Relationship Id="rId108" Type="http://schemas.openxmlformats.org/officeDocument/2006/relationships/customXml" Target="../customXml/item2.xml"/><Relationship Id="rId107" Type="http://schemas.openxmlformats.org/officeDocument/2006/relationships/numbering" Target="numbering.xml"/><Relationship Id="rId106" Type="http://schemas.openxmlformats.org/officeDocument/2006/relationships/customXml" Target="../customXml/item1.xml"/><Relationship Id="rId105" Type="http://schemas.openxmlformats.org/officeDocument/2006/relationships/image" Target="media/image83.png"/><Relationship Id="rId104" Type="http://schemas.openxmlformats.org/officeDocument/2006/relationships/image" Target="media/image82.png"/><Relationship Id="rId103" Type="http://schemas.openxmlformats.org/officeDocument/2006/relationships/image" Target="media/image81.png"/><Relationship Id="rId102" Type="http://schemas.openxmlformats.org/officeDocument/2006/relationships/image" Target="media/image80.png"/><Relationship Id="rId101" Type="http://schemas.openxmlformats.org/officeDocument/2006/relationships/image" Target="media/image79.png"/><Relationship Id="rId100" Type="http://schemas.openxmlformats.org/officeDocument/2006/relationships/image" Target="media/image78.png"/><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solidFill>
          <a:srgbClr val="FFFFFF"/>
        </a:solidFill>
        <a:ln w="9525">
          <a:solidFill>
            <a:srgbClr val="000000"/>
          </a:solidFill>
          <a:miter lim="800000"/>
        </a:ln>
      </a:spPr>
      <a:bodyPr rot="0" vert="horz" wrap="square" lIns="91440" tIns="45720" rIns="91440" bIns="45720" anchor="t" anchorCtr="0" upright="1">
        <a:noAutofit/>
      </a:bodyPr>
      <a:lstStyle/>
    </a:tx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D9CED85-7A6C-42AB-BFA1-BC594753F959}">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335</Pages>
  <Words>219627</Words>
  <Characters>249301</Characters>
  <Lines>1997</Lines>
  <Paragraphs>562</Paragraphs>
  <TotalTime>16</TotalTime>
  <ScaleCrop>false</ScaleCrop>
  <LinksUpToDate>false</LinksUpToDate>
  <CharactersWithSpaces>250978</CharactersWithSpaces>
  <Application>WPS Office_12.1.0.15990_F1E327BC-269C-435d-A152-05C5408002CA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2024-05-13T03:43:00Z</dcterms:created>
  <dc:creator>Microsoft</dc:creator>
  <cp:lastModifiedBy>Administrator</cp:lastModifiedBy>
  <cp:lastPrinted>2024-01-19T04:56:00Z</cp:lastPrinted>
  <dcterms:modified xsi:type="dcterms:W3CDTF">2024-05-30T09:28:32Z</dcterms:modified>
  <cp:revision>144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2019-04-18T00:00:00Z</vt:filetime>
  </property>
  <property fmtid="{D5CDD505-2E9C-101B-9397-08002B2CF9AE}" pid="3" name="Creator">
    <vt:lpwstr>Microsoft® Word 2013</vt:lpwstr>
  </property>
  <property fmtid="{D5CDD505-2E9C-101B-9397-08002B2CF9AE}" pid="4" name="LastSaved">
    <vt:filetime>2020-05-20T00:00:00Z</vt:filetime>
  </property>
  <property fmtid="{D5CDD505-2E9C-101B-9397-08002B2CF9AE}" pid="5" name="KSOProductBuildVer">
    <vt:lpwstr>2052-12.1.0.15990</vt:lpwstr>
  </property>
  <property fmtid="{D5CDD505-2E9C-101B-9397-08002B2CF9AE}" pid="6" name="ICV">
    <vt:lpwstr>89222A47533745559E6EC13470EDC062</vt:lpwstr>
  </property>
</Properties>
</file>